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6.jpeg" ContentType="image/jpeg"/>
  <Override PartName="/word/media/image5.gif" ContentType="image/gif"/>
  <Override PartName="/word/media/image7.jpeg" ContentType="image/jpeg"/>
  <Override PartName="/word/media/image8.jpeg" ContentType="image/jpeg"/>
  <Override PartName="/word/media/image9.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jc w:val="center"/>
        <w:rPr>
          <w:rFonts w:ascii="Times New Roman" w:hAnsi="Times New Roman"/>
          <w:b/>
          <w:color w:val="000000"/>
          <w:sz w:val="28"/>
        </w:rPr>
      </w:pPr>
      <w:bookmarkStart w:id="0" w:name="mnkd-20260407.htm"/>
      <w:bookmarkStart w:id="1" w:name="ksmnkd20260407"/>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b/>
          <w:color w:val="000000"/>
          <w:sz w:val="20"/>
        </w:rPr>
      </w:pPr>
      <w:r>
        <w:rPr>
          <w:rFonts w:ascii="Times New Roman" w:hAnsi="Times New Roman"/>
          <w:b/>
          <w:color w:val="000000"/>
          <w:sz w:val="20"/>
        </w:rPr>
        <w:t>(RULE 14a-101)</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w:t>
      </w:r>
    </w:p>
    <w:p>
      <w:pPr>
        <w:pStyle w:val="TextBody"/>
        <w:bidi w:val="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SCHEDULE 14A INFORMATION</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(Amendment No. )</w:t>
      </w:r>
    </w:p>
    <w:tbl>
      <w:tblPr>
        <w:tblW w:w="6249" w:type="dxa"/>
        <w:jc w:val="left"/>
        <w:tblInd w:w="0" w:type="dxa"/>
        <w:tblLayout w:type="fixed"/>
        <w:tblCellMar>
          <w:top w:w="28" w:type="dxa"/>
          <w:left w:w="28" w:type="dxa"/>
          <w:bottom w:w="28" w:type="dxa"/>
          <w:right w:w="28" w:type="dxa"/>
        </w:tblCellMar>
      </w:tblPr>
      <w:tblGrid>
        <w:gridCol w:w="2206"/>
        <w:gridCol w:w="146"/>
        <w:gridCol w:w="146"/>
        <w:gridCol w:w="375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tbl>
      <w:tblPr>
        <w:tblW w:w="7554" w:type="dxa"/>
        <w:jc w:val="left"/>
        <w:tblInd w:w="0" w:type="dxa"/>
        <w:tblLayout w:type="fixed"/>
        <w:tblCellMar>
          <w:top w:w="28" w:type="dxa"/>
          <w:left w:w="28" w:type="dxa"/>
          <w:bottom w:w="28" w:type="dxa"/>
          <w:right w:w="28" w:type="dxa"/>
        </w:tblCellMar>
      </w:tblPr>
      <w:tblGrid>
        <w:gridCol w:w="376"/>
        <w:gridCol w:w="146"/>
        <w:gridCol w:w="146"/>
        <w:gridCol w:w="688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 240.14a-12</w:t>
            </w:r>
          </w:p>
        </w:tc>
      </w:tr>
    </w:tbl>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MANNKIND CORPORATION</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Filing Fee (Check all boxes that apply):</w:t>
      </w:r>
    </w:p>
    <w:tbl>
      <w:tblPr>
        <w:tblW w:w="8701" w:type="dxa"/>
        <w:jc w:val="left"/>
        <w:tblInd w:w="0" w:type="dxa"/>
        <w:tblLayout w:type="fixed"/>
        <w:tblCellMar>
          <w:top w:w="28" w:type="dxa"/>
          <w:left w:w="28" w:type="dxa"/>
          <w:bottom w:w="28" w:type="dxa"/>
          <w:right w:w="28" w:type="dxa"/>
        </w:tblCellMar>
      </w:tblPr>
      <w:tblGrid>
        <w:gridCol w:w="8701"/>
      </w:tblGrid>
      <w:tr>
        <w:trPr/>
        <w:tc>
          <w:tcPr>
            <w:tcW w:w="8701" w:type="dxa"/>
            <w:tcBorders/>
            <w:vAlign w:val="center"/>
          </w:tcPr>
          <w:p>
            <w:pPr>
              <w:pStyle w:val="TableContents"/>
              <w:bidi w:val="0"/>
              <w:spacing w:before="0" w:after="283"/>
              <w:jc w:val="left"/>
              <w:rPr>
                <w:sz w:val="4"/>
                <w:szCs w:val="4"/>
              </w:rPr>
            </w:pPr>
            <w:r>
              <w:rPr>
                <w:sz w:val="4"/>
                <w:szCs w:val="4"/>
              </w:rPr>
            </w:r>
          </w:p>
        </w:tc>
      </w:tr>
      <w:tr>
        <w:trPr/>
        <w:tc>
          <w:tcPr>
            <w:tcW w:w="8701"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color w:val="000000"/>
                <w:sz w:val="20"/>
              </w:rPr>
              <w:t>No fee required.</w:t>
            </w:r>
          </w:p>
        </w:tc>
      </w:tr>
      <w:tr>
        <w:trPr/>
        <w:tc>
          <w:tcPr>
            <w:tcW w:w="8701"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color w:val="000000"/>
                <w:sz w:val="20"/>
              </w:rPr>
              <w:t>Fee paid previously with preliminary materials.</w:t>
            </w:r>
          </w:p>
        </w:tc>
      </w:tr>
      <w:tr>
        <w:trPr/>
        <w:tc>
          <w:tcPr>
            <w:tcW w:w="8701"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1742" w:type="dxa"/>
        <w:jc w:val="left"/>
        <w:tblInd w:w="0" w:type="dxa"/>
        <w:tblLayout w:type="fixed"/>
        <w:tblCellMar>
          <w:top w:w="28" w:type="dxa"/>
          <w:left w:w="28" w:type="dxa"/>
          <w:bottom w:w="28" w:type="dxa"/>
          <w:right w:w="28" w:type="dxa"/>
        </w:tblCellMar>
      </w:tblPr>
      <w:tblGrid>
        <w:gridCol w:w="8546"/>
        <w:gridCol w:w="3196"/>
      </w:tblGrid>
      <w:tr>
        <w:trPr/>
        <w:tc>
          <w:tcPr>
            <w:tcW w:w="85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8546" w:type="dxa"/>
            <w:tcBorders/>
            <w:tcMar>
              <w:top w:w="0" w:type="dxa"/>
              <w:left w:w="0" w:type="dxa"/>
              <w:bottom w:w="0" w:type="dxa"/>
              <w:right w:w="0" w:type="dxa"/>
            </w:tcMar>
            <w:vAlign w:val="center"/>
          </w:tcPr>
          <w:p>
            <w:pPr>
              <w:pStyle w:val="TableContents"/>
              <w:bidi w:val="0"/>
              <w:jc w:val="left"/>
              <w:rPr/>
            </w:pPr>
            <w:r>
              <w:rPr/>
              <w:drawing>
                <wp:inline distT="0" distB="0" distL="0" distR="0">
                  <wp:extent cx="18764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314325"/>
                          </a:xfrm>
                          <a:prstGeom prst="rect">
                            <a:avLst/>
                          </a:prstGeom>
                        </pic:spPr>
                      </pic:pic>
                    </a:graphicData>
                  </a:graphic>
                </wp:inline>
              </w:drawing>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drawing>
                <wp:inline distT="0" distB="0" distL="0" distR="0">
                  <wp:extent cx="5362575" cy="6943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62575" cy="6943725"/>
                          </a:xfrm>
                          <a:prstGeom prst="rect">
                            <a:avLst/>
                          </a:prstGeom>
                        </pic:spPr>
                      </pic:pic>
                    </a:graphicData>
                  </a:graphic>
                </wp:inline>
              </w:drawing>
            </w:r>
          </w:p>
        </w:tc>
        <w:tc>
          <w:tcPr>
            <w:tcW w:w="31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center"/>
              <w:rPr>
                <w:rFonts w:ascii="Century Gothic;sans-serif" w:hAnsi="Century Gothic;sans-serif"/>
                <w:b/>
                <w:color w:val="000000"/>
                <w:sz w:val="39"/>
              </w:rPr>
            </w:pPr>
            <w:r>
              <w:rPr>
                <w:rFonts w:ascii="Century Gothic;sans-serif" w:hAnsi="Century Gothic;sans-serif"/>
                <w:b/>
                <w:color w:val="000000"/>
                <w:sz w:val="39"/>
              </w:rPr>
              <w:t>Notice of</w:t>
            </w:r>
          </w:p>
          <w:p>
            <w:pPr>
              <w:pStyle w:val="TableContents"/>
              <w:bidi w:val="0"/>
              <w:jc w:val="center"/>
              <w:rPr>
                <w:rFonts w:ascii="Times New Roman" w:hAnsi="Times New Roman"/>
                <w:sz w:val="39"/>
              </w:rPr>
            </w:pPr>
            <w:r>
              <w:rPr>
                <w:rFonts w:ascii="Century Gothic;sans-serif" w:hAnsi="Century Gothic;sans-serif"/>
                <w:b/>
                <w:color w:val="000000"/>
                <w:sz w:val="39"/>
              </w:rPr>
              <w:t>2026 Meeting of Stock-holders and</w:t>
            </w:r>
            <w:r>
              <w:rPr>
                <w:rFonts w:ascii="Times New Roman" w:hAnsi="Times New Roman"/>
                <w:color w:val="000000"/>
                <w:sz w:val="39"/>
              </w:rPr>
              <w:t xml:space="preserve"> </w:t>
            </w:r>
          </w:p>
          <w:p>
            <w:pPr>
              <w:pStyle w:val="TableContents"/>
              <w:bidi w:val="0"/>
              <w:jc w:val="center"/>
              <w:rPr>
                <w:rFonts w:ascii="Century Gothic;sans-serif" w:hAnsi="Century Gothic;sans-serif"/>
                <w:b/>
                <w:color w:val="000000"/>
                <w:sz w:val="39"/>
              </w:rPr>
            </w:pPr>
            <w:r>
              <w:rPr>
                <w:rFonts w:ascii="Century Gothic;sans-serif" w:hAnsi="Century Gothic;sans-serif"/>
                <w:b/>
                <w:color w:val="000000"/>
                <w:sz w:val="39"/>
              </w:rPr>
              <w:t>Proxy Statement</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entury Gothic;sans-serif" w:hAnsi="Century Gothic;sans-serif"/>
          <w:b/>
          <w:color w:val="000000"/>
          <w:sz w:val="39"/>
        </w:rPr>
        <w:t>life more humann.</w:t>
      </w:r>
      <w:r>
        <w:rPr>
          <w:rFonts w:ascii="Century Gothic;sans-serif" w:hAnsi="Century Gothic;sans-serif"/>
          <w:b/>
          <w:color w:val="000000"/>
          <w:sz w:val="27"/>
        </w:rPr>
        <w:t>®</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432" w:type="dxa"/>
        <w:jc w:val="left"/>
        <w:tblInd w:w="0" w:type="dxa"/>
        <w:tblLayout w:type="fixed"/>
        <w:tblCellMar>
          <w:top w:w="28" w:type="dxa"/>
          <w:left w:w="28" w:type="dxa"/>
          <w:bottom w:w="28" w:type="dxa"/>
          <w:right w:w="28" w:type="dxa"/>
        </w:tblCellMar>
      </w:tblPr>
      <w:tblGrid>
        <w:gridCol w:w="3056"/>
        <w:gridCol w:w="3376"/>
      </w:tblGrid>
      <w:tr>
        <w:trPr/>
        <w:tc>
          <w:tcPr>
            <w:tcW w:w="305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30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764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76425" cy="314325"/>
                          </a:xfrm>
                          <a:prstGeom prst="rect">
                            <a:avLst/>
                          </a:prstGeom>
                        </pic:spPr>
                      </pic:pic>
                    </a:graphicData>
                  </a:graphic>
                </wp:inline>
              </w:drawing>
            </w:r>
          </w:p>
        </w:tc>
        <w:tc>
          <w:tcPr>
            <w:tcW w:w="337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18"/>
              </w:rPr>
            </w:pPr>
            <w:r>
              <w:rPr>
                <w:rFonts w:ascii="Times New Roman" w:hAnsi="Times New Roman"/>
                <w:color w:val="000000"/>
                <w:sz w:val="18"/>
              </w:rPr>
              <w:t>MANNKIND CORPORATION</w:t>
            </w:r>
          </w:p>
          <w:p>
            <w:pPr>
              <w:pStyle w:val="TableContents"/>
              <w:bidi w:val="0"/>
              <w:jc w:val="right"/>
              <w:rPr>
                <w:rFonts w:ascii="Times New Roman" w:hAnsi="Times New Roman"/>
                <w:color w:val="000000"/>
                <w:sz w:val="18"/>
              </w:rPr>
            </w:pPr>
            <w:r>
              <w:rPr>
                <w:rFonts w:ascii="Times New Roman" w:hAnsi="Times New Roman"/>
                <w:color w:val="000000"/>
                <w:sz w:val="18"/>
              </w:rPr>
              <w:t>1 Casper Street, Danbury, Connecticut 06810</w:t>
            </w:r>
          </w:p>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 661-5000</w:t>
            </w:r>
          </w:p>
        </w:tc>
      </w:tr>
    </w:tbl>
    <w:p>
      <w:pPr>
        <w:pStyle w:val="TextBody"/>
        <w:bidi w:val="0"/>
        <w:spacing w:before="6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b/>
          <w:color w:val="000000"/>
          <w:sz w:val="36"/>
        </w:rPr>
      </w:pPr>
      <w:r>
        <w:rPr>
          <w:rFonts w:ascii="Times New Roman" w:hAnsi="Times New Roman"/>
          <w:b/>
          <w:color w:val="000000"/>
          <w:sz w:val="36"/>
        </w:rPr>
        <w:t>NOTICE OF ANNUAL</w:t>
      </w:r>
    </w:p>
    <w:p>
      <w:pPr>
        <w:pStyle w:val="TextBody"/>
        <w:bidi w:val="0"/>
        <w:spacing w:before="0" w:after="60"/>
        <w:jc w:val="left"/>
        <w:rPr>
          <w:rFonts w:ascii="Times New Roman" w:hAnsi="Times New Roman"/>
          <w:b/>
          <w:color w:val="000000"/>
          <w:sz w:val="36"/>
        </w:rPr>
      </w:pPr>
      <w:r>
        <w:rPr>
          <w:rFonts w:ascii="Times New Roman" w:hAnsi="Times New Roman"/>
          <w:b/>
          <w:color w:val="000000"/>
          <w:sz w:val="36"/>
        </w:rPr>
        <w:t>MEETING OF STOCKHOLDERS</w:t>
      </w:r>
    </w:p>
    <w:p>
      <w:pPr>
        <w:pStyle w:val="TextBody"/>
        <w:bidi w:val="0"/>
        <w:spacing w:before="0" w:after="60"/>
        <w:jc w:val="left"/>
        <w:rPr>
          <w:rFonts w:ascii="Times New Roman" w:hAnsi="Times New Roman"/>
          <w:b/>
          <w:color w:val="000000"/>
          <w:sz w:val="24"/>
        </w:rPr>
      </w:pPr>
      <w:r>
        <w:rPr>
          <w:rFonts w:ascii="Times New Roman" w:hAnsi="Times New Roman"/>
          <w:b/>
          <w:color w:val="000000"/>
          <w:sz w:val="24"/>
        </w:rPr>
        <w:t>To Be Held On Wednesday, May 20, 2026</w:t>
      </w:r>
    </w:p>
    <w:p>
      <w:pPr>
        <w:pStyle w:val="TextBody"/>
        <w:bidi w:val="0"/>
        <w:spacing w:before="0" w:after="6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60" w:after="6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You are cordially invited to attend the Annual Meeting of Stockholders of MannKind Corporation, a Delaware corporation (“MannKind”). The meeting will be held live via the Internet on Wednesday, May 20, 2026 at 9:00 a.m. U.S. Eastern Time. To attend, please visit www.virtualshareholdermeeting.com/MNKD2026. You will not be able to attend the Annual Meeting in person. The Annual Meeting will consider the following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elect the nine nominees named herein as directors to serve for the ensuing year and until their successors are elected;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on an advisory basis, the compensation of the named executive officers of MannKind, as disclosed in MannKind’s proxy statement for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ratify the selection by the Audit Committee of the Board of Directors of Deloitte &amp; Touche LLP as the independent registered public accounting firm of MannKind for its fiscal year ending December 31, 2026;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transact such other business as may properly come before the meeting or any adjournment or postponement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The record date for the Annual Meeting is March 23, 2026. Only stockholders of record on that date may vote at the meeting or any adjournment thereof.</w:t>
      </w:r>
    </w:p>
    <w:p>
      <w:pPr>
        <w:pStyle w:val="TextBody"/>
        <w:bidi w:val="0"/>
        <w:jc w:val="left"/>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283"/>
              <w:jc w:val="left"/>
              <w:rPr>
                <w:sz w:val="4"/>
                <w:szCs w:val="4"/>
              </w:rPr>
            </w:pPr>
            <w:r>
              <w:rPr>
                <w:sz w:val="4"/>
                <w:szCs w:val="4"/>
              </w:rPr>
            </w:r>
          </w:p>
        </w:tc>
      </w:tr>
      <w:tr>
        <w:trPr/>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48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143125"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43125" cy="561975"/>
                          </a:xfrm>
                          <a:prstGeom prst="rect">
                            <a:avLst/>
                          </a:prstGeom>
                        </pic:spPr>
                      </pic:pic>
                    </a:graphicData>
                  </a:graphic>
                </wp:inline>
              </w:drawing>
            </w:r>
          </w:p>
        </w:tc>
      </w:tr>
      <w:tr>
        <w:trPr/>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B. Thomson</w:t>
            </w:r>
          </w:p>
        </w:tc>
      </w:tr>
      <w:tr>
        <w:trPr/>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General Counsel and Secretary</w:t>
            </w:r>
          </w:p>
        </w:tc>
      </w:tr>
    </w:tbl>
    <w:p>
      <w:pPr>
        <w:pStyle w:val="TextBody"/>
        <w:bidi w:val="0"/>
        <w:spacing w:before="60" w:after="60"/>
        <w:jc w:val="left"/>
        <w:rPr>
          <w:rFonts w:ascii="Times New Roman" w:hAnsi="Times New Roman"/>
          <w:color w:val="000000"/>
          <w:sz w:val="20"/>
        </w:rPr>
      </w:pPr>
      <w:r>
        <w:rPr>
          <w:rFonts w:ascii="Times New Roman" w:hAnsi="Times New Roman"/>
          <w:color w:val="000000"/>
          <w:sz w:val="20"/>
        </w:rPr>
        <w:t>Danbury, Connecticut</w:t>
      </w:r>
    </w:p>
    <w:p>
      <w:pPr>
        <w:pStyle w:val="TextBody"/>
        <w:bidi w:val="0"/>
        <w:jc w:val="left"/>
        <w:rPr>
          <w:rFonts w:ascii="Times New Roman" w:hAnsi="Times New Roman"/>
          <w:color w:val="000000"/>
          <w:sz w:val="20"/>
        </w:rPr>
      </w:pPr>
      <w:r>
        <w:rPr>
          <w:rFonts w:ascii="Times New Roman" w:hAnsi="Times New Roman"/>
          <w:color w:val="000000"/>
          <w:sz w:val="20"/>
        </w:rPr>
        <w:t>April 7, 2026</w:t>
      </w:r>
    </w:p>
    <w:p>
      <w:pPr>
        <w:pStyle w:val="TextBody"/>
        <w:pBdr>
          <w:bottom w:val="single" w:sz="18" w:space="1" w:color="000000"/>
        </w:pBdr>
        <w:bidi w:val="0"/>
        <w:spacing w:before="0" w:after="60"/>
        <w:jc w:val="left"/>
        <w:rPr/>
      </w:pPr>
      <w:r>
        <w:rPr/>
        <w:t> </w:t>
      </w:r>
    </w:p>
    <w:p>
      <w:pPr>
        <w:pStyle w:val="TextBody"/>
        <w:bidi w:val="0"/>
        <w:spacing w:before="0" w:after="60"/>
        <w:jc w:val="left"/>
        <w:rPr>
          <w:rFonts w:ascii="Times New Roman" w:hAnsi="Times New Roman"/>
          <w:b/>
          <w:color w:val="000000"/>
          <w:sz w:val="20"/>
        </w:rPr>
      </w:pPr>
      <w:r>
        <w:rPr>
          <w:rFonts w:ascii="Times New Roman" w:hAnsi="Times New Roman"/>
          <w:b/>
          <w:color w:val="000000"/>
          <w:sz w:val="20"/>
        </w:rPr>
        <w:t>You are cordially invited to attend the meeting via the Internet. Whether or not you expect to attend the meeting, please vote by proxy pursuant to the instructions set forth herein as promptly as possible in order to ensure your representation at the meeting. Even if you have voted by proxy, you may still vote live if you attend the meeting via the Internet. Please note, however, that if your shares are held of record by a broker, bank or other nominee and you wish to vote at the meeting, you must obtain a proxy issued in your name from that record holder.</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18" w:type="dxa"/>
        <w:jc w:val="left"/>
        <w:tblInd w:w="0" w:type="dxa"/>
        <w:tblLayout w:type="fixed"/>
        <w:tblCellMar>
          <w:top w:w="28" w:type="dxa"/>
          <w:left w:w="28" w:type="dxa"/>
          <w:bottom w:w="28" w:type="dxa"/>
          <w:right w:w="28" w:type="dxa"/>
        </w:tblCellMar>
      </w:tblPr>
      <w:tblGrid>
        <w:gridCol w:w="9511"/>
        <w:gridCol w:w="146"/>
        <w:gridCol w:w="361"/>
      </w:tblGrid>
      <w:tr>
        <w:trPr/>
        <w:tc>
          <w:tcPr>
            <w:tcW w:w="9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proxy_statement">
              <w:r>
                <w:rPr>
                  <w:rStyle w:val="InternetLink"/>
                  <w:rFonts w:ascii="Times New Roman" w:hAnsi="Times New Roman"/>
                  <w:color w:val="0000FF"/>
                  <w:sz w:val="20"/>
                  <w:u w:val="single"/>
                </w:rPr>
                <w:t>Proxy Statement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proposal1">
              <w:r>
                <w:rPr>
                  <w:rStyle w:val="InternetLink"/>
                  <w:rFonts w:ascii="Times New Roman" w:hAnsi="Times New Roman"/>
                  <w:color w:val="0000FF"/>
                  <w:sz w:val="20"/>
                  <w:u w:val="single"/>
                </w:rPr>
                <w:t>Proposal 1</w:t>
              </w:r>
            </w:hyperlink>
            <w:hyperlink w:anchor="proposal1">
              <w:r>
                <w:rPr>
                  <w:rStyle w:val="InternetLink"/>
                  <w:rFonts w:ascii="Times New Roman" w:hAnsi="Times New Roman"/>
                  <w:color w:val="0000FF"/>
                  <w:sz w:val="20"/>
                </w:rPr>
                <w:t xml:space="preserve"> </w:t>
              </w:r>
            </w:hyperlink>
            <w:hyperlink w:anchor="proposal2">
              <w:r>
                <w:rPr>
                  <w:rStyle w:val="InternetLink"/>
                  <w:rFonts w:ascii="Times New Roman" w:hAnsi="Times New Roman"/>
                  <w:color w:val="000080"/>
                  <w:sz w:val="20"/>
                  <w:u w:val="single"/>
                </w:rPr>
                <w:t>–</w:t>
              </w:r>
            </w:hyperlink>
            <w:hyperlink w:anchor="proposal1">
              <w:r>
                <w:rPr>
                  <w:rStyle w:val="InternetLink"/>
                  <w:rFonts w:ascii="Times New Roman" w:hAnsi="Times New Roman"/>
                  <w:color w:val="000080"/>
                  <w:sz w:val="20"/>
                  <w:u w:val="single"/>
                </w:rPr>
                <w:t xml:space="preserve">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corporate_governance_principles">
              <w:r>
                <w:rPr>
                  <w:rStyle w:val="InternetLink"/>
                  <w:rFonts w:ascii="Times New Roman" w:hAnsi="Times New Roman"/>
                  <w:color w:val="0000FF"/>
                  <w:sz w:val="20"/>
                  <w:u w:val="single"/>
                </w:rPr>
                <w:t>Corporate Governance Principles and Board and Committee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proposal2">
              <w:r>
                <w:rPr>
                  <w:rStyle w:val="InternetLink"/>
                  <w:rFonts w:ascii="Times New Roman" w:hAnsi="Times New Roman"/>
                  <w:color w:val="0000FF"/>
                  <w:sz w:val="20"/>
                  <w:u w:val="single"/>
                </w:rPr>
                <w:t>Proposal 2 – 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Times New Roman" w:hAnsi="Times New Roman"/>
                  <w:color w:val="0000FF"/>
                  <w:sz w:val="20"/>
                  <w:u w:val="single"/>
                </w:rPr>
                <w:t>Proposal 3 – Ratification of Selection of Deloitte &amp; Touche LLP as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executive_officers_of_the_registrant">
              <w:r>
                <w:rPr>
                  <w:rStyle w:val="InternetLink"/>
                  <w:rFonts w:ascii="Times New Roman" w:hAnsi="Times New Roman"/>
                  <w:color w:val="0000FF"/>
                  <w:sz w:val="20"/>
                  <w:u w:val="single"/>
                </w:rPr>
                <w:t>Executive Officers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hyperlink w:anchor="executive_compensation">
              <w:r>
                <w:rPr>
                  <w:rStyle w:val="InternetLink"/>
                  <w:rFonts w:ascii="Times New Roman" w:hAnsi="Times New Roman"/>
                  <w:color w:val="0000FF"/>
                  <w:sz w:val="20"/>
                </w:rPr>
                <w:t xml:space="preserve"> </w:t>
              </w:r>
            </w:hyperlink>
            <w:hyperlink w:anchor="proposal2">
              <w:r>
                <w:rPr>
                  <w:rStyle w:val="InternetLink"/>
                  <w:rFonts w:ascii="Times New Roman" w:hAnsi="Times New Roman"/>
                  <w:color w:val="000080"/>
                  <w:sz w:val="20"/>
                  <w:u w:val="single"/>
                </w:rPr>
                <w:t>–</w:t>
              </w:r>
            </w:hyperlink>
            <w:hyperlink w:anchor="executive_compensation">
              <w:r>
                <w:rPr>
                  <w:rStyle w:val="InternetLink"/>
                  <w:rFonts w:ascii="Times New Roman" w:hAnsi="Times New Roman"/>
                  <w:color w:val="000080"/>
                  <w:sz w:val="20"/>
                  <w:u w:val="single"/>
                </w:rPr>
                <w:t xml:space="preserve"> 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Times New Roman" w:hAnsi="Times New Roman"/>
                  <w:color w:val="0000FF"/>
                  <w:sz w:val="20"/>
                  <w:u w:val="single"/>
                </w:rPr>
                <w:t>Compensation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511"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Householding of Proxy Materials, Annual Report and 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4906"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b/>
                <w:color w:val="FFFFFF"/>
                <w:sz w:val="64"/>
              </w:rPr>
            </w:pPr>
            <w:bookmarkStart w:id="2" w:name="proxy_statement"/>
            <w:bookmarkEnd w:id="2"/>
            <w:r>
              <w:rPr>
                <w:rFonts w:ascii="Times New Roman" w:hAnsi="Times New Roman"/>
                <w:b/>
                <w:color w:val="FFFFFF"/>
                <w:sz w:val="64"/>
              </w:rPr>
              <w:t>Proxy Statement</w:t>
            </w:r>
          </w:p>
        </w:tc>
      </w:tr>
      <w:tr>
        <w:trPr/>
        <w:tc>
          <w:tcPr>
            <w:tcW w:w="4906" w:type="dxa"/>
            <w:tcBorders/>
            <w:shd w:fill="000000"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MANNKIND CORPORATION</w:t>
      </w:r>
    </w:p>
    <w:p>
      <w:pPr>
        <w:pStyle w:val="TextBody"/>
        <w:bidi w:val="0"/>
        <w:jc w:val="both"/>
        <w:rPr>
          <w:rFonts w:ascii="Times New Roman" w:hAnsi="Times New Roman"/>
          <w:b/>
          <w:color w:val="000000"/>
          <w:sz w:val="20"/>
        </w:rPr>
      </w:pPr>
      <w:r>
        <w:rPr>
          <w:rFonts w:ascii="Times New Roman" w:hAnsi="Times New Roman"/>
          <w:b/>
          <w:color w:val="000000"/>
          <w:sz w:val="20"/>
        </w:rPr>
        <w:t>1 Casper Street</w:t>
      </w:r>
    </w:p>
    <w:p>
      <w:pPr>
        <w:pStyle w:val="TextBody"/>
        <w:bidi w:val="0"/>
        <w:jc w:val="both"/>
        <w:rPr>
          <w:rFonts w:ascii="Times New Roman" w:hAnsi="Times New Roman"/>
          <w:b/>
          <w:color w:val="000000"/>
          <w:sz w:val="20"/>
        </w:rPr>
      </w:pPr>
      <w:r>
        <w:rPr>
          <w:rFonts w:ascii="Times New Roman" w:hAnsi="Times New Roman"/>
          <w:b/>
          <w:color w:val="000000"/>
          <w:sz w:val="20"/>
        </w:rPr>
        <w:t>Danbury, Connecticut 06810</w:t>
      </w:r>
    </w:p>
    <w:p>
      <w:pPr>
        <w:pStyle w:val="TextBody"/>
        <w:bidi w:val="0"/>
        <w:jc w:val="both"/>
        <w:rPr>
          <w:rFonts w:ascii="Times New Roman" w:hAnsi="Times New Roman"/>
          <w:b/>
          <w:color w:val="000000"/>
          <w:sz w:val="20"/>
        </w:rPr>
      </w:pPr>
      <w:r>
        <w:rPr>
          <w:rFonts w:ascii="Times New Roman" w:hAnsi="Times New Roman"/>
          <w:b/>
          <w:color w:val="000000"/>
          <w:sz w:val="20"/>
        </w:rPr>
        <w:t>(818) 661-5000</w:t>
      </w:r>
    </w:p>
    <w:p>
      <w:pPr>
        <w:pStyle w:val="TextBody"/>
        <w:bidi w:val="0"/>
        <w:jc w:val="both"/>
        <w:rPr/>
      </w:pPr>
      <w:r>
        <w:rPr/>
        <w:t> </w:t>
      </w:r>
    </w:p>
    <w:p>
      <w:pPr>
        <w:pStyle w:val="TextBody"/>
        <w:bidi w:val="0"/>
        <w:spacing w:before="60" w:after="60"/>
        <w:jc w:val="left"/>
        <w:rPr>
          <w:rFonts w:ascii="Times New Roman" w:hAnsi="Times New Roman"/>
          <w:b/>
          <w:color w:val="000000"/>
          <w:sz w:val="36"/>
        </w:rPr>
      </w:pPr>
      <w:r>
        <w:rPr>
          <w:rFonts w:ascii="Times New Roman" w:hAnsi="Times New Roman"/>
          <w:b/>
          <w:color w:val="000000"/>
          <w:sz w:val="36"/>
        </w:rPr>
        <w:t>PROXY STATEMENT</w:t>
      </w:r>
    </w:p>
    <w:p>
      <w:pPr>
        <w:pStyle w:val="TextBody"/>
        <w:bidi w:val="0"/>
        <w:spacing w:before="0" w:after="60"/>
        <w:jc w:val="left"/>
        <w:rPr>
          <w:rFonts w:ascii="Times New Roman" w:hAnsi="Times New Roman"/>
          <w:b/>
          <w:color w:val="000000"/>
          <w:sz w:val="28"/>
        </w:rPr>
      </w:pPr>
      <w:r>
        <w:rPr>
          <w:rFonts w:ascii="Times New Roman" w:hAnsi="Times New Roman"/>
          <w:b/>
          <w:color w:val="000000"/>
          <w:sz w:val="28"/>
        </w:rPr>
        <w:t>FOR THE 2026 ANNUAL MEETING OF STOCKHOLDERS</w:t>
      </w:r>
    </w:p>
    <w:p>
      <w:pPr>
        <w:pStyle w:val="TextBody"/>
        <w:bidi w:val="0"/>
        <w:spacing w:before="0" w:after="60"/>
        <w:jc w:val="left"/>
        <w:rPr>
          <w:rFonts w:ascii="Times New Roman" w:hAnsi="Times New Roman"/>
          <w:sz w:val="20"/>
        </w:rPr>
      </w:pPr>
      <w:r>
        <w:rPr>
          <w:rFonts w:ascii="Times New Roman" w:hAnsi="Times New Roman"/>
          <w:b/>
          <w:color w:val="000000"/>
          <w:sz w:val="22"/>
        </w:rPr>
        <w:t>To be held on May 20, 2026</w:t>
      </w:r>
      <w:r>
        <w:rPr>
          <w:rFonts w:ascii="Times New Roman" w:hAnsi="Times New Roman"/>
          <w:color w:val="000000"/>
          <w:sz w:val="20"/>
        </w:rPr>
        <w:t xml:space="preserve"> </w:t>
      </w:r>
    </w:p>
    <w:p>
      <w:pPr>
        <w:pStyle w:val="TextBody"/>
        <w:bidi w:val="0"/>
        <w:spacing w:before="0" w:after="60"/>
        <w:jc w:val="left"/>
        <w:rPr/>
      </w:pPr>
      <w:r>
        <w:rPr/>
        <w:t> </w:t>
      </w:r>
    </w:p>
    <w:p>
      <w:pPr>
        <w:pStyle w:val="TextBody"/>
        <w:bidi w:val="0"/>
        <w:spacing w:before="0" w:after="60"/>
        <w:jc w:val="left"/>
        <w:rPr>
          <w:rFonts w:ascii="Times New Roman" w:hAnsi="Times New Roman"/>
          <w:b/>
          <w:color w:val="000000"/>
          <w:sz w:val="28"/>
        </w:rPr>
      </w:pPr>
      <w:r>
        <w:rPr>
          <w:rFonts w:ascii="Times New Roman" w:hAnsi="Times New Roman"/>
          <w:b/>
          <w:color w:val="000000"/>
          <w:sz w:val="28"/>
        </w:rPr>
        <w:t>QUESTIONS AND ANSWERS ABOUT THESE PROXY MATERIALS AND VOTING</w:t>
      </w:r>
    </w:p>
    <w:p>
      <w:pPr>
        <w:pStyle w:val="TextBody"/>
        <w:bidi w:val="0"/>
        <w:spacing w:before="180" w:after="60"/>
        <w:jc w:val="left"/>
        <w:rPr>
          <w:rFonts w:ascii="Times New Roman" w:hAnsi="Times New Roman"/>
          <w:b/>
          <w:color w:val="000000"/>
          <w:sz w:val="20"/>
        </w:rPr>
      </w:pPr>
      <w:r>
        <w:rPr>
          <w:rFonts w:ascii="Times New Roman" w:hAnsi="Times New Roman"/>
          <w:b/>
          <w:color w:val="000000"/>
          <w:sz w:val="20"/>
        </w:rPr>
        <w:t>Why did I receive a notice regarding the availability of proxy materials on the Internet?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MannKind Corporation (sometimes referred to as “we,” “us,” the “Company” or “MannKind”) is soliciting your proxy to vote at the 2026 Annual Meeting of Stockholders (the “Annual Meeting”), including any adjournments or postponements of the Annual Meeting. This year’s Annual Meeting will be held entirely via the Internet. You are invited to attend the Annual Meeting to vote on the proposals described in this proxy statement. However, you do not need to attend the meeting via the Internet to vote your shares.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Notice will be mailed on April 7, 2026 to our stockholders of record entitled to vote at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Will I receive any other proxy materials by mail?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send you a proxy card, along with a second Notice, ten days after mailing the first Notice.</w:t>
      </w:r>
    </w:p>
    <w:p>
      <w:pPr>
        <w:pStyle w:val="TextBody"/>
        <w:bidi w:val="0"/>
        <w:spacing w:before="240" w:after="283"/>
        <w:jc w:val="left"/>
        <w:rPr>
          <w:rFonts w:ascii="Times New Roman" w:hAnsi="Times New Roman"/>
          <w:sz w:val="20"/>
        </w:rPr>
      </w:pPr>
      <w:r>
        <w:rPr>
          <w:rFonts w:ascii="Times New Roman" w:hAnsi="Times New Roman"/>
          <w:b/>
          <w:color w:val="000000"/>
          <w:sz w:val="20"/>
        </w:rPr>
        <w:t>Why are we holding a virtual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recent years we have implemented a virtual format for our Annual Meeting, which is conducted via live audio webcast and online stockholder tools. Our experience has been that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increase stockholder communication. For example, the virtual format allows stockholders to communicate with us in advance of, and during, the Annual Meeting so they can ask questions of our Board of Directors or management. During the Annual Meeting, we are able to answer questions submitted during the Annual Meeting and address those asked in advance, to the extent relevant to the business of the Annual Meeting. We do not intend to post questions received during the Annual Meeting on our website.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March 23, 2026 (the “record date”) will be entitled to vote at the Annual Meeting. On this record date, there were 308,795,777 shares of common stock outstanding and entitled to vote. A list of MannKind's stockholders of record will be open for examination by any stockholder beginning ten days prior to the Annual Meeting at our principal executive office located at 1 Casper Street, Danbury, Connecticut 06810. If you would like to view the list, please contact our Corporate Secretary to schedule an appointment by calling (818) 661-5000 or writing to him at the address above. In addition, the list will be available for inspection by stockholders on the virtual meeting website during the Annual Meeting.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 the record date your shares were registered directly in your name with MannKind’s transfer agent, Computershare, then you are a stockholder of record. As a stockholder of record, you may vote live at the meeting or vote by proxy. Whether or not you plan to attend the Annual Meeting, we urge you to vote by proxy pursuant to the instructions set forth below to ensure your vote is counted.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However, because you are not the stockholder of record, you may not vote your shares live at the Annual Meeting unless you request and obtain a valid proxy from your broker or other agent.</w:t>
      </w:r>
    </w:p>
    <w:p>
      <w:pPr>
        <w:pStyle w:val="TextBody"/>
        <w:bidi w:val="0"/>
        <w:spacing w:before="300" w:after="120"/>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jc w:val="left"/>
        <w:rPr>
          <w:rFonts w:ascii="Times New Roman" w:hAnsi="Times New Roman"/>
          <w:color w:val="000000"/>
          <w:sz w:val="20"/>
        </w:rPr>
      </w:pPr>
      <w:r>
        <w:rPr>
          <w:rFonts w:ascii="Times New Roman" w:hAnsi="Times New Roman"/>
          <w:color w:val="000000"/>
          <w:sz w:val="20"/>
        </w:rPr>
        <w:t>Management is presenting the following three proposals for stockholder vote: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Proposal 1. Election of Nine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proposal to be voted on is the election of our nine nominees named herein as directors for a one-year term ending at our 2027 Annual Meeting of Stockholders. The Board has nominated these nine people as directors. You may find information about these nominees, as well as information about MannKind’s Board of Directors and its committees, director compensation and other related matters beginning on page 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vote “For” all the nominees, “Withhold” your votes as to all nominees or “Withhold” your votes as to specific nominees.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unanimously recommends a vote FOR all the director nominees named in Proposal 1.</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Proposal 2. Advisory Vote on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proposal to be voted on is an advisory vote regarding the compensation of the Company’s named executive officers as described in this proxy statement, including the disclosures under “Compensation Discussion and Analysis,” the compensation tables and the narrative discussion following the compensation tables. You may find information about this proposal beginning on page 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vote “For” or “Against” the proposal or “Abstain” from voting on the proposal.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unanimously recommends a vote FOR Proposal 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Proposal 3. Ratification of Selection by the Audit Committee of the Board of Directors of Deloitte &amp; Touche LLP as the Company’s Independent Registered Public Accounting Firm for the Fiscal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third proposal to be voted on is the ratification of the selection by the Audit Committee of the Board of Directors of Deloitte &amp; Touche LLP as the Company’s independent registered public accounting firm for the fiscal year ending December 31, 2026. It is expected that representatives of Deloitte &amp; Touche LLP will attend the Annual Meeting and be available to make a statement or respond to appropriate questions. You may find information about this proposal beginning on page 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may vote “For” or “Against” the proposal or “Abstain” from voting on the proposal.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unanimously recommends a vote FOR Proposal 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if another matter is properly brought before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do I vote?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 vote live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live if you have already voted by proxy.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vote live, attend the Annual Meeting and follow the instructions for voting. To attend the meeting, please visit www.virtualshareholdermeeting.com/MNKD2026. You will be asked to provide the control number from the Notice.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vote using the proxy card, simply complete, sign and date the proxy card that may be delivered and return it promptly in the envelope provided. Your signed proxy card must be received by 11:59 PM U.S. Eastern time on May 19, 2026 to be counted.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vote over the telephone, dial toll-free (800) 690-6903 using a touch-tone phone and follow the recorded instructions. You will be asked to provide the control number from the Notice. Your vote must be received by 11:59 PM U.S. Eastern time on May 19, 2026 to be counted.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vote through the Internet in advance of the Annual Meeting, go to http://www.proxyvote.com to complete an electronic proxy card. You will be asked to provide the control number from the Notice. Your vote must be received by 11:59 PM U.S. Eastern time on May 19, 2026 to be counted.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Voting at the Annual Meeting and Internet proxy voting have procedures designed to ensure the authenticity and correctness of your vote or voting instructions. However, please be aware that you must bear any costs associated with your internet access, such as usage charges from Internet access providers and telephone companies.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agent, you should have received a Notice containing voting instructions from that organization rather than from MannKind. Simply follow the voting instructions in the Notice to ensure that your vote is counted. To vote live at the Annual Meeting, follow the instructions after logging into the meeting website.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owned as of the record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if I return a proxy card or otherwise vote by proxy but do not make specific choices?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voted by proxy without marking any voting selections, your shares will be voted “For” the election of each of the nine nominees for director listed in Proposal 1, “For” the advisory vote on executive compensation as provided in Proposal 2, and “For” the ratification of the selection of Deloitte &amp; Touche LLP as our independent registered public accounting firm for the fiscal year ending December 31, 2026 as provided in Proposal 3. If any other matter is properly presented at the Annual Meeting, your proxy (one of the individuals named on your proxy card) will vote your shares using his or her best judgment.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pay for the entire cost of soliciting proxies.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does it mean if I receive more than one Notice?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you receive more than one Notice, your shares are registered in more than one name or are registered in different accounts. Please follow the voting instructions with respect to </w:t>
      </w:r>
      <w:r>
        <w:rPr>
          <w:rFonts w:ascii="Times New Roman" w:hAnsi="Times New Roman"/>
          <w:b/>
          <w:color w:val="000000"/>
          <w:sz w:val="20"/>
        </w:rPr>
        <w:t xml:space="preserve">each </w:t>
      </w:r>
      <w:r>
        <w:rPr>
          <w:rFonts w:ascii="Times New Roman" w:hAnsi="Times New Roman"/>
          <w:color w:val="000000"/>
          <w:sz w:val="20"/>
        </w:rPr>
        <w:t xml:space="preserve">Notice to ensure that all of your shares are voted. Similarly, if you are a stockholder of record and you receive more than one Notice, your shares are registered in more than one name. Please follow the voting instructions with respect to </w:t>
      </w:r>
      <w:r>
        <w:rPr>
          <w:rFonts w:ascii="Times New Roman" w:hAnsi="Times New Roman"/>
          <w:b/>
          <w:color w:val="000000"/>
          <w:sz w:val="20"/>
        </w:rPr>
        <w:t xml:space="preserve">each </w:t>
      </w:r>
      <w:r>
        <w:rPr>
          <w:rFonts w:ascii="Times New Roman" w:hAnsi="Times New Roman"/>
          <w:color w:val="000000"/>
          <w:sz w:val="20"/>
        </w:rPr>
        <w:t>Notice to ensure that all of your shares are voted.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Yes. You can revoke your proxy at any time before the final vote at the Annual Meeting. If you are a stockholder of record, you may revoke your proxy in any one of the following ways: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may send a written notice that you are revoking your proxy to MannKind’s Corporate Secretary at 1 Casper Street, Danbury, Connecticut 06810.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grant another proxy by telephone or through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submit another properly completed proxy card with a later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attend the Annual Meeting and vote live. Simply attending the Annual Meeting will not, by itself, revoke your proxy or vote your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Your most current proxy, whether submitted by proxy card, telephone or Internet, is the one that is counted.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by your broker or bank as a nominee or agent, you should follow the instructions provided by your broker or bank.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Votes will be counted by the inspector of election appointed for the meeting, who will separately count, with respect to the proposal to elect directors, votes “For,” “Withhold” and broker non-votes; and with respect to other proposals, “For” and “Against” votes, abstentions and, if applicable, broker non-votes. Abstentions will be counted towards the vote total for each proposal, except with respect to the election of directors, and will have the same effect as “Against” votes. Broker non-votes, if any, will have no effect and will not be counted towards the vote total for any proposal.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are “broker non-votes”?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Broker non-votes occur when a beneficial owner of shares held in street name does not give instructions to the broker or nominee holding the shares as to how to vote on matters deemed “non-routine.” Generally, if shares are held in street name (shares are held by your broker as your nominee), the beneficial owner of the shares is entitled to give voting instructions to the broker or nominee holding the shares. If you do not give instructions to your broker, your broker can vote your shares with respect to matters that are considered to be “routine,” but not with respect to “non-routine” matters. Under the rules and interpretations of the New York Stock Exchange, “non-routine” matters are generally those involving a matter that may substantially affect the rights or privileges of stockholders, such as mergers or stockholder proposals, election of directors (even if not contested) and executive compensation, including stockholder advisory votes on executive compensation. Proposals 1 and 2, regarding the election of directors and the advisory vote regarding executive compensation, respectively, are non-routine matters. Proposal 3 to ratify Deloitte &amp; Touche LLP as our independent registered public accounting firm is a routine matter.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many votes are needed to approve each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election of directors, the nine nominees receiving the most “For” votes will be elected. Only votes “For” will affect the outcome. Only the nine nominees named herein have been properly nominated for election as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Proposals 2 and 3 regarding approval, on an advisory basis, of the compensation of the Company’s named executive officers and ratification of the Audit Committee’s selection of the independent registered public accounting firm, respectively, must receive a “For” vote from the majority of shares present and entitled to vote generally on the subject matter either live at the Annual Meeting or by proxy in order to be approved. If you abstain from voting on either of these proposals, it will have the same effect as an “Against” vote. Broker non-votes, if any, will have no effect.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of stockholders is necessary to hold a valid Annual Meeting. A quorum will be present if at least a majority of the outstanding shares entitled to vote are represented by stockholders present at the Annual Meeting or by proxy. On the record date, there were 308,795,777 shares outstanding and entitled to vote. Thus, 154,397,889 shares must be represented by stockholders present at the Annual Meeting or by proxy to have a quorum.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Your shares will be counted towards the quorum only if you submit a valid proxy (or one is submitted on your behalf by your broker, bank or other nominee) or if you vote live at the Annual Meeting. Abstentions and broker non-votes will be counted towards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quorum requirement. If there is no quorum, the chair of the Annual Meeting or a majority of the votes present at the Annual Meeting may adjourn the meeting to another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Preliminary voting results will be announced at the Annual Meeting. Final voting results will be published in a current report on Form 8-K that we expect to file no later than four business days following the date of the Annual Meeting. If final voting results are not available to us in time to file a Form 8-K on or before such date, we intend to file a Form 8-K to publish preliminary results and, within four business days after the final results are known to us, file an additional Form 8-K to publish the final results.</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When are stockholder proposals due for next year’s annual meeting?</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To be considered for inclusion in MannKind’s proxy material for next year’s annual meeting, your proposal must be submitted in writing by December 8, 2026 to Attn: Corporate Secretary, MannKind Corporation, 1 Casper Street, Danbury, Connecticut 06810. If you wish to submit a proposal (including a director nomination) that is not to be included in MannKind’s proxy materials, you must do so not earlier than January 20, 2027 and not later than February 19, 2027. You are also advised to review the Company’s Amended and Restated Bylaws, which contain additional requirements about advance notice of stockholder proposals and director nominations.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proxy materials contain “forward-looking statements” as that term is defined in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expectations and intentions regarding our future corporate governance practices and policies and board structure; our plans and expectations regarding our compensation practices, principles and philosophies; and the potential of our products and product candidates. These statements are based on our current expectations and involve risks and uncertainties. No forward-looking statement can be guaranteed and actual results may differ materially from those stated or implied by forward-looking statements. We undertake no obligation to publicly update any forward-looking statement, except as required under applicable law. Forward-looking statements should be evaluated together with the many risks and uncertainties that affect our business, particularly those mentioned under the “Risk Factors” heading of our Annual Report on Form 10-K for the year ended December 31, 2025, which was filed with the SEC on February 26,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10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b/>
                <w:color w:val="FFFFFF"/>
                <w:sz w:val="64"/>
              </w:rPr>
            </w:pPr>
            <w:bookmarkStart w:id="3" w:name="proposal1"/>
            <w:bookmarkEnd w:id="3"/>
            <w:r>
              <w:rPr>
                <w:rFonts w:ascii="Times New Roman" w:hAnsi="Times New Roman"/>
                <w:b/>
                <w:color w:val="FFFFFF"/>
                <w:sz w:val="64"/>
              </w:rPr>
              <w:t>Proposal 1</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8"/>
        </w:rPr>
      </w:pPr>
      <w:r>
        <w:rPr>
          <w:rFonts w:ascii="Times New Roman" w:hAnsi="Times New Roman"/>
          <w:b/>
          <w:color w:val="000000"/>
          <w:sz w:val="28"/>
        </w:rPr>
        <w:t>ELECTION OF DIRECTORS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Our Board currently consists of nine directors. There are nine nominees for director this year, all of whom were nominated by our Board, consisting of our incumbent directors. Each director to be elected will hold office until the next annual meeting of stockholders and until his or her successor is elected, or until the director’s earlier death, resignation or removal. All nominees listed below are currently our directors and were previously elected by our stockholders at the 2025 Annual Meeting of Stockholders. It is our policy that directors are invited and expected to attend annual meetings. All of our directors attended the 2025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elected by a plurality of the votes cast at the Annual Meeting or by proxy.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may be voted for the election of a substitute nominee proposed by our Nominating and Corporate Governance Committee. Each person nominated for election has agreed to serve if elected. Our management has no reason to believe that any nominee will be unable to serve.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we have an accomplished slate of nominees, with diversity of thought, experience, perspective and skills beneficial to the Company. All nominees except Messrs. Castagna and Binder are independent. The average tenure of our directors is approximately 10.4 years, which includes three directors with more than a dozen years of history with the Company and four directors who joined the Board after 2019. We believe that a mix of service lengths is beneficial to the overall functioning of the Board.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NOMINEES FOR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brief biography of each nominee for director and a discussion of the specific experience, qualifications, attributes or skills of each nominee that led our Board of Directors to conclude that each nominee should serve as a member of the Board.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91"/>
        <w:gridCol w:w="109"/>
        <w:gridCol w:w="5083"/>
        <w:gridCol w:w="182"/>
        <w:gridCol w:w="2640"/>
      </w:tblGrid>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JAMES S. SHANNON, M.D., MRCP (UK)</w:t>
            </w:r>
          </w:p>
        </w:tc>
        <w:tc>
          <w:tcPr>
            <w:tcW w:w="109"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83"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Chair of the Board of Directors Member, Compensation Committee</w:t>
            </w:r>
          </w:p>
        </w:tc>
        <w:tc>
          <w:tcPr>
            <w:tcW w:w="182"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69 Director since: 2015</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Dr. Shannon’s business experience and his extensive experience in drug development, combined with his business acumen and judgment provide our Board with valuable scientific and operational expertise and leadership and qualify him to serve on our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S. Shannon, M.D. rejoined our board in May 2015 after previously serving as a director from February 2010 until April 2012. Dr. Shannon was appointed Chairman of the Board of Directors in December 2020. From May 2012 until his retirement in April 2015, Dr. Shannon was the Chief Medical Officer of GSK plc. He formerly held the position of Global Head of Pharma Development at Novartis AG, based in Basel, Switzerland (2005-2008). After joining Sandoz in 1994 as Head of Drug Regulatory Affairs, Dr. Shannon led the Integration Office for R&amp;D overseeing the creation of the Novartis R&amp;D group from those of Ciba-Geigy Ltd. and Sandoz. Following the merger, he was appointed Head of the Cardiovascular Strategic Team and subsequently became Global Head of Project and Portfolio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(January 2009-April 2010). Dr. Shannon has served on the boards of Immodulon Therapeutics Limited (July 2015-December 2021) and Horizon Therapeutics (August 2017-October 2023). He is currently Chairman of the Board of Kyowa Kirin (NA), Inc. since July 2019 and has served on boards of ProQR Therapeutics NV since June 2016 and Leyden Labs since September 2020.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E. CASTAGNA, PHARM.D.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 Chief Executive Officer</w:t>
            </w:r>
          </w:p>
        </w:tc>
        <w:tc>
          <w:tcPr>
            <w:tcW w:w="1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49 Director since: 2017</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Dr. Castagna’s knowledge and extensive experience with commercial pharmaceutical companies, combined with his business acumen and judgment, provide our Board with valuable operational expertise and leadership and qualify him to serve on our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 Pharm.D. has been our Chief Executive Officer since May 2017 and was previously our Chief Commercial Officer (March 2016-May 2017). From November 2012 until he joined us, Dr. Castagna was at Amgen, Inc., where he initially served as Vice President, Global Lifecycle Management, and subsequently Vice President, Global Commercial Lead for Amgen’s Biosimilar Business Unit. Dr. Castagna was Executive Director, Immunology (2010-2012), at Bristol-Myers Squibb Company (‘‘BMS’’), an innovative global biopharmaceutical company. Before BMS, Dr. Castagna served as Vice President and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3"/>
        <w:gridCol w:w="146"/>
        <w:gridCol w:w="4662"/>
        <w:gridCol w:w="204"/>
        <w:gridCol w:w="1960"/>
      </w:tblGrid>
      <w:tr>
        <w:trPr/>
        <w:tc>
          <w:tcPr>
            <w:tcW w:w="3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3233"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STEVEN B. BINDER</w:t>
            </w:r>
          </w:p>
        </w:tc>
        <w:tc>
          <w:tcPr>
            <w:tcW w:w="146"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pPr>
            <w:r>
              <w:rPr/>
              <w:t> </w:t>
            </w:r>
          </w:p>
        </w:tc>
        <w:tc>
          <w:tcPr>
            <w:tcW w:w="4662"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Director</w:t>
            </w:r>
            <w:r>
              <w:rPr>
                <w:rFonts w:ascii="Times New Roman" w:hAnsi="Times New Roman"/>
                <w:color w:val="000000"/>
                <w:sz w:val="20"/>
              </w:rPr>
              <w:t xml:space="preserve"> </w:t>
            </w:r>
          </w:p>
        </w:tc>
        <w:tc>
          <w:tcPr>
            <w:tcW w:w="204"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pPr>
            <w:r>
              <w:rPr/>
              <w:t> </w:t>
            </w:r>
          </w:p>
        </w:tc>
        <w:tc>
          <w:tcPr>
            <w:tcW w:w="19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63 Director since: 2024</w:t>
            </w:r>
          </w:p>
        </w:tc>
      </w:tr>
      <w:tr>
        <w:trPr/>
        <w:tc>
          <w:tcPr>
            <w:tcW w:w="32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Mr. Binder’s knowledge and understanding of accounting and finance, his experience as a former executive officer at MannKind and Stryker Corporation, and senior leadership roles at BMS, combined with his business acumen and judgment provide our Board with valuable accounting, financial and operational expertise and leadership and qualify him to serve on our Board of Directors.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6" w:type="dxa"/>
            <w:gridSpan w:val="3"/>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Steven B. Binder joined the board in October 2024 and was our Chief Financial Officer from July 2017 to April 2024. Before joining us, Mr. Binder served as Vice President and Chief Financial Officer of the International Group of Stryker Corporation, a leading global medical technology company, based in Singapore (2013-2017).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pStyle w:val="TableContents"/>
              <w:bidi w:val="0"/>
              <w:spacing w:before="0" w:after="283"/>
              <w:jc w:val="left"/>
              <w:rPr/>
            </w:pPr>
            <w:r>
              <w:rPr/>
              <w:t> </w:t>
            </w:r>
          </w:p>
        </w:tc>
      </w:tr>
      <w:tr>
        <w:trPr/>
        <w:tc>
          <w:tcPr>
            <w:tcW w:w="32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RONALD J. CONSIGLIO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 Chair, Audit Committee Member, Nominating and Corporate Governance Committee</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82 Director since: 2003</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Mr. Consiglio’s knowledge and understanding of accounting and finance, his experience as a board member and executive officer at financial services firms, combined with his business acumen and judgment provide our Board with valuable accounting, financial and operational expertise and leadership and qualify him to serve on our Board of Directors. Mr. Consiglio meets the requirements of an SEC designated Audit Committee Financial Expert.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Ronald J. Consiglio has been one of our directors since October 2003. Since 1999, Mr. Consiglio has been the Managing Director of Synergy Trading, a securities-trading partnership. Mr. Consiglio was Executive Vice President and Chief Financial Officer of Trading Edge, Inc., a national automated bond-trading firm (1999-2001). Mr. Consiglio served as Chief Executive Officer of Angeles Mortgage Investment Trust, a publicly traded Real Estate Investment Trust (1993-1998). His prior experience includes serving as Senior Vice President and Chief Financial Officer of Cantor Fitzgerald &amp; Co. and as a member of its board of directors. Mr. Consiglio served as a member of the board of trustees for the Metropolitan West Funds since 2003. Mr. Consiglio served as a certified public accountant for over 17 years and was a partner in the international accounting firm of Deloitte, Haskins &amp; Sells. He holds a bachelor’s degree in accounting from California State University at Northridge. </w:t>
            </w:r>
          </w:p>
          <w:p>
            <w:pPr>
              <w:pStyle w:val="TableContents"/>
              <w:bidi w:val="0"/>
              <w:spacing w:before="0" w:after="283"/>
              <w:jc w:val="left"/>
              <w:rPr/>
            </w:pPr>
            <w:r>
              <w:rPr/>
              <w:t> </w:t>
            </w:r>
          </w:p>
        </w:tc>
      </w:tr>
      <w:tr>
        <w:trPr/>
        <w:tc>
          <w:tcPr>
            <w:tcW w:w="32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A. FRIEDMAN,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2"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Director Member, Nominating and Corporate Governance</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Times New Roman" w:hAnsi="Times New Roman"/>
                <w:b/>
                <w:color w:val="000000"/>
                <w:sz w:val="20"/>
              </w:rPr>
              <w:t>Committee</w:t>
            </w:r>
            <w:r>
              <w:rPr>
                <w:rFonts w:ascii="Times New Roman" w:hAnsi="Times New Roman"/>
                <w:color w:val="000000"/>
                <w:sz w:val="20"/>
              </w:rPr>
              <w:t xml:space="preserve"> </w:t>
            </w:r>
          </w:p>
        </w:tc>
        <w:tc>
          <w:tcPr>
            <w:tcW w:w="2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82 Director since: 2003</w:t>
            </w:r>
          </w:p>
        </w:tc>
      </w:tr>
      <w:tr>
        <w:trPr/>
        <w:tc>
          <w:tcPr>
            <w:tcW w:w="3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The Board believes Dr. Friedman’s business experience, including his experience as an executive officer at biopharmaceutical companies and a leading clinical and research center specializing in cancer and diabetes, and his service at the Food and Drug Administration, combined with his business acumen and judgment provide our Board with valuable scientific and operational expertise and leadership and</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Michael A. Friedman, M.D. has been one of our directors since December 2003. In 2014, Dr. Friedman completed a decade of service as the President and Chief Executive Officer of the City of Hope National Medical Center. Previously, Dr. Friedman held the position of Senior Vice President of Research and Development, Medical and Public Policy, for Pharmacia Corporation (September 2001-April 2003) and was a Senior Vice President of Searle , a subsidiary of Monsanto Company (July 1999-September 2001). Dr. Friedman served as Deputy Commissioner for Operations for the Food and Drug Administration (1995-1999), and was Acting Commissioner and Lead Deputy Commissioner (1997-1998). He served on the board of Celgene Corporation (2011-2019) and on the board of Smith &amp; Nephew plc (2013-2019). Dr. Friedman received a Bachelor of Arts degree, magna cum laude, from Tulane University, New Orleans, Louisiana, and a doctorate in medicine from the University of Texas, Southwestern Medical School.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3"/>
        <w:gridCol w:w="146"/>
        <w:gridCol w:w="4561"/>
        <w:gridCol w:w="165"/>
        <w:gridCol w:w="2280"/>
      </w:tblGrid>
      <w:tr>
        <w:trPr/>
        <w:tc>
          <w:tcPr>
            <w:tcW w:w="3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3053"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qualify him to serve on our Board of Directors.</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0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JENNIFER GRANCIO</w:t>
            </w:r>
          </w:p>
        </w:tc>
        <w:tc>
          <w:tcPr>
            <w:tcW w:w="146"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top w:val="single" w:sz="2" w:space="0" w:color="000000"/>
              <w:bottom w:val="single" w:sz="2" w:space="0" w:color="000000"/>
            </w:tcBorders>
            <w:shd w:fill="FFFFFF" w:val="clear"/>
            <w:tcMar>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Director Chair, Nominating and Corporate Governance Committee</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Member, Audit Committee</w:t>
            </w:r>
          </w:p>
        </w:tc>
        <w:tc>
          <w:tcPr>
            <w:tcW w:w="165"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54 Director since: 2020</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Ms. Grancio’s business acumen and judgment including her service on other public company boards, provide our Board with valuable operational expertise and leadership and qualify her to serve on our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Jennifer Grancio has been one of our directors since March 2020. Since October 2023, Ms. Grancio has been the Global Head of Distribution at the TCW Group. Ms. Grancio served as the Chief Executive Officer of Engine No. 1, an impact investment firm (2020-2023), and consulted through Grancio Capital (2018-2020), where she worked with CEOs to accelerate high-growth company success. Ms. Grancio served as a founder and executive with BlackRock’s iShares business (1999-2018), where she spearheaded the distribution of iShares in the United States and Europe. She also acted in other Executive roles around global distribution. Prior to BlackRock, she was a senior associate with PricewaterhouseCoopers, a management consulting firm. Ms. Grancio serves as a board member for Ethic Inc., a technology and investing firm. Ms. Grancio earned a bachelor’s degree in economics and international relations from Stanford University, and an MBA degree in strategy and finance from Columbia Business School. </w:t>
            </w:r>
          </w:p>
        </w:tc>
      </w:tr>
      <w:tr>
        <w:trPr/>
        <w:tc>
          <w:tcPr>
            <w:tcW w:w="30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ANTHONY HOOPER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Director Chair, Compensation Committee</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Member, Audit Committee</w:t>
            </w:r>
          </w:p>
        </w:tc>
        <w:tc>
          <w:tcPr>
            <w:tcW w:w="1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71 Director since: 2020</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Mr. Hooper’s business experience, his extensive experience in drug commercialization and his service on other public company boards, combined with his business acumen and judgment, provide our Board with valuable operational expertise and leadership and qualify him to serve on our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Anthony Hooper has been one of our directors since January 2020. He is also a director of BeOne Medicines, Ltd. Mr. Hooper served as executive vice president of Global Commercial Operations for Amgen Inc. (2011-2018). Prior to joining Amgen, Mr. Hooper spent more than 15 years at BMS.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 </w:t>
            </w:r>
          </w:p>
          <w:p>
            <w:pPr>
              <w:pStyle w:val="TableContents"/>
              <w:bidi w:val="0"/>
              <w:spacing w:before="0" w:after="283"/>
              <w:jc w:val="left"/>
              <w:rPr/>
            </w:pPr>
            <w:r>
              <w:rPr/>
              <w:t> </w:t>
            </w:r>
          </w:p>
        </w:tc>
      </w:tr>
      <w:tr>
        <w:trPr/>
        <w:tc>
          <w:tcPr>
            <w:tcW w:w="30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SABRINA KAY, ED.D.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 Member, Audit Committee and Compensation Committee</w:t>
            </w:r>
          </w:p>
        </w:tc>
        <w:tc>
          <w:tcPr>
            <w:tcW w:w="1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63 Director since: 2020</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Dr. Kay’s business acumen and judgment provide our Board with valuable operational expertise and leadership and qualify her to serve on our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Sabrina Kay, Ed.D. has been a member of our Board of Directors since December 2020. Currently, Dr. Kay serves as the CEO of Fremont Private 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 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and After-School All-Stars Los Angeles, which she chairs. Dr. Kay received Ed.D. and M.Sc. degrees in education from the University of Pennsylvania. She also holds an MBA from the University of Southern California. </w:t>
            </w:r>
          </w:p>
        </w:tc>
      </w:tr>
      <w:tr>
        <w:trPr/>
        <w:tc>
          <w:tcPr>
            <w:tcW w:w="30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3"/>
        <w:gridCol w:w="109"/>
        <w:gridCol w:w="5065"/>
        <w:gridCol w:w="158"/>
        <w:gridCol w:w="2120"/>
      </w:tblGrid>
      <w:tr>
        <w:trPr/>
        <w:tc>
          <w:tcPr>
            <w:tcW w:w="2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2753"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CHRISTINE MUNDKUR</w:t>
            </w:r>
          </w:p>
        </w:tc>
        <w:tc>
          <w:tcPr>
            <w:tcW w:w="109"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65"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 Member, Audit Committee and Nominating and Corporate Governance Committee</w:t>
            </w:r>
          </w:p>
        </w:tc>
        <w:tc>
          <w:tcPr>
            <w:tcW w:w="158"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 57 Director since: 2018</w:t>
            </w:r>
          </w:p>
        </w:tc>
      </w:tr>
      <w:tr>
        <w:trPr/>
        <w:tc>
          <w:tcPr>
            <w:tcW w:w="2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The Board believes that Ms. Mundkur’s business experience, including her experience as chair of the board and chief executive officer at a pharmaceutical company developing inhaled drugs, combined with her business acumen and judgment provide our Board with valuable operational expertise and leadership and qualify her to serve on our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Christine Mundkur has been one of our directors since November 2018. Ms. Mundkur most recently served as Chief Executive Officer and non-voting Chairman of the Board of Directors for Impopharma Inc., a developer of complex formulations focused on inhaled pharmaceutical products (2013-2017). While at Impopharma, Ms. Mundkur led the transition of the company from a successful clinical research organization into a generic pharmaceutical inhalation development company. Her work included the internal development and filing of Abbreviated New Drug Applications for spray and inhalation products. Ms. Mundkur also previously served as President and Chief Executive Officer of the U.S. Division and Head of Commercial Operations for North America for Sandoz, Inc. (January 2009-April 2010). She served as Chief Executive Officer of Barr Laboratories, Inc. (April 2008-December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(2019-2022). Ms. Mundkur holds a J.D. from the St. Louis University School of Law and received her B.S. degree in chemistry from St. Louis University. </w:t>
            </w:r>
          </w:p>
        </w:tc>
      </w:tr>
    </w:tbl>
    <w:p>
      <w:pPr>
        <w:pStyle w:val="TextBody"/>
        <w:bidi w:val="0"/>
        <w:spacing w:before="0" w:after="100"/>
        <w:jc w:val="left"/>
        <w:rPr/>
      </w:pPr>
      <w:r>
        <w:rPr/>
        <w:t> </w:t>
      </w:r>
    </w:p>
    <w:p>
      <w:pPr>
        <w:pStyle w:val="TextBody"/>
        <w:bidi w:val="0"/>
        <w:spacing w:before="310" w:after="283"/>
        <w:jc w:val="center"/>
        <w:rPr>
          <w:rFonts w:ascii="Times New Roman" w:hAnsi="Times New Roman"/>
          <w:b/>
          <w:color w:val="000000"/>
          <w:sz w:val="20"/>
        </w:rPr>
      </w:pPr>
      <w:r>
        <w:rPr>
          <w:rFonts w:ascii="Times New Roman" w:hAnsi="Times New Roman"/>
          <w:b/>
          <w:color w:val="000000"/>
          <w:sz w:val="20"/>
        </w:rPr>
        <w:t>THE BOARD OF DIRECTORS UNANIMOUSLY RECOMMENDS</w:t>
      </w:r>
    </w:p>
    <w:p>
      <w:pPr>
        <w:pStyle w:val="TextBody"/>
        <w:bidi w:val="0"/>
        <w:spacing w:before="60" w:after="100"/>
        <w:jc w:val="center"/>
        <w:rPr>
          <w:rFonts w:ascii="Times New Roman" w:hAnsi="Times New Roman"/>
          <w:b/>
          <w:color w:val="000000"/>
          <w:sz w:val="20"/>
        </w:rPr>
      </w:pPr>
      <w:r>
        <w:rPr>
          <w:rFonts w:ascii="Times New Roman" w:hAnsi="Times New Roman"/>
          <w:b/>
          <w:color w:val="000000"/>
          <w:sz w:val="20"/>
        </w:rPr>
        <w:t>A VOTE “FOR” THE ELECTION OF ALL DIRECTOR NOMINEES NAMED ABOVE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left"/>
        <w:rPr>
          <w:rFonts w:ascii="Times New Roman" w:hAnsi="Times New Roman"/>
          <w:sz w:val="20"/>
        </w:rPr>
      </w:pPr>
      <w:bookmarkStart w:id="4" w:name="corporate_governance_principles"/>
      <w:bookmarkEnd w:id="4"/>
      <w:r>
        <w:rPr>
          <w:rFonts w:ascii="Times New Roman" w:hAnsi="Times New Roman"/>
          <w:b/>
          <w:color w:val="000000"/>
          <w:sz w:val="20"/>
        </w:rPr>
        <w:t>CORPORATE GOVERNANCE PRINCIPLES AND</w:t>
      </w:r>
      <w:r>
        <w:rPr>
          <w:rFonts w:ascii="Times New Roman" w:hAnsi="Times New Roman"/>
          <w:color w:val="000000"/>
          <w:sz w:val="20"/>
        </w:rPr>
        <w:t xml:space="preserve"> </w:t>
      </w:r>
      <w:r>
        <w:rPr>
          <w:rFonts w:ascii="Times New Roman" w:hAnsi="Times New Roman"/>
          <w:b/>
          <w:color w:val="000000"/>
          <w:sz w:val="20"/>
        </w:rPr>
        <w:t>BOARD AND COMMITTEE MATTERS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Independence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under the Nasdaq Stock Market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all relevant securities and other laws and regulations regarding the definition of “independent,” including those set forth in pertinent listing standards of Nasdaq, as in effect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Consistent with these considerations, after review of all relevant transactions or relationships between each director or any of his or her family members and the Company, its senior management and its independent auditors, the Board affirmatively has determined that all of the Company’s directors, other than Messrs. Castagna and Binder, are independent within the meaning of the applicable Nasdaq listing standards. Dr. Castagna was determined not to be independent under applicable Nasdaq listing standards due to his position as an executive officer of our company. Mr. Binder was similarly determined not to be independent under applicable Nasdaq listing standards due to his former position as an executive officer of the Company. In making this determination, the Board found that none of the other directors has a disqualifying relationship with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the Board of Directors and its Committees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committed to maintaining the highest standards of business conduct and ethics. Our Board has adopted a Code of Business Conduct and Ethics and adheres to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charters for various Board committees set forth the practices the Board will follow with respect to board composition and selection, board meetings and involvement of senior management, Chief Executive Officer performance evaluation and succession planning, and board committees and compensation. Our Board adopted these measures to, among other things, reflect changes to the Nasdaq listing standards and SEC rules adopted to implement provisions of the Sarbanes-Oxley Act of 2002, as amended. Our Code of Business Conduct and Ethics, as well as the charters for each committee of the Board, may be viewed on our website at </w:t>
      </w:r>
      <w:r>
        <w:rPr>
          <w:rFonts w:ascii="Times New Roman" w:hAnsi="Times New Roman"/>
          <w:i/>
          <w:color w:val="000000"/>
          <w:sz w:val="20"/>
        </w:rPr>
        <w:t>mannkindcorp.com/corporate-governance/.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is chaired by Dr. Shannon. As a general policy, our Board of Directors believes that separation of the positions of Chair and Chief Executive Officer reinforces the independence of the Board from management, creates an environment that encourages objective oversight of management’s performance and enhances the effectiveness of the Board as a whole. As such, Dr. Castagna serves as our Chief Executive Officer while Dr. Shannon serves as our Chair of the Board but is not an officer. We expect and intend the positions of Chair of the Board and Chief Executive Officer to continue to be held by separate individuals in the future. If in the future we conclude there is a compelling reason for the positions of Chair of the Board and Chief Executive Officer to be occupied by the same individual, we would expect to appoint one of our other directors to the position of lead independent director to help reinforce the independence of the Board from management.</w:t>
      </w:r>
    </w:p>
    <w:p>
      <w:pPr>
        <w:pStyle w:val="TextBody"/>
        <w:bidi w:val="0"/>
        <w:spacing w:before="360" w:after="100"/>
        <w:jc w:val="left"/>
        <w:rPr>
          <w:rFonts w:ascii="Times New Roman" w:hAnsi="Times New Roman"/>
          <w:b/>
          <w:color w:val="000000"/>
          <w:sz w:val="20"/>
        </w:rPr>
      </w:pPr>
      <w:r>
        <w:rPr>
          <w:rFonts w:ascii="Times New Roman" w:hAnsi="Times New Roman"/>
          <w:b/>
          <w:color w:val="000000"/>
          <w:sz w:val="20"/>
        </w:rPr>
        <w:t>Role of the Board in Risk Oversight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the Company’s risk management process. The Board does not have a standing risk management committee, but rather administers this oversight function directly through the Board as a whole, as well as through various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review our enterprise risk management process, to consider and discuss our major financial risk exposures and the steps our management has taken to monitor and control these exposures, including an annual review of specific risks and mitigating plans identified by management and guidelines and policies to govern the process by which risk assessment and management is undertaken. The Audit Committee is also responsible for overseeing our cybersecurity risk management processes, including oversight of mitigation of risks from cybersecurity threats. Our Compensation Committee reviews and approves individual and corporate performance goals, advises the Board regarding the adoption, modification, or termination of compensation plans and policies and assesses and monitors whether any of our compensation policies and programs has the potential to encourage excessive risk-taking.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Board has three standing committees: an Audit Committee, a Compensation Committee, and a Nominating and Corporate Governance Committee. All three committees operate under written charters adopted by our Board, all of which are available on our website at </w:t>
      </w:r>
      <w:r>
        <w:rPr>
          <w:rFonts w:ascii="Times New Roman" w:hAnsi="Times New Roman"/>
          <w:i/>
          <w:color w:val="000000"/>
          <w:sz w:val="20"/>
        </w:rPr>
        <w:t>mannkindcorp.com/corporate-governance/.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 Below is a description of each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consists of Mr. Consiglio (Chair), Ms. Grancio, Mr. Hooper, Dr. Kay and Ms. Mundkur, each of whom is an independent member of our Board (as determined by our Board based on its annual review of the independence requirement of Audit Committee members provided in Rule 5605(c)(2)(A)(i) and (ii) of the Nasdaq listing standards). Our Audit Committee was established by the Board in accordance with Section 3(a)(58)(A) of the Exchange Act, to oversee the Company’s corporate accounting and financial reporting processes and audits of its financial statements. The functions of this committee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independent registered public accounting firm’s qualifications, independence and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engagement of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the retention of the independent registered public accounting firm to perform any proposed permissible non-audit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rotation of partners of the independent registered public accounting firm on our engagement team as required by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critical accounting policies and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with management and the independent registered public accounting firm the results of the annual audit and the review of our quarterly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discussing with management and, as appropriate, our independent registered public accounting firm, our guidelines and policies with respect to risk identification, risk assessment and risk management, including cybersecurity risks and our major enterprise risk exposures and the steps taken by management to monitor and control these risks and exposures;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results of management’s efforts to monitor compliance with our programs and policies designed to ensure adherence to applicable laws and rules as well as to our Code of Business Conduct and Ethics, including review and approval of every transaction with a related person that must be disclosed pursuant to the applicable SEC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evaluating, on a quarterly basis, the investment portfolio for adherence to our Investment Policy and associated financial returns;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at least annually, the performance of the Audit Committee and its members, including compliance of the Audit Committee with its charter.</w:t>
      </w:r>
    </w:p>
    <w:p>
      <w:pPr>
        <w:pStyle w:val="TextBody"/>
        <w:bidi w:val="0"/>
        <w:spacing w:before="120" w:after="100"/>
        <w:jc w:val="left"/>
        <w:rPr>
          <w:rFonts w:ascii="Times New Roman" w:hAnsi="Times New Roman"/>
          <w:sz w:val="20"/>
        </w:rPr>
      </w:pPr>
      <w:r>
        <w:rPr>
          <w:rFonts w:ascii="Times New Roman" w:hAnsi="Times New Roman"/>
          <w:color w:val="000000"/>
          <w:sz w:val="20"/>
        </w:rPr>
        <w:t xml:space="preserve">The Board has determined that Mr. Consiglio qualifies as an “audit committee financial expert,” as that term is defined in applicable SEC rules. In making such determinations, the Board made a qualitative assessment of Mr. Consiglio’s level of knowledge and experience based on a number of factors, including his formal education and experience. Both our independent registered public accounting firm and internal financial personnel regularly meet privately with our Audit Committee and have unrestricted access to this committee. Our Audit Committee charter can be found on our corporate website at </w:t>
      </w:r>
      <w:r>
        <w:rPr>
          <w:rFonts w:ascii="Times New Roman" w:hAnsi="Times New Roman"/>
          <w:i/>
          <w:color w:val="000000"/>
          <w:sz w:val="20"/>
        </w:rPr>
        <w:t xml:space="preserve">mannkindcorp.com/corporate-governance/. </w:t>
      </w:r>
      <w:r>
        <w:rPr>
          <w:rFonts w:ascii="Times New Roman" w:hAnsi="Times New Roman"/>
          <w:color w:val="000000"/>
          <w:sz w:val="20"/>
        </w:rPr>
        <w:t xml:space="preserve">The Audit Committee met six times during 2025. The report of the Audit Committee is included herein on page 24. </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Compensation Committee consists of Mr. Hooper (Chair), Dr. Kay and Dr. Shannon, each of whom is an independent member of our Board (as independence is currently defined in Rules 5605(a)(2) and 5605(d)(2) of the Nasdaq listing standards). The functions of this committee include, among others: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or approving (or with respect to our Chief Executive Officer, recommending to the full Board for approval) policy relating to compensation and benefits of our officers and employees, including reviewing and approving corporate goals and objectives relevant to compensation of our executive and other senior officers, evaluating the performance of these officers in light of those goals and objectives, and recommending or approving (or with respect to our Chief Executive Officer, recommending to the full Board for approval) compensation of these officers based on such evaluations;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benefit plans and the issuance of stock options and other awards under our stock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the type and amount of compensation to be paid or awarded to non-employee members of our Board of Directors, including consulting, retainer, meeting, committee and committee chair fees and restricted stock unit awards;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planning for succession with respect to the position of Chief Executive Officer and other senior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with respect to our Chief Executive Officer, recommending to the full Board for approval) the terms of any employment agreements, severance arrangements, change-of-control protections and any other compensatory arrangements for our executive officers;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at least annually, the performance of the Compensation Committee and its members, including compliance of the Compensation Committee with its charter.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 members of the Compensation Committee has ever been one of our officers or employees. During 2025, none of our executive officers served as a member of the Board of Directors or compensation committee of any other entity that had one or more executive officers who served on our Board of Directors or Compensation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Typically, the Compensation Committee meets at least quarterly and with greater frequency if necessary. The Compensation Committee met six times during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processes and procedures of the Compensation Committee with respect to executive compensation are described in greater detail in the “Compensation Discussion and Analysis” section of this proxy statement. Our Compensation Committee charter can be found on our corporate website at </w:t>
      </w:r>
      <w:r>
        <w:rPr>
          <w:rFonts w:ascii="Times New Roman" w:hAnsi="Times New Roman"/>
          <w:i/>
          <w:color w:val="000000"/>
          <w:sz w:val="20"/>
        </w:rPr>
        <w:t xml:space="preserve">mannkindcorp.com/corporate-governance/. </w:t>
      </w:r>
      <w:r>
        <w:rPr>
          <w:rFonts w:ascii="Times New Roman" w:hAnsi="Times New Roman"/>
          <w:color w:val="000000"/>
          <w:sz w:val="20"/>
        </w:rPr>
        <w:t>The report of the Compensation Committee is included herein on page 51.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Our Nominating and Corporate Governance Committee consists of Ms. Grancio (Chair), Mr. Consiglio, Dr. Friedman and Ms. Mundkur, each of whom is an independent member of our Board (as independence is currently defined in Rule 5605(a)(2) of the Nasdaq listing standards). The functions of this committee include, among others:</w:t>
      </w:r>
    </w:p>
    <w:p>
      <w:pPr>
        <w:pStyle w:val="TextBody"/>
        <w:bidi w:val="0"/>
        <w:spacing w:before="20" w:after="283"/>
        <w:jc w:val="left"/>
        <w:rPr>
          <w:color w:val="000000"/>
        </w:rPr>
      </w:pPr>
      <w:r>
        <w:rPr>
          <w:color w:val="000000"/>
        </w:rPr>
        <w:t>•</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reviewing and recommending nominees for election as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composition of Board committees and making recommendations to the Board regarding directors qualified to serve on and chair such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maintaining a current list of the functional needs and qualifications of members of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performance of the Board and monitoring committee evaluations;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providing oversight with respect to, our strategy, initiatives and policies concerning corporate social responsibility, including environmental, social and governance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the members of the Compensation Committee, as requested, in determining the compensation for non-employee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at least annually, the performance of the Nominating and Corporate Governance Committee and its members, including compliance of the Nominating and Corporate Governance Committee with its charter.</w:t>
      </w:r>
    </w:p>
    <w:p>
      <w:pPr>
        <w:pStyle w:val="TextBody"/>
        <w:bidi w:val="0"/>
        <w:spacing w:before="120" w:after="100"/>
        <w:jc w:val="left"/>
        <w:rPr>
          <w:rFonts w:ascii="Times New Roman" w:hAnsi="Times New Roman"/>
          <w:sz w:val="20"/>
        </w:rPr>
      </w:pPr>
      <w:r>
        <w:rPr>
          <w:rFonts w:ascii="Times New Roman" w:hAnsi="Times New Roman"/>
          <w:color w:val="000000"/>
          <w:sz w:val="20"/>
        </w:rPr>
        <w:t xml:space="preserve">Our Nominating and Corporate Governance Committee charter can be found on our corporate website at </w:t>
      </w:r>
      <w:r>
        <w:rPr>
          <w:rFonts w:ascii="Times New Roman" w:hAnsi="Times New Roman"/>
          <w:i/>
          <w:color w:val="000000"/>
          <w:sz w:val="20"/>
        </w:rPr>
        <w:t xml:space="preserve">mannkindcorp.com/corporate-governance/. </w:t>
      </w:r>
      <w:r>
        <w:rPr>
          <w:rFonts w:ascii="Times New Roman" w:hAnsi="Times New Roman"/>
          <w:color w:val="000000"/>
          <w:sz w:val="20"/>
        </w:rPr>
        <w:t>The Nominating and Corporate Governance Committee met four times during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Consideration of Director Nominees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Qualifications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believes that candidates for director should have certain minimum qualifications, including being able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discretion to modify these qualifications from time to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Evaluating Nominees for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reviews candidates for director nominees in the context of the current composition of the Board of Directors, the operating requirements of the Company and the long-term interests of the Company’s stockholders. In conducting this assessment, the Nominating and Corporate Governance Committee considers age, skills, and such other factors as it deems appropriate given the current needs of the Board and the Company, to maintain a balance of knowledge, experience and capability. In the case of incumbent directors,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would be independent, which determination is based upon applicable Nasdaq listing standards, applicable SEC rules and regulations and the advice of counsel, if necessary. The Nominating and Corporate Governance Committee does not have a formal policy with respect to diversity; however, the Board and the Nominating and Corporate Governance Committee believe that it is important that directors represent different educational backgrounds, professional experiences, viewpoints and skills. The Nominating and Corporate Governance Committee assesses these factors in connection with the annual nomination process as well as in new director searches.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one or more nominees for recommendation to the Board by majority vote. To date, the Nominating and Corporate Governance Committee has not paid a fee to any third party to assist in the process of identifying or evaluating director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Stockholder Nominations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a candidate was recommended by a stockholder or not. Stockholders who wish to recommend individuals for consideration by the Nominating and Corporate Governance Committee to become nominees for election to the Board must do so by delivering at least 120 days prior to the anniversary date of the mailing of MannKind’s proxy statement for its last annual meeting of stockholders a written recommendation to the Nominating and Corporate Governance Committee, c/o MannKind Corporation, 1 Casper Street, Danbury, Connecticut 06810, Attn: Corporate Secretary. Each submission must set forth: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name and address of the MannKind stockholder on whose behalf the submission is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MannKind shares that are owned beneficially by such stockholder as of the date of the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full name of the proposed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the proposed candidate’s business experience for at least the previous five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biographical information for the proposed candidate;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the proposed candidate’s qualifications as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submission must be accompanied by the written consent of the proposed candidate to be named as a nominee and to serve as a director if elected.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policy regarding stockholder recommendations of director nominees can be found on our corporate website at </w:t>
      </w:r>
      <w:r>
        <w:rPr>
          <w:rFonts w:ascii="Times New Roman" w:hAnsi="Times New Roman"/>
          <w:i/>
          <w:color w:val="000000"/>
          <w:sz w:val="20"/>
        </w:rPr>
        <w:t>mannkindcorp.com/corporate-governance/.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the Nominating and Corporate Governance Committee has not received a timely nomination of a candidate for election as a director at any annual meeting from a stockholder or group of stockholders holding more than 5% of our voting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Meetings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met 12 times during the last fiscal year. Each director attended 75% or more of the aggregate number of the meetings of the Board, and of the committees on which he or she served, held during the period for which he or she was a director or committee member.</w:t>
      </w:r>
    </w:p>
    <w:p>
      <w:pPr>
        <w:pStyle w:val="TextBody"/>
        <w:bidi w:val="0"/>
        <w:spacing w:before="380" w:after="283"/>
        <w:jc w:val="left"/>
        <w:rPr>
          <w:rFonts w:ascii="Times New Roman" w:hAnsi="Times New Roman"/>
          <w:b/>
          <w:color w:val="000000"/>
          <w:sz w:val="20"/>
        </w:rPr>
      </w:pPr>
      <w:r>
        <w:rPr>
          <w:rFonts w:ascii="Times New Roman" w:hAnsi="Times New Roman"/>
          <w:b/>
          <w:color w:val="000000"/>
          <w:sz w:val="20"/>
        </w:rPr>
        <w:t>Executive Sessions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under applicable Nasdaq listing standards, our independent directors meet in regularly scheduled executive sessions at which only independent directors are present.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 Communications with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Board has adopted a formal process by which stockholders may communicate with the Board or any of its directors. Stockholders who wish to communicate with the Board or an individual director may send a written communication to the Board or such director c/o MannKind Corporation, 1 Casper Street, Danbury, Connecticut 06810, Attn: Corporate Secretary. Communications also may be sent by e-mail to the following address: board@mannkindcorp.com. Each communication must set forth the name and address of the MannKind stockholder on whose behalf the communication is sent. Each communication will be screened by MannKind’s Corporate Secretary to determine whether it is appropriate for presentation to the Board or such director. Examples of inappropriate communications include junk mail, mass mailings, product complaints, product inquiries, new product suggestions, resumes, job inquiries, surveys, business solicitations and advertisements, as well as unduly hostile, threatening, illegal, unsuitable, frivolous, patently offensive or otherwise inappropriate material. Communications determined by the Corporate Secretary to be appropriate for presentation to the Board of Directors or such director will be submitted to the Board or such director on a periodic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screening procedures have been approved by a majority of the independent directors of the Board. All communications directed to the Audit Committee in accordance with the Company’s Code of Business Conduct and Ethics that relate to questionable accounting or auditing matters involving the Company will be promptly and directly forwarded to the Audit Committee.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process for security holder communications with the Board can be found on our corporate website at </w:t>
      </w:r>
      <w:r>
        <w:rPr>
          <w:rFonts w:ascii="Times New Roman" w:hAnsi="Times New Roman"/>
          <w:i/>
          <w:color w:val="000000"/>
          <w:sz w:val="20"/>
        </w:rPr>
        <w:t>mannkindcorp.com/corporate-governance/.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 Policy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Related-Person Transactions Policy that sets forth the policies and procedures regarding the identification, review, consideration and approval or ratification of “related-person transactions.” For purposes of the Company’s policy only, a “related-person transaction” is a transaction, arrangement or relationship (or any series of similar transactions, arrangements or relationships) in which the Company (including any of its subsidiaries) and any “related person” are, were or will be participants involving an amount that exceeds $120,000.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Transactions involving compensation for services provided to the Company as an employee, consultant or director are not covered by this policy. A related person is any executive officer, director, nominee for director or more than 5% beneficial stockholder of the Company, including any of their immediate family members, and any entity owned or controlled by such persons.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 in light of known circumstances, whether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is in, or is not inconsistent with, the best interests of the Company and its stockholders, as the Audit Committee determines in the good faith exercise of its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we had no related-person transactions.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 Anti-Corruption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Code of Business Conduct and Ethics that applies to our directors and employees (including our principal executive officer, principal financial officer, principal accounting officer and controller), and have posted the text of the code on our website at </w:t>
      </w:r>
      <w:r>
        <w:rPr>
          <w:rFonts w:ascii="Times New Roman" w:hAnsi="Times New Roman"/>
          <w:i/>
          <w:color w:val="000000"/>
          <w:sz w:val="20"/>
        </w:rPr>
        <w:t>mannkindcorp.com/corporate-governance/</w:t>
      </w:r>
      <w:r>
        <w:rPr>
          <w:rFonts w:ascii="Times New Roman" w:hAnsi="Times New Roman"/>
          <w:color w:val="000000"/>
          <w:sz w:val="20"/>
        </w:rPr>
        <w:t>.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also adopted an Anti-Corruption Policy and have posted the text of the policy on our website at </w:t>
      </w:r>
      <w:r>
        <w:rPr>
          <w:rFonts w:ascii="Times New Roman" w:hAnsi="Times New Roman"/>
          <w:i/>
          <w:color w:val="000000"/>
          <w:sz w:val="20"/>
        </w:rPr>
        <w:t>mannkindcorp.com/corporate-governance/</w:t>
      </w:r>
      <w:r>
        <w:rPr>
          <w:rFonts w:ascii="Times New Roman" w:hAnsi="Times New Roman"/>
          <w:color w:val="000000"/>
          <w:sz w:val="20"/>
        </w:rPr>
        <w:t xml:space="preserve">. This policy strictly prohibits our directors and employees from (i) promising, offering, providing, or authorizing cash payments (such as bribes or kickbacks) or anything else of value directly or indirectly to any person to achieve an improper purpose related to the Company’s business and (ii) requesting, agreeing to receive, or accepting money or anything else of value from any person to achieve an improper purpose related to the Company’s business.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Insider Trading Policy; Hedging Policy</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As part of our Insider Trading Policy, we prohibit speculation based on fluctuations in the market. As a result, the following transactions are prohibited, whether or not the director, employee, officer or consultant is in possession of inside information: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purchases or sales of any derivative security of the Company, including without limitation, puts and 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purchases of the Company’s stock on margin;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 sales of the Company’s stock (i.e., where a person borrows shares of the Company’s stock, sells them and then purchases stock at a later date to replace the borrowed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loaning shares of the Company’s stock through a brokerage or otherwise in order to facilitate the short sales of other persons;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writing, buying or selling options for the Company’s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pledging the Company’s stock as security or collateral for a loan or any other obligation;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not otherwise referenced above, any other hedging transaction involving the Company’s stock or any derivative security of the Company, or any other inherently speculative transaction involving the Company’s stock.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The prohibition on these transactions also applies to members of the households of directors, officers, employees and consultants of the Company or its subsidiaries.</w:t>
      </w:r>
    </w:p>
    <w:p>
      <w:pPr>
        <w:pStyle w:val="TextBody"/>
        <w:bidi w:val="0"/>
        <w:spacing w:before="260" w:after="12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jc w:val="left"/>
        <w:rPr>
          <w:rFonts w:ascii="Times New Roman" w:hAnsi="Times New Roman"/>
          <w:color w:val="000000"/>
          <w:sz w:val="20"/>
        </w:rPr>
      </w:pPr>
      <w:r>
        <w:rPr>
          <w:rFonts w:ascii="Times New Roman" w:hAnsi="Times New Roman"/>
          <w:color w:val="000000"/>
          <w:sz w:val="20"/>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Mr. Marasco filed a required Form 3 after the filing deadline due to a delay in receiving the necessary filing codes for the SEC’s EDGAR filing system. In addition, each of Dr. Castagna, Mr. Binder, Dr. Thomson and Dr. Tross submitted a Form 4 filing after the filing deadline in connection with the vesting on May 10, 2025 of two previously reported restricted stock unit awards, as well as the withholding by the Company of shares from each such award to satisfy required tax withholdings, that required detailed calculations of the Company’s total shareholder return relative to that of the Russell 3000 Pharmaceutical &amp; Biotechnology Index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the final share amount and associated tax liability for each such award could be determined. The Company believes that all other Section 16(a) filings were made on a timely basis.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center"/>
        <w:rPr>
          <w:rFonts w:ascii="Times New Roman" w:hAnsi="Times New Roman"/>
          <w:b/>
          <w:color w:val="000000"/>
          <w:sz w:val="20"/>
        </w:rPr>
      </w:pPr>
      <w:r>
        <w:rPr>
          <w:rFonts w:ascii="Times New Roman" w:hAnsi="Times New Roman"/>
          <w:b/>
          <w:color w:val="000000"/>
          <w:sz w:val="20"/>
        </w:rPr>
        <w:t>COMPENSATION OF DIRECTORS</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Pursuant to our non-employee director compensation program (the “director compensation program”), as amended in August 2024, each of our non-employee directors receives an annual retainer and fees for their service on our standing board committees as follows:</w:t>
      </w:r>
    </w:p>
    <w:p>
      <w:pPr>
        <w:pStyle w:val="TextBody"/>
        <w:bidi w:val="0"/>
        <w:spacing w:before="0" w:after="120"/>
        <w:jc w:val="left"/>
        <w:rPr/>
      </w:pPr>
      <w:r>
        <w:rPr/>
        <w:t> </w:t>
      </w:r>
    </w:p>
    <w:tbl>
      <w:tblPr>
        <w:tblW w:w="6552" w:type="dxa"/>
        <w:jc w:val="left"/>
        <w:tblInd w:w="0" w:type="dxa"/>
        <w:tblLayout w:type="fixed"/>
        <w:tblCellMar>
          <w:top w:w="28" w:type="dxa"/>
          <w:left w:w="28" w:type="dxa"/>
          <w:bottom w:w="28" w:type="dxa"/>
          <w:right w:w="28" w:type="dxa"/>
        </w:tblCellMar>
      </w:tblPr>
      <w:tblGrid>
        <w:gridCol w:w="4261"/>
        <w:gridCol w:w="146"/>
        <w:gridCol w:w="455"/>
        <w:gridCol w:w="1690"/>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Retainer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50,000</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Chair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50,000</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$25,000</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members: $10,000</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$20,000</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members: $7,500</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$10,000</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members: $5,000</w:t>
            </w:r>
          </w:p>
        </w:tc>
      </w:tr>
    </w:tbl>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the Board are also eligible for reimbursement for their expenses incurred in attending Board meetings in accordance with Company policy. Other than the annual fees described above, our non-employee directors do not receive meeting fees or other compensation for their attendance at specific Board or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director compensation program specifies that each non-employee director of the Company is also eligible to receive annual equity awards under our 2018 Equity Incentive Plan (the "EIP"). Specifically, on the date of each of our annual stockholder meetings, each of our non-employee directors receives a restricted stock unit ("RSU") award determined by dividing $250,000 by the then-current stock price used for valuing employee equity awards, which in no event is less than the last reported closing price of the Company’s common stock. Each such annual RSU award vests immediately, but shares are not distributed until the director separates from service to the Board (i.e. retires, is removed or 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non-employee director who joins the Board between annual stockholders meetings is entitled to a pro-rata compensation package.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Non-employee directors have an option to receive their annual $50,000 retainer in cash or common stock of the Company. If a non-employee director elects to receive his or her annual retainer in common stock, such director will be granted an RSU award consisting of that number of shares that equals 100% of the annual retainer, based on the 20-day trailing average closing price as of the trading day immediately preceding the date of the annual stockholder meeting. This award vests immediately, but shares are not distributed until the director separates from service to the Board (i.e. retires, is removed or dies). Non-employee directors who do not elect this option receive the full annual retainer in cash shortly after the date of the stockholder meeting.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concerning director compensation received for the fiscal year ended December 31, 2025 by our non-employee directors:</w:t>
      </w:r>
    </w:p>
    <w:p>
      <w:pPr>
        <w:pStyle w:val="TextBody"/>
        <w:bidi w:val="0"/>
        <w:spacing w:before="240" w:after="283"/>
        <w:jc w:val="left"/>
        <w:rPr/>
      </w:pPr>
      <w:r>
        <w:rPr/>
        <w:t> </w:t>
      </w:r>
    </w:p>
    <w:tbl>
      <w:tblPr>
        <w:tblW w:w="5551" w:type="dxa"/>
        <w:jc w:val="left"/>
        <w:tblInd w:w="0" w:type="dxa"/>
        <w:tblLayout w:type="fixed"/>
        <w:tblCellMar>
          <w:top w:w="28" w:type="dxa"/>
          <w:left w:w="28" w:type="dxa"/>
          <w:bottom w:w="28" w:type="dxa"/>
          <w:right w:w="28" w:type="dxa"/>
        </w:tblCellMar>
      </w:tblPr>
      <w:tblGrid>
        <w:gridCol w:w="1831"/>
        <w:gridCol w:w="189"/>
        <w:gridCol w:w="1011"/>
        <w:gridCol w:w="146"/>
        <w:gridCol w:w="174"/>
        <w:gridCol w:w="936"/>
        <w:gridCol w:w="146"/>
        <w:gridCol w:w="146"/>
        <w:gridCol w:w="78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Ronald J. Consiglio</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Friedman</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Grancio</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Hooper (3)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Kay (3)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Mundkur</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S. Shannon</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xml:space="preserve">There were no option grants to non-employee directors in 2025. As of December 31, 2025, the non-employee directors listed in the table above had option grants outstanding to purchase 608,651 shares of our common stock as follows: Mr. Binder, 493,025 shares; Mr. Consiglio, 32,161 shares; Dr. Friedman, 45,680 shares; and Dr. Shannon, 37,785 shares. Ms. Grancio, Mr. Hooper, Dr. Kay and Ms. Mundkur had no option grants outstanding as of December 31, 2025.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These amounts reflect the grant date fair value of all restricted stock unit awards to non-employee directors in 2025. Restricted stock units are valued based on the market price on the grant date. Reference Note 15 “Stock Award Plans” in the notes to our financial statements for the year ended December 31, 2025, included in Part IV of our Annual Report on Form 10-K for the fiscal year ended December 31, 2025 filed with the SEC on February 26, 2026, which identifies the assumptions made in the valuation of restricted stock unit awards. Restricted stock unit awards granted to non-employee directors in 2025 vested immediately, but the shares will not be delivered until there is a separation of service, such as through resignation or retirement from the Board or his or her death. As of December 31, 2025, the non-employee directors listed in the table above had no unvested restricted stock units outstanding and had vested restricted stock units to receive shares of our common stock as follows: Mr. Binder, 467,179 shares; Mr. Consiglio, 511,556 shares; Dr. Friedman, 427,901 shares; Ms. Grancio, 302,605 shares; Mr. Hooper, 393,151 shares; Dr. Kay, 257,039 shares; Ms. Mundkur, 395,309 shares; and Dr. Shannon, 523,404 shares.</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Annual $50,000 retainer paid in the form of an RSU award pursuant to such director's election and in accordance with our non-employee director compensation policy.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non-employee directors are subject to our stock ownership guidelines, which require each such individual to hold a specified number of shares of our common stock calculated by dividing three times the annual retainer by the current stock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non-employee director has five years to reach the applicable guideline, beginning January 1, 2020 or when the individual was first appointed or elected to the Board, whichever is later. Upon completion of the grace period, for anyone out of compliance with the guidelines, the Board may restrict their sale of shares or may choose to deliver the annual retainer in stock rather than cash until the guidelines are satisfied. As of December 31, 2025, all non-employee directors were in compliance with our stock ownership guidelines. </w:t>
      </w:r>
    </w:p>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b/>
                <w:color w:val="FFFFFF"/>
                <w:sz w:val="64"/>
              </w:rPr>
            </w:pPr>
            <w:bookmarkStart w:id="5" w:name="proposal2"/>
            <w:bookmarkEnd w:id="5"/>
            <w:r>
              <w:rPr>
                <w:rFonts w:ascii="Times New Roman" w:hAnsi="Times New Roman"/>
                <w:b/>
                <w:color w:val="FFFFFF"/>
                <w:sz w:val="64"/>
              </w:rPr>
              <w:t>Proposal 2</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spacing w:before="157" w:after="283"/>
        <w:jc w:val="left"/>
        <w:rPr/>
      </w:pPr>
      <w:r>
        <w:rPr/>
        <w:t> </w:t>
      </w:r>
    </w:p>
    <w:p>
      <w:pPr>
        <w:pStyle w:val="TextBody"/>
        <w:bidi w:val="0"/>
        <w:spacing w:before="160" w:after="283"/>
        <w:jc w:val="left"/>
        <w:rPr>
          <w:rFonts w:ascii="Times New Roman" w:hAnsi="Times New Roman"/>
          <w:b/>
          <w:color w:val="000000"/>
          <w:sz w:val="28"/>
        </w:rPr>
      </w:pPr>
      <w:r>
        <w:rPr>
          <w:rFonts w:ascii="Times New Roman" w:hAnsi="Times New Roman"/>
          <w:b/>
          <w:color w:val="000000"/>
          <w:sz w:val="28"/>
        </w:rPr>
        <w:t>ADVISORY VOTE ON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asking our stockholders to approve, on an advisory or non-binding basis, the compensation of the Company’s named executive officers as described in the “Compensation Discussion and Analysis” section of this proxy statement. This proposal is commonly referred to as a “say on pay” proposal. This vote is not intended to address any specific item of compensation, but rather the overall compensation of our named executive officers and the philosophy, policies and practices described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of our named executive officers is disclosed in the Compensation Discussion and Analysis, the compensation tables, and the related narrative disclosure contained in this proxy statement. As discussed in those disclosures, the Company believes that its compensation policies and decisions are appropriately designed to attract and retain the individuals needed to support the Company’s business strategy and to compete effectively with pharmaceutical and biotechnology companies while aligning with the long-term interests of the Company’s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pay practices are reasonable and in the best interests of our Company and our stockholders. Our compensation programs are guided by the following principles: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Emphasis on pay-for-performance.</w:t>
      </w:r>
      <w:r>
        <w:rPr>
          <w:color w:val="000000"/>
        </w:rPr>
        <w:t xml:space="preserve"> </w:t>
      </w:r>
      <w:r>
        <w:rPr>
          <w:rFonts w:ascii="Times New Roman" w:hAnsi="Times New Roman"/>
          <w:color w:val="000000"/>
          <w:sz w:val="20"/>
        </w:rPr>
        <w:t xml:space="preserve">We believe a significant portion of the compensation for our executive officers should be variable, at risk and tied directly to the Company’s measurable performance. Consistent with these principles, a material portion of the compensation of our executive officers is in the form of performance-based incentives that are earned upon the attainment of pre-established objectives. The annual cash incentive awards under our short-term incentive (“STI”) plan are intended to compensate our executive officers for achieving our annual financial and operational objectives, the attainment of which requires significant effort.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Equity as a key component of compensation to align with our stockholders’ interests.</w:t>
      </w:r>
      <w:r>
        <w:rPr>
          <w:color w:val="000000"/>
        </w:rPr>
        <w:t xml:space="preserve"> </w:t>
      </w:r>
      <w:r>
        <w:rPr>
          <w:rFonts w:ascii="Times New Roman" w:hAnsi="Times New Roman"/>
          <w:color w:val="000000"/>
          <w:sz w:val="20"/>
        </w:rPr>
        <w:t>The use of equity-based compensation for long-term incentives (“LTI”) aligns the interests of our executive officers with those of our stockholders by encouraging long-term performance and growth in stockholder value. Multi-year vesting schedules create incentives for our employees to sustain performance over the long term and encourage retention as the Company executes its business strategy.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Target compensation value at or close to the peer group median.</w:t>
      </w:r>
      <w:r>
        <w:rPr>
          <w:color w:val="000000"/>
        </w:rPr>
        <w:t xml:space="preserve"> </w:t>
      </w:r>
      <w:r>
        <w:rPr>
          <w:rFonts w:ascii="Times New Roman" w:hAnsi="Times New Roman"/>
          <w:color w:val="000000"/>
          <w:sz w:val="20"/>
        </w:rPr>
        <w:t>We target total compensation levels for executives at the median of our peer group on the basis that we believe this target to be an appropriate level of compensation to attract and retain qualified and capable executives. However, actual compensation may fall above or below this level under a range of circumstances, including Company performance.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No perquisites or tax gross-ups</w:t>
      </w:r>
      <w:r>
        <w:rPr>
          <w:rFonts w:ascii="Times New Roman" w:hAnsi="Times New Roman"/>
          <w:color w:val="000000"/>
          <w:sz w:val="20"/>
        </w:rPr>
        <w:t>. We have no structured perquisite benefits nor do we provide supplemental pensions to any of our named executive officers. In addition, we do not use tax gross-ups, guaranteed bonuses, “single-trigger” benefits payable upon a change in control without a corresponding separation from service, or similar pay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Executive stock ownership policy.</w:t>
      </w:r>
      <w:r>
        <w:rPr>
          <w:color w:val="000000"/>
        </w:rPr>
        <w:t xml:space="preserve"> </w:t>
      </w:r>
      <w:r>
        <w:rPr>
          <w:rFonts w:ascii="Times New Roman" w:hAnsi="Times New Roman"/>
          <w:color w:val="000000"/>
          <w:sz w:val="20"/>
        </w:rPr>
        <w:t>We have an executive stock ownership policy designed to align our executive officers’ long-term interests with those of our stockholders and to discourage excessive risk taking. The policy requires our CEO to achieve a stock ownership level of four times base salary, while the other executive officers must achieve stock ownership levels of two times base salary. Executive officers who have not achieved the ownership requirements within five years may be restricted from selling their shares or may receive salary or bonus payments in stock rather than cash until they are in compliance.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Executive compensation recovery policy (“clawback”).</w:t>
      </w:r>
      <w:r>
        <w:rPr>
          <w:color w:val="000000"/>
        </w:rPr>
        <w:t xml:space="preserve"> </w:t>
      </w:r>
      <w:r>
        <w:rPr>
          <w:rFonts w:ascii="Times New Roman" w:hAnsi="Times New Roman"/>
          <w:color w:val="000000"/>
          <w:sz w:val="20"/>
        </w:rPr>
        <w:t>Our incentive recoupment policy provides that any incentive compensation awarded to our executive officers that is granted, earned or vested based wholly or in part upon the attainment of a financial reporting measure may be recovered in the event of any material financial restatement. For the full text of our Dodd-Frank Act-compliant clawback policy, see Exhibit 97 in our Annual Report on Form 10-K for the year ended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 to Strong Governance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adopting and maintaining good corporate governance standards with respect to our compensation programs, procedures and practices. As such, our practices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Independent compensation committee.</w:t>
      </w:r>
      <w:r>
        <w:rPr>
          <w:color w:val="000000"/>
        </w:rPr>
        <w:t xml:space="preserve"> </w:t>
      </w:r>
      <w:r>
        <w:rPr>
          <w:rFonts w:ascii="Times New Roman" w:hAnsi="Times New Roman"/>
          <w:color w:val="000000"/>
          <w:sz w:val="20"/>
        </w:rPr>
        <w:t>Our Compensation Committee designs and oversees our executive compensation programs. The Compensation Committee is comprised entirely of independent directors.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Performance goals.</w:t>
      </w:r>
      <w:r>
        <w:rPr>
          <w:color w:val="000000"/>
        </w:rPr>
        <w:t xml:space="preserve"> </w:t>
      </w:r>
      <w:r>
        <w:rPr>
          <w:rFonts w:ascii="Times New Roman" w:hAnsi="Times New Roman"/>
          <w:color w:val="000000"/>
          <w:sz w:val="20"/>
        </w:rPr>
        <w:t>A material portion of executive compensation is in the form of performance-based annual cash and long-term equity incentives that are earned upon the attainment of pre-established financial or operational objectives. These objectives are tied directly to the Company’s measurable performance and designed to align the interests of our executives with those of our stockholders.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Authority to engage independent consultants.</w:t>
      </w:r>
      <w:r>
        <w:rPr>
          <w:color w:val="000000"/>
        </w:rPr>
        <w:t xml:space="preserve"> </w:t>
      </w:r>
      <w:r>
        <w:rPr>
          <w:rFonts w:ascii="Times New Roman" w:hAnsi="Times New Roman"/>
          <w:color w:val="000000"/>
          <w:sz w:val="20"/>
        </w:rPr>
        <w:t>Our Compensation Committee has the authority to engage its own independent compensation consultants, legal counsel or other advisers to assist in designing and assessing our executive compensation programs and pay practices. Our current independent compensation consultant is Mercer LLC.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Prohibition on speculative trading. </w:t>
      </w:r>
      <w:r>
        <w:rPr>
          <w:rFonts w:ascii="Times New Roman" w:hAnsi="Times New Roman"/>
          <w:color w:val="000000"/>
          <w:sz w:val="20"/>
        </w:rPr>
        <w:t>Board members, officers and employees are prohibited under the Company’s Insider Trading Policy from engaging in short-term or speculative transactions in our common stock or other securities.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Annual say-on-pay advisory vote.</w:t>
      </w:r>
      <w:r>
        <w:rPr>
          <w:color w:val="000000"/>
        </w:rPr>
        <w:t xml:space="preserve"> </w:t>
      </w:r>
      <w:r>
        <w:rPr>
          <w:rFonts w:ascii="Times New Roman" w:hAnsi="Times New Roman"/>
          <w:color w:val="000000"/>
          <w:sz w:val="20"/>
        </w:rPr>
        <w:t xml:space="preserve">Since 2011, we have held annual say-on-pay advisory votes in accordance with good governance practices and to maintain accountability to our stockholders. The results of our say-on-pay advisory votes, combined with input from investors have informed our compensation philosophy, which includes awards of long-term compensation to executive officers that will pay out, if at all, in proportion to the Company’s total stockholder return relative to a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 </w:t>
      </w:r>
    </w:p>
    <w:p>
      <w:pPr>
        <w:pStyle w:val="TextBody"/>
        <w:bidi w:val="0"/>
        <w:spacing w:before="360" w:after="283"/>
        <w:jc w:val="left"/>
        <w:rPr>
          <w:rFonts w:ascii="Times New Roman" w:hAnsi="Times New Roman"/>
          <w:b/>
          <w:caps/>
          <w:color w:val="000000"/>
          <w:sz w:val="22"/>
        </w:rPr>
      </w:pPr>
      <w:r>
        <w:rPr>
          <w:rFonts w:ascii="Times New Roman" w:hAnsi="Times New Roman"/>
          <w:b/>
          <w:caps/>
          <w:color w:val="000000"/>
          <w:sz w:val="22"/>
        </w:rPr>
        <w:t>Required Vote and Board of Directors Recommendation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2023 Annual Meeting of Stockholders, our stockholders indicated their preference that the Company solicit a non-binding advisory vote on the compensation of the named executive officers every year. The Board has adopted a policy that is consistent with that preference. In accordance with that policy, this year, we are again asking our stockholders to support the compensation of the Company’s named executive officers as described in this proxy statement by casting a non-binding advisory vote “FOR” the following resolution:</w:t>
      </w:r>
    </w:p>
    <w:p>
      <w:pPr>
        <w:pStyle w:val="TextBody"/>
        <w:bidi w:val="0"/>
        <w:spacing w:before="240" w:after="283"/>
        <w:jc w:val="left"/>
        <w:rPr>
          <w:color w:val="000000"/>
        </w:rPr>
      </w:pPr>
      <w:r>
        <w:rPr>
          <w:color w:val="000000"/>
        </w:rPr>
        <w:t>“</w:t>
      </w:r>
      <w:r>
        <w:rPr>
          <w:rFonts w:ascii="Times New Roman" w:hAnsi="Times New Roman"/>
          <w:color w:val="000000"/>
          <w:sz w:val="20"/>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Compensation Discussion and Analysis, the 2025 Summary Compensation Table and the other related tables and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this advisory vote on executive compensation is non-binding, the Board of Directors and the Compensation Committee, which is responsible for designing and administering the Company’s executive compensation program, will review the voting results and consider the outcome of the vote when making future compensation decisions for our named executive officers.</w:t>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THE BOARD OF DIRECTORS UNANIMOUSLY RECOMMENDS</w:t>
      </w:r>
    </w:p>
    <w:p>
      <w:pPr>
        <w:pStyle w:val="TextBody"/>
        <w:bidi w:val="0"/>
        <w:jc w:val="center"/>
        <w:rPr>
          <w:rFonts w:ascii="Times New Roman" w:hAnsi="Times New Roman"/>
          <w:b/>
          <w:color w:val="000000"/>
          <w:sz w:val="20"/>
        </w:rPr>
      </w:pPr>
      <w:r>
        <w:rPr>
          <w:rFonts w:ascii="Times New Roman" w:hAnsi="Times New Roman"/>
          <w:b/>
          <w:color w:val="000000"/>
          <w:sz w:val="20"/>
        </w:rPr>
        <w:t>A VOTE “FOR” PROPOSAL 2</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pPr>
      <w:bookmarkStart w:id="6" w:name="proposal_3"/>
      <w:bookmarkEnd w:id="6"/>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b/>
                <w:color w:val="FFFFFF"/>
                <w:sz w:val="64"/>
              </w:rPr>
            </w:pPr>
            <w:r>
              <w:rPr>
                <w:rFonts w:ascii="Times New Roman" w:hAnsi="Times New Roman"/>
                <w:b/>
                <w:color w:val="FFFFFF"/>
                <w:sz w:val="64"/>
              </w:rPr>
              <w:t>Proposal 3</w:t>
            </w:r>
          </w:p>
        </w:tc>
      </w:tr>
      <w:tr>
        <w:trPr/>
        <w:tc>
          <w:tcPr>
            <w:tcW w:w="3241" w:type="dxa"/>
            <w:tcBorders/>
            <w:shd w:fill="000000"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spacing w:before="60" w:after="60"/>
        <w:jc w:val="left"/>
        <w:rPr/>
      </w:pPr>
      <w:r>
        <w:rPr/>
        <w:t> </w:t>
      </w:r>
    </w:p>
    <w:p>
      <w:pPr>
        <w:pStyle w:val="TextBody"/>
        <w:bidi w:val="0"/>
        <w:spacing w:before="0" w:after="60"/>
        <w:jc w:val="left"/>
        <w:rPr>
          <w:rFonts w:ascii="Times New Roman" w:hAnsi="Times New Roman"/>
          <w:b/>
          <w:color w:val="000000"/>
          <w:sz w:val="28"/>
        </w:rPr>
      </w:pPr>
      <w:r>
        <w:rPr>
          <w:rFonts w:ascii="Times New Roman" w:hAnsi="Times New Roman"/>
          <w:b/>
          <w:color w:val="000000"/>
          <w:sz w:val="28"/>
        </w:rPr>
        <w:t>RATIFICATION OF SELECTION OF DELOITTE &amp; TOUCHE LLP AS INDEPENDENT REGISTERED PUBLIC ACCOUNTING FIRM</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Audit Committee has selected Deloitte &amp; Touche LLP (“Deloitte”), as the Company’s independent registered public accounting firm for the fiscal year ending December 31, 2026 and has directed management to submit the selection of Deloitte for ratification by the stockholders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Deloitte has served as the Company’s independent auditor since 2001. Representatives of Deloitte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 ratification of the selection of Deloitte as our independent registered public accounting firm is not required by our Amended and Restated Bylaws or otherwise. The Board is seeking such ratification as a matter of good corporate practice. If the stockholders fail to ratify the selection of Deloitte as our independent registered public accounting firm, the Audit Committee will consider whether to retain that firm for the fiscal year ending December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represents aggregate fees billed to the Company for the fiscal years ended December 31, 2025 and 2024 by Deloitte and its subsidiaries, the affiliates of Deloitte &amp; Touche LLP, Deloitte Touche Tohmatsu Limited and its member firm (collectively, the Deloitte entities). All of these entities collectively represent the Company’s principal accounting firm.</w:t>
      </w:r>
    </w:p>
    <w:p>
      <w:pPr>
        <w:pStyle w:val="TextBody"/>
        <w:bidi w:val="0"/>
        <w:spacing w:before="120" w:after="283"/>
        <w:jc w:val="left"/>
        <w:rPr/>
      </w:pPr>
      <w:r>
        <w:rPr/>
        <w:t> </w:t>
      </w:r>
    </w:p>
    <w:tbl>
      <w:tblPr>
        <w:tblW w:w="4466" w:type="dxa"/>
        <w:jc w:val="left"/>
        <w:tblInd w:w="0" w:type="dxa"/>
        <w:tblLayout w:type="fixed"/>
        <w:tblCellMar>
          <w:top w:w="28" w:type="dxa"/>
          <w:left w:w="28" w:type="dxa"/>
          <w:bottom w:w="28" w:type="dxa"/>
          <w:right w:w="28" w:type="dxa"/>
        </w:tblCellMar>
      </w:tblPr>
      <w:tblGrid>
        <w:gridCol w:w="1261"/>
        <w:gridCol w:w="146"/>
        <w:gridCol w:w="146"/>
        <w:gridCol w:w="211"/>
        <w:gridCol w:w="931"/>
        <w:gridCol w:w="146"/>
        <w:gridCol w:w="146"/>
        <w:gridCol w:w="146"/>
        <w:gridCol w:w="211"/>
        <w:gridCol w:w="93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6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120"/>
        <w:jc w:val="left"/>
        <w:rPr>
          <w:rFonts w:ascii="Times New Roman" w:hAnsi="Times New Roman"/>
          <w:color w:val="000000"/>
          <w:sz w:val="16"/>
        </w:rPr>
      </w:pPr>
      <w:r>
        <w:rPr>
          <w:rFonts w:ascii="Times New Roman" w:hAnsi="Times New Roman"/>
          <w:color w:val="000000"/>
          <w:sz w:val="16"/>
        </w:rPr>
        <w:t>Represents the aggregate fees billed for professional services rendered for the reviews and audit of our consolidated financial statements and internal control over financial reporting including related regulatory filings and related comfort letters on such.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fees described above were pre-approved by the Audit Committee.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adopted a policy and procedures for the pre-approval of audit and non-audit services rendered by our independent registered public accounting firm, Deloitte and the Deloitte entities. The policy generally pre-approves specified services in the defined categories of audit services, audit-related services, tax services and other services up to specified amounts. Pre-approval may also be given on an individual explicit case-by-case basis before the independent principal accounting firm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THE BOARD OF DIRECTORS UNANIMOUSLY RECOMMENDS</w:t>
      </w:r>
    </w:p>
    <w:p>
      <w:pPr>
        <w:pStyle w:val="TextBody"/>
        <w:bidi w:val="0"/>
        <w:jc w:val="center"/>
        <w:rPr>
          <w:rFonts w:ascii="Times New Roman" w:hAnsi="Times New Roman"/>
          <w:b/>
          <w:color w:val="000000"/>
          <w:sz w:val="20"/>
        </w:rPr>
      </w:pPr>
      <w:r>
        <w:rPr>
          <w:rFonts w:ascii="Times New Roman" w:hAnsi="Times New Roman"/>
          <w:b/>
          <w:color w:val="000000"/>
          <w:sz w:val="20"/>
        </w:rPr>
        <w:t>A VOTE “FOR” PROPOSAL 3</w:t>
      </w:r>
    </w:p>
    <w:p>
      <w:pPr>
        <w:pStyle w:val="Heading1"/>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audit_committee_report"/>
      <w:bookmarkEnd w:id="7"/>
      <w:r>
        <w:rPr>
          <w:rFonts w:ascii="Times New Roman" w:hAnsi="Times New Roman"/>
          <w:b/>
          <w:color w:val="000000"/>
          <w:sz w:val="20"/>
        </w:rPr>
        <w:t xml:space="preserve">REPORT OF THE AUDIT COMMITTEE </w:t>
      </w:r>
      <w:bookmarkStart w:id="8" w:name="report_of_the_audit_committee"/>
      <w:bookmarkEnd w:id="8"/>
      <w:r>
        <w:rPr>
          <w:rFonts w:ascii="Times New Roman" w:hAnsi="Times New Roman"/>
          <w:b/>
          <w:color w:val="000000"/>
          <w:sz w:val="20"/>
        </w:rPr>
        <w:t>OF THE BOARD OF DIRECTORS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material in this report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report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financial statements in the Annual Report with Company management, including a discussion on the quality, not just the acceptability, of the accounting principles; the reasonableness of significant judgments; and the clarity of the disclosures within the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Audit Committee recognizes the importance of maintaining the independence of the Company’s independent auditor, both in fact and appearance. In fulfilling its oversight responsibility as to the audit process, the Audit Committee obtained from Deloitte &amp; Touche LLP (“Deloitte”) the written disclosures and the letter describing all relationships between MannKind and its independent auditors that might bear on the auditors’ independence consistent with applicable requirements of the Public Company Accounting Oversight Board (“PCAOB”) Rule 3526, </w:t>
      </w:r>
      <w:r>
        <w:rPr>
          <w:rFonts w:ascii="Times New Roman" w:hAnsi="Times New Roman"/>
          <w:i/>
          <w:color w:val="000000"/>
          <w:sz w:val="20"/>
        </w:rPr>
        <w:t>Communication with Audit Committees Concerning Independence</w:t>
      </w:r>
      <w:r>
        <w:rPr>
          <w:rFonts w:ascii="Times New Roman" w:hAnsi="Times New Roman"/>
          <w:color w:val="000000"/>
          <w:sz w:val="20"/>
        </w:rPr>
        <w:t>. The Audit Committee has discussed Deloitte’s independence with Company management and Deloitte, and considered the compatibility of non-audit services with the independent auditor’s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Charter provides that one duty of the Audit Committee is to determine whether to retain or to terminate MannKind’s existing auditors or to appoint and engage new auditors for the ensuing year. In performing that duty, the Audit Committee evaluated the performance of Deloitte in performing the examination of MannKind’s financial statements for the fiscal year ended December 31, 2025, considered the auditors’ technical expertise and knowledge of the Company’s operation and industry, and considered auditors’ independence, objectivity, and professional skepticism. Based on this evaluation, the Audit Committee determined to engage Deloitte as MannKind’s independent auditors for the fiscal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discussed with Deloitte the matters required to be discussed by the applicable PCAOB standards and the SEC. In addition, with and without management present, the Audit Committee discussed and reviewed MannKind’s financial statements and the results of Deloitte’s audit of MannKind’s financial statements and internal control. Based upon the Audit Committee’s discussion with management and Deloitte and the Audit Committee’s review of MannKind’s financial statements, the representations of MannKind’s management and the independent auditors’ report to the Audit Committee, the Audit Committee recommended to the Board of Directors that MannKind include the audited financial statements in its Annual Report on Form 10-K for the fiscal year ended December 31, 2025, for filing with the SEC.</w:t>
      </w:r>
    </w:p>
    <w:p>
      <w:pPr>
        <w:pStyle w:val="TextBody"/>
        <w:bidi w:val="0"/>
        <w:spacing w:before="240" w:after="283"/>
        <w:jc w:val="left"/>
        <w:rPr/>
      </w:pPr>
      <w:r>
        <w:rPr/>
        <w:t> </w:t>
      </w:r>
    </w:p>
    <w:tbl>
      <w:tblPr>
        <w:tblW w:w="4460" w:type="dxa"/>
        <w:jc w:val="left"/>
        <w:tblInd w:w="0" w:type="dxa"/>
        <w:tblLayout w:type="fixed"/>
        <w:tblCellMar>
          <w:top w:w="28" w:type="dxa"/>
          <w:left w:w="28" w:type="dxa"/>
          <w:bottom w:w="28" w:type="dxa"/>
          <w:right w:w="28" w:type="dxa"/>
        </w:tblCellMar>
      </w:tblPr>
      <w:tblGrid>
        <w:gridCol w:w="161"/>
        <w:gridCol w:w="146"/>
        <w:gridCol w:w="1726"/>
        <w:gridCol w:w="146"/>
        <w:gridCol w:w="22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Ronald J. Consiglio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Grancio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Hooper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Kay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Mundkur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r>
    </w:tbl>
    <w:p>
      <w:pPr>
        <w:pStyle w:val="TextBody"/>
        <w:bidi w:val="0"/>
        <w:jc w:val="left"/>
        <w:rPr/>
      </w:pPr>
      <w:r>
        <w:rPr/>
        <w:t> </w:t>
      </w:r>
    </w:p>
    <w:p>
      <w:pPr>
        <w:pStyle w:val="TextBody"/>
        <w:bidi w:val="0"/>
        <w:jc w:val="left"/>
        <w:rPr/>
      </w:pPr>
      <w:r>
        <w:rPr/>
        <w:t> </w:t>
      </w:r>
    </w:p>
    <w:p>
      <w:pPr>
        <w:pStyle w:val="TextBody"/>
        <w:bidi w:val="0"/>
        <w:spacing w:before="0" w:after="10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9" w:name="executive_officers_of_the_registrant"/>
      <w:bookmarkEnd w:id="9"/>
      <w:r>
        <w:rPr>
          <w:rFonts w:ascii="Times New Roman" w:hAnsi="Times New Roman"/>
          <w:b/>
          <w:color w:val="000000"/>
          <w:sz w:val="20"/>
        </w:rPr>
        <w:t>EXECUTIVE OFFICERS OF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current executive officers and their ages:</w:t>
      </w:r>
    </w:p>
    <w:p>
      <w:pPr>
        <w:pStyle w:val="TextBody"/>
        <w:bidi w:val="0"/>
        <w:spacing w:before="150" w:after="283"/>
        <w:jc w:val="left"/>
        <w:rPr/>
      </w:pPr>
      <w:r>
        <w:rPr/>
        <w:t> </w:t>
      </w:r>
    </w:p>
    <w:tbl>
      <w:tblPr>
        <w:tblW w:w="8125" w:type="dxa"/>
        <w:jc w:val="left"/>
        <w:tblInd w:w="0" w:type="dxa"/>
        <w:tblLayout w:type="fixed"/>
        <w:tblCellMar>
          <w:top w:w="28" w:type="dxa"/>
          <w:left w:w="28" w:type="dxa"/>
          <w:bottom w:w="28" w:type="dxa"/>
          <w:right w:w="28" w:type="dxa"/>
        </w:tblCellMar>
      </w:tblPr>
      <w:tblGrid>
        <w:gridCol w:w="2626"/>
        <w:gridCol w:w="146"/>
        <w:gridCol w:w="436"/>
        <w:gridCol w:w="146"/>
        <w:gridCol w:w="477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Ahuja, M.D.,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Medical Officer</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Dominic Marasco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Endocrine Business Unit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Singh, M Pharm,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Technical Operations</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A. Tross,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Human Resources</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B. Thomson, Ph.D., 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General Counsel and Secretary</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Michael E. Castagna, Pharm.D</w:t>
      </w:r>
      <w:r>
        <w:rPr>
          <w:rFonts w:ascii="Times New Roman" w:hAnsi="Times New Roman"/>
          <w:color w:val="000000"/>
          <w:sz w:val="20"/>
        </w:rPr>
        <w:t xml:space="preserve">. Dr. Castagna’s biographical information is included under Proposal 1 above.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Christopher B. Prentiss </w:t>
      </w:r>
      <w:r>
        <w:rPr>
          <w:rFonts w:ascii="Times New Roman" w:hAnsi="Times New Roman"/>
          <w:color w:val="000000"/>
          <w:sz w:val="20"/>
        </w:rPr>
        <w:t>has been our Chief Financial Officer since April 2024. Mr. Prentiss served as Chief Financial Officer of ADARx Pharmaceuticals, Inc. (2022-2024), a privately held clinical-stage biotechnology company. Mr. Prentiss held a series of finance positions of increasing responsibility at the commercial-stage biotech company Adamas Pharmaceuticals, Inc. (“Adamas”) (2015-2021), culminating in Chief Financial Officer commencing in November 2019. His responsibilities at Adamas included finance, accounting, investor relations, information technology and facilities. Mr. Prentiss was Vice President, Finance and Corporate Controller of InterMune Inc. (2013-2015), a commercial-stage biotech with responsibilities over all aspects of corporate accounting, reporting, and treasury. Prior to that, Mr. Prentiss was Senior Director, Controller at Dynavax Technologies Corporation, a clinical-stage biopharmaceutical company (2012-2013), where he was responsible for the accounting and tax functions. Mr. Prentiss worked here at MannKind (2005-2012), where he held senior finance positions of increasing responsibility. Before that, Mr. Prentiss was a Senior Manager at KPMG LLP in the assurance practice. Mr. Prentiss received a B.Sc. degree in Accounting from Loyola Marymount University, and an MBA from Indiana University. Mr. Prentiss is a licensed CPA (inactive) in California.</w:t>
      </w:r>
    </w:p>
    <w:p>
      <w:pPr>
        <w:pStyle w:val="TextBody"/>
        <w:bidi w:val="0"/>
        <w:spacing w:before="240" w:after="240"/>
        <w:jc w:val="left"/>
        <w:rPr>
          <w:rFonts w:ascii="Times New Roman" w:hAnsi="Times New Roman"/>
          <w:sz w:val="20"/>
        </w:rPr>
      </w:pPr>
      <w:r>
        <w:rPr>
          <w:rFonts w:ascii="Times New Roman" w:hAnsi="Times New Roman"/>
          <w:i/>
          <w:color w:val="000000"/>
          <w:sz w:val="20"/>
        </w:rPr>
        <w:t>Ajay Ahuja, MD, MBA</w:t>
      </w:r>
      <w:r>
        <w:rPr>
          <w:rFonts w:ascii="Times New Roman" w:hAnsi="Times New Roman"/>
          <w:color w:val="000000"/>
          <w:sz w:val="20"/>
        </w:rPr>
        <w:t xml:space="preserve"> has been our Executive Vice President and Chief Medical Officer since September 2025. Dr. Ahuja brings to MannKind more than two decades of leadership experience across the biopharmaceutical industry, spanning development-stage companies and global pharmaceutical firms since 2003. Dr. Ahuja served as the Development and Launch Leader for a late-stage DNA-based therapeutic at Kardigan Bio (January 2025-September 2025), a cardiology-focused biopharmaceutical company. Dr. Ahuja held a senior leadership role at Idorsia Pharmaceuticals (2021-2025), where he built out the US Medical department and launched multiple novel compounds. Earlier in his career, he served as Global Head of Medical Affairs at Allergan, overseeing all therapeutic areas and a team of over 100 professionals across the U.S. and international markets. Dr. Ahuja also served as Global Medical Head for Takeda Pharmaceuticals’ cardiometabolic franchise, with a focus on diabetes and cardiovascular disease, and has also held impactful roles at Pfizer, Novartis, and Tepha, Inc. Dr. Ahuja earned his Doctor of Medicine from Washington University School of Medicine and completed his residency and fellowship training at Northwestern University and Harvard Medical School, respectively. As a board-certified physician, Dr. Ahuja practiced medicine on staff at Boston Children’s Hospital for over a decade. He also earned an MBA from Harvard Business School before embarking on his industry career. </w:t>
      </w:r>
    </w:p>
    <w:p>
      <w:pPr>
        <w:pStyle w:val="TextBody"/>
        <w:bidi w:val="0"/>
        <w:jc w:val="left"/>
        <w:rPr>
          <w:rFonts w:ascii="Times New Roman" w:hAnsi="Times New Roman"/>
          <w:sz w:val="20"/>
        </w:rPr>
      </w:pPr>
      <w:r>
        <w:rPr>
          <w:rFonts w:ascii="Times New Roman" w:hAnsi="Times New Roman"/>
          <w:i/>
          <w:color w:val="000000"/>
          <w:sz w:val="20"/>
        </w:rPr>
        <w:t xml:space="preserve">Dominic Marasco, R.Ph., </w:t>
      </w:r>
      <w:r>
        <w:rPr>
          <w:rFonts w:ascii="Times New Roman" w:hAnsi="Times New Roman"/>
          <w:color w:val="000000"/>
          <w:sz w:val="20"/>
        </w:rPr>
        <w:t>has been our President, Endocrine Business Unit since January 2025. Prior to joining us, Mr. Marasco held the position of Executive President, Chief Commercial Officer for Envision Pharma Group (2023-2024), leading its technology and artificial intelligence business units and all commercial operations. Before joining Envision Pharma, Mr. Marasco was Chief Commercial Officer at BioAgilytix Labs, Inc. (2019-2022). Prior to BioAgilytix, he was EVP, Global Business Development, Commercial Group at Syneos Health (2018-2019), after serving in progressive leadership roles at Amgen, Inc. including Head of U.S. Sales for the Neuroscience Business Unit and before that Global Commercial Head, Amgen Biosimilars. Mr. Marasco also held successful commercial leadership roles at Sandoz Biopharmaceuticals, a Novartis Company, and Quintiles Transnational Holdings Inc (now IQVIA). He began his career as a pharmacist before joining Eli Lilly and Company in a sales capacity. Mr. Marasco has a Bachelor of Science degree from the Philadelphia College of Pharmacy and completed Harvard Business School’s Advanced Management Program.</w:t>
      </w:r>
    </w:p>
    <w:p>
      <w:pPr>
        <w:pStyle w:val="TextBody"/>
        <w:bidi w:val="0"/>
        <w:jc w:val="left"/>
        <w:rPr>
          <w:rFonts w:ascii="Times New Roman" w:hAnsi="Times New Roman"/>
          <w:sz w:val="20"/>
        </w:rPr>
      </w:pPr>
      <w:r>
        <w:rPr>
          <w:rFonts w:ascii="Times New Roman" w:hAnsi="Times New Roman"/>
          <w:i/>
          <w:color w:val="000000"/>
          <w:sz w:val="20"/>
        </w:rPr>
        <w:t>Sanjay Singh</w:t>
      </w:r>
      <w:r>
        <w:rPr>
          <w:rFonts w:ascii="Times New Roman" w:hAnsi="Times New Roman"/>
          <w:color w:val="000000"/>
          <w:sz w:val="20"/>
        </w:rPr>
        <w:t xml:space="preserve"> has been our Executive Vice President, Technical Operations since October 2022. Before joining us, since 2011 Mr. Singh served as Sr. Vice President and Associate President Technical Operations in India and USA at Aurobindo Pharma, a leading generic pharmaceutical manufacturing company, headquartered in Hyderabad, India. Prior to Aurobindo, Mr. Singh worked in various leadership roles at Cipla Ltd (2000-2007, 2008-2011), Glenmark Pharma (2007-2008), Nicholas Piramal India Ltd (1992-2000) and Cadila Laboratories (1990-1991). Mr. Singh has been associated with the Parenteral Drug Association (PDA) and was the founding president of the PDA, India chapter before moving to the US in 2015. Mr. Singh received an M. Pharma. degree in Pharmaceutical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Chemistry from LM College of Pharmacy, Ahmedabad, India and an MBA degree from Institute of Management Studies, Indore, India.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Stuart A. Tross, Ph.D.</w:t>
      </w:r>
      <w:r>
        <w:rPr>
          <w:rFonts w:ascii="Times New Roman" w:hAnsi="Times New Roman"/>
          <w:color w:val="000000"/>
          <w:sz w:val="20"/>
        </w:rPr>
        <w:t xml:space="preserve"> has been our Executive Vice President, Human Resources since December 2016, with responsibilities for human resources, internal communications and west coast facilities. Dr. Tross served in various roles of increasing responsibility at Amgen, Inc. (2006-2016), most recently as Senior Vice President and Chief Human Resources Officer responsible for human resources and security on a global basis. Dr. Tross served in a series of leadership roles at BMS (1998-2006), most recently as Vice President and Global Head of Human Resources for Mead Johnson Company. Dr. Tross received a B.S. degree from Cornell University and M.Sc. and Ph.D. degrees in Industrial-Organizational Psychology from the Georgia Institute of Technology.</w:t>
      </w:r>
    </w:p>
    <w:p>
      <w:pPr>
        <w:pStyle w:val="TextBody"/>
        <w:bidi w:val="0"/>
        <w:spacing w:before="240" w:after="283"/>
        <w:jc w:val="left"/>
        <w:rPr>
          <w:rFonts w:ascii="Times New Roman" w:hAnsi="Times New Roman"/>
          <w:sz w:val="20"/>
        </w:rPr>
      </w:pPr>
      <w:r>
        <w:rPr>
          <w:rFonts w:ascii="Times New Roman" w:hAnsi="Times New Roman"/>
          <w:i/>
          <w:color w:val="000000"/>
          <w:sz w:val="20"/>
        </w:rPr>
        <w:t>David B. Thomson, Ph.D., J.D.</w:t>
      </w:r>
      <w:r>
        <w:rPr>
          <w:rFonts w:ascii="Times New Roman" w:hAnsi="Times New Roman"/>
          <w:color w:val="000000"/>
          <w:sz w:val="20"/>
        </w:rPr>
        <w:t xml:space="preserve"> has been our General Counsel and Corporate Secretary since January 2002. Prior to joining us, he practiced 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Executive officers serve at the discretion of our Board of Directors. There are no family relationships between any of our directors and executive officers.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30" w:after="60"/>
        <w:jc w:val="center"/>
        <w:rPr>
          <w:rFonts w:ascii="Times New Roman" w:hAnsi="Times New Roman"/>
          <w:b/>
          <w:color w:val="000000"/>
          <w:sz w:val="20"/>
        </w:rPr>
      </w:pPr>
      <w:bookmarkStart w:id="10" w:name="executive_compensation"/>
      <w:bookmarkEnd w:id="10"/>
      <w:r>
        <w:rPr>
          <w:rFonts w:ascii="Times New Roman" w:hAnsi="Times New Roman"/>
          <w:b/>
          <w:color w:val="000000"/>
          <w:sz w:val="20"/>
        </w:rPr>
        <w:t>EXECUTIVE COMPENSATION</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COMPENSATION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pleased to present our report on executive compensation. This report is intended to assist our stockholders in understanding the objectives and procedures used by the Compensation Committee of our Board of Directors in establishing its recommendations to the Board regarding the compensation of our executive officers.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cardiometabolic business is currently comprised of three commercial products: Afrezza (insulin human) Inhalation Powder; Furoscix (furosemide injection) (which we acquired in October 2025); and the V-Go wearable insulin delivery device. In the United States, we are solely responsible for the commercialization of Afrezza, Furoscix and V-Go. Outside of the U.S., our strategy has been to establish regional partnerships in foreign jurisdictions where there are commercial opportunities, subject to the receipt of necessary foreign regulatory approvals.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and pulmonary hypertension associated with interstitial lung disease. Our development and marketing partner, United Therapeutics Corporation ("UT"), began commercializing Tyvaso DPI in June 2022 and is obligated to pay us a royalty on net sales of the product. We also receive revenue for the supply of Tyvaso DPI that we manufacture for UT. In August 2025, we announced the expansion of our collaboration, pursuant to which we will formulate MNKD-1501, a second investigational molecule using our proprietary technologies, and UT will conduct preclinical and clinical development activities. </w:t>
      </w:r>
    </w:p>
    <w:p>
      <w:pPr>
        <w:pStyle w:val="TextBody"/>
        <w:bidi w:val="0"/>
        <w:jc w:val="left"/>
        <w:rPr>
          <w:rFonts w:ascii="Times New Roman" w:hAnsi="Times New Roman"/>
          <w:color w:val="000000"/>
          <w:sz w:val="20"/>
        </w:rPr>
      </w:pPr>
      <w:r>
        <w:rPr>
          <w:rFonts w:ascii="Times New Roman" w:hAnsi="Times New Roman"/>
          <w:color w:val="000000"/>
          <w:sz w:val="20"/>
        </w:rPr>
        <w:t>The other major program in our pipeline that will potentially address an orphan lung disease is MNKD-201, a dry-powder formulation of nintedanib for the treatment of idiopathic pulmonary fibrosis (“IPF”). We are currently conducting a Phase 1b study of MNKD-201 in the United States as well as a global Phase 2 study to assess the potential safety and efficacy of this investigational product in patients with IPF.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MNKD-701 is another pipeline opportunity that we are exploring. This program is focused on bumetanide, a more potent loop diuretic than furosemide. We are currently evaluating the feasibility of formulating bumetanide as a dry-powder that can be administered via oral inhalation.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short-term incentive ("STI") compensation plan is designed to reward achievements that are expected to produce positive stockholder returns in the near-term in our operational areas of focus. Other elements of our compensation program, particularly equity compensation, are aimed at rewarding performance of the Company over the longer time periods typically associated with the development cycles of biopharmaceutical products. We place more emphasis on performance-based compensation than on fixed compensation, but we are mindful of the fact that an over-emphasis on at-risk compensation could jeopardize our ability to retain key talent. We discuss below how we use a mix of compensation elements in order to achieve our objectives. </w:t>
      </w:r>
    </w:p>
    <w:p>
      <w:pPr>
        <w:pStyle w:val="TextBody"/>
        <w:bidi w:val="0"/>
        <w:spacing w:before="360" w:after="100"/>
        <w:jc w:val="left"/>
        <w:rPr>
          <w:rFonts w:ascii="Times New Roman" w:hAnsi="Times New Roman"/>
          <w:sz w:val="20"/>
        </w:rPr>
      </w:pPr>
      <w:r>
        <w:rPr>
          <w:rFonts w:ascii="Times New Roman" w:hAnsi="Times New Roman"/>
          <w:b/>
          <w:color w:val="000000"/>
          <w:sz w:val="20"/>
        </w:rPr>
        <w:t>Oversight of the Executive Compensation Program</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20"/>
        </w:rPr>
        <w:t xml:space="preserve">The Compensation Committee is responsible for establishing and administering our policies governing the compensation for our executive officers. The Compensation Committee is composed entirely of independent directors within the meaning of applicable SEC and Nasdaq rules. The Compensation Committee’s responsibilities and duties are outlined in detail in the Compensation Committee charter, which is available on our website at </w:t>
      </w:r>
      <w:r>
        <w:rPr>
          <w:rFonts w:ascii="Times New Roman" w:hAnsi="Times New Roman"/>
          <w:i/>
          <w:color w:val="000000"/>
          <w:sz w:val="20"/>
        </w:rPr>
        <w:t>mannkindcorp.com/corporate-governance/</w:t>
      </w:r>
      <w:r>
        <w:rPr>
          <w:rFonts w:ascii="Times New Roman" w:hAnsi="Times New Roman"/>
          <w:color w:val="000000"/>
          <w:sz w:val="20"/>
        </w:rPr>
        <w:t xml:space="preserve">. A primary responsibility of the Compensation Committee is to make recommendations regarding the compensation for our executive officers, including the determination and confirmation of annual corporate goal achievement for purposes of awarding short-term incentive compensation, to the full Board for its approval. As part of this process, the Compensation Committee has historically invited our CEO to attend Compensation Committee meetings or portions thereof to obtain his insight and guidance with respect to other executive officers, though the Chief Executive Officer is not a member of the Compensation Committee. The Compensation Committee engages a third-party consulting firm, Mercer LLC, to assist in developing compensation levels and practices and to provide external market data. The Compensation Committee may select, or receive advice from, a compensation consultant, legal counsel or other adviser to the Compensation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Committee, other than in-house legal counsel and certain other types of advisers, only after taking into consideration six factors prescribed by the SEC and Nasdaq, that bear upon the adviser’s independence; however, there is no requirement that any adviser be independent. The Compensation Committee conducted an independence assessment with respect to Mercer’s role in recommending or determining the amount and form of executive compensation and considered the required six factors. After conducting this assessment, the Compensation Committee concluded that Mercer’s role in recommending or determining the amount and form of execution compensation for the fiscal year ended December 31, 2025 did not raise any conflict of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meets outside the presence of our CEO in order to consider the appropriate compensation for, and in setting the compensation of, our CEO. The Compensation Committee relies on compensation data provided by Mercer in setting CEO compensation. The CEO in 2025 did not maintain personal or business relationships (including any interlocking relationships) with any of the Compensation Committee members (outside of their relationship within the Company) that would impair the Compensation Committee members’ ability to remain independent and assess the CEO’s compensation without any conflict of interest. Thus, the determination of the CEO compensation was made without undue influence from the CEO. During 2025, for all other named executive officers, the Compensation Committee met outside the presence of all executive officers except our CEO. The annual performance of each of our executive officers is considered by the Compensation Committee when making decisions regarding base salary, targets for and payments under our STI plan and grants of equity incentive awards. When making recommendations regarding individual executive officers, the Compensation Committee considers the importance of the position to us, the past compensation history of the executive officer and the contributions made by the individual in the past and the contributions we expect the executive officer to make in the future towards the success of our business. </w:t>
      </w:r>
    </w:p>
    <w:p>
      <w:pPr>
        <w:pStyle w:val="TextBody"/>
        <w:bidi w:val="0"/>
        <w:spacing w:before="360" w:after="120"/>
        <w:jc w:val="left"/>
        <w:rPr>
          <w:rFonts w:ascii="Times New Roman" w:hAnsi="Times New Roman"/>
          <w:sz w:val="20"/>
        </w:rPr>
      </w:pPr>
      <w:r>
        <w:rPr>
          <w:rFonts w:ascii="Times New Roman" w:hAnsi="Times New Roman"/>
          <w:b/>
          <w:color w:val="000000"/>
          <w:sz w:val="20"/>
        </w:rPr>
        <w:t>Compensation Philosophy and Objectives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oversees our executive compensation within the context of a compensation philosophy. This philosophy is to provide compensation and benefits programs designed to attract, engage, and retain a high caliber workforce that enables us to compete with companies in the pharmaceutical and biotechnology industries and to reward individual and corporate performance. We believe that a well-designed compensation program for our executive officers should: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the goals of the executive officer with the goals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 individual initiative and achievement;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total compensation that enables us to compete for talent with companies in the pharmaceutical and biotechnology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compensation with our short-term and long-term corporate objectives and strategy, focusing executive officer behavior on the fulfillment of those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keeping with this philosophy, our executive compensation program is designed to achieve the following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talented and experienced executives;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and reward executives whose knowledge, skills and performance are critical to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 executives and employees who are instrumental in accomplishing our corporate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the interests of our executives and stockholders by motivating executives to increase stockholder value and rewarding executives when stockholder value increases;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 competitive compensation package which is weighted towards pay-for-performance (including, when appropriate, long-term incentives such as performance equity awards), and in which total compensation is primarily determined by the Company’s and the individual’s achievement of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fairness among the executive management team by recognizing the contributions each executive makes to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foster a shared commitment among executives by aligning the Company’s and their individual goals;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compensate our executives to manage our business to meet our long-term objectives.</w:t>
      </w:r>
    </w:p>
    <w:p>
      <w:pPr>
        <w:pStyle w:val="TextBody"/>
        <w:bidi w:val="0"/>
        <w:spacing w:before="360" w:after="283"/>
        <w:jc w:val="left"/>
        <w:rPr>
          <w:rFonts w:ascii="Times New Roman" w:hAnsi="Times New Roman"/>
          <w:sz w:val="20"/>
        </w:rPr>
      </w:pPr>
      <w:r>
        <w:rPr>
          <w:rFonts w:ascii="Times New Roman" w:hAnsi="Times New Roman"/>
          <w:b/>
          <w:color w:val="000000"/>
          <w:sz w:val="20"/>
        </w:rPr>
        <w:t>Competitive Market Assessment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less frequently than annually, the Compensation Committee reviews competitive market data to determine if our compensation levels remain at targeted levels and our pay practices are appropriate. These assessments include a review of base salary, STI compensation, and long-term incentive ("LTI") compensation. These components are benchmarked against a group of peer companies.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peer group of similarly situated companies was developed by considering U.S.-based companies in the same industry (biotechnology/pharmaceutical) with similar company characteristics, such as revenue, market capitalization, and number of employees. In addition to these criteria, we consider companies with a similar competitive strategy, including utilizing an internal sales force, and maintaining internal manufacturing capabilities. In order to ensure that we do not exclude potential peers, we also take note of companies considered to be our peers by Institutional Shareholder Services for their benchmarking purposes. We review the list annually to ensure that our peer group is relevant while also striving for year-over-year consistency.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our annual process, the Compensation Committee reviewed our peer group in the first quarter of 2025. Based on data compiled by Mercer and reviewed by the Compensation Committee during this process, the Compensation Committee determined that one company needed to be removed from the list: Deciphera Pharmaceuticals, Inc., which was acquired in 2024. In addition, the Compensation Committee added two companies that satisfied our criteria for peer companies: Krystal Biotech, Inc. and Travere Therapeutics, Inc.</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Accordingly, the full 2025 peer group consisted of the following 13 companies: </w:t>
      </w:r>
    </w:p>
    <w:tbl>
      <w:tblPr>
        <w:tblW w:w="7078" w:type="dxa"/>
        <w:jc w:val="left"/>
        <w:tblInd w:w="0" w:type="dxa"/>
        <w:tblLayout w:type="fixed"/>
        <w:tblCellMar>
          <w:top w:w="28" w:type="dxa"/>
          <w:left w:w="28" w:type="dxa"/>
          <w:bottom w:w="28" w:type="dxa"/>
          <w:right w:w="28" w:type="dxa"/>
        </w:tblCellMar>
      </w:tblPr>
      <w:tblGrid>
        <w:gridCol w:w="3751"/>
        <w:gridCol w:w="146"/>
        <w:gridCol w:w="318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ADMA Biologics, Inc. (ADMA)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Krystal Biotech, Inc. (KRYS)</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Anika Therapeutics, Inc. (ANIK)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MacroGenics Inc. (MGNX)</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BioCryst Pharmaceuticals, Inc. (BCRX)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Mirum Pharmaceuticals, Inc. (MIRM)</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Dynavax Technologies Corporation (DVAX)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Rigel Pharmaceuticals Inc. (RIGL)</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Insmed Inc. (INSM)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Travere Therapeutics, Inc. (TVTX)</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Ironwood Pharmaceuticals, Inc. (IRWD)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Vanda Pharmaceuticals Inc. (VNDA)</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Karyopharm Therapeutics Inc. (KPTI)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some executive positions, the peer group data may not be sufficiently robust, or the position may not have an appropriate counterpart at our peer companies. In those cases, we will also consider industry specific and general published survey compensation data, such as the Aon Radford McLagan Global Life Sciences Executive Survey. </w:t>
      </w:r>
    </w:p>
    <w:p>
      <w:pPr>
        <w:pStyle w:val="TextBody"/>
        <w:bidi w:val="0"/>
        <w:spacing w:before="410" w:after="283"/>
        <w:jc w:val="left"/>
        <w:rPr>
          <w:rFonts w:ascii="Times New Roman" w:hAnsi="Times New Roman"/>
          <w:sz w:val="20"/>
        </w:rPr>
      </w:pPr>
      <w:r>
        <w:rPr>
          <w:rFonts w:ascii="Times New Roman" w:hAnsi="Times New Roman"/>
          <w:b/>
          <w:color w:val="000000"/>
          <w:sz w:val="20"/>
        </w:rPr>
        <w:t>Market Positioning</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xml:space="preserve">The Compensation Committee reviews executive compensation at least annually, establishes competitive compensation levels and designs the compensation program to provide pay commensurate with individual and corporate performance. With support from Mercer, we have targeted total compensation levels for executives at the median of our peer group. We believe this target to be an appropriate level of compensation to attract and retain qualified and capable executives. However, actual compensation (or individual elements of compensation) may fall above or below this level under a range of circumstances, such as individual and Company performance, tenure with the Company or retention concerns.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addition to the factors listed above, we also consider,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need for the executive officer’s skills;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contributions that the executive officer has made, or we believe will make, to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transferability of the executive officer’s managerial skills to other potential employers;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relevance of the executive officer’s experience to other potential employers, particularly in the pharmaceutical and biotechnology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discussed in more detail below, we consider each element of executive compensation and make adjustments as appropriate. We believe our executive compensation packages are reasonable when considering our business strategy, the revenue potential of our business, our compensation philosophy and the competitive market data.</w:t>
      </w:r>
    </w:p>
    <w:p>
      <w:pPr>
        <w:pStyle w:val="TextBody"/>
        <w:bidi w:val="0"/>
        <w:spacing w:before="350" w:after="283"/>
        <w:jc w:val="left"/>
        <w:rPr>
          <w:rFonts w:ascii="Times New Roman" w:hAnsi="Times New Roman"/>
          <w:sz w:val="20"/>
        </w:rPr>
      </w:pPr>
      <w:r>
        <w:rPr>
          <w:rFonts w:ascii="Times New Roman" w:hAnsi="Times New Roman"/>
          <w:b/>
          <w:color w:val="000000"/>
          <w:sz w:val="20"/>
        </w:rPr>
        <w:t>Consideration of Past Say-on-Pay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annual say-on-pay advisory vote is a good governance practice that allows us to maintain accountability to our stockholders. The result of this advisory vote can provide valuable insight into the perceptions of our executive compensation programs and areas where we need to improve. When combined with the feedback we receive from direct engagements with investors and analysts, we can better appreciate how different investors assess the alignment between pay and performance differently depending on their time horizons for investment decisions, expectations about the cadence for corporate milestones and other factors. In 2025, approximately 91% of the votes cast were in support of our say-on-pay proposal. We generally take these voting results and investor feedback as an indication of support for our compensation programs in general.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Aided by these insights, our annual equity award program for executives and other senior employees is designed to emphasize performance-based vesting, measured over a multi-year period. This component of long-term compensation pays out, if at all, in proportion to the Company’s total stockholder return relative to the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COMPONENTS</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xml:space="preserve">In order to provide a total compensation package that is tied to stockholder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officers while we execute on our plans. Currently, our compensation structure for executive officers includes a combination of base salary, STI compensation, LTI compensation in the form of equity awards, 401(k), medical and other benefits, and severance and change in control and other post termination provisions. Each component is described in further detail below. </w:t>
      </w:r>
    </w:p>
    <w:p>
      <w:pPr>
        <w:pStyle w:val="TextBody"/>
        <w:bidi w:val="0"/>
        <w:spacing w:before="60" w:after="240"/>
        <w:jc w:val="left"/>
        <w:rPr>
          <w:rFonts w:ascii="Times New Roman" w:hAnsi="Times New Roman"/>
          <w:color w:val="000000"/>
          <w:sz w:val="20"/>
        </w:rPr>
      </w:pPr>
      <w:r>
        <w:rPr>
          <w:rFonts w:ascii="Times New Roman" w:hAnsi="Times New Roman"/>
          <w:color w:val="000000"/>
          <w:sz w:val="20"/>
        </w:rPr>
        <w:t xml:space="preserve">The following charts break down the total compensation that the CEO and the other named executive officers (on average) received in 2025, including the grant date fair value of equity awards granted to these officers in 2025. These charts are derived from the Summary Compensation Table on page 34, excluding income associated with employer contributions to individual 401(k) plans, supplemental medical benefits, airline club reimbursements and other taxable income. The charts illustrate the extent to which a greater percentage of total compensation for our named executive officers is delivered in the form of performance-based compensation as compared to fixed compensation (salary and time-based equity awards). Specifically, performance-based compensation accounted for approximately 69% of the 2025 total compensation for the CEO and approximately 64% for the other named executive officers. </w:t>
      </w:r>
    </w:p>
    <w:p>
      <w:pPr>
        <w:pStyle w:val="TextBody"/>
        <w:bidi w:val="0"/>
        <w:jc w:val="center"/>
        <w:rPr/>
      </w:pPr>
      <w:r>
        <w:rPr/>
        <w:drawing>
          <wp:inline distT="0" distB="0" distL="0" distR="0">
            <wp:extent cx="2924175" cy="2400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24175" cy="2400300"/>
                    </a:xfrm>
                    <a:prstGeom prst="rect">
                      <a:avLst/>
                    </a:prstGeom>
                  </pic:spPr>
                </pic:pic>
              </a:graphicData>
            </a:graphic>
          </wp:inline>
        </w:drawing>
      </w:r>
      <w:r>
        <w:rPr>
          <w:color w:val="000000"/>
        </w:rPr>
        <w:t xml:space="preserve"> </w:t>
      </w:r>
      <w:r>
        <w:rPr/>
        <w:drawing>
          <wp:inline distT="0" distB="0" distL="0" distR="0">
            <wp:extent cx="2905125" cy="2362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05125" cy="2362200"/>
                    </a:xfrm>
                    <a:prstGeom prst="rect">
                      <a:avLst/>
                    </a:prstGeom>
                  </pic:spPr>
                </pic:pic>
              </a:graphicData>
            </a:graphic>
          </wp:inline>
        </w:drawing>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believes that the above compensation structure appropriately balances the dual objectives of promoting long-term stockholder value creation and preventing excessive risk-taking. </w:t>
      </w:r>
    </w:p>
    <w:p>
      <w:pPr>
        <w:pStyle w:val="TextBody"/>
        <w:bidi w:val="0"/>
        <w:spacing w:before="380" w:after="283"/>
        <w:jc w:val="left"/>
        <w:rPr>
          <w:rFonts w:ascii="Times New Roman" w:hAnsi="Times New Roman"/>
          <w:sz w:val="20"/>
        </w:rPr>
      </w:pPr>
      <w:r>
        <w:rPr>
          <w:rFonts w:ascii="Times New Roman" w:hAnsi="Times New Roman"/>
          <w:b/>
          <w:color w:val="000000"/>
          <w:sz w:val="20"/>
        </w:rPr>
        <w:t>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salaries are designed to provide compensation for the day-to-day management of the Company, assuming satisfactory levels of performance. This component is designed to provide consistent and steady cash flow for the executive and represents only a portion of total compensation. Salary levels are based primarily upon the competitive market for the executive officers’ services, as reflected by the peer group. Base salaries for our executives are generally intended to fall within 10% of the median of the competitive market, although individual performance, responsibility, and the importance of each role in our organization can also impact base salary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the Compensation Committee reviewed executive salaries and other elements of compensation against the benchmarks provided by our peer group. The base salaries of all executives were found to be consistent with the competitive market (inclusive of a 3% cost of living increase in base salaries from 2024 to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Short-Term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executive officers is eligible to receive an annual performance-based cash payment. The annual cash incentive awards under our STI plan are intended to compensate our executive officers for achieving our annual goals at the corporate level and for achieving individual annual performance objectives. The objectives for our company and individual measures are established so that performance at or above target levels requires significant effort on the part of our executives. The STI plan is funded based on the overall achievement of corporate objectives, as determined by the Compensation Committee in its evaluation of the accomplishments of the Company during the previous year. Evaluation criteria can be quantitative or qualitative, depending on the objective. Quantitative objectives are typically evaluated using a leverage curve that allows up to a 200% payout for over-achievement of up to 120% of the stated target and imposes on a 0% payout for any achievement that falls below 80% of the stated target.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STI plan is an important part of our pay-for-performance culture. We believe that tying a significant portion of our executive cash compensation to financial and operational goals – such as production goals, revenue metrics and progress of product development milestones – encourages corporate performance and stock price growth. This element of compensation is truly at risk and has resulted in achievement levels as low as 50% in recent years.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Early in 2025, the Board of Directors specified the main corporate objectives and their weightings for 2025. In February 2026, the Compensation Committee evaluated the performance of the Company against the corporate objectives as follows: </w:t>
      </w:r>
    </w:p>
    <w:tbl>
      <w:tblPr>
        <w:tblW w:w="10205" w:type="dxa"/>
        <w:jc w:val="left"/>
        <w:tblInd w:w="0" w:type="dxa"/>
        <w:tblLayout w:type="fixed"/>
        <w:tblCellMar>
          <w:top w:w="28" w:type="dxa"/>
          <w:left w:w="28" w:type="dxa"/>
          <w:bottom w:w="28" w:type="dxa"/>
          <w:right w:w="28" w:type="dxa"/>
        </w:tblCellMar>
      </w:tblPr>
      <w:tblGrid>
        <w:gridCol w:w="2083"/>
        <w:gridCol w:w="146"/>
        <w:gridCol w:w="691"/>
        <w:gridCol w:w="146"/>
        <w:gridCol w:w="6241"/>
        <w:gridCol w:w="146"/>
        <w:gridCol w:w="752"/>
      </w:tblGrid>
      <w:tr>
        <w:trPr/>
        <w:tc>
          <w:tcPr>
            <w:tcW w:w="2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Assessment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Result</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Assessed quantitatively with respect to production goals and qualitatively with respect to actions taken to expand production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Drive endocrinology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Assessed quantitatively with respect to financial metrics and qualitatively with respect to clinical development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pipeline opportunities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Assessed quantitatively with respect to the achievement of development 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r>
        <w:trPr/>
        <w:tc>
          <w:tcPr>
            <w:tcW w:w="2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Finance/Quality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Assessed qualitatively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r>
      <w:tr>
        <w:trPr/>
        <w:tc>
          <w:tcPr>
            <w:tcW w:w="2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Overall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eligible position, including the executive officers, is assigned a target STI opportunity expressed as a percentage of base salary, which reflects market competitive levels. Target STI opportunities are generally intended to be at the 50th percentile of the market. For Dr. Castagna, the target STI opportunity is 80% of base salary. For all other executive officers, the target STI opportunity is 50% of base salary.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Compensation Committee’s determination that the Company as a whole achieved 107.0% of its 2025 corporate goals, 107.0% of the aggregate target STI opportunity for all bonus-eligible employees was made available as a pool for cash incentive awards throughout the Company. Individual awards were paid from this pool in early April 2026 after adjustments, if any, to differentiate on the basis of individual performance during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Long-Term Incentives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provide a significant retention incentive and to ensure a strong link to the long-term interests of stockholders, we provide a portion of our total compensation in the form of LTI compensation, which is generally delivered as an equity award (typically restricted stock units). In 2025, all employees, including executive officers, were eligible to receive equity awards. Equity awards are granted under the 2018 Equity Incentive Plan, which is administered by the Compensation Committee pursuant to a delegation of concurrent authority by our Board of Directors. The awards are made at the discretion of the Compensation Committee, after taking into consideration grant guidelines that we have developed. In 2025, based on the benchmarks provided by our peer group, the Compensation Committee determined that no changes were warranted to the equity guidelines for executive officers.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policy with regard to the timing of grants of equity compensation is to issue annual grants of equity awards in connection with a regularly scheduled quarterly meeting of the Compensation Committee. The timing of grant dates is not based on any favorable or unfavorable non-public information anticipated to be disclosed at a later date. All stock option awards are granted with an exercise price equal to the closing price of our common stock on the Nasdaq Global Market on the date of the meeting at which such stock options were granted.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May 2025, annual equity awards were delivered as grants of both performance-based and time-based restricted stock units. The total target amount of annual equity compensation for each executive officer was converted into a number of shares using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then-current 20-day trailing average stock price and the resulting number was divided into two awards of restricted stock units. For clarity, the values of these grants for purposes of the Summary Compensation Table on page 34 and the Grants of Plan table on page 36 are calculated on the basis of a Monte Carlo simulation of the grant date fair market value. Note that the actual grants made to Mr. Marasco were pro-rated to reflect the shortened period between his hire date in January 2025 and the grant of the annual equity awards in May 2025.</w:t>
      </w:r>
    </w:p>
    <w:tbl>
      <w:tblPr>
        <w:tblW w:w="9937" w:type="dxa"/>
        <w:jc w:val="left"/>
        <w:tblInd w:w="0" w:type="dxa"/>
        <w:tblLayout w:type="fixed"/>
        <w:tblCellMar>
          <w:top w:w="28" w:type="dxa"/>
          <w:left w:w="28" w:type="dxa"/>
          <w:bottom w:w="28" w:type="dxa"/>
          <w:right w:w="28" w:type="dxa"/>
        </w:tblCellMar>
      </w:tblPr>
      <w:tblGrid>
        <w:gridCol w:w="4486"/>
        <w:gridCol w:w="146"/>
        <w:gridCol w:w="1321"/>
        <w:gridCol w:w="146"/>
        <w:gridCol w:w="2371"/>
        <w:gridCol w:w="146"/>
        <w:gridCol w:w="132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LTI Guideline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Time-based </w:t>
              <w:br/>
              <w:t>Award</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951,000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523,000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428,000 RSUs</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Prentiss, Mr. Marasco, Dr. Thomson, and Dr. Tross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264,000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145,000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119,000 RSUs</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One award, representing approximately 45% of total annual equity incentive, was delivered as a time-based restricted stock unit that vests 25% annually, commencing in July 2026 and ending in July 2029. The other award, representing approximately 55% of the total annual equity incentive, was delivered as a performance stock unit that cliff-vests in July 2028. The number of shares delivered on the vesting date, as a percentage of the target number specified in the table above, will be determined by the percentile ranking of the Company’s total stockholder return (“TSR”) over a three-year measurement period from July 2025 until June 2028 relative to the TSR of the Russell 3000 Pharmaceutical &amp; Biotechnology Index over the same period,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&lt;25</w:t>
      </w:r>
      <w:r>
        <w:rPr>
          <w:rFonts w:ascii="Times New Roman" w:hAnsi="Times New Roman"/>
          <w:color w:val="000000"/>
          <w:sz w:val="13"/>
        </w:rPr>
        <w:t>th</w:t>
      </w:r>
      <w:r>
        <w:rPr>
          <w:color w:val="000000"/>
        </w:rPr>
        <w:t xml:space="preserve"> </w:t>
      </w:r>
      <w:r>
        <w:rPr>
          <w:rFonts w:ascii="Times New Roman" w:hAnsi="Times New Roman"/>
          <w:color w:val="000000"/>
          <w:sz w:val="20"/>
        </w:rPr>
        <w:t>percentile = 0% of target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25</w:t>
      </w:r>
      <w:r>
        <w:rPr>
          <w:rFonts w:ascii="Times New Roman" w:hAnsi="Times New Roman"/>
          <w:color w:val="000000"/>
          <w:sz w:val="13"/>
        </w:rPr>
        <w:t>th</w:t>
      </w:r>
      <w:r>
        <w:rPr>
          <w:color w:val="000000"/>
        </w:rPr>
        <w:t xml:space="preserve"> </w:t>
      </w:r>
      <w:r>
        <w:rPr>
          <w:rFonts w:ascii="Times New Roman" w:hAnsi="Times New Roman"/>
          <w:color w:val="000000"/>
          <w:sz w:val="20"/>
        </w:rPr>
        <w:t>percentile = 50% of target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w:t>
      </w:r>
      <w:r>
        <w:rPr>
          <w:rFonts w:ascii="Times New Roman" w:hAnsi="Times New Roman"/>
          <w:color w:val="000000"/>
          <w:sz w:val="13"/>
        </w:rPr>
        <w:t>th</w:t>
      </w:r>
      <w:r>
        <w:rPr>
          <w:color w:val="000000"/>
        </w:rPr>
        <w:t xml:space="preserve"> </w:t>
      </w:r>
      <w:r>
        <w:rPr>
          <w:rFonts w:ascii="Times New Roman" w:hAnsi="Times New Roman"/>
          <w:color w:val="000000"/>
          <w:sz w:val="20"/>
        </w:rPr>
        <w:t>percentile = 100% of target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75</w:t>
      </w:r>
      <w:r>
        <w:rPr>
          <w:rFonts w:ascii="Times New Roman" w:hAnsi="Times New Roman"/>
          <w:color w:val="000000"/>
          <w:sz w:val="13"/>
        </w:rPr>
        <w:t>th</w:t>
      </w:r>
      <w:r>
        <w:rPr>
          <w:color w:val="000000"/>
        </w:rPr>
        <w:t xml:space="preserve"> </w:t>
      </w:r>
      <w:r>
        <w:rPr>
          <w:rFonts w:ascii="Times New Roman" w:hAnsi="Times New Roman"/>
          <w:color w:val="000000"/>
          <w:sz w:val="20"/>
        </w:rPr>
        <w:t>percentile = 200% of target</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color w:val="000000"/>
          <w:sz w:val="20"/>
        </w:rPr>
        <w:t>90</w:t>
      </w:r>
      <w:r>
        <w:rPr>
          <w:rFonts w:ascii="Times New Roman" w:hAnsi="Times New Roman"/>
          <w:color w:val="000000"/>
          <w:sz w:val="13"/>
        </w:rPr>
        <w:t>th</w:t>
      </w:r>
      <w:r>
        <w:rPr>
          <w:color w:val="000000"/>
        </w:rPr>
        <w:t xml:space="preserve"> </w:t>
      </w:r>
      <w:r>
        <w:rPr>
          <w:rFonts w:ascii="Times New Roman" w:hAnsi="Times New Roman"/>
          <w:color w:val="000000"/>
          <w:sz w:val="20"/>
        </w:rPr>
        <w:t>percentile = 300% of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Payout values will be interpolated between the percentile rankings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reflected in the Summary Compensation Table on page 34, executive officers who were awarded a performance-based stock unit in 2022 received a payout from such awards in May 2025. Based on the relative performance of the Company’s TSR over the measurement period (75th percentile), each such executive officer received a number of shares that corresponded to 196% of target for such awards.</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We believe that the use of relative TSR is an appropriate metric for LTI compensation whereas operational metrics, such as revenue growth, are better suited for STI. Putting a majority of the LTI at risk and tying the value of that compensation to stockholder returns over the same period aligns with our pay-for performance philosophy. At the same time, the inclusion of time-based awards within the LTI program encourages employee retention and fosters equity ownership, which are additional objectives of our compensation program. </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executive officers are subject to our Dodd-Frank Act-compliant clawback policy, which applies to all incentive-based compensation, including STI and LTI, that is granted, earned or vested based wholly or in part upon the attainment of a financial reporting measure, which are measures that are determined and presented in accordance with the accounting principles used in preparing the Company’s financial statements, and any measures derived wholly or in part from such measures, including Company stock price and TSR. The policy provides that such incentive-based compensation is subject to recoupment for any material financial restatement, regardless of whether the executive is at fault and regardless of any fraud or willful misconduct. The policy applies to any incentive compensation received by an executive officer on or after October 2, 2023.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are subject to our stock ownership guidelines, which require each such individual to hold a specified number of shares of our common stock calculated by dividing the dollar amount below by the current stock price:</w:t>
      </w:r>
    </w:p>
    <w:p>
      <w:pPr>
        <w:pStyle w:val="TextBody"/>
        <w:bidi w:val="0"/>
        <w:spacing w:before="12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63" w:type="dxa"/>
        <w:jc w:val="left"/>
        <w:tblInd w:w="0" w:type="dxa"/>
        <w:tblLayout w:type="fixed"/>
        <w:tblCellMar>
          <w:top w:w="28" w:type="dxa"/>
          <w:left w:w="28" w:type="dxa"/>
          <w:bottom w:w="28" w:type="dxa"/>
          <w:right w:w="28" w:type="dxa"/>
        </w:tblCellMar>
      </w:tblPr>
      <w:tblGrid>
        <w:gridCol w:w="7081"/>
        <w:gridCol w:w="146"/>
        <w:gridCol w:w="1936"/>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7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 Guideline</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times base salary</w:t>
            </w:r>
          </w:p>
        </w:tc>
      </w:tr>
      <w:tr>
        <w:trPr/>
        <w:tc>
          <w:tcPr>
            <w:tcW w:w="7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times base salary</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Presidents and Vice Presidents serving on the Executive Leadership Team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times base salary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individual subject to the stock ownership guidelines has five years to reach the applicable guideline, beginning January 1, 2020 or when the individual is hired or promoted into the eligible role, whichever is later. Upon completion of the grace period, for anyone out of compliance with the guidelines, the Board or the Compensation Committee may restrict their sale of shares or may choose to deliver salary or STI payments in stock rather than cash until the guidelines are satisfied. All executive officers are currently in compliance with our stock ownership guidelines. </w:t>
      </w:r>
    </w:p>
    <w:p>
      <w:pPr>
        <w:pStyle w:val="TextBody"/>
        <w:bidi w:val="0"/>
        <w:spacing w:before="360" w:after="283"/>
        <w:jc w:val="left"/>
        <w:rPr>
          <w:rFonts w:ascii="Times New Roman" w:hAnsi="Times New Roman"/>
          <w:sz w:val="20"/>
        </w:rPr>
      </w:pPr>
      <w:r>
        <w:rPr>
          <w:rFonts w:ascii="Times New Roman" w:hAnsi="Times New Roman"/>
          <w:b/>
          <w:color w:val="000000"/>
          <w:sz w:val="20"/>
        </w:rPr>
        <w:t>Other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a competitive benefits package to all full-time employees, which includes health and welfare benefits, such as medical, dental, vision care, life insurance benefits, and a 401(k) savings plan (as described below). Executives, including the named executive officers, receive additional benefits, including executive medical reimbursement insurance, as well as additional short-term and long-term disability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other structured perquisite benefits (e.g. automobile allowance, or financial planning services) for any executive officer, including the named executive officers, and we currently do not provide any deferred compensation programs or supplemental pensions to any executive officer, including the named executive officers.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including our executive officers, are eligible to participate in a defined contribution retirement plan that provides eligible employees with an opportunity to save for retirement on a tax advantaged basis. Eligible employees may elect to defer up to 100% of their eligible compensation into the plan on a pretax or after tax basis, up to annual limits prescribed by the Internal Revenue Code (the "Code"), with an annual match of up to 5% of the amount deferred, defined as a 50% match up to 10% eligible employee contribution, subject to the limitations of the Code.</w:t>
      </w:r>
    </w:p>
    <w:p>
      <w:pPr>
        <w:pStyle w:val="TextBody"/>
        <w:bidi w:val="0"/>
        <w:spacing w:before="360" w:after="283"/>
        <w:jc w:val="left"/>
        <w:rPr>
          <w:rFonts w:ascii="Times New Roman" w:hAnsi="Times New Roman"/>
          <w:sz w:val="20"/>
        </w:rPr>
      </w:pPr>
      <w:r>
        <w:rPr>
          <w:rFonts w:ascii="Times New Roman" w:hAnsi="Times New Roman"/>
          <w:b/>
          <w:color w:val="000000"/>
          <w:sz w:val="20"/>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encourage stock ownership and provide greater incentives to contribute to our success at all levels, we provide all employees, including executive officers, the ability to purchase our common stock at a discount under our 2004 employee stock purchase plan (the “Purchase Plan”). The Purchase Plan is designed to comply with Section 423 of the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Purchase Plan are identical to those of all other employees. </w:t>
      </w:r>
    </w:p>
    <w:p>
      <w:pPr>
        <w:pStyle w:val="TextBody"/>
        <w:bidi w:val="0"/>
        <w:spacing w:before="360" w:after="283"/>
        <w:jc w:val="left"/>
        <w:rPr>
          <w:rFonts w:ascii="Times New Roman" w:hAnsi="Times New Roman"/>
          <w:sz w:val="20"/>
        </w:rPr>
      </w:pPr>
      <w:r>
        <w:rPr>
          <w:rFonts w:ascii="Times New Roman" w:hAnsi="Times New Roman"/>
          <w:b/>
          <w:color w:val="000000"/>
          <w:sz w:val="20"/>
        </w:rPr>
        <w:t>Severance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we have no severance agreements with our executive officers, except with Dr. Thomson. The terms of the agreement and amounts that may be realized are detailed under the heading “Potential Payments Upon Termination or Change of Control.” </w:t>
      </w:r>
    </w:p>
    <w:p>
      <w:pPr>
        <w:pStyle w:val="TextBody"/>
        <w:bidi w:val="0"/>
        <w:spacing w:before="360" w:after="100"/>
        <w:jc w:val="left"/>
        <w:rPr>
          <w:rFonts w:ascii="Times New Roman" w:hAnsi="Times New Roman"/>
          <w:sz w:val="20"/>
        </w:rPr>
      </w:pPr>
      <w:r>
        <w:rPr>
          <w:rFonts w:ascii="Times New Roman" w:hAnsi="Times New Roman"/>
          <w:b/>
          <w:color w:val="000000"/>
          <w:sz w:val="20"/>
        </w:rPr>
        <w:t>Change of Control Provisions</w:t>
      </w:r>
      <w:r>
        <w:rPr>
          <w:rFonts w:ascii="Times New Roman" w:hAnsi="Times New Roman"/>
          <w:color w:val="000000"/>
          <w:sz w:val="20"/>
        </w:rPr>
        <w:t xml:space="preserve"> </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 xml:space="preserve">We have entered into change of control agreements with each of our executive officers in order to ensure that we have the continued dedication of these executives and in order to provide them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Tax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162(m) of the Code (“Section 162(m)”), compensation paid to any publicly held corporation’s “covered employees” that exceeds $1 million per taxable year for any covered employee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pStyle w:val="TextBody"/>
        <w:bidi w:val="0"/>
        <w:spacing w:before="360" w:after="283"/>
        <w:jc w:val="left"/>
        <w:rPr>
          <w:rFonts w:ascii="Times New Roman" w:hAnsi="Times New Roman"/>
          <w:sz w:val="20"/>
        </w:rPr>
      </w:pPr>
      <w:bookmarkStart w:id="11" w:name="sct"/>
      <w:bookmarkEnd w:id="11"/>
      <w:r>
        <w:rPr>
          <w:rFonts w:ascii="Times New Roman" w:hAnsi="Times New Roman"/>
          <w:b/>
          <w:color w:val="000000"/>
          <w:sz w:val="20"/>
        </w:rPr>
        <w:t>Summary</w:t>
      </w:r>
      <w:r>
        <w:rPr>
          <w:rFonts w:ascii="Times New Roman" w:hAnsi="Times New Roman"/>
          <w:color w:val="000000"/>
          <w:sz w:val="20"/>
        </w:rPr>
        <w:t xml:space="preserve"> </w:t>
      </w:r>
      <w:r>
        <w:rPr>
          <w:rFonts w:ascii="Times New Roman" w:hAnsi="Times New Roman"/>
          <w:b/>
          <w:color w:val="000000"/>
          <w:sz w:val="20"/>
        </w:rPr>
        <w:t>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for the three year period ended December 31, 2025 compensation awarded to, or earned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individuals who served as our principal executive officer ("PEO") or principal financial officer for any portion of 2025;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three most highly compensated executive officers in 2025, other than the individuals listed above, who were serving as executive officers during 2025 and as of December 31, 2025. </w:t>
      </w:r>
    </w:p>
    <w:tbl>
      <w:tblPr>
        <w:tblW w:w="9682" w:type="dxa"/>
        <w:jc w:val="left"/>
        <w:tblInd w:w="0" w:type="dxa"/>
        <w:tblLayout w:type="fixed"/>
        <w:tblCellMar>
          <w:top w:w="28" w:type="dxa"/>
          <w:left w:w="28" w:type="dxa"/>
          <w:bottom w:w="28" w:type="dxa"/>
          <w:right w:w="28" w:type="dxa"/>
        </w:tblCellMar>
      </w:tblPr>
      <w:tblGrid>
        <w:gridCol w:w="2221"/>
        <w:gridCol w:w="146"/>
        <w:gridCol w:w="146"/>
        <w:gridCol w:w="406"/>
        <w:gridCol w:w="146"/>
        <w:gridCol w:w="146"/>
        <w:gridCol w:w="146"/>
        <w:gridCol w:w="586"/>
        <w:gridCol w:w="146"/>
        <w:gridCol w:w="146"/>
        <w:gridCol w:w="146"/>
        <w:gridCol w:w="146"/>
        <w:gridCol w:w="691"/>
        <w:gridCol w:w="146"/>
        <w:gridCol w:w="146"/>
        <w:gridCol w:w="146"/>
        <w:gridCol w:w="190"/>
        <w:gridCol w:w="771"/>
        <w:gridCol w:w="146"/>
        <w:gridCol w:w="146"/>
        <w:gridCol w:w="146"/>
        <w:gridCol w:w="191"/>
        <w:gridCol w:w="770"/>
        <w:gridCol w:w="146"/>
        <w:gridCol w:w="346"/>
        <w:gridCol w:w="146"/>
        <w:gridCol w:w="146"/>
        <w:gridCol w:w="69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7,929,950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9,490,628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5,536,550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7,068,114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Christopher B. Prentiss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2,886,799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3,352,852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Dominic Marasco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6,269,015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6,980,472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President, Endocrine Business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David B. Thomson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3,155,248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EVP, General Counsel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3,059,888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2,343,030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Stuart A. Tross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2,945,695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EVP, Human Resources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2,932,705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
        <w:gridCol w:w="9928"/>
      </w:tblGrid>
      <w:tr>
        <w:trPr/>
        <w:tc>
          <w:tcPr>
            <w:tcW w:w="277" w:type="dxa"/>
            <w:tcBorders/>
            <w:vAlign w:val="center"/>
          </w:tcPr>
          <w:p>
            <w:pPr>
              <w:pStyle w:val="TableContents"/>
              <w:bidi w:val="0"/>
              <w:spacing w:before="0" w:after="283"/>
              <w:jc w:val="left"/>
              <w:rPr>
                <w:sz w:val="4"/>
                <w:szCs w:val="4"/>
              </w:rPr>
            </w:pPr>
            <w:r>
              <w:rPr>
                <w:sz w:val="4"/>
                <w:szCs w:val="4"/>
              </w:rPr>
            </w:r>
          </w:p>
        </w:tc>
        <w:tc>
          <w:tcPr>
            <w:tcW w:w="9928" w:type="dxa"/>
            <w:tcBorders/>
            <w:vAlign w:val="center"/>
          </w:tcPr>
          <w:p>
            <w:pPr>
              <w:pStyle w:val="TableContents"/>
              <w:bidi w:val="0"/>
              <w:spacing w:before="0" w:after="283"/>
              <w:jc w:val="left"/>
              <w:rPr>
                <w:sz w:val="4"/>
                <w:szCs w:val="4"/>
              </w:rPr>
            </w:pPr>
            <w:r>
              <w:rPr>
                <w:sz w:val="4"/>
                <w:szCs w:val="4"/>
              </w:rPr>
            </w:r>
          </w:p>
        </w:tc>
      </w:tr>
      <w:tr>
        <w:trPr/>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amounts earned but deferred at the election of the named executive officer, such as salary deferrals under our 401(k) Plan established under Section 401(k) of the Code.</w:t>
            </w:r>
          </w:p>
        </w:tc>
      </w:tr>
      <w:tr>
        <w:trPr/>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Represents the aggregate grant date fair value of the restricted stock unit awards comprised of time-based and performance-based stock awards. Time-based restricted stock unit awards are valued based on the market price of the stock on the grant date. </w:t>
            </w:r>
          </w:p>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restricted stock unit awards are valued based on a Monte-Carlo simulation model. Those issued during the year ended December 31, 2025 had a grant date fair value of $10.84 per share and will vest on July 15, 2028. The fair value of the performance-based restricted stock unit awards was determined using a share price of $4.72, risk-free interest rate of 3.96%, volatility of 52%, and a dividend yield of 0%. The number of shares delivered on the vesting date is determined by the percentile ranking of TSR over the period from July 1, 2025 until June 30, 2028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these percentile rankings. The 300% maximum yields the following: Dr. Castagna, $7,405,680; Messrs. Prentiss, Thomson and Tross, $2,053,200; and Mr. Marasco, $993,975.</w:t>
            </w:r>
          </w:p>
        </w:tc>
      </w:tr>
      <w:tr>
        <w:trPr/>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28"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Represents non-equity incentive plan compensation earned in the applicable year which is paid (or will be paid) in the following year. Non-equity incentive plan compensation is based on individual performance in the achievement of corporate objectives. Performance is compared to these objectives annually.</w:t>
            </w:r>
          </w:p>
        </w:tc>
      </w:tr>
      <w:tr>
        <w:trPr/>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the provisions of the 401(k) Plan and limits of the Code.</w:t>
            </w:r>
          </w:p>
        </w:tc>
      </w:tr>
      <w:tr>
        <w:trPr/>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$11,750 in contributions under the 401(k) Plan, $20,590 in medical benefits, $2,054 in group term life insurance benefits and $111,418 for a one-time payout of unused paid time off.</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
        <w:gridCol w:w="9807"/>
      </w:tblGrid>
      <w:tr>
        <w:trPr/>
        <w:tc>
          <w:tcPr>
            <w:tcW w:w="398"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On April 22, 2024, Mr. Prentiss was appointed as Chief Financial Officer.</w:t>
            </w:r>
          </w:p>
        </w:tc>
      </w:tr>
      <w:tr>
        <w:trPr/>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$11,752 in contributions under the 401(k) Plan, $1,521 in medical benefits, $2,282 in group term life insurance benefits and $16,184 for a one-time payout of unused paid time off.</w:t>
            </w:r>
          </w:p>
        </w:tc>
      </w:tr>
      <w:tr>
        <w:trPr/>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On January 6, 2025, Mr. Marasco was appointed as our President, Endocrine Business Unit.</w:t>
            </w:r>
          </w:p>
        </w:tc>
      </w:tr>
      <w:tr>
        <w:trPr/>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$10,733 in contributions under the 401(k) Plan, $6,699 in medical benefits, $1,938 in group term life insurance benefits, $3,063 in other stipend and $1,964 for a one-time payout of unused paid time off.</w:t>
            </w:r>
          </w:p>
        </w:tc>
      </w:tr>
      <w:tr>
        <w:trPr/>
        <w:tc>
          <w:tcPr>
            <w:tcW w:w="39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(10)</w:t>
            </w:r>
          </w:p>
          <w:p>
            <w:pPr>
              <w:pStyle w:val="TableContents"/>
              <w:bidi w:val="0"/>
              <w:spacing w:before="0" w:after="283"/>
              <w:jc w:val="left"/>
              <w:rPr/>
            </w:pPr>
            <w:r>
              <w:rPr/>
              <w:t> </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$12,150 in contributions under the 401(k) Plan, $32,577 in medical benefits and $4,196 in group term life insurance benefits and $73,497 for a one-time payout of unused paid time off.</w:t>
            </w:r>
          </w:p>
        </w:tc>
      </w:tr>
      <w:tr>
        <w:trPr/>
        <w:tc>
          <w:tcPr>
            <w:tcW w:w="39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(11)</w:t>
            </w:r>
          </w:p>
          <w:p>
            <w:pPr>
              <w:pStyle w:val="TableContents"/>
              <w:bidi w:val="0"/>
              <w:spacing w:before="0" w:after="283"/>
              <w:jc w:val="left"/>
              <w:rPr/>
            </w:pPr>
            <w:r>
              <w:rPr/>
              <w:t> </w:t>
            </w:r>
          </w:p>
        </w:tc>
        <w:tc>
          <w:tcPr>
            <w:tcW w:w="980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$12,610 in contributions under the 401(k) Plan, $61,012 in medical benefits, $3,257 in group term life insurance benefits and $61,918 for a one-time payout of unused paid time off.</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grants_of_plan"/>
      <w:bookmarkEnd w:id="12"/>
      <w:r>
        <w:rPr>
          <w:rFonts w:ascii="Times New Roman" w:hAnsi="Times New Roman"/>
          <w:b/>
          <w:color w:val="000000"/>
          <w:sz w:val="20"/>
        </w:rPr>
        <w:t>Grants of Plan-Based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plan-based awards granted to the named executive officers during the fiscal year ended December 31, 2025.</w:t>
      </w:r>
    </w:p>
    <w:p>
      <w:pPr>
        <w:pStyle w:val="TextBody"/>
        <w:bidi w:val="0"/>
        <w:jc w:val="left"/>
        <w:rPr/>
      </w:pPr>
      <w:r>
        <w:rPr/>
        <w:t> </w:t>
      </w:r>
    </w:p>
    <w:p>
      <w:pPr>
        <w:pStyle w:val="TextBody"/>
        <w:bidi w:val="0"/>
        <w:jc w:val="left"/>
        <w:rPr/>
      </w:pPr>
      <w:r>
        <w:rPr/>
        <w:t> </w:t>
      </w:r>
    </w:p>
    <w:tbl>
      <w:tblPr>
        <w:tblW w:w="11349" w:type="dxa"/>
        <w:jc w:val="left"/>
        <w:tblInd w:w="0" w:type="dxa"/>
        <w:tblLayout w:type="fixed"/>
        <w:tblCellMar>
          <w:top w:w="28" w:type="dxa"/>
          <w:left w:w="28" w:type="dxa"/>
          <w:bottom w:w="28" w:type="dxa"/>
          <w:right w:w="28" w:type="dxa"/>
        </w:tblCellMar>
      </w:tblPr>
      <w:tblGrid>
        <w:gridCol w:w="931"/>
        <w:gridCol w:w="146"/>
        <w:gridCol w:w="556"/>
        <w:gridCol w:w="256"/>
        <w:gridCol w:w="245"/>
        <w:gridCol w:w="581"/>
        <w:gridCol w:w="146"/>
        <w:gridCol w:w="146"/>
        <w:gridCol w:w="146"/>
        <w:gridCol w:w="691"/>
        <w:gridCol w:w="146"/>
        <w:gridCol w:w="146"/>
        <w:gridCol w:w="146"/>
        <w:gridCol w:w="826"/>
        <w:gridCol w:w="146"/>
        <w:gridCol w:w="146"/>
        <w:gridCol w:w="146"/>
        <w:gridCol w:w="691"/>
        <w:gridCol w:w="146"/>
        <w:gridCol w:w="146"/>
        <w:gridCol w:w="146"/>
        <w:gridCol w:w="691"/>
        <w:gridCol w:w="146"/>
        <w:gridCol w:w="146"/>
        <w:gridCol w:w="146"/>
        <w:gridCol w:w="826"/>
        <w:gridCol w:w="146"/>
        <w:gridCol w:w="146"/>
        <w:gridCol w:w="146"/>
        <w:gridCol w:w="826"/>
        <w:gridCol w:w="146"/>
        <w:gridCol w:w="146"/>
        <w:gridCol w:w="146"/>
        <w:gridCol w:w="826"/>
        <w:gridCol w:w="19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Future Payouts under </w:t>
              <w:br/>
              <w:t>Non-Equity Incentive Plan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Future Payouts under </w:t>
              <w:br/>
              <w:t>Equity Incentive Plan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Stock Awards: Number of Shares of Stock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 of Stock and Option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5,669,320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2,020,160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Christopher B. Prentiss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Dominic Marasco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B. Thomson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Stuart Tross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100"/>
        <w:jc w:val="left"/>
        <w:rPr/>
      </w:pPr>
      <w:r>
        <w:rPr/>
        <w:t> </w:t>
      </w:r>
    </w:p>
    <w:tbl>
      <w:tblPr>
        <w:tblW w:w="10205" w:type="dxa"/>
        <w:jc w:val="left"/>
        <w:tblInd w:w="0" w:type="dxa"/>
        <w:tblLayout w:type="fixed"/>
        <w:tblCellMar>
          <w:top w:w="28" w:type="dxa"/>
          <w:left w:w="28" w:type="dxa"/>
          <w:bottom w:w="28" w:type="dxa"/>
          <w:right w:w="28" w:type="dxa"/>
        </w:tblCellMar>
      </w:tblPr>
      <w:tblGrid>
        <w:gridCol w:w="280"/>
        <w:gridCol w:w="9925"/>
      </w:tblGrid>
      <w:tr>
        <w:trPr/>
        <w:tc>
          <w:tcPr>
            <w:tcW w:w="280" w:type="dxa"/>
            <w:tcBorders/>
            <w:shd w:fill="FFFFFF" w:val="clear"/>
            <w:vAlign w:val="center"/>
          </w:tcPr>
          <w:p>
            <w:pPr>
              <w:pStyle w:val="TableContents"/>
              <w:bidi w:val="0"/>
              <w:spacing w:before="0" w:after="283"/>
              <w:jc w:val="left"/>
              <w:rPr>
                <w:sz w:val="4"/>
                <w:szCs w:val="4"/>
              </w:rPr>
            </w:pPr>
            <w:r>
              <w:rPr>
                <w:sz w:val="4"/>
                <w:szCs w:val="4"/>
              </w:rPr>
            </w:r>
          </w:p>
        </w:tc>
        <w:tc>
          <w:tcPr>
            <w:tcW w:w="9925" w:type="dxa"/>
            <w:tcBorders/>
            <w:shd w:fill="FFFFFF" w:val="clear"/>
            <w:vAlign w:val="center"/>
          </w:tcPr>
          <w:p>
            <w:pPr>
              <w:pStyle w:val="TableContents"/>
              <w:bidi w:val="0"/>
              <w:spacing w:before="0" w:after="283"/>
              <w:jc w:val="left"/>
              <w:rPr>
                <w:sz w:val="4"/>
                <w:szCs w:val="4"/>
              </w:rPr>
            </w:pPr>
            <w:r>
              <w:rPr>
                <w:sz w:val="4"/>
                <w:szCs w:val="4"/>
              </w:rPr>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Annual cash incentive awards under our STI plan are based on a percentage of base salary of 80% for Dr. Castagna and 50% for other NEOs. Actual payout of these awards is assessed by the Compensation Committee as a result of performance against defined corporate objectives. Estimates of these payouts are computed using the following percentages of meeting the corporate objectives: threshold = 0%, target = 100%, and maximum = 200%. The Compensation Committee assessed the achievement of corporate goals of 107.0% for the year ended December 31, 2025, and adjusted individual amounts to reflect performance in achieving such goals, resulting in the following amounts payable: Dr. Castagna, $675,757; Mr. Prentiss, $251,495; Mr. Marasco, $239,464; Dr. Thomson, $378,600; and Dr. Tross, $234,709.</w:t>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2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The performance-based restricted stock units will vest on July 15, 2028 subject to continuing service. The number of shares delivered on the vesting date is determined by the percentile ranking of the Company’s TSR over the period from July 1, 2025 until June 30, 2028 relative to the TSR of the Russell 3000 Pharmaceutical &amp; Biotechnology Index over the same period, as follows: less than 25th percentile=0% of target, 25th percentile=50% of target, 50th percentile=100% of target, 75th percentile=200% percent of target, 90th percentile or higher=300% maximum. The grant date fair value is based on a Monte-Carlo simulation model.</w:t>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2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The time-based restricted stock units will vest 25% on each one-year anniversary of the vesting commencement date of July 15, 2025 until fully vested on the fourth anniversary of the vesting commencement date, subject to continuing service. The grant date fair value is based on the market price of the stock on the grant date. </w:t>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2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The time-based restricted stock units will vest 33% on January 6, 2027 and each anniversary until fully vested on the fourth anniversary of the vesting determination date of January 6, 2025, subject to continuing service. The grant date fair value is based on the market price of the stock on the grant date. </w:t>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The performance-based restricted stock units will vest on March 15, 2028 subject to continued service. The number of shares delivered on the vesting date is determined by the achievement of certain performance criteria over the period from October 1, 2027 to December 31, 2027. The grant date fair value is based on the market price of the stock on the grant date.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Outstanding Equity Awards at Fiscal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summary information regarding the outstanding equity awards at December 31, 2025 granted to each of our named executive officers.</w:t>
      </w:r>
    </w:p>
    <w:p>
      <w:pPr>
        <w:pStyle w:val="TextBody"/>
        <w:bidi w:val="0"/>
        <w:jc w:val="left"/>
        <w:rPr/>
      </w:pPr>
      <w:r>
        <w:rPr/>
        <w:t> </w:t>
      </w:r>
    </w:p>
    <w:tbl>
      <w:tblPr>
        <w:tblW w:w="11252" w:type="dxa"/>
        <w:jc w:val="left"/>
        <w:tblInd w:w="0" w:type="dxa"/>
        <w:tblLayout w:type="fixed"/>
        <w:tblCellMar>
          <w:top w:w="28" w:type="dxa"/>
          <w:left w:w="28" w:type="dxa"/>
          <w:bottom w:w="28" w:type="dxa"/>
          <w:right w:w="28" w:type="dxa"/>
        </w:tblCellMar>
      </w:tblPr>
      <w:tblGrid>
        <w:gridCol w:w="811"/>
        <w:gridCol w:w="146"/>
        <w:gridCol w:w="164"/>
        <w:gridCol w:w="662"/>
        <w:gridCol w:w="146"/>
        <w:gridCol w:w="301"/>
        <w:gridCol w:w="280"/>
        <w:gridCol w:w="666"/>
        <w:gridCol w:w="146"/>
        <w:gridCol w:w="146"/>
        <w:gridCol w:w="183"/>
        <w:gridCol w:w="643"/>
        <w:gridCol w:w="146"/>
        <w:gridCol w:w="226"/>
        <w:gridCol w:w="177"/>
        <w:gridCol w:w="439"/>
        <w:gridCol w:w="146"/>
        <w:gridCol w:w="146"/>
        <w:gridCol w:w="227"/>
        <w:gridCol w:w="539"/>
        <w:gridCol w:w="146"/>
        <w:gridCol w:w="146"/>
        <w:gridCol w:w="146"/>
        <w:gridCol w:w="586"/>
        <w:gridCol w:w="146"/>
        <w:gridCol w:w="301"/>
        <w:gridCol w:w="146"/>
        <w:gridCol w:w="691"/>
        <w:gridCol w:w="146"/>
        <w:gridCol w:w="146"/>
        <w:gridCol w:w="146"/>
        <w:gridCol w:w="691"/>
        <w:gridCol w:w="146"/>
        <w:gridCol w:w="301"/>
        <w:gridCol w:w="146"/>
        <w:gridCol w:w="691"/>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Number of </w:t>
              <w:br/>
              <w:t xml:space="preserve">Securities </w:t>
              <w:br/>
              <w:t xml:space="preserve">Underlying </w:t>
              <w:br/>
              <w:t xml:space="preserve">Unexercised </w:t>
              <w:br/>
              <w:t xml:space="preserve">Options </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Number of </w:t>
              <w:br/>
              <w:t xml:space="preserve">Securities </w:t>
              <w:br/>
              <w:t xml:space="preserve">Underlying </w:t>
              <w:br/>
              <w:t xml:space="preserve">Unexercised </w:t>
              <w:br/>
              <w:t xml:space="preserve">Options </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Equity Incentive </w:t>
              <w:br/>
              <w:t xml:space="preserve">Plan Awards: </w:t>
              <w:br/>
              <w:t xml:space="preserve">Number of </w:t>
              <w:br/>
              <w:t xml:space="preserve">Securities </w:t>
              <w:br/>
              <w:t xml:space="preserve">Underlying </w:t>
              <w:br/>
              <w:t xml:space="preserve">Unexercised </w:t>
              <w:br/>
              <w:t xml:space="preserve">Unearned </w:t>
              <w:br/>
              <w:t>Options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Option </w:t>
              <w:br/>
              <w:t xml:space="preserve">Exercise </w:t>
              <w:br/>
              <w:t xml:space="preserve">Price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Option </w:t>
              <w:br/>
              <w:t xml:space="preserve">Expiration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Number </w:t>
              <w:br/>
              <w:t xml:space="preserve">of Shares </w:t>
              <w:br/>
              <w:t xml:space="preserve">or Units </w:t>
              <w:br/>
              <w:t xml:space="preserve">of Stock </w:t>
              <w:br/>
              <w:t xml:space="preserve">That </w:t>
              <w:br/>
              <w:t xml:space="preserve">Have </w:t>
              <w:br/>
              <w:t xml:space="preserve">Not </w:t>
              <w:br/>
              <w:t xml:space="preserve">Vested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Market </w:t>
              <w:br/>
              <w:t xml:space="preserve">Value of </w:t>
              <w:br/>
              <w:t xml:space="preserve">Shares or </w:t>
              <w:br/>
              <w:t xml:space="preserve">Units of </w:t>
              <w:br/>
              <w:t xml:space="preserve">Stock </w:t>
              <w:br/>
              <w:t xml:space="preserve">That </w:t>
              <w:br/>
              <w:t xml:space="preserve">Have </w:t>
              <w:br/>
              <w:t xml:space="preserve">Not </w:t>
              <w:br/>
              <w:t xml:space="preserve">Vested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Equity Incentive </w:t>
              <w:br/>
              <w:t xml:space="preserve">Plan Awards: </w:t>
              <w:br/>
              <w:t xml:space="preserve">Number of </w:t>
              <w:br/>
              <w:t xml:space="preserve">Unearned </w:t>
              <w:br/>
              <w:t xml:space="preserve">Shares, </w:t>
              <w:br/>
              <w:t xml:space="preserve">Units or </w:t>
              <w:br/>
              <w:t xml:space="preserve">Other Rights </w:t>
              <w:br/>
              <w:t xml:space="preserve">That Have </w:t>
              <w:br/>
              <w:t xml:space="preserve">Not Vested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Equity Incentive </w:t>
              <w:br/>
              <w:t xml:space="preserve">Plan Awards: </w:t>
              <w:br/>
              <w:t xml:space="preserve">Market or </w:t>
              <w:br/>
              <w:t xml:space="preserve">Payout </w:t>
              <w:br/>
              <w:t xml:space="preserve">Value of </w:t>
              <w:br/>
              <w:t xml:space="preserve">Unearned </w:t>
              <w:br/>
              <w:t xml:space="preserve">Shares, </w:t>
              <w:br/>
              <w:t xml:space="preserve">Units or </w:t>
              <w:br/>
              <w:t xml:space="preserve">Other Rights </w:t>
              <w:br/>
              <w:t xml:space="preserve">That Have </w:t>
              <w:br/>
              <w:t xml:space="preserve">Not Vested </w:t>
              <w:br/>
              <w:t>($)(19)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2,392,740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3,226,230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2,965,410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Christopher B. Prentiss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Dominic Marasco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David B. Thomson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Stuart Tross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(18)</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
        <w:gridCol w:w="9924"/>
      </w:tblGrid>
      <w:tr>
        <w:trPr/>
        <w:tc>
          <w:tcPr>
            <w:tcW w:w="281"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left"/>
              <w:rPr>
                <w:sz w:val="4"/>
                <w:szCs w:val="4"/>
              </w:rPr>
            </w:pPr>
            <w:r>
              <w:rPr>
                <w:sz w:val="4"/>
                <w:szCs w:val="4"/>
              </w:rPr>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non-qualified option grant on May 19, 2016, which shall vest upon the achievement of certain corporate objectives.</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non-qualified option grant on May 25, 2017, which shall vest upon the achievement of certain corporate objectives.</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non-qualified option grant on May 29, 2017, which shall vest upon the achievement of certain corporate objectives.</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25% vesting on the first anniversary of the vesting commencement date and 1/48th per month thereafter; being fully vested on the fourth anniversary of the vesting commencement date. The vesting commencement date is May 29, 2017.</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25% vesting on the first anniversary of the vesting commencement date and 1/48th per month thereafter; being fully vested on the fourth anniversary of the vesting commencement date. The vesting commencement date is May 16, 2018.</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25% vesting on the first anniversary of the vesting commencement date and 1/48th per month thereafter; being fully vested on the fourth anniversary of the vesting commencement date. The vesting commencement date is May 14, 2019.</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Time-based restricted stock unit award: 25% vest on each anniversary of the vesting commencement date; shares shall fully vest on the fourth anniversary of the vesting commencement date. The vesting commencement date is May 10, 2022.</w:t>
            </w:r>
          </w:p>
        </w:tc>
      </w:tr>
      <w:tr>
        <w:trPr/>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99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restricted stock unit: vest on July 15, 2026 provided that the closing price of the Company’s common stock on June 30, 2026 is not less than the closing price on July 1, 2023. The number of shares delivered on the vesting date is determined by the percentile ranking of MannKind total stockholder return (TSR) over the period from July 1, 2023 until June 30, 2026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
        <w:gridCol w:w="9831"/>
      </w:tblGrid>
      <w:tr>
        <w:trPr/>
        <w:tc>
          <w:tcPr>
            <w:tcW w:w="374" w:type="dxa"/>
            <w:tcBorders/>
            <w:vAlign w:val="center"/>
          </w:tcPr>
          <w:p>
            <w:pPr>
              <w:pStyle w:val="TableContents"/>
              <w:bidi w:val="0"/>
              <w:spacing w:before="0" w:after="283"/>
              <w:jc w:val="left"/>
              <w:rPr>
                <w:sz w:val="4"/>
                <w:szCs w:val="4"/>
              </w:rPr>
            </w:pPr>
            <w:r>
              <w:rPr>
                <w:sz w:val="4"/>
                <w:szCs w:val="4"/>
              </w:rPr>
            </w:r>
          </w:p>
        </w:tc>
        <w:tc>
          <w:tcPr>
            <w:tcW w:w="9831" w:type="dxa"/>
            <w:tcBorders/>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Time-based restricted stock unit award: 25% vest on each anniversary of the vesting commencement date; shares shall fully vest on the fourth anniversary of the vesting commencement date. The vesting commencement date is July 15, 2023.</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restricted stock unit award: vest on July 15, 2027. The number of shares delivered on the vesting date is determined by the percentile ranking of MannKind total stockholder return (TSR) over the period from July 1, 2024 until June 30, 2027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Time-based restricted stock unit award: 25% vest on each anniversary of the vesting commencement date; shares shall fully vest on the fourth anniversary of the vesting commencement date. The vesting commencement date is July 15, 2024.</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restricted stock unit award: vest on July 15, 2028. The number of shares delivered on the vesting date is determined by the percentile ranking of MannKind TSR over the period from July 1, 2025 until June 30, 2028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Time-based restricted stock unit award: 25% vest on each anniversary of the vesting commencement date until fully vested on the fourth anniversary of the vesting commencement date. The vesting commencement date is July 15, 2025.</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Time-based restricted stock unit award: 33% vest on April 22, 2026 and an additional 33% vest on each anniversary until fully vested on the fourth anniversary of the vesting commencement date. The vesting commencement date is April 22, 2024.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Time-based restricted stock unit award: 33% vest on January 6, 2027 and an additional 33% vest on each anniversary until fully vested on the fourth anniversary of the vesting determination date. The vesting determination date is January 6, 2025.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(16)</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restricted stock unit award: vest on March 15, 2028. The number of shares delivered on the vesting date is determined by the achievement of certain corporate objectives over the period from October 1, 2027 until December 31, 2027.</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(17)</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Performance-based non-qualified option grant on February 16, 2017, which shall vest upon the achievement of certain corporate objectives.</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(18)</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25% vesting on the first anniversary of the vesting commencement date and 1/48th per month thereafter; being fully vested on the fourth anniversary of the vesting commencement date. The vesting commencement date is February 16, 2017.</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w:t>
            </w:r>
          </w:p>
        </w:tc>
        <w:tc>
          <w:tcPr>
            <w:tcW w:w="983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 xml:space="preserve">Market or payout value of unearned or unvested EIP Awards was computed using the closing price of our common stock of $5.67 on December 31, 2025 multiplied by the number of unearned or unvested EIP Awards at December 31, 2025. </w:t>
            </w:r>
          </w:p>
        </w:tc>
      </w:tr>
    </w:tbl>
    <w:p>
      <w:pPr>
        <w:pStyle w:val="TextBody"/>
        <w:bidi w:val="0"/>
        <w:spacing w:before="0" w:after="10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Exercises and Stock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contains information relating to the exercise of stock option awards and vesting of stock unit awards by the named executive officers during the fiscal year ended December 31, 2025.</w:t>
      </w:r>
    </w:p>
    <w:p>
      <w:pPr>
        <w:pStyle w:val="TextBody"/>
        <w:bidi w:val="0"/>
        <w:spacing w:before="0" w:after="100"/>
        <w:jc w:val="left"/>
        <w:rPr/>
      </w:pPr>
      <w:r>
        <w:rPr/>
        <w:t> </w:t>
      </w:r>
    </w:p>
    <w:tbl>
      <w:tblPr>
        <w:tblW w:w="9134" w:type="dxa"/>
        <w:jc w:val="left"/>
        <w:tblInd w:w="0" w:type="dxa"/>
        <w:tblLayout w:type="fixed"/>
        <w:tblCellMar>
          <w:top w:w="28" w:type="dxa"/>
          <w:left w:w="28" w:type="dxa"/>
          <w:bottom w:w="28" w:type="dxa"/>
          <w:right w:w="28" w:type="dxa"/>
        </w:tblCellMar>
      </w:tblPr>
      <w:tblGrid>
        <w:gridCol w:w="1981"/>
        <w:gridCol w:w="146"/>
        <w:gridCol w:w="243"/>
        <w:gridCol w:w="1302"/>
        <w:gridCol w:w="146"/>
        <w:gridCol w:w="146"/>
        <w:gridCol w:w="224"/>
        <w:gridCol w:w="1201"/>
        <w:gridCol w:w="146"/>
        <w:gridCol w:w="146"/>
        <w:gridCol w:w="243"/>
        <w:gridCol w:w="1302"/>
        <w:gridCol w:w="146"/>
        <w:gridCol w:w="146"/>
        <w:gridCol w:w="193"/>
        <w:gridCol w:w="1232"/>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 Awards</w:t>
            </w:r>
            <w:r>
              <w:rPr>
                <w:rFonts w:ascii="Times New Roman" w:hAnsi="Times New Roman"/>
                <w:color w:val="000000"/>
                <w:sz w:val="20"/>
              </w:rPr>
              <w:t xml:space="preserve"> </w:t>
            </w: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Stock Awards</w:t>
            </w:r>
            <w:r>
              <w:rPr>
                <w:rFonts w:ascii="Times New Roman" w:hAnsi="Times New Roman"/>
                <w:color w:val="000000"/>
                <w:sz w:val="20"/>
              </w:rPr>
              <w:t xml:space="preserve"> </w:t>
            </w:r>
            <w:r>
              <w:rPr>
                <w:rFonts w:ascii="Times New Roman" w:hAnsi="Times New Roman"/>
                <w:color w:val="000000"/>
                <w:sz w:val="16"/>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Shares Acquired </w:t>
              <w:br/>
              <w:t xml:space="preserve">on Exercise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Value Realized </w:t>
              <w:br/>
              <w:t xml:space="preserve">on Exercise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Shares Acquired </w:t>
              <w:br/>
              <w:t xml:space="preserve">on Vesting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Value Realized </w:t>
              <w:br/>
              <w:t xml:space="preserve">on Vesting </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Dominic Marasco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B. Thomson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Tross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100"/>
        <w:jc w:val="left"/>
        <w:rPr/>
      </w:pPr>
      <w:r>
        <w:rPr/>
        <w:t> </w:t>
      </w:r>
    </w:p>
    <w:tbl>
      <w:tblPr>
        <w:tblW w:w="8207" w:type="dxa"/>
        <w:jc w:val="left"/>
        <w:tblInd w:w="0" w:type="dxa"/>
        <w:tblLayout w:type="fixed"/>
        <w:tblCellMar>
          <w:top w:w="28" w:type="dxa"/>
          <w:left w:w="28" w:type="dxa"/>
          <w:bottom w:w="28" w:type="dxa"/>
          <w:right w:w="28" w:type="dxa"/>
        </w:tblCellMar>
      </w:tblPr>
      <w:tblGrid>
        <w:gridCol w:w="331"/>
        <w:gridCol w:w="7876"/>
      </w:tblGrid>
      <w:tr>
        <w:trPr/>
        <w:tc>
          <w:tcPr>
            <w:tcW w:w="331" w:type="dxa"/>
            <w:tcBorders/>
            <w:vAlign w:val="center"/>
          </w:tcPr>
          <w:p>
            <w:pPr>
              <w:pStyle w:val="TableContents"/>
              <w:bidi w:val="0"/>
              <w:spacing w:before="0" w:after="283"/>
              <w:jc w:val="left"/>
              <w:rPr>
                <w:sz w:val="4"/>
                <w:szCs w:val="4"/>
              </w:rPr>
            </w:pPr>
            <w:r>
              <w:rPr>
                <w:sz w:val="4"/>
                <w:szCs w:val="4"/>
              </w:rPr>
            </w:r>
          </w:p>
        </w:tc>
        <w:tc>
          <w:tcPr>
            <w:tcW w:w="78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787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Shares acquired on the exercise of performance-based non-qualified option awards during the one-year period.</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787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Shares acquired on vesting represent restricted stock unit awards that vested during the one-year period.</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0" w:after="283"/>
        <w:jc w:val="left"/>
        <w:rPr>
          <w:rFonts w:ascii="Times New Roman" w:hAnsi="Times New Roman"/>
          <w:sz w:val="20"/>
        </w:rPr>
      </w:pPr>
      <w:r>
        <w:rPr>
          <w:rFonts w:ascii="Times New Roman" w:hAnsi="Times New Roman"/>
          <w:b/>
          <w:color w:val="000000"/>
          <w:sz w:val="20"/>
        </w:rPr>
        <w:t>CEO Pay Ratio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Dr. Castagna, our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calculating the annual total compensation, we used the actual base salary in 2025, the actual cash short-term incentive compensation paid in 2026 for performance in 2025, the grant date fair value of the equity awards granted in 2025, and the value of all other compensation, contributions under the 401(k) plan and medical benefits. We identified the median employee by examining the 2025 total compensation for all individuals, excluding our CEO, who were employed by us on December 31, 2025. We included all employees, as all our employees are U.S.-based.</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The annual total compensation for 2025 was $203,592 for our median employee and $9,300,485 for Dr. Castagna. The resulting ratio of our CEO’s pay to the pay of our median employee for 2025 is approximately 46 to 1.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jc w:val="left"/>
        <w:rPr>
          <w:rFonts w:ascii="Times New Roman" w:hAnsi="Times New Roman"/>
          <w:color w:val="000000"/>
          <w:sz w:val="20"/>
        </w:rPr>
      </w:pPr>
      <w:r>
        <w:rPr>
          <w:rFonts w:ascii="Times New Roman" w:hAnsi="Times New Roman"/>
          <w:color w:val="000000"/>
          <w:sz w:val="20"/>
        </w:rPr>
        <w:t>The disclosure included in this section is prescribed by SEC rules and does not necessarily align with how the Company or the Compensation Committee view the link between the Company’s performance and named executive officer (“NEO”) pay. For additional information about our pay-for-performance philosophy and how we align executive compensation with Company performance, refer to the Compensation Discussion and Analysis beginning on page 27.</w:t>
      </w:r>
    </w:p>
    <w:p>
      <w:pPr>
        <w:pStyle w:val="TextBody"/>
        <w:bidi w:val="0"/>
        <w:jc w:val="left"/>
        <w:rPr>
          <w:rFonts w:ascii="Times New Roman" w:hAnsi="Times New Roman"/>
          <w:b/>
          <w:color w:val="000000"/>
          <w:sz w:val="20"/>
        </w:rPr>
      </w:pPr>
      <w:r>
        <w:rPr>
          <w:rFonts w:ascii="Times New Roman" w:hAnsi="Times New Roman"/>
          <w:b/>
          <w:color w:val="000000"/>
          <w:sz w:val="20"/>
        </w:rPr>
        <w:t>Required Tabular Disclosure of Pay Versus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The amounts set forth below under the headings “Compensation Actually Paid to PEO” and “Average Compensation Actually Paid for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 </w:t>
      </w:r>
    </w:p>
    <w:p>
      <w:pPr>
        <w:pStyle w:val="TextBody"/>
        <w:bidi w:val="0"/>
        <w:jc w:val="left"/>
        <w:rPr/>
      </w:pPr>
      <w:r>
        <w:rPr/>
        <w:t> </w:t>
      </w:r>
    </w:p>
    <w:tbl>
      <w:tblPr>
        <w:tblW w:w="11470" w:type="dxa"/>
        <w:jc w:val="left"/>
        <w:tblInd w:w="0" w:type="dxa"/>
        <w:tblLayout w:type="fixed"/>
        <w:tblCellMar>
          <w:top w:w="28" w:type="dxa"/>
          <w:left w:w="28" w:type="dxa"/>
          <w:bottom w:w="28" w:type="dxa"/>
          <w:right w:w="28" w:type="dxa"/>
        </w:tblCellMar>
      </w:tblPr>
      <w:tblGrid>
        <w:gridCol w:w="481"/>
        <w:gridCol w:w="146"/>
        <w:gridCol w:w="171"/>
        <w:gridCol w:w="970"/>
        <w:gridCol w:w="146"/>
        <w:gridCol w:w="146"/>
        <w:gridCol w:w="156"/>
        <w:gridCol w:w="985"/>
        <w:gridCol w:w="146"/>
        <w:gridCol w:w="146"/>
        <w:gridCol w:w="171"/>
        <w:gridCol w:w="970"/>
        <w:gridCol w:w="146"/>
        <w:gridCol w:w="146"/>
        <w:gridCol w:w="171"/>
        <w:gridCol w:w="970"/>
        <w:gridCol w:w="146"/>
        <w:gridCol w:w="146"/>
        <w:gridCol w:w="193"/>
        <w:gridCol w:w="798"/>
        <w:gridCol w:w="146"/>
        <w:gridCol w:w="146"/>
        <w:gridCol w:w="223"/>
        <w:gridCol w:w="918"/>
        <w:gridCol w:w="146"/>
        <w:gridCol w:w="146"/>
        <w:gridCol w:w="171"/>
        <w:gridCol w:w="775"/>
        <w:gridCol w:w="166"/>
        <w:gridCol w:w="146"/>
        <w:gridCol w:w="165"/>
        <w:gridCol w:w="781"/>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of Initial Fixed $100 </w:t>
              <w:br/>
              <w:t>Investment Based on:(4)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Summary Compensation </w:t>
              <w:br/>
              <w:t xml:space="preserve">Table Total </w:t>
              <w:br/>
              <w:t>for PEO</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Actually Paid </w:t>
              <w:br/>
              <w:t>to PEO</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Summary Compensation Table Total for </w:t>
              <w:br/>
              <w:t>Non-PEO NEOs</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 Return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NASDAQ Biotechnology Index Total Shareholder Return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br/>
              <w:t>(thousands)</w:t>
              <w:b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Revenue</w:t>
              <w:br/>
              <w:t>(thousands)</w:t>
              <w:b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9,300,485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22,841,604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2,892,840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5,529,410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7,068,114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7,317,812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tbl>
      <w:tblPr>
        <w:tblW w:w="6437" w:type="dxa"/>
        <w:jc w:val="left"/>
        <w:tblInd w:w="0" w:type="dxa"/>
        <w:tblLayout w:type="fixed"/>
        <w:tblCellMar>
          <w:top w:w="28" w:type="dxa"/>
          <w:left w:w="28" w:type="dxa"/>
          <w:bottom w:w="28" w:type="dxa"/>
          <w:right w:w="28" w:type="dxa"/>
        </w:tblCellMar>
      </w:tblPr>
      <w:tblGrid>
        <w:gridCol w:w="331"/>
        <w:gridCol w:w="6106"/>
      </w:tblGrid>
      <w:tr>
        <w:trPr/>
        <w:tc>
          <w:tcPr>
            <w:tcW w:w="331"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1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following individuals are our PEO and other non-PEO NEOs for each fiscal year:</w:t>
            </w:r>
          </w:p>
        </w:tc>
      </w:tr>
    </w:tbl>
    <w:tbl>
      <w:tblPr>
        <w:tblW w:w="10205" w:type="dxa"/>
        <w:jc w:val="left"/>
        <w:tblInd w:w="0" w:type="dxa"/>
        <w:tblLayout w:type="fixed"/>
        <w:tblCellMar>
          <w:top w:w="28" w:type="dxa"/>
          <w:left w:w="28" w:type="dxa"/>
          <w:bottom w:w="28" w:type="dxa"/>
          <w:right w:w="28" w:type="dxa"/>
        </w:tblCellMar>
      </w:tblPr>
      <w:tblGrid>
        <w:gridCol w:w="541"/>
        <w:gridCol w:w="146"/>
        <w:gridCol w:w="1635"/>
        <w:gridCol w:w="146"/>
        <w:gridCol w:w="7737"/>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7"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Non-PEO NEOs</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 Dominic Marasco, David B. Thomson, and Stuart A. Tross</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 Steven B. Binder, Burkhard Blank, Lauren M. Sabella, and David B. Thomson</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 Lauren M. Sabella, David B. Thomson, and Stuart A. Tross</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 Alejandro Galindo, Joseph Kocinsky, Sanjay Singh, David B. Thomson, and Stuart A. Tross</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B. Binder, Joseph Kocinsky, David B. Thomson, and Stuart A. Tross</w:t>
            </w:r>
          </w:p>
        </w:tc>
      </w:tr>
    </w:tbl>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2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The dollar amounts reported in column (b) and (d) are the amounts of total compensation reported for Dr. Castagna (our Chief Executive Officer and PEO) and the average total compensation for our non-PEO NEOs for each corresponding year in the “Total” column of the Summary Compensation Table. Refer to “Executive Compensation—Summary Compensation Table.”</w:t>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2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The dollar amounts reported in column (c) and (e) represent the amount of CAP to Dr. Castagna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 for the year ended December 31, 2025:</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8"/>
        <w:gridCol w:w="1347"/>
        <w:gridCol w:w="1347"/>
        <w:gridCol w:w="1347"/>
        <w:gridCol w:w="1364"/>
        <w:gridCol w:w="146"/>
        <w:gridCol w:w="146"/>
        <w:gridCol w:w="886"/>
        <w:gridCol w:w="166"/>
        <w:gridCol w:w="146"/>
        <w:gridCol w:w="227"/>
        <w:gridCol w:w="1381"/>
        <w:gridCol w:w="214"/>
      </w:tblGrid>
      <w:tr>
        <w:trPr/>
        <w:tc>
          <w:tcPr>
            <w:tcW w:w="148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PEO</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Non-PEO NEOs</w:t>
              <w:b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Summary Compensation Table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9,300,485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3,992,054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Deduct: Grant Date Fair Value of "Stock Awards” Column in the Summary Compensation Table for Applicable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(3,167,364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Fair Value at Applicable FY End of Awards Granted during Applicable FY that Remain Unvested as of Applicable FY End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2,945,307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Year over Year Change in Fair Value of Awards Granted during Prior FY that were Outstanding and Unvested as of Applicable FY End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(7,101,946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Vesting Date Fair Value of Awards Granted during Applicable FY that Vested During Applicable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Vesting Date Fair Value of Awards Granted during Prior FY that Vested During Applicable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8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Deduct: Fair Value at Prior Year End of Awards Granted during Prior FY that were Forfeited during Applicable 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Dividends or Other Earnings Paid during Applicable FY prior to Vesting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8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2,040,765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283"/>
              <w:jc w:val="left"/>
              <w:rPr>
                <w:sz w:val="4"/>
                <w:szCs w:val="4"/>
              </w:rPr>
            </w:pPr>
            <w:r>
              <w:rPr>
                <w:sz w:val="4"/>
                <w:szCs w:val="4"/>
              </w:rPr>
            </w:r>
          </w:p>
        </w:tc>
        <w:tc>
          <w:tcPr>
            <w:tcW w:w="9915" w:type="dxa"/>
            <w:tcBorders/>
            <w:vAlign w:val="center"/>
          </w:tcPr>
          <w:p>
            <w:pPr>
              <w:pStyle w:val="TableContents"/>
              <w:bidi w:val="0"/>
              <w:spacing w:before="0" w:after="283"/>
              <w:jc w:val="left"/>
              <w:rPr>
                <w:sz w:val="4"/>
                <w:szCs w:val="4"/>
              </w:rPr>
            </w:pPr>
            <w:r>
              <w:rPr>
                <w:sz w:val="4"/>
                <w:szCs w:val="4"/>
              </w:rPr>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 xml:space="preserve">The amounts reflect the cumulative total shareholder return of our common stock (column (f)) and the NASDAQ Biotechnology Index (column (g)) at the end of each fiscal year. In each case, assume an initial investment of $100 on December 31, 2020, and reinvestment of dividends, if any. </w:t>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1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The dollar amounts reported in column (h) represent the net income (loss) as reported in the Company’s audited financial statements for the applicable year.</w:t>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991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As required by Item 402(v) of Regulation S-K, we have determined that Total Revenue is the Company-Selected Measure.</w:t>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991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 xml:space="preserve">The fair values of PSUs and stock options vested during the fiscal year or outstanding as of fiscal year end were estimated using the Monte Carlo simulation model and Black-Scholes option valuation model, respectively. The following valuation assumptions used to calculate the fair values of these awards differed materially from the assumptions used to value the awards on their respective grant dates: </w:t>
            </w:r>
          </w:p>
        </w:tc>
      </w:tr>
    </w:tbl>
    <w:p>
      <w:pPr>
        <w:pStyle w:val="TextBody"/>
        <w:bidi w:val="0"/>
        <w:jc w:val="both"/>
        <w:rPr/>
      </w:pPr>
      <w:r>
        <w:rPr/>
        <w:t> </w:t>
      </w:r>
    </w:p>
    <w:tbl>
      <w:tblPr>
        <w:tblW w:w="6250" w:type="dxa"/>
        <w:jc w:val="left"/>
        <w:tblInd w:w="0" w:type="dxa"/>
        <w:tblLayout w:type="fixed"/>
        <w:tblCellMar>
          <w:top w:w="28" w:type="dxa"/>
          <w:left w:w="28" w:type="dxa"/>
          <w:bottom w:w="28" w:type="dxa"/>
          <w:right w:w="28" w:type="dxa"/>
        </w:tblCellMar>
      </w:tblPr>
      <w:tblGrid>
        <w:gridCol w:w="2971"/>
        <w:gridCol w:w="146"/>
        <w:gridCol w:w="1486"/>
        <w:gridCol w:w="146"/>
        <w:gridCol w:w="266"/>
        <w:gridCol w:w="934"/>
        <w:gridCol w:w="30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Assumptions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Options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0.50</w:t>
            </w:r>
            <w:r>
              <w:rPr>
                <w:rFonts w:ascii="Times New Roman" w:hAnsi="Times New Roman"/>
                <w:color w:val="000000"/>
                <w:sz w:val="20"/>
              </w:rPr>
              <w:t xml:space="preserve"> — </w:t>
            </w:r>
            <w:r>
              <w:rPr>
                <w:rFonts w:ascii="Times New Roman" w:hAnsi="Times New Roman"/>
                <w:color w:val="000000"/>
                <w:sz w:val="18"/>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0.94</w:t>
            </w:r>
            <w:r>
              <w:rPr>
                <w:rFonts w:ascii="Times New Roman" w:hAnsi="Times New Roman"/>
                <w:color w:val="000000"/>
                <w:sz w:val="20"/>
              </w:rPr>
              <w:t xml:space="preserve"> — </w:t>
            </w:r>
            <w:r>
              <w:rPr>
                <w:rFonts w:ascii="Times New Roman" w:hAnsi="Times New Roman"/>
                <w:color w:val="000000"/>
                <w:sz w:val="18"/>
              </w:rPr>
              <w:t>1.45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Correlation Coefficient — MannKind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0.16</w:t>
            </w:r>
            <w:r>
              <w:rPr>
                <w:rFonts w:ascii="Times New Roman" w:hAnsi="Times New Roman"/>
                <w:color w:val="000000"/>
                <w:sz w:val="20"/>
              </w:rPr>
              <w:t xml:space="preserve"> — </w:t>
            </w:r>
            <w:r>
              <w:rPr>
                <w:rFonts w:ascii="Times New Roman" w:hAnsi="Times New Roman"/>
                <w:color w:val="000000"/>
                <w:sz w:val="18"/>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Correlation Coefficient — Peer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0.23</w:t>
            </w:r>
            <w:r>
              <w:rPr>
                <w:rFonts w:ascii="Times New Roman" w:hAnsi="Times New Roman"/>
                <w:color w:val="000000"/>
                <w:sz w:val="20"/>
              </w:rPr>
              <w:t xml:space="preserve"> — </w:t>
            </w:r>
            <w:r>
              <w:rPr>
                <w:rFonts w:ascii="Times New Roman" w:hAnsi="Times New Roman"/>
                <w:color w:val="000000"/>
                <w:sz w:val="18"/>
              </w:rPr>
              <w:t>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Correlation Coefficient — Peer Median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0.24</w:t>
            </w:r>
            <w:r>
              <w:rPr>
                <w:rFonts w:ascii="Times New Roman" w:hAnsi="Times New Roman"/>
                <w:color w:val="000000"/>
                <w:sz w:val="20"/>
              </w:rPr>
              <w:t xml:space="preserve"> — </w:t>
            </w:r>
            <w:r>
              <w:rPr>
                <w:rFonts w:ascii="Times New Roman" w:hAnsi="Times New Roman"/>
                <w:color w:val="000000"/>
                <w:sz w:val="18"/>
              </w:rPr>
              <w:t>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Average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$2.95</w:t>
            </w:r>
            <w:r>
              <w:rPr>
                <w:rFonts w:ascii="Times New Roman" w:hAnsi="Times New Roman"/>
                <w:color w:val="000000"/>
                <w:sz w:val="20"/>
              </w:rPr>
              <w:t>—</w:t>
            </w:r>
            <w:r>
              <w:rPr>
                <w:rFonts w:ascii="Times New Roman" w:hAnsi="Times New Roman"/>
                <w:color w:val="000000"/>
                <w:sz w:val="18"/>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Date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Initial TSR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 — 58.38%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 — 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 MannKind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46.31% — 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 Peer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67.07% — 74.10%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 Peer Median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61.24% — 73.19%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$1.42</w:t>
            </w:r>
            <w:r>
              <w:rPr>
                <w:rFonts w:ascii="Times New Roman" w:hAnsi="Times New Roman"/>
                <w:color w:val="000000"/>
                <w:sz w:val="20"/>
              </w:rPr>
              <w:t xml:space="preserve"> — </w:t>
            </w:r>
            <w:r>
              <w:rPr>
                <w:rFonts w:ascii="Times New Roman" w:hAnsi="Times New Roman"/>
                <w:color w:val="000000"/>
                <w:sz w:val="18"/>
              </w:rPr>
              <w:t>$4.55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Required Disclosure of the Relationship Between Compensation Actually Paid and Financial Performance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Biotechnology Index. As noted above, CAP for purposes of the tabular disclosure and the following graphs were calculated in accordance with SEC rules and does not represent the compensation actually earned by or paid to our NEOs during the applicable years.</w:t>
      </w:r>
    </w:p>
    <w:p>
      <w:pPr>
        <w:pStyle w:val="TextBody"/>
        <w:bidi w:val="0"/>
        <w:jc w:val="left"/>
        <w:rPr/>
      </w:pPr>
      <w:r>
        <w:rPr/>
        <w:t> </w:t>
      </w:r>
    </w:p>
    <w:p>
      <w:pPr>
        <w:pStyle w:val="TextBody"/>
        <w:bidi w:val="0"/>
        <w:jc w:val="center"/>
        <w:rPr>
          <w:rFonts w:ascii="Times New Roman" w:hAnsi="Times New Roman"/>
          <w:color w:val="FFFFFF"/>
          <w:sz w:val="2"/>
        </w:rPr>
      </w:pPr>
      <w:r>
        <w:rPr>
          <w:rFonts w:ascii="Times New Roman" w:hAnsi="Times New Roman"/>
          <w:color w:val="FFFFFF"/>
          <w:sz w:val="2"/>
        </w:rPr>
        <w:t>AP vs Cumulative TSR</w:t>
      </w:r>
    </w:p>
    <w:p>
      <w:pPr>
        <w:pStyle w:val="TextBody"/>
        <w:bidi w:val="0"/>
        <w:jc w:val="center"/>
        <w:rPr/>
      </w:pPr>
      <w:r>
        <w:rPr/>
        <w:t> </w:t>
      </w:r>
    </w:p>
    <w:p>
      <w:pPr>
        <w:pStyle w:val="TextBody"/>
        <w:bidi w:val="0"/>
        <w:jc w:val="center"/>
        <w:rPr>
          <w:rFonts w:ascii="Times New Roman" w:hAnsi="Times New Roman"/>
          <w:color w:val="FFFFFF"/>
          <w:sz w:val="2"/>
        </w:rPr>
      </w:pPr>
      <w:r>
        <w:rPr>
          <w:rFonts w:ascii="Times New Roman" w:hAnsi="Times New Roman"/>
          <w:color w:val="FFFFFF"/>
          <w:sz w:val="2"/>
        </w:rPr>
        <w:t>Compensation Actually Paid vs Net Income</w:t>
      </w:r>
    </w:p>
    <w:p>
      <w:pPr>
        <w:pStyle w:val="TextBody"/>
        <w:bidi w:val="0"/>
        <w:jc w:val="center"/>
        <w:rPr/>
      </w:pPr>
      <w:r>
        <w:rPr/>
        <w:t> </w:t>
      </w:r>
    </w:p>
    <w:p>
      <w:pPr>
        <w:pStyle w:val="TextBody"/>
        <w:bidi w:val="0"/>
        <w:jc w:val="center"/>
        <w:rPr>
          <w:rFonts w:ascii="Times New Roman" w:hAnsi="Times New Roman"/>
          <w:color w:val="FFFFFF"/>
          <w:sz w:val="2"/>
        </w:rPr>
      </w:pPr>
      <w:r>
        <w:rPr>
          <w:rFonts w:ascii="Times New Roman" w:hAnsi="Times New Roman"/>
          <w:color w:val="FFFFFF"/>
          <w:sz w:val="2"/>
        </w:rPr>
        <w:t>CAP vs Total Revenue</w:t>
      </w:r>
    </w:p>
    <w:p>
      <w:pPr>
        <w:pStyle w:val="TextBody"/>
        <w:bidi w:val="0"/>
        <w:jc w:val="center"/>
        <w:rPr/>
      </w:pPr>
      <w:r>
        <w:rPr/>
        <w:drawing>
          <wp:inline distT="0" distB="0" distL="0" distR="0">
            <wp:extent cx="6858000" cy="435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43529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86550" cy="418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86550" cy="4181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6762750" cy="4171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762750" cy="4171950"/>
                    </a:xfrm>
                    <a:prstGeom prst="rect">
                      <a:avLst/>
                    </a:prstGeom>
                  </pic:spPr>
                </pic:pic>
              </a:graphicData>
            </a:graphic>
          </wp:inline>
        </w:drawing>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important financial and non-financial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 beginning on page 27.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TSR;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Deliver manufacturing;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Drive endocrinology business;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Advance pipeline opportunities.</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jc w:val="left"/>
        <w:rPr/>
      </w:pPr>
      <w:r>
        <w:rPr/>
        <w:t> </w:t>
      </w:r>
    </w:p>
    <w:p>
      <w:pPr>
        <w:pStyle w:val="TextBody"/>
        <w:bidi w:val="0"/>
        <w:jc w:val="center"/>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left"/>
        <w:rPr>
          <w:rFonts w:ascii="Times New Roman" w:hAnsi="Times New Roman"/>
          <w:b/>
          <w:color w:val="000000"/>
          <w:sz w:val="20"/>
        </w:rPr>
      </w:pPr>
      <w:r>
        <w:rPr>
          <w:rFonts w:ascii="Times New Roman" w:hAnsi="Times New Roman"/>
          <w:b/>
          <w:color w:val="000000"/>
          <w:sz w:val="20"/>
        </w:rPr>
        <w:t>Policies and Practices Related to the Grant of Certain Equity Awards Close in Time to the Release of Material Nonpublic Information</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We have not granted stock options, stock appreciation rights, or similar instruments with option-like features for many years and have no policies or practices to disclose pursuant to Item 402(x)(1) of Regulation S-K.</w:t>
      </w:r>
    </w:p>
    <w:p>
      <w:pPr>
        <w:pStyle w:val="TextBody"/>
        <w:bidi w:val="0"/>
        <w:spacing w:before="290" w:after="283"/>
        <w:jc w:val="left"/>
        <w:rPr>
          <w:rFonts w:ascii="Times New Roman" w:hAnsi="Times New Roman"/>
          <w:b/>
          <w:color w:val="000000"/>
          <w:sz w:val="20"/>
        </w:rPr>
      </w:pPr>
      <w:r>
        <w:rPr>
          <w:rFonts w:ascii="Times New Roman" w:hAnsi="Times New Roman"/>
          <w:b/>
          <w:color w:val="000000"/>
          <w:sz w:val="20"/>
        </w:rPr>
        <w:t>Potential Payments upon Termination or Change of Control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Estimated Potential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severance agreement with Dr. Thomson and change of control agreements with each named executive officer. The table below sets forth the estimated current value of payments and benefits to each of the named executive officers upon certain terminations or upon certain terminations in connection with a change of control, as described following the table below. The amounts shown assume that the triggering event occurred on December 31, 2025 and do not include other benefits earned during the term of the named executive officer’s employment that are available to all salaried employees, such as accrued vacation and benefits paid by insurance providers under life and disability policies.</w:t>
      </w:r>
    </w:p>
    <w:p>
      <w:pPr>
        <w:pStyle w:val="TextBody"/>
        <w:bidi w:val="0"/>
        <w:jc w:val="left"/>
        <w:rPr/>
      </w:pPr>
      <w:r>
        <w:rPr/>
        <w:t> </w:t>
      </w:r>
    </w:p>
    <w:p>
      <w:pPr>
        <w:pStyle w:val="TextBody"/>
        <w:bidi w:val="0"/>
        <w:jc w:val="left"/>
        <w:rPr/>
      </w:pPr>
      <w:r>
        <w:rPr/>
        <w:t> </w:t>
      </w:r>
    </w:p>
    <w:tbl>
      <w:tblPr>
        <w:tblW w:w="9967" w:type="dxa"/>
        <w:jc w:val="left"/>
        <w:tblInd w:w="0" w:type="dxa"/>
        <w:tblLayout w:type="fixed"/>
        <w:tblCellMar>
          <w:top w:w="28" w:type="dxa"/>
          <w:left w:w="28" w:type="dxa"/>
          <w:bottom w:w="28" w:type="dxa"/>
          <w:right w:w="28" w:type="dxa"/>
        </w:tblCellMar>
      </w:tblPr>
      <w:tblGrid>
        <w:gridCol w:w="1981"/>
        <w:gridCol w:w="146"/>
        <w:gridCol w:w="4171"/>
        <w:gridCol w:w="146"/>
        <w:gridCol w:w="146"/>
        <w:gridCol w:w="146"/>
        <w:gridCol w:w="937"/>
        <w:gridCol w:w="146"/>
        <w:gridCol w:w="146"/>
        <w:gridCol w:w="146"/>
        <w:gridCol w:w="183"/>
        <w:gridCol w:w="183"/>
        <w:gridCol w:w="1299"/>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3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Triggering Event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Termination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Control</w:t>
              <w:b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continuation and annual STI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Continuing health and welfare benefits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Value of accelerated unvested equity awards </w:t>
            </w:r>
            <w:r>
              <w:rPr>
                <w:rFonts w:ascii="Times New Roman" w:hAnsi="Times New Roman"/>
                <w:color w:val="000000"/>
                <w:sz w:val="16"/>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9,815,698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continuation and annual STI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Continuing health and welfare benefits </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Value of accelerated unvested equity awards </w:t>
            </w: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2,104,255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Dominic Marasco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continuation and annual STI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Continuing health and welfare benefits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Value of accelerated unvested equity awards </w:t>
            </w: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3,513,587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B. Thomson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continuation and annual STI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Continuing health and welfare benefits </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Value of accelerated unvested equity awards </w:t>
            </w:r>
            <w:r>
              <w:rPr>
                <w:rFonts w:ascii="Times New Roman" w:hAnsi="Times New Roman"/>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A. Tross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continuation and annual STI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Continuing health and welfare benefits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Value of accelerated unvested equity awards </w:t>
            </w: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2,205,155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286" w:type="dxa"/>
            <w:tcBorders/>
            <w:vAlign w:val="center"/>
          </w:tcPr>
          <w:p>
            <w:pPr>
              <w:pStyle w:val="TableContents"/>
              <w:bidi w:val="0"/>
              <w:spacing w:before="0" w:after="283"/>
              <w:jc w:val="left"/>
              <w:rPr>
                <w:sz w:val="4"/>
                <w:szCs w:val="4"/>
              </w:rPr>
            </w:pPr>
            <w:r>
              <w:rPr>
                <w:sz w:val="4"/>
                <w:szCs w:val="4"/>
              </w:rPr>
            </w:r>
          </w:p>
        </w:tc>
        <w:tc>
          <w:tcPr>
            <w:tcW w:w="9919"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120" w:after="60"/>
              <w:jc w:val="left"/>
              <w:rPr>
                <w:rFonts w:ascii="Times New Roman" w:hAnsi="Times New Roman"/>
                <w:color w:val="000000"/>
                <w:sz w:val="16"/>
              </w:rPr>
            </w:pPr>
            <w:r>
              <w:rPr>
                <w:rFonts w:ascii="Times New Roman" w:hAnsi="Times New Roman"/>
                <w:color w:val="000000"/>
                <w:sz w:val="16"/>
              </w:rPr>
              <w:t>(1)</w:t>
            </w:r>
          </w:p>
        </w:tc>
        <w:tc>
          <w:tcPr>
            <w:tcW w:w="991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6"/>
              </w:rPr>
            </w:pPr>
            <w:r>
              <w:rPr>
                <w:rFonts w:ascii="Times New Roman" w:hAnsi="Times New Roman"/>
                <w:color w:val="000000"/>
                <w:sz w:val="16"/>
              </w:rPr>
              <w:t>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Provisions.”</w:t>
            </w:r>
          </w:p>
        </w:tc>
      </w:tr>
      <w:tr>
        <w:trPr/>
        <w:tc>
          <w:tcPr>
            <w:tcW w:w="28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(2)</w:t>
            </w:r>
          </w:p>
        </w:tc>
        <w:tc>
          <w:tcPr>
            <w:tcW w:w="991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tc>
      </w:tr>
      <w:tr>
        <w:trPr/>
        <w:tc>
          <w:tcPr>
            <w:tcW w:w="28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(3)</w:t>
            </w:r>
          </w:p>
          <w:p>
            <w:pPr>
              <w:pStyle w:val="TableContents"/>
              <w:bidi w:val="0"/>
              <w:spacing w:before="0" w:after="60"/>
              <w:jc w:val="left"/>
              <w:rPr/>
            </w:pPr>
            <w:r>
              <w:rPr/>
              <w:t> </w:t>
            </w:r>
          </w:p>
        </w:tc>
        <w:tc>
          <w:tcPr>
            <w:tcW w:w="991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Per SEC rules, the intrinsic value of accelerated unvested stock options was calculated using the closing price of our common stock of $5.67 on December 31, 2025. The intrinsic value is the aggregate spread between $5.67 and the exercise price of the accelerated options, if less than $5.67. Accelerated options with exercise prices equal to or greater than $5.67 have no intrinsic value. The full value awards are valued at the December 31, 2025 closing price of our common stock.</w:t>
            </w:r>
          </w:p>
        </w:tc>
      </w:tr>
      <w:tr>
        <w:trPr/>
        <w:tc>
          <w:tcPr>
            <w:tcW w:w="28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(4)</w:t>
            </w:r>
          </w:p>
        </w:tc>
        <w:tc>
          <w:tcPr>
            <w:tcW w:w="991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the value of 145,275 unvested stock options, 1,012,750 shares subject to unvested time-based restricted stock units and 1,509,570 shares subject to unvested performance-based restricted stock units based on an estimated share delivery assumption of 107%, 83% and 112% for awards issued in 2023, 2024 and 2025, respectively.</w:t>
            </w:r>
          </w:p>
        </w:tc>
      </w:tr>
    </w:tbl>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
        <w:gridCol w:w="9911"/>
      </w:tblGrid>
      <w:tr>
        <w:trPr/>
        <w:tc>
          <w:tcPr>
            <w:tcW w:w="294" w:type="dxa"/>
            <w:tcBorders/>
            <w:vAlign w:val="center"/>
          </w:tcPr>
          <w:p>
            <w:pPr>
              <w:pStyle w:val="TableContents"/>
              <w:bidi w:val="0"/>
              <w:spacing w:before="0" w:after="283"/>
              <w:jc w:val="left"/>
              <w:rPr>
                <w:sz w:val="4"/>
                <w:szCs w:val="4"/>
              </w:rPr>
            </w:pPr>
            <w:r>
              <w:rPr>
                <w:sz w:val="4"/>
                <w:szCs w:val="4"/>
              </w:rPr>
            </w:r>
          </w:p>
        </w:tc>
        <w:tc>
          <w:tcPr>
            <w:tcW w:w="9911" w:type="dxa"/>
            <w:tcBorders/>
            <w:vAlign w:val="center"/>
          </w:tcPr>
          <w:p>
            <w:pPr>
              <w:pStyle w:val="TableContents"/>
              <w:bidi w:val="0"/>
              <w:spacing w:before="0" w:after="283"/>
              <w:jc w:val="left"/>
              <w:rPr>
                <w:sz w:val="4"/>
                <w:szCs w:val="4"/>
              </w:rPr>
            </w:pPr>
            <w:r>
              <w:rPr>
                <w:sz w:val="4"/>
                <w:szCs w:val="4"/>
              </w:rPr>
            </w:r>
          </w:p>
        </w:tc>
      </w:tr>
      <w:tr>
        <w:trPr/>
        <w:tc>
          <w:tcPr>
            <w:tcW w:w="29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(5)</w:t>
            </w:r>
          </w:p>
        </w:tc>
        <w:tc>
          <w:tcPr>
            <w:tcW w:w="99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the value of 319,350 shares subject to unvested time-based restricted stock units and 293,540 shares subject to unvested performance-based restricted stock units based on an estimated share delivery assumption of 107%, 83% and 112% for awards issued in 2023, 2024 and 2025, respectively.</w:t>
            </w:r>
          </w:p>
        </w:tc>
      </w:tr>
      <w:tr>
        <w:trPr/>
        <w:tc>
          <w:tcPr>
            <w:tcW w:w="29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(6)</w:t>
            </w:r>
          </w:p>
        </w:tc>
        <w:tc>
          <w:tcPr>
            <w:tcW w:w="99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the value of 311,500 shares subject to unvested time-based restricted stock units and 371,200 shares subject to unvested performance-based restricted stock units based on an estimated share delivery assumption of 107%, 83% and 112% for awards issued in 2023, 2024 and 2025, respectively.</w:t>
            </w:r>
          </w:p>
        </w:tc>
      </w:tr>
      <w:tr>
        <w:trPr/>
        <w:tc>
          <w:tcPr>
            <w:tcW w:w="29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(7)</w:t>
            </w:r>
          </w:p>
        </w:tc>
        <w:tc>
          <w:tcPr>
            <w:tcW w:w="99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the value of 57,525 unvested stock options, 284,250 shares subject to unvested time-based restricted stock units and 414,450 shares subject to unvested performance-based restricted stock units based on an estimated share delivery assumption of 107%, 83% and 112% for awards issued in 2023, 2024 and 2025, respectively.</w:t>
            </w:r>
          </w:p>
        </w:tc>
      </w:tr>
      <w:tr>
        <w:trPr/>
        <w:tc>
          <w:tcPr>
            <w:tcW w:w="29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(8)</w:t>
            </w:r>
          </w:p>
        </w:tc>
        <w:tc>
          <w:tcPr>
            <w:tcW w:w="99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the value of 48,143 unvested stock options, 284,250 shares subject to unvested time-based restricted stock units and 414,450 shares subject to unvested performance-based restricted stock units based on an estimated share delivery assumption of 107%, 83% and 112% for awards issued in 2023, 2024 and 2025, respectively.</w:t>
            </w:r>
          </w:p>
        </w:tc>
      </w:tr>
    </w:tbl>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left"/>
        <w:rPr>
          <w:rFonts w:ascii="Times New Roman" w:hAnsi="Times New Roman"/>
          <w:b/>
          <w:i/>
          <w:color w:val="000000"/>
          <w:sz w:val="20"/>
        </w:rPr>
      </w:pPr>
      <w:r>
        <w:rPr>
          <w:rFonts w:ascii="Times New Roman" w:hAnsi="Times New Roman"/>
          <w:b/>
          <w:i/>
          <w:color w:val="000000"/>
          <w:sz w:val="20"/>
        </w:rPr>
        <w:t>Executive Severance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2007, we entered into an executive severance agreement with Dr. Thomson. This agreement is for a period of two years and will be automatically renewed for additional one-year periods unless either party gives notice to terminate the agreement at least 90 days prior to the end of its initial term or any subsequent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provides that Dr. Thomson is an “at will” employee and that his employment with us may be terminated at any time by him or by us. Under the agreement, in the event we terminate Dr. Thomson’s employment without cause (as defined below) or he terminates his employment with us for good reason (as defined below), then he is generally entitled to receive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portion of his annual base salary earned through the termination date that was not paid prior to his termination,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compensation previously deferred by him and any accrued paid time-off to which he is entitled under our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he met the performance criteria for earning an annual bonus prior to his termination, a portion of the annual bonus earned for the year based on the number of days worked during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he did not meet the performance criteria for earning an annual bonus prior to his termination, but the Board determines that all such criteria could have been satisfied if he remained employed for the full fiscal year, then a portion of his average annual bonus for the three years prior to his termination, based on the number of days worked during the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condition he executes and does not revoke a general release and settlement agreement, or release, in favor of us, then he will become entitled to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 annual base salary on the date of termination for a period of 18 months following his termination, subject to certain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amount equal to the average annual bonus received by him for the three years prior to his termination (or the prior period up to three years during which he was one of our executive officers and received a bonus);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insurance and, under certain circumstances, life, disability and other insurance benefits for a period expiring on the earlier of 18 months following his termination or until he qualifies for related benefits from another employer.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executive severance agreement provides that, on the condition that Dr. Thomson executes and does not revoke a release, each vested stock option held by him on the date of termination will be exercisable for a period ending on the earlier of 18 months following that date or the end of the original term of the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his agreement, Dr. Thomson may be terminated for cause if he,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refuses to carry out or satisfactorily perform any of his lawful duties or any lawful instruction of our Board of Directors or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violates any local, state or federal law involving the commission of a crime other than a minor traffic offense;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grossly negligent, engages in willful misconduct or breaches a fiduciary obligation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engages in any act that materially compromises his reputation or ability to represent us with investors, customers or the public;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reaches a mandatory retirement age established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Dr. Thomson’s agreement, good reason includes,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reduction of his annual base salary to a level below his salary as of October 10, 2007;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diminution in his position, authority, duties or responsibilities with us, subject to certain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order by us to relocate him to an office located more than 50 miles from his current residence and worksite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non-renewal of the executive severance agreement by us, on the condition that he may terminate the agreement for good reason only during the 30-day period after he receives notice from us that we intend to terminate the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material violation of the executive severance agreement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Dr. Thomson’s agreement, he must inform us if he intends to terminate his agreement for good reason. We have 30 days from the date we receive notice of his intent to terminate the agreement for good reason to cure the default.</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10" w:after="283"/>
        <w:jc w:val="left"/>
        <w:rPr>
          <w:rFonts w:ascii="Times New Roman" w:hAnsi="Times New Roman"/>
          <w:b/>
          <w:i/>
          <w:color w:val="000000"/>
          <w:sz w:val="20"/>
        </w:rPr>
      </w:pPr>
      <w:r>
        <w:rPr>
          <w:rFonts w:ascii="Times New Roman" w:hAnsi="Times New Roman"/>
          <w:b/>
          <w:i/>
          <w:color w:val="000000"/>
          <w:sz w:val="20"/>
        </w:rPr>
        <w:t>Change of Control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in April 2017, we entered into change of control agreements with each named executive officer. Each agreement is for a period of two years and will be automatically renewed for additional one-year periods unless either party gives notice to terminate the agreement at least 90 days prior to the end of its initial term or any subsequent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agreements, a change of control will be deemed to occur upon: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transaction that results in a person or group acquiring beneficial ownership of 50% or more of our voting stock, other than us or one of our employee benefit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merger, consolidation or reorganization of us in which our stockholders immediately prior to the transaction hold less than 50% of the voting power of the surviving entity following the transaction, subject to certain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transaction in which we sell all or substantially all of our assets, subject to certain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reorganization of our Board of Directors in which our incumbent directors (as defined in the agreements) cease for any reason to constitute a majority of the members of our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two years following the change of control or the termination of his or her employment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 or her annual base salary in an amount equal or greater to his or her annual salary as of the date the change of control occurs;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bonus in an amount equal to the average annual bonus received by him or her for the three years prior to his or her termination (or the prior period up to three years during which he was one of our executive officers and received a bonus);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dental and other insurance, and any other benefits we may offer to our executives; and prompt reimbursement for all reasonable employment expenses incurred by him or her in accordance with our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change of control agreements, we may terminate an executive with or without cause (as defined below) and the executive may terminate his or her employment with us for good reason (as defined below) or any reason at any time during the two-year period following a change of control. In the event we terminate an executive without cause or an executive terminates his or her employment with us for good reason, he or she is generally entitled to receive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portion of his or her annual base salary earned through the termination date that was not paid prior to his termination,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compensation previously deferred by the employee and any accrued paid time-off that the employee is entitled to under our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employee met the performance criteria for earning an annual bonus prior to his or her termination, a portion of the annual bonus earned for the year based on the number of days worked during the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the employee did not meet the performance criteria for earning an annual bonus prior to his or her termination, but the Board determines that all such criteria could have been satisfied if the employee remained employed for the full fiscal year, then a portion of his or her average annual bonus for the three years prior to his or her termination, based on the number of days worked during the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condition the employee executes and does not revoke a release, then the employee will become entitled to received: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continuation of the employee’s annual base salary on the date of termination for a period of 18 months following his or her termination, subject to certain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amount equal to 150% of his or her average annual bonus received by the employee for the three years prior to his or her termination (or the prior period up to three years during which the employee was one of our executive officers and received a bonus);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insurance and, under certain circumstances, life, disability and other insurance benefits for a period expiring on the earlier of 18 months following his or her termination or until he qualifies for related benefits from another employer.</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agreements provide that, on the condition the employee executes and does not revoke a release, each equity award held by him or her as of the termination date will become fully vested and exercisable at any point during the term of the option, subject to certain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agreements, in the event we terminate an employee with cause or an employee terminates his or her employment with us without good reason, his or her agreement will terminate without any further obligation to either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of control agreements provide that an employee may be terminated for cause if he or she,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refuses to carry out or satisfactorily perform any of his or her lawful duties or any lawful instruction of our Board of Directors or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violates any local, state or federal law involving the commission of a crime other than a minor traffic offense;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grossly negligent, engages in willful misconduct or breaches a fiduciary obligation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engages in any act that materially compromises his reputation or ability to represent us with investors, customers or the public;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reaches a mandatory retirement age established by us before a change of control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agreements, good reason includes,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diminution in the employee’s position, authority, duties or responsibilities with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order by us to relocate the employee to an office located more than 50 miles from the employee’s current residence and worksite;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non-renewal of the change of control agreement by us, on the condition that the employee may terminate the agreement for good reason only during the 30-day period after he receives notice from us that we intend to terminate the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material violation of the change of control agreement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change of control agreements, an employee must inform us if he or she intends to terminate his or her agreement for good reason. We have 30 days from the date we receive notice of the employee’s intent to terminate the agreement for good reason to cure the default.</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The executive severance agreements and the change of control agreements with Dr. Thomson provide that in the event such executive becomes entitled to benefits under both agreements, compensation payments and other benefits will be coordinated to ensure the executive is entitled to receive the benefits described above without duplicating coverage.</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13" w:name="securities_authorized_for_issuance"/>
      <w:bookmarkEnd w:id="13"/>
      <w:r>
        <w:rPr>
          <w:rFonts w:ascii="Times New Roman" w:hAnsi="Times New Roman"/>
          <w:b/>
          <w:color w:val="000000"/>
          <w:sz w:val="20"/>
        </w:rPr>
        <w:t>Securities Authorized for Issuance under Equity Compensation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certain information with respect to all of our equity compensation plans in effect as of December 31, 2025.</w:t>
      </w:r>
    </w:p>
    <w:p>
      <w:pPr>
        <w:pStyle w:val="TextBody"/>
        <w:bidi w:val="0"/>
        <w:jc w:val="left"/>
        <w:rPr/>
      </w:pPr>
      <w:r>
        <w:rPr/>
        <w:t> </w:t>
      </w:r>
    </w:p>
    <w:p>
      <w:pPr>
        <w:pStyle w:val="TextBody"/>
        <w:bidi w:val="0"/>
        <w:spacing w:before="410" w:after="283"/>
        <w:jc w:val="center"/>
        <w:rPr>
          <w:rFonts w:ascii="Times New Roman" w:hAnsi="Times New Roman"/>
          <w:b/>
          <w:color w:val="000000"/>
          <w:sz w:val="20"/>
        </w:rPr>
      </w:pPr>
      <w:r>
        <w:rPr>
          <w:rFonts w:ascii="Times New Roman" w:hAnsi="Times New Roman"/>
          <w:b/>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5214"/>
        <w:gridCol w:w="146"/>
        <w:gridCol w:w="159"/>
        <w:gridCol w:w="1022"/>
        <w:gridCol w:w="146"/>
        <w:gridCol w:w="146"/>
        <w:gridCol w:w="283"/>
        <w:gridCol w:w="911"/>
        <w:gridCol w:w="146"/>
        <w:gridCol w:w="146"/>
        <w:gridCol w:w="162"/>
        <w:gridCol w:w="1154"/>
        <w:gridCol w:w="146"/>
        <w:gridCol w:w="424"/>
      </w:tblGrid>
      <w:tr>
        <w:trPr/>
        <w:tc>
          <w:tcPr>
            <w:tcW w:w="5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5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w:t>
              <w:br/>
              <w:t>be Issued Upon</w:t>
              <w:br/>
              <w:t>Exercise of</w:t>
              <w:br/>
              <w:t>Outstanding</w:t>
              <w:br/>
              <w:t>Options,</w:t>
              <w:br/>
              <w:t>Warrants</w:t>
              <w:br/>
              <w:t xml:space="preserve">and Rights </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of Outstanding</w:t>
              <w:br/>
              <w:t>Options,</w:t>
              <w:br/>
              <w:t>Warrants and</w:t>
              <w:br/>
              <w:t xml:space="preserve">Rights </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Issuance Under</w:t>
              <w:br/>
              <w:t>Equity</w:t>
              <w:br/>
              <w:t>Compensation</w:t>
              <w:br/>
              <w:t>Plans (Excluding</w:t>
              <w:br/>
              <w:t>Securities</w:t>
              <w:br/>
              <w:t>Reflected in</w:t>
              <w:br/>
              <w:t>Column (a)</w:t>
              <w:br/>
              <w:t>(#)(c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19,284,081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(1)</w:t>
            </w:r>
          </w:p>
        </w:tc>
      </w:tr>
      <w:tr>
        <w:trPr/>
        <w:tc>
          <w:tcPr>
            <w:tcW w:w="5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compensation plans not approved by security holders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2"/>
              </w:rPr>
            </w:pPr>
            <w:r>
              <w:rPr>
                <w:rFonts w:ascii="Times New Roman" w:hAnsi="Times New Roman"/>
                <w:color w:val="000000"/>
                <w:sz w:val="16"/>
              </w:rPr>
              <w:t>Includes 17,400,002</w:t>
            </w:r>
            <w:r>
              <w:rPr>
                <w:rFonts w:ascii="Times New Roman" w:hAnsi="Times New Roman"/>
                <w:color w:val="1F497D"/>
                <w:sz w:val="22"/>
              </w:rPr>
              <w:t xml:space="preserve"> </w:t>
            </w:r>
            <w:r>
              <w:rPr>
                <w:rFonts w:ascii="Times New Roman" w:hAnsi="Times New Roman"/>
                <w:color w:val="000000"/>
                <w:sz w:val="16"/>
              </w:rPr>
              <w:t>shares available for issuance under the EIP and 1,884,079 shares available for purchase under our Employee Stock Purchase Plan. The amount of shares available for issuance under the EIP was determined with a share delivery assumption of 107%, 83% and 112% for performance-based restricted stock units issued in 2023, 2024 and 2025, respectively.</w:t>
            </w:r>
            <w:r>
              <w:rPr>
                <w:rFonts w:ascii="Times New Roman" w:hAnsi="Times New Roman"/>
                <w:color w:val="000000"/>
                <w:sz w:val="22"/>
              </w:rPr>
              <w:t xml:space="preserve"> </w:t>
            </w:r>
          </w:p>
        </w:tc>
      </w:tr>
      <w:tr>
        <w:trPr/>
        <w:tc>
          <w:tcPr>
            <w:tcW w:w="29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As of December 31, 2025, we did not have any equity compensation plans that were not approved by our security holders.</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compensation_committee_report"/>
      <w:bookmarkEnd w:id="14"/>
      <w:r>
        <w:rPr>
          <w:rFonts w:ascii="Times New Roman" w:hAnsi="Times New Roman"/>
          <w:b/>
          <w:color w:val="000000"/>
          <w:sz w:val="20"/>
        </w:rPr>
        <w:t>COMPENSATION COMMITTEE REPORT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December 31, 2025.</w:t>
      </w:r>
    </w:p>
    <w:p>
      <w:pPr>
        <w:pStyle w:val="TextBody"/>
        <w:bidi w:val="0"/>
        <w:jc w:val="left"/>
        <w:rPr/>
      </w:pPr>
      <w:r>
        <w:rPr/>
        <w:t> </w:t>
      </w:r>
    </w:p>
    <w:tbl>
      <w:tblPr>
        <w:tblW w:w="5750" w:type="dxa"/>
        <w:jc w:val="left"/>
        <w:tblInd w:w="0" w:type="dxa"/>
        <w:tblLayout w:type="fixed"/>
        <w:tblCellMar>
          <w:top w:w="28" w:type="dxa"/>
          <w:left w:w="28" w:type="dxa"/>
          <w:bottom w:w="28" w:type="dxa"/>
          <w:right w:w="28" w:type="dxa"/>
        </w:tblCellMar>
      </w:tblPr>
      <w:tblGrid>
        <w:gridCol w:w="161"/>
        <w:gridCol w:w="146"/>
        <w:gridCol w:w="2296"/>
        <w:gridCol w:w="146"/>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Hooper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Chair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Sabrina Kay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S. Shannon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15" w:name="security_ownership_of_certain_beneficial"/>
      <w:bookmarkEnd w:id="15"/>
      <w:r>
        <w:rPr>
          <w:rFonts w:ascii="Times New Roman" w:hAnsi="Times New Roman"/>
          <w:b/>
          <w:color w:val="000000"/>
          <w:sz w:val="20"/>
        </w:rPr>
        <w:t>SECURITY OWNERSHIP OF CERTAIN BENEFICIAL OWNERS AND MANAGEMENT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the ownership of the Company’s common stock as of March 23, 2026 by: (i) each person, entity or group known to the Company to be the beneficial owner of more than 5% of the Company’s common stock; (ii) each director and nominee for director; (iii) each of the executive officers named in the Summary Compensation Table, who we refer to as the named executive officers; and (iv) all current executive officers and directors of the Company as a group. Unless otherwise indicated in the footnotes to the table below and subject to community property laws where applicable, we believe that each of the stockholders named in the table has sole voting and investment power with respect to the shares indicated as beneficially owned.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percentages are based on 308,795,777 shares outstanding on March 23, 2026,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22, 2026, which is 60 days after March 23, 2026.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address for each person or entity listed in the table is c/o MannKind Corporation, 1 Casper Street, Danbury, Connecticut 06810.</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6106"/>
        <w:gridCol w:w="146"/>
        <w:gridCol w:w="200"/>
        <w:gridCol w:w="1420"/>
        <w:gridCol w:w="146"/>
        <w:gridCol w:w="146"/>
        <w:gridCol w:w="423"/>
        <w:gridCol w:w="1047"/>
        <w:gridCol w:w="516"/>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Beneficial Ownership</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Identity of Owner or Group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BlackRock, Inc.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22,297,032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Michael Castagna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Christopher B. Prentiss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Dominic Marasco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 Thomson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Stuart A. Tross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Steven B. Binder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Ronald Consiglio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Michael Friedman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Jennifer Grancio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Anthony Hooper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Sabrina Kay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Christine Mundkur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James S. Shannon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current executive officers and directors as a group (15 persons)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8,095,373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jc w:val="left"/>
        <w:rPr/>
      </w:pPr>
      <w:r>
        <w:rPr/>
        <w:t> </w:t>
      </w:r>
    </w:p>
    <w:tbl>
      <w:tblPr>
        <w:tblW w:w="1367" w:type="dxa"/>
        <w:jc w:val="left"/>
        <w:tblInd w:w="0" w:type="dxa"/>
        <w:tblLayout w:type="fixed"/>
        <w:tblCellMar>
          <w:top w:w="28" w:type="dxa"/>
          <w:left w:w="28" w:type="dxa"/>
          <w:bottom w:w="28" w:type="dxa"/>
          <w:right w:w="28" w:type="dxa"/>
        </w:tblCellMar>
      </w:tblPr>
      <w:tblGrid>
        <w:gridCol w:w="211"/>
        <w:gridCol w:w="1156"/>
      </w:tblGrid>
      <w:tr>
        <w:trPr/>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4" w:after="283"/>
              <w:jc w:val="left"/>
              <w:rPr>
                <w:rFonts w:ascii="Times New Roman" w:hAnsi="Times New Roman"/>
                <w:color w:val="000000"/>
                <w:sz w:val="16"/>
              </w:rPr>
            </w:pPr>
            <w:r>
              <w:rPr>
                <w:rFonts w:ascii="Times New Roman" w:hAnsi="Times New Roman"/>
                <w:color w:val="000000"/>
                <w:sz w:val="16"/>
              </w:rPr>
              <w:t>*</w:t>
            </w:r>
          </w:p>
        </w:tc>
        <w:tc>
          <w:tcPr>
            <w:tcW w:w="1156" w:type="dxa"/>
            <w:tcBorders/>
            <w:tcMar>
              <w:top w:w="0" w:type="dxa"/>
              <w:left w:w="0" w:type="dxa"/>
              <w:bottom w:w="0" w:type="dxa"/>
              <w:right w:w="0" w:type="dxa"/>
            </w:tcMar>
            <w:vAlign w:val="center"/>
          </w:tcPr>
          <w:p>
            <w:pPr>
              <w:pStyle w:val="TableContents"/>
              <w:bidi w:val="0"/>
              <w:spacing w:before="4" w:after="283"/>
              <w:jc w:val="left"/>
              <w:rPr>
                <w:rFonts w:ascii="Times New Roman" w:hAnsi="Times New Roman"/>
                <w:color w:val="000000"/>
                <w:sz w:val="16"/>
              </w:rPr>
            </w:pPr>
            <w:r>
              <w:rPr>
                <w:rFonts w:ascii="Times New Roman" w:hAnsi="Times New Roman"/>
                <w:color w:val="000000"/>
                <w:sz w:val="16"/>
              </w:rPr>
              <w:t xml:space="preserve">Less than 1%.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
        <w:gridCol w:w="9824"/>
      </w:tblGrid>
      <w:tr>
        <w:trPr/>
        <w:tc>
          <w:tcPr>
            <w:tcW w:w="381" w:type="dxa"/>
            <w:tcBorders/>
            <w:vAlign w:val="center"/>
          </w:tcPr>
          <w:p>
            <w:pPr>
              <w:pStyle w:val="TableContents"/>
              <w:bidi w:val="0"/>
              <w:spacing w:before="0" w:after="283"/>
              <w:jc w:val="left"/>
              <w:rPr>
                <w:sz w:val="4"/>
                <w:szCs w:val="4"/>
              </w:rPr>
            </w:pPr>
            <w:r>
              <w:rPr>
                <w:sz w:val="4"/>
                <w:szCs w:val="4"/>
              </w:rPr>
            </w:r>
          </w:p>
        </w:tc>
        <w:tc>
          <w:tcPr>
            <w:tcW w:w="9824" w:type="dxa"/>
            <w:tcBorders/>
            <w:vAlign w:val="center"/>
          </w:tcPr>
          <w:p>
            <w:pPr>
              <w:pStyle w:val="TableContents"/>
              <w:bidi w:val="0"/>
              <w:spacing w:before="0" w:after="283"/>
              <w:jc w:val="left"/>
              <w:rPr>
                <w:sz w:val="4"/>
                <w:szCs w:val="4"/>
              </w:rPr>
            </w:pPr>
            <w:r>
              <w:rPr>
                <w:sz w:val="4"/>
                <w:szCs w:val="4"/>
              </w:rPr>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(1)</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Based solely on information contained in Schedule 13G/A as filed with the SEC on January 25, 2024 by BlackRock, Inc. ("BlackRock"). According to the Schedule 13G/A, BlackRock has sole voting power with respect to 21,935,909 shares and sole dispositive power with respect to 22,297,032 shares. The address of BlackRock is 55 East 52nd Street, New York, NY 10055.</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(2)</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1,564,517 shares of common stock, (ii) 1,740,100 shares of common stock issuable upon the exercise of vested stock options and (iii) 63,500 shares to be issued pursuant to the vesting of time-based restricted stock units.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(3)</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34,188 shares to be issued pursuant to the vesting of time-based restricted stock units.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(4)</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24,272 shares of common stock.</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(5)</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557,469 shares of common stock, (ii) 618,100 shares of common stock issuable upon the exercise of vested stock options and (iii) 22,500 shares to be issued pursuant to the vesting of time-based restricted stock units.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(6)</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716,047 shares of common stock, (ii) 720,575 shares of common stock issuable upon the exercise of vested stock options and (iii) 22,500 shares to be issued pursuant to the vesting of time-based restricted stock units.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(7)</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546,758 shares of common stock, (ii) 493,025 shares of common stock issuable upon the exercise of vested stock options and (iii) 22,500 shares to be issued pursuant to the vesting of time-based restricted stock units.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(8)</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118,428 shares of common stock and (ii) 32,161 shares of common stock issuable upon the exercise of vested stock options.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(9)</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14,946 shares of common stock and (ii) 45,680 shares of common stock issuable upon the exercise of vested stock options.</w:t>
            </w:r>
          </w:p>
        </w:tc>
      </w:tr>
      <w:tr>
        <w:trPr/>
        <w:tc>
          <w:tcPr>
            <w:tcW w:w="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(10)</w:t>
            </w:r>
          </w:p>
        </w:tc>
        <w:tc>
          <w:tcPr>
            <w:tcW w:w="982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Includes (i) 36,458 shares of common stock and (ii) 37,785 shares of common stock issuable upon the exercise of vested stock options.</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16"/>
              </w:rPr>
            </w:pPr>
            <w:r>
              <w:rPr>
                <w:rFonts w:ascii="Times New Roman" w:hAnsi="Times New Roman"/>
                <w:color w:val="000000"/>
                <w:sz w:val="16"/>
              </w:rPr>
              <w:t>(11)</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Includes the shares beneficially owned by the NEOs and directors listed above plus one additional executive officer who beneficially owned 632,023 shares of common stock. Our remaining executive officer did not beneficially own any shares of common stock as of March 23, 2026.</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r>
        <w:rPr>
          <w:rFonts w:ascii="Times New Roman" w:hAnsi="Times New Roman"/>
          <w:b/>
          <w:color w:val="000000"/>
          <w:sz w:val="20"/>
        </w:rPr>
        <w:t>HOUSEHOLDING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year, a number of brokers with account holders who are MannKind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direct your written request to MannKind Corporation, Investor Relations, 1 Casper Street, Danbury, Connecticut 06810 or contact David Thomson at (818) 661-5000. In addition, we will promptly deliver, upon written or oral request to the address or telephone number above, a separate copy of the Notice of Internet Availability of Proxy Materials to a stockholder at a shared address to which a single copy of the documents was delivered. Stockholders who currently receive multiple copies of the Notices of Internet Availability of Proxy Materials at their address and would like to request “householding” of their communications should contact their broker.</w:t>
      </w:r>
    </w:p>
    <w:p>
      <w:pPr>
        <w:pStyle w:val="TextBody"/>
        <w:bidi w:val="0"/>
        <w:spacing w:before="410" w:after="283"/>
        <w:jc w:val="center"/>
        <w:rPr>
          <w:rFonts w:ascii="Times New Roman" w:hAnsi="Times New Roman"/>
          <w:b/>
          <w:color w:val="000000"/>
          <w:sz w:val="20"/>
        </w:rPr>
      </w:pPr>
      <w:r>
        <w:rPr>
          <w:rFonts w:ascii="Times New Roman" w:hAnsi="Times New Roman"/>
          <w:b/>
          <w:color w:val="000000"/>
          <w:sz w:val="20"/>
        </w:rPr>
        <w:t>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 COPY OF OUR ANNUAL REPORT ON FORM 10-K FOR THE FISCAL YEAR ENDED DECEMBER 31, 2025, FILED WITH THE SEC ON FEBRUARY 26, 2026, IS AVAILABLE WITHOUT CHARGE UPON WRITTEN REQUEST TO: MANNKIND CORPORATION, INVESTOR RELATIONS, 1 </w:t>
      </w:r>
      <w:r>
        <w:rPr>
          <w:rFonts w:ascii="Times New Roman" w:hAnsi="Times New Roman"/>
          <w:caps/>
          <w:color w:val="000000"/>
          <w:sz w:val="20"/>
        </w:rPr>
        <w:t>Casper Street, Danbury, Connecticut</w:t>
      </w:r>
      <w:r>
        <w:rPr>
          <w:rFonts w:ascii="Times New Roman" w:hAnsi="Times New Roman"/>
          <w:color w:val="000000"/>
          <w:sz w:val="20"/>
        </w:rPr>
        <w:t xml:space="preserve"> 06810.</w:t>
      </w:r>
    </w:p>
    <w:p>
      <w:pPr>
        <w:pStyle w:val="TextBody"/>
        <w:bidi w:val="0"/>
        <w:spacing w:before="410" w:after="283"/>
        <w:jc w:val="center"/>
        <w:rPr>
          <w:rFonts w:ascii="Times New Roman" w:hAnsi="Times New Roman"/>
          <w:sz w:val="20"/>
        </w:rPr>
      </w:pPr>
      <w:bookmarkStart w:id="16" w:name="other_matters"/>
      <w:bookmarkEnd w:id="16"/>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pStyle w:val="TextBody"/>
        <w:bidi w:val="0"/>
        <w:jc w:val="left"/>
        <w:rPr/>
      </w:pPr>
      <w:r>
        <w:rPr/>
        <w:t> </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1921"/>
        <w:gridCol w:w="4831"/>
      </w:tblGrid>
      <w:tr>
        <w:trPr/>
        <w:tc>
          <w:tcPr>
            <w:tcW w:w="192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143125" cy="561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43125" cy="561975"/>
                          </a:xfrm>
                          <a:prstGeom prst="rect">
                            <a:avLst/>
                          </a:prstGeom>
                        </pic:spPr>
                      </pic:pic>
                    </a:graphicData>
                  </a:graphic>
                </wp:inline>
              </w:drawing>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David B. Thomson</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General Counsel and Secretary</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Danbury, Connecticut</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7, 2026</w:t>
            </w:r>
          </w:p>
        </w:tc>
        <w:tc>
          <w:tcPr>
            <w:tcW w:w="48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Logo 1 CASPER STREET DANBURY, CT 06810 SCAN TO VIEW MATERIALS &amp; VOTE VOTE BY INTERNET Before The Meeting - Go to www.proxyvote.com or scan the QR Barcode above Use the Internet to transmit your voting instructions and for electronic delivery of information. Vote by 11:59 P.M. Eastern Time on May 13, 2025. Have your proxy card in hand when you access the web site and follow the instructions to obtain your records and to create an electronic voting instruction form. During The Meeting - Go to www.virtualshareholdermeeting.com/MNKD2025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13,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V65708-P28028 KEEP THIS PORTION FOR YOUR RECORDS DETACH AND RETURN THIS PORTION ONLY THIS PROXY CARD IS VALID ONLY WHEN SIGNED AND DATED. MANNKIND CORPORATION For All Withhold All For All Except To withhold authority to vote for any individual nominee(s), mark "For All Except" and write the number(s) of the nominee(s) on the line below. The Board of Directors recommends you vote FOR the following: 1. To elect the nine nominees named herein as directors to serve for the ensuing year and until their successors are elected; Nominees: 01) James S. Shannon, M.D., MRCP (UK) 02) Michael E. Castagna, Pharm.D. 03) Steven B. Binder 04) Ronald J. Consiglio 05) Michael A. Friedman, M.D. 06) Jennifer Grancio 07) Anthony Hooper 08) Sabrina Kay, Ed.D. 0) Christine Mundkur The Board of Directors recommends you vote FOR proposals 2 and 3. For Against Abstain 2. To approve, on an advisory basis, the compensation of the named executive officers of MannKind, as disclosed in MannKind’s proxy statement for the Annual Meeting 3. To ratify the selection by the Audit Committee of the Board of Directors of Deloitte &amp; Touche LLP as the independent registered public accounting firm of MannKind for its fiscal year ending December 31, 2025; and 4. To transact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rPr>
          <w:rFonts w:ascii="Times New Roman" w:hAnsi="Times New Roman"/>
          <w:color w:val="FFFFFF"/>
          <w:sz w:val="20"/>
        </w:rPr>
        <w:t xml:space="preserve"> </w:t>
      </w:r>
      <w:r>
        <w:rPr>
          <w:rFonts w:ascii="Times New Roman" w:hAnsi="Times New Roman"/>
          <w:sz w:val="20"/>
        </w:rPr>
        <w:drawing>
          <wp:inline distT="0" distB="0" distL="0" distR="0">
            <wp:extent cx="6696075" cy="8591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696075" cy="8591550"/>
                    </a:xfrm>
                    <a:prstGeom prst="rect">
                      <a:avLst/>
                    </a:prstGeom>
                  </pic:spPr>
                </pic:pic>
              </a:graphicData>
            </a:graphic>
          </wp:inline>
        </w:drawing>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Important Notice Regarding the Availability of Proxy Materials for the Annual Meeting: The Annual Report and Notice and Proxy Statement are available at www.proxyvote.com. V65709-P28028 MANNKIND CORPORATION Annual Meeting of Stockholders May 14, 2025 9:30 AM PDT This proxy is solicited by the Board of Directors The undersigned hereby appoint(s) David B. Thomson and Maria Robles, and each of them, with power to act without the other and with power of substitution, as proxies and attorneys-in-fact and hereby authorize(s) them to represent and vote, as provided on the reverse side, all the shares of MannKind Corporation Common Stock which the undersigned is entitled to vote, and, in their discretion, to vote upon such other business as may properly come before the Annual Meeting of Stockholders of the MannKind Corporation to be held May 14, 2025 or at any adjournment or postponement thereof, with all powers which the undersigned would possess if present at the Meeting. THIS PROXY, WHEN PROPERLY EXECUTED, WILL BE VOTED IN THE MANNER DIRECTED HEREIN BY THE UNDERSIGNED STOCKHOLDER. IF NO DIRECTION IS GIVEN, THIS PROXY WILL BE VOTED FOR ALL NOMINEES IN PROPOSAL 1 AND FOR PROPOSALS 2 AND 3. Continued and to be signed on reverse side</w:t>
      </w:r>
      <w:r>
        <w:rPr>
          <w:rFonts w:ascii="Times New Roman" w:hAnsi="Times New Roman"/>
          <w:sz w:val="20"/>
        </w:rPr>
        <w:drawing>
          <wp:inline distT="0" distB="0" distL="0" distR="0">
            <wp:extent cx="6677025" cy="8582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677025" cy="8582025"/>
                    </a:xfrm>
                    <a:prstGeom prst="rect">
                      <a:avLst/>
                    </a:prstGeom>
                  </pic:spPr>
                </pic:pic>
              </a:graphicData>
            </a:graphic>
          </wp:inline>
        </w:drawing>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3.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28405</Words>
  <Characters>157640</Characters>
  <CharactersWithSpaces>187427</CharactersWithSpaces>
  <Paragraphs>4945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