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134620</wp:posOffset>
            </wp:positionH>
            <wp:positionV relativeFrom="page">
              <wp:posOffset>248920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260350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2733675</wp:posOffset>
            </wp:positionH>
            <wp:positionV relativeFrom="paragraph">
              <wp:posOffset>54610</wp:posOffset>
            </wp:positionV>
            <wp:extent cx="18243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4355" cy="5715"/>
                    </a:xfrm>
                    <a:prstGeom prst="rect">
                      <a:avLst/>
                    </a:prstGeom>
                    <a:noFill/>
                  </pic:spPr>
                </pic:pic>
              </a:graphicData>
            </a:graphic>
          </wp:anchor>
        </w:drawing>
      </w:r>
    </w:p>
    <w:p>
      <w:pPr>
        <w:spacing w:after="0" w:line="105"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2733675</wp:posOffset>
            </wp:positionH>
            <wp:positionV relativeFrom="paragraph">
              <wp:posOffset>62230</wp:posOffset>
            </wp:positionV>
            <wp:extent cx="18243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4355" cy="5715"/>
                    </a:xfrm>
                    <a:prstGeom prst="rect">
                      <a:avLst/>
                    </a:prstGeom>
                    <a:noFill/>
                  </pic:spPr>
                </pic:pic>
              </a:graphicData>
            </a:graphic>
          </wp:anchor>
        </w:drawing>
      </w:r>
    </w:p>
    <w:p>
      <w:pPr>
        <w:spacing w:after="0" w:line="120" w:lineRule="exact"/>
        <w:rPr>
          <w:sz w:val="24"/>
          <w:szCs w:val="24"/>
          <w:color w:val="auto"/>
        </w:rPr>
      </w:pPr>
    </w:p>
    <w:p>
      <w:pPr>
        <w:ind w:left="488" w:hanging="488"/>
        <w:spacing w:after="0"/>
        <w:tabs>
          <w:tab w:leader="none" w:pos="48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ANNUAL REPORT PURSUANT TO SECTION 13 OR 15(d) OF THE SECURITIES EXCHANGE ACT OF 1934</w:t>
      </w:r>
    </w:p>
    <w:p>
      <w:pPr>
        <w:spacing w:after="0" w:line="55"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For the fiscal year ended December 31, 2018</w:t>
      </w:r>
    </w:p>
    <w:p>
      <w:pPr>
        <w:spacing w:after="0" w:line="63"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or</w:t>
      </w:r>
    </w:p>
    <w:p>
      <w:pPr>
        <w:spacing w:after="0" w:line="50" w:lineRule="exact"/>
        <w:rPr>
          <w:sz w:val="24"/>
          <w:szCs w:val="24"/>
          <w:color w:val="auto"/>
        </w:rPr>
      </w:pPr>
    </w:p>
    <w:p>
      <w:pPr>
        <w:ind w:left="488" w:hanging="488"/>
        <w:spacing w:after="0"/>
        <w:tabs>
          <w:tab w:leader="none" w:pos="488"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4408" w:type="dxa"/>
        <w:tblCellMar>
          <w:top w:w="0" w:type="dxa"/>
          <w:left w:w="0" w:type="dxa"/>
          <w:bottom w:w="0" w:type="dxa"/>
          <w:right w:w="0" w:type="dxa"/>
        </w:tblCellMar>
      </w:tblPr>
      <w:tr>
        <w:trPr>
          <w:trHeight w:val="126"/>
        </w:trPr>
        <w:tc>
          <w:tcPr>
            <w:tcW w:w="1440" w:type="dxa"/>
            <w:vAlign w:val="bottom"/>
          </w:tcPr>
          <w:p>
            <w:pPr>
              <w:spacing w:after="0"/>
              <w:rPr>
                <w:sz w:val="20"/>
                <w:szCs w:val="20"/>
                <w:color w:val="auto"/>
              </w:rPr>
            </w:pPr>
            <w:r>
              <w:rPr>
                <w:rFonts w:ascii="Arial" w:cs="Arial" w:eastAsia="Arial" w:hAnsi="Arial"/>
                <w:sz w:val="11"/>
                <w:szCs w:val="11"/>
                <w:b w:val="1"/>
                <w:bCs w:val="1"/>
                <w:color w:val="auto"/>
                <w:w w:val="91"/>
              </w:rPr>
              <w:t>For the transition period from</w:t>
            </w:r>
          </w:p>
        </w:tc>
        <w:tc>
          <w:tcPr>
            <w:tcW w:w="540" w:type="dxa"/>
            <w:vAlign w:val="bottom"/>
            <w:tcBorders>
              <w:bottom w:val="single" w:sz="8" w:color="auto"/>
            </w:tcBorders>
          </w:tcPr>
          <w:p>
            <w:pPr>
              <w:spacing w:after="0"/>
              <w:rPr>
                <w:sz w:val="10"/>
                <w:szCs w:val="10"/>
                <w:color w:val="auto"/>
              </w:rPr>
            </w:pP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w w:val="95"/>
              </w:rPr>
              <w:t>to</w:t>
            </w:r>
          </w:p>
        </w:tc>
        <w:tc>
          <w:tcPr>
            <w:tcW w:w="540" w:type="dxa"/>
            <w:vAlign w:val="bottom"/>
            <w:tcBorders>
              <w:bottom w:val="single" w:sz="8" w:color="auto"/>
            </w:tcBorders>
          </w:tcPr>
          <w:p>
            <w:pPr>
              <w:spacing w:after="0"/>
              <w:rPr>
                <w:sz w:val="10"/>
                <w:szCs w:val="10"/>
                <w:color w:val="auto"/>
              </w:rPr>
            </w:pPr>
          </w:p>
        </w:tc>
      </w:tr>
      <w:tr>
        <w:trPr>
          <w:trHeight w:val="183"/>
        </w:trPr>
        <w:tc>
          <w:tcPr>
            <w:tcW w:w="2680" w:type="dxa"/>
            <w:vAlign w:val="bottom"/>
            <w:gridSpan w:val="4"/>
          </w:tcPr>
          <w:p>
            <w:pPr>
              <w:ind w:left="500"/>
              <w:spacing w:after="0"/>
              <w:rPr>
                <w:sz w:val="20"/>
                <w:szCs w:val="20"/>
                <w:color w:val="auto"/>
              </w:rPr>
            </w:pPr>
            <w:r>
              <w:rPr>
                <w:rFonts w:ascii="Arial" w:cs="Arial" w:eastAsia="Arial" w:hAnsi="Arial"/>
                <w:sz w:val="11"/>
                <w:szCs w:val="11"/>
                <w:b w:val="1"/>
                <w:bCs w:val="1"/>
                <w:color w:val="auto"/>
              </w:rPr>
              <w:t>Commission file number: 000-50865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2733675</wp:posOffset>
            </wp:positionH>
            <wp:positionV relativeFrom="paragraph">
              <wp:posOffset>53975</wp:posOffset>
            </wp:positionV>
            <wp:extent cx="18243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4355" cy="5715"/>
                    </a:xfrm>
                    <a:prstGeom prst="rect">
                      <a:avLst/>
                    </a:prstGeom>
                    <a:noFill/>
                  </pic:spPr>
                </pic:pic>
              </a:graphicData>
            </a:graphic>
          </wp:anchor>
        </w:drawing>
      </w:r>
    </w:p>
    <w:p>
      <w:pPr>
        <w:spacing w:after="0" w:line="93" w:lineRule="exact"/>
        <w:rPr>
          <w:sz w:val="24"/>
          <w:szCs w:val="24"/>
          <w:color w:val="auto"/>
        </w:rPr>
      </w:pPr>
    </w:p>
    <w:p>
      <w:pPr>
        <w:jc w:val="center"/>
        <w:ind w:right="-7"/>
        <w:spacing w:after="0"/>
        <w:rPr>
          <w:sz w:val="20"/>
          <w:szCs w:val="20"/>
          <w:color w:val="auto"/>
        </w:rPr>
      </w:pPr>
      <w:r>
        <w:rPr>
          <w:rFonts w:ascii="Arial" w:cs="Arial" w:eastAsia="Arial" w:hAnsi="Arial"/>
          <w:sz w:val="24"/>
          <w:szCs w:val="24"/>
          <w:b w:val="1"/>
          <w:bCs w:val="1"/>
          <w:color w:val="auto"/>
        </w:rPr>
        <w:t>MannKind Corporation</w:t>
      </w:r>
    </w:p>
    <w:p>
      <w:pPr>
        <w:spacing w:after="0" w:line="3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2733675</wp:posOffset>
            </wp:positionH>
            <wp:positionV relativeFrom="paragraph">
              <wp:posOffset>55245</wp:posOffset>
            </wp:positionV>
            <wp:extent cx="18243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4355" cy="5715"/>
                    </a:xfrm>
                    <a:prstGeom prst="rect">
                      <a:avLst/>
                    </a:prstGeom>
                    <a:noFill/>
                  </pic:spPr>
                </pic:pic>
              </a:graphicData>
            </a:graphic>
          </wp:anchor>
        </w:drawing>
      </w:r>
    </w:p>
    <w:p>
      <w:pPr>
        <w:spacing w:after="0" w:line="112" w:lineRule="exact"/>
        <w:rPr>
          <w:sz w:val="24"/>
          <w:szCs w:val="24"/>
          <w:color w:val="auto"/>
        </w:rPr>
      </w:pPr>
    </w:p>
    <w:tbl>
      <w:tblPr>
        <w:tblLayout w:type="fixed"/>
        <w:tblInd w:w="1908" w:type="dxa"/>
        <w:tblCellMar>
          <w:top w:w="0" w:type="dxa"/>
          <w:left w:w="0" w:type="dxa"/>
          <w:bottom w:w="0" w:type="dxa"/>
          <w:right w:w="0" w:type="dxa"/>
        </w:tblCellMar>
      </w:tblPr>
      <w:tr>
        <w:trPr>
          <w:trHeight w:val="135"/>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60" w:type="dxa"/>
            <w:vAlign w:val="bottom"/>
            <w:gridSpan w:val="2"/>
          </w:tcPr>
          <w:p>
            <w:pPr>
              <w:jc w:val="center"/>
              <w:ind w:right="2248"/>
              <w:spacing w:after="0"/>
              <w:rPr>
                <w:sz w:val="20"/>
                <w:szCs w:val="20"/>
                <w:color w:val="auto"/>
              </w:rPr>
            </w:pPr>
            <w:r>
              <w:rPr>
                <w:rFonts w:ascii="Arial" w:cs="Arial" w:eastAsia="Arial" w:hAnsi="Arial"/>
                <w:sz w:val="11"/>
                <w:szCs w:val="11"/>
                <w:b w:val="1"/>
                <w:bCs w:val="1"/>
                <w:color w:val="auto"/>
                <w:w w:val="90"/>
              </w:rPr>
              <w:t>Delaware</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13-3607736</w:t>
            </w: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99"/>
        </w:trPr>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60" w:type="dxa"/>
            <w:vAlign w:val="bottom"/>
            <w:gridSpan w:val="2"/>
          </w:tcPr>
          <w:p>
            <w:pPr>
              <w:jc w:val="center"/>
              <w:ind w:right="2248"/>
              <w:spacing w:after="0" w:line="99" w:lineRule="exact"/>
              <w:rPr>
                <w:sz w:val="20"/>
                <w:szCs w:val="20"/>
                <w:color w:val="auto"/>
              </w:rPr>
            </w:pPr>
            <w:r>
              <w:rPr>
                <w:rFonts w:ascii="Arial" w:cs="Arial" w:eastAsia="Arial" w:hAnsi="Arial"/>
                <w:sz w:val="9"/>
                <w:szCs w:val="9"/>
                <w:b w:val="1"/>
                <w:bCs w:val="1"/>
                <w:color w:val="auto"/>
                <w:w w:val="90"/>
              </w:rPr>
              <w:t>(State or other jurisdiction of</w:t>
            </w:r>
          </w:p>
        </w:tc>
        <w:tc>
          <w:tcPr>
            <w:tcW w:w="2460" w:type="dxa"/>
            <w:vAlign w:val="bottom"/>
            <w:gridSpan w:val="3"/>
          </w:tcPr>
          <w:p>
            <w:pPr>
              <w:jc w:val="center"/>
              <w:ind w:right="1760"/>
              <w:spacing w:after="0" w:line="99" w:lineRule="exact"/>
              <w:rPr>
                <w:sz w:val="20"/>
                <w:szCs w:val="20"/>
                <w:color w:val="auto"/>
              </w:rPr>
            </w:pPr>
            <w:r>
              <w:rPr>
                <w:rFonts w:ascii="Arial" w:cs="Arial" w:eastAsia="Arial" w:hAnsi="Arial"/>
                <w:sz w:val="9"/>
                <w:szCs w:val="9"/>
                <w:b w:val="1"/>
                <w:bCs w:val="1"/>
                <w:color w:val="auto"/>
                <w:w w:val="95"/>
              </w:rPr>
              <w:t>(I.R.S. Employer</w:t>
            </w:r>
          </w:p>
        </w:tc>
      </w:tr>
      <w:tr>
        <w:trPr>
          <w:trHeight w:val="99"/>
        </w:trPr>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60" w:type="dxa"/>
            <w:vAlign w:val="bottom"/>
            <w:gridSpan w:val="2"/>
          </w:tcPr>
          <w:p>
            <w:pPr>
              <w:jc w:val="center"/>
              <w:ind w:right="2248"/>
              <w:spacing w:after="0" w:line="99" w:lineRule="exact"/>
              <w:rPr>
                <w:sz w:val="20"/>
                <w:szCs w:val="20"/>
                <w:color w:val="auto"/>
              </w:rPr>
            </w:pPr>
            <w:r>
              <w:rPr>
                <w:rFonts w:ascii="Arial" w:cs="Arial" w:eastAsia="Arial" w:hAnsi="Arial"/>
                <w:sz w:val="9"/>
                <w:szCs w:val="9"/>
                <w:b w:val="1"/>
                <w:bCs w:val="1"/>
                <w:color w:val="auto"/>
                <w:w w:val="90"/>
              </w:rPr>
              <w:t>incorporation or organization)</w:t>
            </w:r>
          </w:p>
        </w:tc>
        <w:tc>
          <w:tcPr>
            <w:tcW w:w="2460" w:type="dxa"/>
            <w:vAlign w:val="bottom"/>
            <w:gridSpan w:val="3"/>
          </w:tcPr>
          <w:p>
            <w:pPr>
              <w:jc w:val="center"/>
              <w:ind w:right="1760"/>
              <w:spacing w:after="0" w:line="99" w:lineRule="exact"/>
              <w:rPr>
                <w:sz w:val="20"/>
                <w:szCs w:val="20"/>
                <w:color w:val="auto"/>
              </w:rPr>
            </w:pPr>
            <w:r>
              <w:rPr>
                <w:rFonts w:ascii="Arial" w:cs="Arial" w:eastAsia="Arial" w:hAnsi="Arial"/>
                <w:sz w:val="9"/>
                <w:szCs w:val="9"/>
                <w:b w:val="1"/>
                <w:bCs w:val="1"/>
                <w:color w:val="auto"/>
                <w:w w:val="92"/>
              </w:rPr>
              <w:t>Identification No.)</w:t>
            </w:r>
          </w:p>
        </w:tc>
      </w:tr>
      <w:tr>
        <w:trPr>
          <w:trHeight w:val="99"/>
        </w:trPr>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60" w:type="dxa"/>
            <w:vAlign w:val="bottom"/>
            <w:gridSpan w:val="2"/>
          </w:tcPr>
          <w:p>
            <w:pPr>
              <w:jc w:val="center"/>
              <w:ind w:right="2248"/>
              <w:spacing w:after="0" w:line="99" w:lineRule="exact"/>
              <w:rPr>
                <w:sz w:val="20"/>
                <w:szCs w:val="20"/>
                <w:color w:val="auto"/>
              </w:rPr>
            </w:pPr>
            <w:r>
              <w:rPr>
                <w:rFonts w:ascii="Arial" w:cs="Arial" w:eastAsia="Arial" w:hAnsi="Arial"/>
                <w:sz w:val="9"/>
                <w:szCs w:val="9"/>
                <w:b w:val="1"/>
                <w:bCs w:val="1"/>
                <w:color w:val="auto"/>
                <w:w w:val="90"/>
              </w:rPr>
              <w:t>30930 Russell Ranch Road, Suite 300</w:t>
            </w:r>
          </w:p>
        </w:tc>
        <w:tc>
          <w:tcPr>
            <w:tcW w:w="6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60" w:type="dxa"/>
            <w:vAlign w:val="bottom"/>
            <w:gridSpan w:val="2"/>
          </w:tcPr>
          <w:p>
            <w:pPr>
              <w:jc w:val="center"/>
              <w:ind w:right="2248"/>
              <w:spacing w:after="0" w:line="99" w:lineRule="exact"/>
              <w:rPr>
                <w:sz w:val="20"/>
                <w:szCs w:val="20"/>
                <w:color w:val="auto"/>
              </w:rPr>
            </w:pPr>
            <w:r>
              <w:rPr>
                <w:rFonts w:ascii="Arial" w:cs="Arial" w:eastAsia="Arial" w:hAnsi="Arial"/>
                <w:sz w:val="9"/>
                <w:szCs w:val="9"/>
                <w:b w:val="1"/>
                <w:bCs w:val="1"/>
                <w:color w:val="auto"/>
                <w:w w:val="92"/>
              </w:rPr>
              <w:t>Westlake Village, California</w:t>
            </w:r>
          </w:p>
        </w:tc>
        <w:tc>
          <w:tcPr>
            <w:tcW w:w="660" w:type="dxa"/>
            <w:vAlign w:val="bottom"/>
          </w:tcPr>
          <w:p>
            <w:pPr>
              <w:jc w:val="right"/>
              <w:ind w:right="153"/>
              <w:spacing w:after="0" w:line="99" w:lineRule="exact"/>
              <w:rPr>
                <w:sz w:val="20"/>
                <w:szCs w:val="20"/>
                <w:color w:val="auto"/>
              </w:rPr>
            </w:pPr>
            <w:r>
              <w:rPr>
                <w:rFonts w:ascii="Arial" w:cs="Arial" w:eastAsia="Arial" w:hAnsi="Arial"/>
                <w:sz w:val="9"/>
                <w:szCs w:val="9"/>
                <w:b w:val="1"/>
                <w:bCs w:val="1"/>
                <w:color w:val="auto"/>
              </w:rPr>
              <w:t>91362</w:t>
            </w: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6"/>
        </w:trPr>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60" w:type="dxa"/>
            <w:vAlign w:val="bottom"/>
            <w:gridSpan w:val="2"/>
          </w:tcPr>
          <w:p>
            <w:pPr>
              <w:jc w:val="center"/>
              <w:ind w:right="2248"/>
              <w:spacing w:after="0"/>
              <w:rPr>
                <w:sz w:val="20"/>
                <w:szCs w:val="20"/>
                <w:color w:val="auto"/>
              </w:rPr>
            </w:pPr>
            <w:r>
              <w:rPr>
                <w:rFonts w:ascii="Arial" w:cs="Arial" w:eastAsia="Arial" w:hAnsi="Arial"/>
                <w:sz w:val="9"/>
                <w:szCs w:val="9"/>
                <w:b w:val="1"/>
                <w:bCs w:val="1"/>
                <w:color w:val="auto"/>
                <w:w w:val="88"/>
              </w:rPr>
              <w:t>(Address of principal executive offices)</w:t>
            </w:r>
          </w:p>
        </w:tc>
        <w:tc>
          <w:tcPr>
            <w:tcW w:w="2460" w:type="dxa"/>
            <w:vAlign w:val="bottom"/>
            <w:gridSpan w:val="3"/>
          </w:tcPr>
          <w:p>
            <w:pPr>
              <w:jc w:val="center"/>
              <w:ind w:right="1760"/>
              <w:spacing w:after="0"/>
              <w:rPr>
                <w:sz w:val="20"/>
                <w:szCs w:val="20"/>
                <w:color w:val="auto"/>
              </w:rPr>
            </w:pPr>
            <w:r>
              <w:rPr>
                <w:rFonts w:ascii="Arial" w:cs="Arial" w:eastAsia="Arial" w:hAnsi="Arial"/>
                <w:sz w:val="9"/>
                <w:szCs w:val="9"/>
                <w:b w:val="1"/>
                <w:bCs w:val="1"/>
                <w:color w:val="auto"/>
                <w:w w:val="94"/>
              </w:rPr>
              <w:t>(Zip Code)</w:t>
            </w:r>
          </w:p>
        </w:tc>
      </w:tr>
      <w:tr>
        <w:trPr>
          <w:trHeight w:val="172"/>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1"/>
                <w:szCs w:val="11"/>
                <w:b w:val="1"/>
                <w:bCs w:val="1"/>
                <w:color w:val="auto"/>
                <w:w w:val="86"/>
              </w:rPr>
              <w:t>Registrant’s telephone number, including area code</w:t>
            </w: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5"/>
        </w:trPr>
        <w:tc>
          <w:tcPr>
            <w:tcW w:w="5280" w:type="dxa"/>
            <w:vAlign w:val="bottom"/>
            <w:gridSpan w:val="4"/>
          </w:tcPr>
          <w:p>
            <w:pPr>
              <w:jc w:val="center"/>
              <w:ind w:left="2346"/>
              <w:spacing w:after="0"/>
              <w:rPr>
                <w:sz w:val="20"/>
                <w:szCs w:val="20"/>
                <w:color w:val="auto"/>
              </w:rPr>
            </w:pPr>
            <w:r>
              <w:rPr>
                <w:rFonts w:ascii="Arial" w:cs="Arial" w:eastAsia="Arial" w:hAnsi="Arial"/>
                <w:sz w:val="11"/>
                <w:szCs w:val="11"/>
                <w:b w:val="1"/>
                <w:bCs w:val="1"/>
                <w:color w:val="auto"/>
                <w:w w:val="90"/>
              </w:rPr>
              <w:t>(818) 661-5000</w:t>
            </w:r>
          </w:p>
        </w:tc>
        <w:tc>
          <w:tcPr>
            <w:tcW w:w="6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80" w:type="dxa"/>
            <w:vAlign w:val="bottom"/>
          </w:tcPr>
          <w:p>
            <w:pPr>
              <w:jc w:val="center"/>
              <w:spacing w:after="0"/>
              <w:rPr>
                <w:sz w:val="20"/>
                <w:szCs w:val="20"/>
                <w:color w:val="auto"/>
              </w:rPr>
            </w:pPr>
            <w:r>
              <w:rPr>
                <w:rFonts w:ascii="Arial" w:cs="Arial" w:eastAsia="Arial" w:hAnsi="Arial"/>
                <w:sz w:val="11"/>
                <w:szCs w:val="11"/>
                <w:b w:val="1"/>
                <w:bCs w:val="1"/>
                <w:color w:val="auto"/>
                <w:w w:val="87"/>
              </w:rPr>
              <w:t>Securities registered pursuant to Section 12(b) of the Act:</w:t>
            </w:r>
          </w:p>
        </w:tc>
        <w:tc>
          <w:tcPr>
            <w:tcW w:w="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700" w:type="dxa"/>
            <w:vAlign w:val="bottom"/>
          </w:tcPr>
          <w:p>
            <w:pPr>
              <w:spacing w:after="0"/>
              <w:rPr>
                <w:sz w:val="12"/>
                <w:szCs w:val="12"/>
                <w:color w:val="auto"/>
              </w:rPr>
            </w:pPr>
          </w:p>
        </w:tc>
        <w:tc>
          <w:tcPr>
            <w:tcW w:w="4580" w:type="dxa"/>
            <w:vAlign w:val="bottom"/>
            <w:gridSpan w:val="3"/>
          </w:tcPr>
          <w:p>
            <w:pPr>
              <w:spacing w:after="0"/>
              <w:rPr>
                <w:sz w:val="20"/>
                <w:szCs w:val="20"/>
                <w:color w:val="auto"/>
              </w:rPr>
            </w:pPr>
            <w:r>
              <w:rPr>
                <w:rFonts w:ascii="Arial" w:cs="Arial" w:eastAsia="Arial" w:hAnsi="Arial"/>
                <w:sz w:val="9"/>
                <w:szCs w:val="9"/>
                <w:b w:val="1"/>
                <w:bCs w:val="1"/>
                <w:color w:val="auto"/>
              </w:rPr>
              <w:t>Title of Class</w:t>
            </w:r>
          </w:p>
        </w:tc>
        <w:tc>
          <w:tcPr>
            <w:tcW w:w="660" w:type="dxa"/>
            <w:vAlign w:val="bottom"/>
          </w:tcPr>
          <w:p>
            <w:pPr>
              <w:spacing w:after="0"/>
              <w:rPr>
                <w:sz w:val="12"/>
                <w:szCs w:val="12"/>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0"/>
              </w:rPr>
              <w:t>Name of Each Exchange on Which Registered</w:t>
            </w:r>
          </w:p>
        </w:tc>
      </w:tr>
      <w:tr>
        <w:trPr>
          <w:trHeight w:val="129"/>
        </w:trPr>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w w:val="81"/>
              </w:rPr>
              <w:t>Common Stock,</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w w:val="90"/>
              </w:rPr>
              <w:t>par value</w:t>
            </w:r>
          </w:p>
        </w:tc>
        <w:tc>
          <w:tcPr>
            <w:tcW w:w="40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$0.01 per share</w:t>
            </w:r>
          </w:p>
        </w:tc>
        <w:tc>
          <w:tcPr>
            <w:tcW w:w="660" w:type="dxa"/>
            <w:vAlign w:val="bottom"/>
          </w:tcPr>
          <w:p>
            <w:pPr>
              <w:spacing w:after="0"/>
              <w:rPr>
                <w:sz w:val="11"/>
                <w:szCs w:val="11"/>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The Nasdaq Global Market</w:t>
            </w:r>
          </w:p>
        </w:tc>
        <w:tc>
          <w:tcPr>
            <w:tcW w:w="20" w:type="dxa"/>
            <w:vAlign w:val="bottom"/>
          </w:tcPr>
          <w:p>
            <w:pPr>
              <w:spacing w:after="0"/>
              <w:rPr>
                <w:sz w:val="11"/>
                <w:szCs w:val="11"/>
                <w:color w:val="auto"/>
              </w:rPr>
            </w:pPr>
          </w:p>
        </w:tc>
      </w:tr>
      <w:tr>
        <w:trPr>
          <w:trHeight w:val="171"/>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1"/>
                <w:szCs w:val="11"/>
                <w:b w:val="1"/>
                <w:bCs w:val="1"/>
                <w:color w:val="auto"/>
                <w:w w:val="87"/>
              </w:rPr>
              <w:t>Securities registered pursuant to Section 12(g) of the Act:</w:t>
            </w: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Arial" w:cs="Arial" w:eastAsia="Arial" w:hAnsi="Arial"/>
                <w:sz w:val="11"/>
                <w:szCs w:val="11"/>
                <w:b w:val="1"/>
                <w:bCs w:val="1"/>
                <w:color w:val="auto"/>
                <w:w w:val="87"/>
              </w:rPr>
              <w:t>None</w:t>
            </w:r>
          </w:p>
        </w:tc>
        <w:tc>
          <w:tcPr>
            <w:tcW w:w="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16"/>
        </w:trPr>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80" w:type="dxa"/>
            <w:vAlign w:val="bottom"/>
          </w:tcPr>
          <w:p>
            <w:pPr>
              <w:jc w:val="center"/>
              <w:spacing w:after="0"/>
              <w:rPr>
                <w:sz w:val="20"/>
                <w:szCs w:val="20"/>
                <w:color w:val="auto"/>
              </w:rPr>
            </w:pPr>
            <w:r>
              <w:rPr>
                <w:rFonts w:ascii="Arial" w:cs="Arial" w:eastAsia="Arial" w:hAnsi="Arial"/>
                <w:sz w:val="9"/>
                <w:szCs w:val="9"/>
                <w:b w:val="1"/>
                <w:bCs w:val="1"/>
                <w:color w:val="auto"/>
                <w:w w:val="90"/>
              </w:rPr>
              <w:t>(Title of Class)</w:t>
            </w:r>
          </w:p>
        </w:tc>
        <w:tc>
          <w:tcPr>
            <w:tcW w:w="6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73"/>
        </w:trPr>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203" w:lineRule="exact"/>
        <w:rPr>
          <w:sz w:val="24"/>
          <w:szCs w:val="24"/>
          <w:color w:val="auto"/>
        </w:rPr>
      </w:pPr>
    </w:p>
    <w:p>
      <w:pPr>
        <w:ind w:left="8"/>
        <w:spacing w:after="0" w:line="138" w:lineRule="exact"/>
        <w:tabs>
          <w:tab w:leader="none" w:pos="5728" w:val="left"/>
          <w:tab w:leader="none" w:pos="6188" w:val="left"/>
        </w:tabs>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51" w:lineRule="exact"/>
        <w:rPr>
          <w:sz w:val="24"/>
          <w:szCs w:val="24"/>
          <w:color w:val="auto"/>
        </w:rPr>
      </w:pPr>
    </w:p>
    <w:p>
      <w:pPr>
        <w:ind w:left="8"/>
        <w:spacing w:after="0" w:line="138" w:lineRule="exact"/>
        <w:tabs>
          <w:tab w:leader="none" w:pos="6848" w:val="left"/>
          <w:tab w:leader="none" w:pos="7328" w:val="left"/>
        </w:tabs>
        <w:rPr>
          <w:sz w:val="20"/>
          <w:szCs w:val="20"/>
          <w:color w:val="auto"/>
        </w:rPr>
      </w:pPr>
      <w:r>
        <w:rPr>
          <w:rFonts w:ascii="Arial" w:cs="Arial" w:eastAsia="Arial" w:hAnsi="Arial"/>
          <w:sz w:val="11"/>
          <w:szCs w:val="11"/>
          <w:color w:val="auto"/>
        </w:rPr>
        <w:t>Indicate by check mark if the registrant is not required to file reports pursuant to Section 13 or 15(d) of the Securities Exchange Act of 1934.</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74" w:lineRule="exact"/>
        <w:rPr>
          <w:sz w:val="24"/>
          <w:szCs w:val="24"/>
          <w:color w:val="auto"/>
        </w:rPr>
      </w:pPr>
    </w:p>
    <w:p>
      <w:pPr>
        <w:ind w:left="8" w:right="240"/>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4"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5" w:lineRule="exact"/>
        <w:rPr>
          <w:sz w:val="24"/>
          <w:szCs w:val="24"/>
          <w:color w:val="auto"/>
        </w:rPr>
      </w:pPr>
    </w:p>
    <w:p>
      <w:pPr>
        <w:ind w:left="8" w:right="260"/>
        <w:spacing w:after="0" w:line="155"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25" w:lineRule="exact"/>
        <w:rPr>
          <w:sz w:val="24"/>
          <w:szCs w:val="24"/>
          <w:color w:val="auto"/>
        </w:rPr>
      </w:pPr>
    </w:p>
    <w:p>
      <w:pPr>
        <w:ind w:left="8" w:right="4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8" w:type="dxa"/>
        <w:tblCellMar>
          <w:top w:w="0" w:type="dxa"/>
          <w:left w:w="0" w:type="dxa"/>
          <w:bottom w:w="0" w:type="dxa"/>
          <w:right w:w="0" w:type="dxa"/>
        </w:tblCellMar>
      </w:tblP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80" w:type="dxa"/>
            <w:vAlign w:val="bottom"/>
          </w:tcPr>
          <w:p>
            <w:pPr>
              <w:ind w:left="740"/>
              <w:spacing w:after="0" w:line="111" w:lineRule="exact"/>
              <w:rPr>
                <w:sz w:val="20"/>
                <w:szCs w:val="20"/>
                <w:color w:val="auto"/>
              </w:rPr>
            </w:pPr>
            <w:r>
              <w:rPr>
                <w:rFonts w:ascii="MS PGothic" w:cs="MS PGothic" w:eastAsia="MS PGothic" w:hAnsi="MS PGothic"/>
                <w:sz w:val="11"/>
                <w:szCs w:val="11"/>
                <w:color w:val="auto"/>
              </w:rPr>
              <w:t>☐</w:t>
            </w:r>
          </w:p>
        </w:tc>
        <w:tc>
          <w:tcPr>
            <w:tcW w:w="4980" w:type="dxa"/>
            <w:vAlign w:val="bottom"/>
          </w:tcPr>
          <w:p>
            <w:pPr>
              <w:ind w:left="3040"/>
              <w:spacing w:after="0"/>
              <w:rPr>
                <w:sz w:val="20"/>
                <w:szCs w:val="20"/>
                <w:color w:val="auto"/>
              </w:rPr>
            </w:pPr>
            <w:r>
              <w:rPr>
                <w:rFonts w:ascii="Arial" w:cs="Arial" w:eastAsia="Arial" w:hAnsi="Arial"/>
                <w:sz w:val="11"/>
                <w:szCs w:val="11"/>
                <w:color w:val="auto"/>
              </w:rPr>
              <w:t>Accelerated filer</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Non-accelerated filer</w:t>
            </w:r>
          </w:p>
        </w:tc>
        <w:tc>
          <w:tcPr>
            <w:tcW w:w="3880" w:type="dxa"/>
            <w:vAlign w:val="bottom"/>
          </w:tcPr>
          <w:p>
            <w:pPr>
              <w:ind w:left="740"/>
              <w:spacing w:after="0" w:line="111" w:lineRule="exact"/>
              <w:rPr>
                <w:sz w:val="20"/>
                <w:szCs w:val="20"/>
                <w:color w:val="auto"/>
              </w:rPr>
            </w:pPr>
            <w:r>
              <w:rPr>
                <w:rFonts w:ascii="MS PGothic" w:cs="MS PGothic" w:eastAsia="MS PGothic" w:hAnsi="MS PGothic"/>
                <w:sz w:val="11"/>
                <w:szCs w:val="11"/>
                <w:color w:val="auto"/>
              </w:rPr>
              <w:t>☐</w:t>
            </w:r>
          </w:p>
        </w:tc>
        <w:tc>
          <w:tcPr>
            <w:tcW w:w="4980" w:type="dxa"/>
            <w:vAlign w:val="bottom"/>
          </w:tcPr>
          <w:p>
            <w:pPr>
              <w:ind w:left="3040"/>
              <w:spacing w:after="0"/>
              <w:rPr>
                <w:sz w:val="20"/>
                <w:szCs w:val="20"/>
                <w:color w:val="auto"/>
              </w:rPr>
            </w:pPr>
            <w:r>
              <w:rPr>
                <w:rFonts w:ascii="Arial" w:cs="Arial" w:eastAsia="Arial" w:hAnsi="Arial"/>
                <w:sz w:val="11"/>
                <w:szCs w:val="11"/>
                <w:color w:val="auto"/>
              </w:rPr>
              <w:t>Smaller reporting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7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980" w:type="dxa"/>
            <w:vAlign w:val="bottom"/>
          </w:tcPr>
          <w:p>
            <w:pPr>
              <w:ind w:left="3040"/>
              <w:spacing w:after="0"/>
              <w:rPr>
                <w:sz w:val="20"/>
                <w:szCs w:val="20"/>
                <w:color w:val="auto"/>
              </w:rPr>
            </w:pPr>
            <w:r>
              <w:rPr>
                <w:rFonts w:ascii="Arial" w:cs="Arial" w:eastAsia="Arial" w:hAnsi="Arial"/>
                <w:sz w:val="11"/>
                <w:szCs w:val="11"/>
                <w:color w:val="auto"/>
              </w:rPr>
              <w:t>Emerging growth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1" w:lineRule="exact"/>
        <w:rPr>
          <w:sz w:val="24"/>
          <w:szCs w:val="24"/>
          <w:color w:val="auto"/>
        </w:rPr>
      </w:pPr>
    </w:p>
    <w:p>
      <w:pPr>
        <w:ind w:left="48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3" w:lineRule="exact"/>
        <w:rPr>
          <w:sz w:val="24"/>
          <w:szCs w:val="24"/>
          <w:color w:val="auto"/>
        </w:rPr>
      </w:pPr>
    </w:p>
    <w:p>
      <w:pPr>
        <w:ind w:left="8"/>
        <w:spacing w:after="0" w:line="111" w:lineRule="exact"/>
        <w:rPr>
          <w:sz w:val="20"/>
          <w:szCs w:val="20"/>
          <w:color w:val="auto"/>
        </w:rPr>
      </w:pPr>
      <w:r>
        <w:rPr>
          <w:rFonts w:ascii="MS PGothic" w:cs="MS PGothic" w:eastAsia="MS PGothic" w:hAnsi="MS PGothic"/>
          <w:sz w:val="11"/>
          <w:szCs w:val="11"/>
          <w:color w:val="auto"/>
        </w:rPr>
        <w:t>☐</w:t>
      </w:r>
    </w:p>
    <w:p>
      <w:pPr>
        <w:spacing w:after="0" w:line="49" w:lineRule="exact"/>
        <w:rPr>
          <w:sz w:val="24"/>
          <w:szCs w:val="24"/>
          <w:color w:val="auto"/>
        </w:rPr>
      </w:pPr>
    </w:p>
    <w:p>
      <w:pPr>
        <w:ind w:left="488"/>
        <w:spacing w:after="0" w:line="127" w:lineRule="exact"/>
        <w:tabs>
          <w:tab w:leader="none" w:pos="5028" w:val="left"/>
          <w:tab w:leader="none" w:pos="5448" w:val="left"/>
        </w:tabs>
        <w:rPr>
          <w:sz w:val="20"/>
          <w:szCs w:val="20"/>
          <w:color w:val="auto"/>
        </w:rPr>
      </w:pPr>
      <w:r>
        <w:rPr>
          <w:rFonts w:ascii="Arial" w:cs="Arial" w:eastAsia="Arial" w:hAnsi="Arial"/>
          <w:sz w:val="10"/>
          <w:szCs w:val="10"/>
          <w:color w:val="auto"/>
        </w:rPr>
        <w:t>Indicate by check mark whether the registrant is a shell company (as defined in Rule 12b-2 of the Act).</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74" w:lineRule="exact"/>
        <w:rPr>
          <w:sz w:val="24"/>
          <w:szCs w:val="24"/>
          <w:color w:val="auto"/>
        </w:rPr>
      </w:pPr>
    </w:p>
    <w:p>
      <w:pPr>
        <w:ind w:left="488"/>
        <w:spacing w:after="0"/>
        <w:rPr>
          <w:sz w:val="20"/>
          <w:szCs w:val="20"/>
          <w:color w:val="auto"/>
        </w:rPr>
      </w:pPr>
      <w:r>
        <w:rPr>
          <w:rFonts w:ascii="Arial" w:cs="Arial" w:eastAsia="Arial" w:hAnsi="Arial"/>
          <w:sz w:val="10"/>
          <w:szCs w:val="10"/>
          <w:color w:val="auto"/>
        </w:rPr>
        <w:t>As of June 29, 2018, the aggregate market value of the voting stock held by non-affiliates of the registrant, computed by reference to the last sale price of such stock as of such date on the Nasdaq Global Market, was approximately $252,751,851.</w:t>
      </w:r>
    </w:p>
    <w:p>
      <w:pPr>
        <w:spacing w:after="0" w:line="65" w:lineRule="exact"/>
        <w:rPr>
          <w:sz w:val="24"/>
          <w:szCs w:val="24"/>
          <w:color w:val="auto"/>
        </w:rPr>
      </w:pPr>
    </w:p>
    <w:p>
      <w:pPr>
        <w:ind w:left="488"/>
        <w:spacing w:after="0"/>
        <w:rPr>
          <w:sz w:val="20"/>
          <w:szCs w:val="20"/>
          <w:color w:val="auto"/>
        </w:rPr>
      </w:pPr>
      <w:r>
        <w:rPr>
          <w:rFonts w:ascii="Arial" w:cs="Arial" w:eastAsia="Arial" w:hAnsi="Arial"/>
          <w:sz w:val="11"/>
          <w:szCs w:val="11"/>
          <w:color w:val="auto"/>
        </w:rPr>
        <w:t>As of February 14, 2019, there were 187,342,566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3291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431" w:right="219" w:bottom="1440" w:gutter="0" w:footer="0" w:header="0"/>
        </w:sectPr>
      </w:pPr>
    </w:p>
    <w:bookmarkStart w:id="1" w:name="page2"/>
    <w:bookmarkEnd w:id="1"/>
    <w:p>
      <w:pPr>
        <w:jc w:val="center"/>
        <w:ind w:right="-439"/>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2868295</wp:posOffset>
            </wp:positionH>
            <wp:positionV relativeFrom="page">
              <wp:posOffset>231775</wp:posOffset>
            </wp:positionV>
            <wp:extent cx="18243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4355" cy="5715"/>
                    </a:xfrm>
                    <a:prstGeom prst="rect">
                      <a:avLst/>
                    </a:prstGeom>
                    <a:noFill/>
                  </pic:spPr>
                </pic:pic>
              </a:graphicData>
            </a:graphic>
          </wp:anchor>
        </w:drawing>
        <w:t>DOCUMENTS INCORPORATED BY REFERENCE</w:t>
      </w:r>
    </w:p>
    <w:p>
      <w:pPr>
        <w:spacing w:after="0" w:line="58" w:lineRule="exact"/>
        <w:rPr>
          <w:sz w:val="20"/>
          <w:szCs w:val="20"/>
          <w:color w:val="auto"/>
        </w:rPr>
      </w:pPr>
    </w:p>
    <w:p>
      <w:pPr>
        <w:ind w:firstLine="488"/>
        <w:spacing w:after="0" w:line="274" w:lineRule="auto"/>
        <w:rPr>
          <w:sz w:val="20"/>
          <w:szCs w:val="20"/>
          <w:color w:val="auto"/>
        </w:rPr>
      </w:pPr>
      <w:r>
        <w:rPr>
          <w:rFonts w:ascii="Arial" w:cs="Arial" w:eastAsia="Arial" w:hAnsi="Arial"/>
          <w:sz w:val="11"/>
          <w:szCs w:val="11"/>
          <w:color w:val="auto"/>
        </w:rPr>
        <w:t>Portions of the registrant’s definitive Proxy Statement (the “Proxy Statement”) for the 2019 Annual Meeting of Stockholders to be filed with the Securities and Exchange Commission pursuant to Regulation 14A not later than April 30, 2019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2923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270510</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020"/>
          </w:cols>
          <w:pgMar w:left="220" w:top="409"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9"/>
          </w:tcPr>
          <w:p>
            <w:pPr>
              <w:jc w:val="center"/>
              <w:ind w:right="2440"/>
              <w:spacing w:after="0"/>
              <w:rPr>
                <w:sz w:val="20"/>
                <w:szCs w:val="20"/>
                <w:color w:val="auto"/>
              </w:rPr>
            </w:pPr>
            <w:r>
              <w:rPr>
                <w:rFonts w:ascii="Arial" w:cs="Arial" w:eastAsia="Arial" w:hAnsi="Arial"/>
                <w:sz w:val="12"/>
                <w:szCs w:val="12"/>
                <w:b w:val="1"/>
                <w:bCs w:val="1"/>
                <w:color w:val="auto"/>
              </w:rPr>
              <w:t>MANNKIND CORPORATION</w:t>
            </w:r>
          </w:p>
        </w:tc>
        <w:tc>
          <w:tcPr>
            <w:tcW w:w="2220" w:type="dxa"/>
            <w:vAlign w:val="bottom"/>
          </w:tcPr>
          <w:p>
            <w:pPr>
              <w:spacing w:after="0"/>
              <w:rPr>
                <w:sz w:val="13"/>
                <w:szCs w:val="13"/>
                <w:color w:val="auto"/>
              </w:rPr>
            </w:pPr>
          </w:p>
        </w:tc>
      </w:tr>
      <w:tr>
        <w:trPr>
          <w:trHeight w:val="275"/>
        </w:trPr>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60" w:type="dxa"/>
            <w:vAlign w:val="bottom"/>
            <w:gridSpan w:val="9"/>
          </w:tcPr>
          <w:p>
            <w:pPr>
              <w:jc w:val="center"/>
              <w:ind w:right="2420"/>
              <w:spacing w:after="0"/>
              <w:rPr>
                <w:sz w:val="20"/>
                <w:szCs w:val="20"/>
                <w:color w:val="auto"/>
              </w:rPr>
            </w:pPr>
            <w:r>
              <w:rPr>
                <w:rFonts w:ascii="Arial" w:cs="Arial" w:eastAsia="Arial" w:hAnsi="Arial"/>
                <w:sz w:val="12"/>
                <w:szCs w:val="12"/>
                <w:b w:val="1"/>
                <w:bCs w:val="1"/>
                <w:color w:val="auto"/>
                <w:w w:val="93"/>
              </w:rPr>
              <w:t>Annual Report on Form 10-K</w:t>
            </w:r>
          </w:p>
        </w:tc>
        <w:tc>
          <w:tcPr>
            <w:tcW w:w="2220" w:type="dxa"/>
            <w:vAlign w:val="bottom"/>
          </w:tcPr>
          <w:p>
            <w:pPr>
              <w:spacing w:after="0"/>
              <w:rPr>
                <w:sz w:val="23"/>
                <w:szCs w:val="23"/>
                <w:color w:val="auto"/>
              </w:rPr>
            </w:pPr>
          </w:p>
        </w:tc>
      </w:tr>
      <w:tr>
        <w:trPr>
          <w:trHeight w:val="157"/>
        </w:trPr>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40" w:type="dxa"/>
            <w:vAlign w:val="bottom"/>
            <w:gridSpan w:val="10"/>
          </w:tcPr>
          <w:p>
            <w:pPr>
              <w:jc w:val="center"/>
              <w:ind w:right="2360"/>
              <w:spacing w:after="0"/>
              <w:rPr>
                <w:sz w:val="20"/>
                <w:szCs w:val="20"/>
                <w:color w:val="auto"/>
              </w:rPr>
            </w:pPr>
            <w:r>
              <w:rPr>
                <w:rFonts w:ascii="Arial" w:cs="Arial" w:eastAsia="Arial" w:hAnsi="Arial"/>
                <w:sz w:val="12"/>
                <w:szCs w:val="12"/>
                <w:b w:val="1"/>
                <w:bCs w:val="1"/>
                <w:color w:val="auto"/>
                <w:w w:val="90"/>
              </w:rPr>
              <w:t>For the Fiscal Year Ended December 31, 2018</w:t>
            </w:r>
          </w:p>
        </w:tc>
        <w:tc>
          <w:tcPr>
            <w:tcW w:w="2220" w:type="dxa"/>
            <w:vAlign w:val="bottom"/>
          </w:tcPr>
          <w:p>
            <w:pPr>
              <w:spacing w:after="0"/>
              <w:rPr>
                <w:sz w:val="13"/>
                <w:szCs w:val="13"/>
                <w:color w:val="auto"/>
              </w:rPr>
            </w:pPr>
          </w:p>
        </w:tc>
      </w:tr>
      <w:tr>
        <w:trPr>
          <w:trHeight w:val="288"/>
        </w:trPr>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60" w:type="dxa"/>
            <w:vAlign w:val="bottom"/>
            <w:gridSpan w:val="8"/>
          </w:tcPr>
          <w:p>
            <w:pPr>
              <w:jc w:val="center"/>
              <w:ind w:right="2820"/>
              <w:spacing w:after="0"/>
              <w:rPr>
                <w:sz w:val="20"/>
                <w:szCs w:val="20"/>
                <w:color w:val="auto"/>
              </w:rPr>
            </w:pPr>
            <w:r>
              <w:rPr>
                <w:rFonts w:ascii="Arial" w:cs="Arial" w:eastAsia="Arial" w:hAnsi="Arial"/>
                <w:sz w:val="12"/>
                <w:szCs w:val="12"/>
                <w:b w:val="1"/>
                <w:bCs w:val="1"/>
                <w:color w:val="auto"/>
                <w:w w:val="98"/>
              </w:rPr>
              <w:t>TABLE OF CONTENTS</w:t>
            </w:r>
          </w:p>
        </w:tc>
        <w:tc>
          <w:tcPr>
            <w:tcW w:w="222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gridSpan w:val="5"/>
          </w:tcPr>
          <w:p>
            <w:pPr>
              <w:jc w:val="center"/>
              <w:ind w:right="3320"/>
              <w:spacing w:after="0"/>
              <w:rPr>
                <w:sz w:val="20"/>
                <w:szCs w:val="20"/>
                <w:color w:val="auto"/>
              </w:rPr>
            </w:pPr>
            <w:r>
              <w:rPr>
                <w:rFonts w:ascii="Arial" w:cs="Arial" w:eastAsia="Arial" w:hAnsi="Arial"/>
                <w:sz w:val="12"/>
                <w:szCs w:val="12"/>
                <w:b w:val="1"/>
                <w:bCs w:val="1"/>
                <w:color w:val="auto"/>
                <w:w w:val="96"/>
              </w:rPr>
              <w:t>PART I</w:t>
            </w:r>
          </w:p>
        </w:tc>
        <w:tc>
          <w:tcPr>
            <w:tcW w:w="2220" w:type="dxa"/>
            <w:vAlign w:val="bottom"/>
          </w:tcPr>
          <w:p>
            <w:pPr>
              <w:spacing w:after="0"/>
              <w:rPr>
                <w:sz w:val="24"/>
                <w:szCs w:val="24"/>
                <w:color w:val="auto"/>
              </w:rPr>
            </w:pPr>
          </w:p>
        </w:tc>
      </w:tr>
      <w:tr>
        <w:trPr>
          <w:trHeight w:val="126"/>
        </w:trPr>
        <w:tc>
          <w:tcPr>
            <w:tcW w:w="1640" w:type="dxa"/>
            <w:vAlign w:val="bottom"/>
            <w:gridSpan w:val="2"/>
          </w:tcPr>
          <w:p>
            <w:pPr>
              <w:ind w:left="160"/>
              <w:spacing w:after="0" w:line="126" w:lineRule="exact"/>
              <w:rPr>
                <w:sz w:val="20"/>
                <w:szCs w:val="20"/>
                <w:color w:val="auto"/>
              </w:rPr>
            </w:pPr>
            <w:r>
              <w:rPr>
                <w:rFonts w:ascii="Arial" w:cs="Arial" w:eastAsia="Arial" w:hAnsi="Arial"/>
                <w:sz w:val="12"/>
                <w:szCs w:val="12"/>
                <w:color w:val="auto"/>
              </w:rPr>
              <w:t>Item 1.</w:t>
            </w:r>
          </w:p>
        </w:tc>
        <w:tc>
          <w:tcPr>
            <w:tcW w:w="7640" w:type="dxa"/>
            <w:vAlign w:val="bottom"/>
            <w:gridSpan w:val="26"/>
          </w:tcPr>
          <w:p>
            <w:pPr>
              <w:spacing w:after="0" w:line="126" w:lineRule="exact"/>
              <w:rPr>
                <w:rFonts w:ascii="Arial" w:cs="Arial" w:eastAsia="Arial" w:hAnsi="Arial"/>
                <w:sz w:val="12"/>
                <w:szCs w:val="12"/>
                <w:color w:val="0000EE"/>
              </w:rPr>
            </w:pPr>
            <w:hyperlink w:anchor="page5">
              <w:r>
                <w:rPr>
                  <w:rFonts w:ascii="Arial" w:cs="Arial" w:eastAsia="Arial" w:hAnsi="Arial"/>
                  <w:sz w:val="12"/>
                  <w:szCs w:val="12"/>
                  <w:color w:val="0000EE"/>
                </w:rPr>
                <w:t>Business</w:t>
              </w:r>
            </w:hyperlink>
          </w:p>
        </w:tc>
        <w:tc>
          <w:tcPr>
            <w:tcW w:w="2220" w:type="dxa"/>
            <w:vAlign w:val="bottom"/>
          </w:tcPr>
          <w:p>
            <w:pPr>
              <w:jc w:val="right"/>
              <w:spacing w:after="0" w:line="126" w:lineRule="exact"/>
              <w:rPr>
                <w:sz w:val="20"/>
                <w:szCs w:val="20"/>
                <w:color w:val="auto"/>
              </w:rPr>
            </w:pPr>
            <w:r>
              <w:rPr>
                <w:rFonts w:ascii="Arial" w:cs="Arial" w:eastAsia="Arial" w:hAnsi="Arial"/>
                <w:sz w:val="12"/>
                <w:szCs w:val="12"/>
                <w:color w:val="auto"/>
              </w:rPr>
              <w:t>2</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1A.</w:t>
            </w:r>
          </w:p>
        </w:tc>
        <w:tc>
          <w:tcPr>
            <w:tcW w:w="7640" w:type="dxa"/>
            <w:vAlign w:val="bottom"/>
            <w:gridSpan w:val="26"/>
          </w:tcPr>
          <w:p>
            <w:pPr>
              <w:spacing w:after="0" w:line="124" w:lineRule="exact"/>
              <w:rPr>
                <w:rFonts w:ascii="Arial" w:cs="Arial" w:eastAsia="Arial" w:hAnsi="Arial"/>
                <w:sz w:val="12"/>
                <w:szCs w:val="12"/>
                <w:color w:val="0000EE"/>
              </w:rPr>
            </w:pPr>
            <w:hyperlink w:anchor="page16">
              <w:r>
                <w:rPr>
                  <w:rFonts w:ascii="Arial" w:cs="Arial" w:eastAsia="Arial" w:hAnsi="Arial"/>
                  <w:sz w:val="12"/>
                  <w:szCs w:val="12"/>
                  <w:color w:val="0000EE"/>
                </w:rPr>
                <w:t>Risk Factors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13</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1B.</w:t>
            </w:r>
          </w:p>
        </w:tc>
        <w:tc>
          <w:tcPr>
            <w:tcW w:w="7640" w:type="dxa"/>
            <w:vAlign w:val="bottom"/>
            <w:gridSpan w:val="26"/>
          </w:tcPr>
          <w:p>
            <w:pPr>
              <w:spacing w:after="0" w:line="124" w:lineRule="exact"/>
              <w:rPr>
                <w:rFonts w:ascii="Arial" w:cs="Arial" w:eastAsia="Arial" w:hAnsi="Arial"/>
                <w:sz w:val="12"/>
                <w:szCs w:val="12"/>
                <w:color w:val="0000EE"/>
              </w:rPr>
            </w:pPr>
            <w:hyperlink w:anchor="page38">
              <w:r>
                <w:rPr>
                  <w:rFonts w:ascii="Arial" w:cs="Arial" w:eastAsia="Arial" w:hAnsi="Arial"/>
                  <w:sz w:val="12"/>
                  <w:szCs w:val="12"/>
                  <w:color w:val="0000EE"/>
                </w:rPr>
                <w:t>Unresolved Staff Comments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35</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2.</w:t>
            </w:r>
          </w:p>
        </w:tc>
        <w:tc>
          <w:tcPr>
            <w:tcW w:w="1360" w:type="dxa"/>
            <w:vAlign w:val="bottom"/>
            <w:tcBorders>
              <w:top w:val="single" w:sz="8" w:color="0000EE"/>
            </w:tcBorders>
            <w:gridSpan w:val="9"/>
          </w:tcPr>
          <w:p>
            <w:pPr>
              <w:spacing w:after="0" w:line="124" w:lineRule="exact"/>
              <w:rPr>
                <w:rFonts w:ascii="Arial" w:cs="Arial" w:eastAsia="Arial" w:hAnsi="Arial"/>
                <w:sz w:val="12"/>
                <w:szCs w:val="12"/>
                <w:color w:val="0000EE"/>
              </w:rPr>
            </w:pPr>
            <w:hyperlink w:anchor="page38">
              <w:r>
                <w:rPr>
                  <w:rFonts w:ascii="Arial" w:cs="Arial" w:eastAsia="Arial" w:hAnsi="Arial"/>
                  <w:sz w:val="12"/>
                  <w:szCs w:val="12"/>
                  <w:color w:val="0000EE"/>
                </w:rPr>
                <w:t>Properties</w:t>
              </w:r>
            </w:hyperlink>
          </w:p>
        </w:tc>
        <w:tc>
          <w:tcPr>
            <w:tcW w:w="6280" w:type="dxa"/>
            <w:vAlign w:val="bottom"/>
            <w:gridSpan w:val="17"/>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35</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3.</w:t>
            </w:r>
          </w:p>
        </w:tc>
        <w:tc>
          <w:tcPr>
            <w:tcW w:w="900" w:type="dxa"/>
            <w:vAlign w:val="bottom"/>
            <w:tcBorders>
              <w:bottom w:val="single" w:sz="8" w:color="0000EE"/>
            </w:tcBorders>
            <w:gridSpan w:val="5"/>
          </w:tcPr>
          <w:p>
            <w:pPr>
              <w:spacing w:after="0" w:line="124" w:lineRule="exact"/>
              <w:rPr>
                <w:rFonts w:ascii="Arial" w:cs="Arial" w:eastAsia="Arial" w:hAnsi="Arial"/>
                <w:sz w:val="12"/>
                <w:szCs w:val="12"/>
                <w:color w:val="0000EE"/>
                <w:w w:val="88"/>
              </w:rPr>
            </w:pPr>
            <w:hyperlink w:anchor="page38">
              <w:r>
                <w:rPr>
                  <w:rFonts w:ascii="Arial" w:cs="Arial" w:eastAsia="Arial" w:hAnsi="Arial"/>
                  <w:sz w:val="12"/>
                  <w:szCs w:val="12"/>
                  <w:color w:val="0000EE"/>
                  <w:w w:val="88"/>
                </w:rPr>
                <w:t>Legal Proceedings</w:t>
              </w:r>
            </w:hyperlink>
          </w:p>
        </w:tc>
        <w:tc>
          <w:tcPr>
            <w:tcW w:w="6740" w:type="dxa"/>
            <w:vAlign w:val="bottom"/>
            <w:gridSpan w:val="21"/>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35</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4.</w:t>
            </w:r>
          </w:p>
        </w:tc>
        <w:tc>
          <w:tcPr>
            <w:tcW w:w="7640" w:type="dxa"/>
            <w:vAlign w:val="bottom"/>
            <w:gridSpan w:val="26"/>
          </w:tcPr>
          <w:p>
            <w:pPr>
              <w:spacing w:after="0" w:line="124" w:lineRule="exact"/>
              <w:rPr>
                <w:rFonts w:ascii="Arial" w:cs="Arial" w:eastAsia="Arial" w:hAnsi="Arial"/>
                <w:sz w:val="12"/>
                <w:szCs w:val="12"/>
                <w:color w:val="0000EE"/>
              </w:rPr>
            </w:pPr>
            <w:hyperlink w:anchor="page38">
              <w:r>
                <w:rPr>
                  <w:rFonts w:ascii="Arial" w:cs="Arial" w:eastAsia="Arial" w:hAnsi="Arial"/>
                  <w:sz w:val="12"/>
                  <w:szCs w:val="12"/>
                  <w:color w:val="0000EE"/>
                </w:rPr>
                <w:t>Mine Safety Disclosures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35</w:t>
            </w:r>
          </w:p>
        </w:tc>
      </w:tr>
      <w:tr>
        <w:trPr>
          <w:trHeight w:val="142"/>
        </w:trPr>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80" w:type="dxa"/>
            <w:vAlign w:val="bottom"/>
            <w:gridSpan w:val="5"/>
          </w:tcPr>
          <w:p>
            <w:pPr>
              <w:jc w:val="center"/>
              <w:ind w:right="3300"/>
              <w:spacing w:after="0"/>
              <w:rPr>
                <w:sz w:val="20"/>
                <w:szCs w:val="20"/>
                <w:color w:val="auto"/>
              </w:rPr>
            </w:pPr>
            <w:r>
              <w:rPr>
                <w:rFonts w:ascii="Arial" w:cs="Arial" w:eastAsia="Arial" w:hAnsi="Arial"/>
                <w:sz w:val="12"/>
                <w:szCs w:val="12"/>
                <w:b w:val="1"/>
                <w:bCs w:val="1"/>
                <w:color w:val="auto"/>
              </w:rPr>
              <w:t>PART II</w:t>
            </w:r>
          </w:p>
        </w:tc>
        <w:tc>
          <w:tcPr>
            <w:tcW w:w="2220" w:type="dxa"/>
            <w:vAlign w:val="bottom"/>
          </w:tcPr>
          <w:p>
            <w:pPr>
              <w:spacing w:after="0"/>
              <w:rPr>
                <w:sz w:val="12"/>
                <w:szCs w:val="12"/>
                <w:color w:val="auto"/>
              </w:rPr>
            </w:pPr>
          </w:p>
        </w:tc>
      </w:tr>
      <w:tr>
        <w:trPr>
          <w:trHeight w:val="126"/>
        </w:trPr>
        <w:tc>
          <w:tcPr>
            <w:tcW w:w="1640" w:type="dxa"/>
            <w:vAlign w:val="bottom"/>
            <w:gridSpan w:val="2"/>
          </w:tcPr>
          <w:p>
            <w:pPr>
              <w:ind w:left="160"/>
              <w:spacing w:after="0" w:line="126" w:lineRule="exact"/>
              <w:rPr>
                <w:sz w:val="20"/>
                <w:szCs w:val="20"/>
                <w:color w:val="auto"/>
              </w:rPr>
            </w:pPr>
            <w:r>
              <w:rPr>
                <w:rFonts w:ascii="Arial" w:cs="Arial" w:eastAsia="Arial" w:hAnsi="Arial"/>
                <w:sz w:val="12"/>
                <w:szCs w:val="12"/>
                <w:color w:val="auto"/>
              </w:rPr>
              <w:t>Item 5.</w:t>
            </w:r>
          </w:p>
        </w:tc>
        <w:tc>
          <w:tcPr>
            <w:tcW w:w="7640" w:type="dxa"/>
            <w:vAlign w:val="bottom"/>
            <w:gridSpan w:val="26"/>
          </w:tcPr>
          <w:p>
            <w:pPr>
              <w:spacing w:after="0" w:line="126" w:lineRule="exact"/>
              <w:rPr>
                <w:rFonts w:ascii="Arial" w:cs="Arial" w:eastAsia="Arial" w:hAnsi="Arial"/>
                <w:sz w:val="12"/>
                <w:szCs w:val="12"/>
                <w:color w:val="0000EE"/>
              </w:rPr>
            </w:pPr>
            <w:hyperlink w:anchor="page39">
              <w:r>
                <w:rPr>
                  <w:rFonts w:ascii="Arial" w:cs="Arial" w:eastAsia="Arial" w:hAnsi="Arial"/>
                  <w:sz w:val="12"/>
                  <w:szCs w:val="12"/>
                  <w:color w:val="0000EE"/>
                </w:rPr>
                <w:t>Market for the Registrant’s Common Equity, Related Stockholder Matters and Issuer Purchases of Equity Securities</w:t>
              </w:r>
            </w:hyperlink>
          </w:p>
        </w:tc>
        <w:tc>
          <w:tcPr>
            <w:tcW w:w="2220" w:type="dxa"/>
            <w:vAlign w:val="bottom"/>
          </w:tcPr>
          <w:p>
            <w:pPr>
              <w:jc w:val="right"/>
              <w:spacing w:after="0" w:line="126" w:lineRule="exact"/>
              <w:rPr>
                <w:sz w:val="20"/>
                <w:szCs w:val="20"/>
                <w:color w:val="auto"/>
              </w:rPr>
            </w:pPr>
            <w:r>
              <w:rPr>
                <w:rFonts w:ascii="Arial" w:cs="Arial" w:eastAsia="Arial" w:hAnsi="Arial"/>
                <w:sz w:val="12"/>
                <w:szCs w:val="12"/>
                <w:color w:val="auto"/>
              </w:rPr>
              <w:t>36</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6.</w:t>
            </w:r>
          </w:p>
        </w:tc>
        <w:tc>
          <w:tcPr>
            <w:tcW w:w="5560" w:type="dxa"/>
            <w:vAlign w:val="bottom"/>
            <w:tcBorders>
              <w:top w:val="single" w:sz="8" w:color="0000EE"/>
            </w:tcBorders>
            <w:gridSpan w:val="25"/>
          </w:tcPr>
          <w:p>
            <w:pPr>
              <w:spacing w:after="0" w:line="124" w:lineRule="exact"/>
              <w:rPr>
                <w:rFonts w:ascii="Arial" w:cs="Arial" w:eastAsia="Arial" w:hAnsi="Arial"/>
                <w:sz w:val="12"/>
                <w:szCs w:val="12"/>
                <w:color w:val="0000EE"/>
              </w:rPr>
            </w:pPr>
            <w:hyperlink w:anchor="page40">
              <w:r>
                <w:rPr>
                  <w:rFonts w:ascii="Arial" w:cs="Arial" w:eastAsia="Arial" w:hAnsi="Arial"/>
                  <w:sz w:val="12"/>
                  <w:szCs w:val="12"/>
                  <w:color w:val="0000EE"/>
                </w:rPr>
                <w:t>Selected Financial Data</w:t>
              </w:r>
            </w:hyperlink>
          </w:p>
        </w:tc>
        <w:tc>
          <w:tcPr>
            <w:tcW w:w="2080" w:type="dxa"/>
            <w:vAlign w:val="bottom"/>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37</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7.</w:t>
            </w:r>
          </w:p>
        </w:tc>
        <w:tc>
          <w:tcPr>
            <w:tcW w:w="7640" w:type="dxa"/>
            <w:vAlign w:val="bottom"/>
            <w:gridSpan w:val="26"/>
          </w:tcPr>
          <w:p>
            <w:pPr>
              <w:spacing w:after="0" w:line="124" w:lineRule="exact"/>
              <w:rPr>
                <w:rFonts w:ascii="Arial" w:cs="Arial" w:eastAsia="Arial" w:hAnsi="Arial"/>
                <w:sz w:val="12"/>
                <w:szCs w:val="12"/>
                <w:color w:val="0000EE"/>
              </w:rPr>
            </w:pPr>
            <w:hyperlink w:anchor="page42">
              <w:r>
                <w:rPr>
                  <w:rFonts w:ascii="Arial" w:cs="Arial" w:eastAsia="Arial" w:hAnsi="Arial"/>
                  <w:sz w:val="12"/>
                  <w:szCs w:val="12"/>
                  <w:color w:val="0000EE"/>
                </w:rPr>
                <w:t>Management’s Discussion and Analysis of Financial Condition and Results of Operations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39</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7A.</w:t>
            </w:r>
          </w:p>
        </w:tc>
        <w:tc>
          <w:tcPr>
            <w:tcW w:w="4300" w:type="dxa"/>
            <w:vAlign w:val="bottom"/>
            <w:tcBorders>
              <w:top w:val="single" w:sz="8" w:color="0000EE"/>
            </w:tcBorders>
            <w:gridSpan w:val="22"/>
          </w:tcPr>
          <w:p>
            <w:pPr>
              <w:spacing w:after="0" w:line="124" w:lineRule="exact"/>
              <w:rPr>
                <w:rFonts w:ascii="Arial" w:cs="Arial" w:eastAsia="Arial" w:hAnsi="Arial"/>
                <w:sz w:val="12"/>
                <w:szCs w:val="12"/>
                <w:color w:val="0000EE"/>
              </w:rPr>
            </w:pPr>
            <w:hyperlink w:anchor="page53">
              <w:r>
                <w:rPr>
                  <w:rFonts w:ascii="Arial" w:cs="Arial" w:eastAsia="Arial" w:hAnsi="Arial"/>
                  <w:sz w:val="12"/>
                  <w:szCs w:val="12"/>
                  <w:color w:val="0000EE"/>
                </w:rPr>
                <w:t>Quantitative and Qualitative Disclosures About Market Risk</w:t>
              </w:r>
            </w:hyperlink>
          </w:p>
        </w:tc>
        <w:tc>
          <w:tcPr>
            <w:tcW w:w="3340" w:type="dxa"/>
            <w:vAlign w:val="bottom"/>
            <w:gridSpan w:val="4"/>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50</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8.</w:t>
            </w:r>
          </w:p>
        </w:tc>
        <w:tc>
          <w:tcPr>
            <w:tcW w:w="290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Financial Statements and Supplementary Data</w:t>
              </w:r>
            </w:hyperlink>
          </w:p>
        </w:tc>
        <w:tc>
          <w:tcPr>
            <w:tcW w:w="4740" w:type="dxa"/>
            <w:vAlign w:val="bottom"/>
            <w:gridSpan w:val="10"/>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51</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640" w:type="dxa"/>
            <w:vAlign w:val="bottom"/>
            <w:gridSpan w:val="26"/>
          </w:tcPr>
          <w:p>
            <w:pPr>
              <w:spacing w:after="0" w:line="124" w:lineRule="exact"/>
              <w:rPr>
                <w:rFonts w:ascii="Arial" w:cs="Arial" w:eastAsia="Arial" w:hAnsi="Arial"/>
                <w:sz w:val="12"/>
                <w:szCs w:val="12"/>
                <w:color w:val="0000EE"/>
              </w:rPr>
            </w:pPr>
            <w:hyperlink w:anchor="page65">
              <w:r>
                <w:rPr>
                  <w:rFonts w:ascii="Arial" w:cs="Arial" w:eastAsia="Arial" w:hAnsi="Arial"/>
                  <w:sz w:val="12"/>
                  <w:szCs w:val="12"/>
                  <w:color w:val="0000EE"/>
                </w:rPr>
                <w:t>REPORT OF INDEPENDENT REGISTERED PUBLIC ACCOUNTING FIRM</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62</w:t>
            </w:r>
          </w:p>
        </w:tc>
      </w:tr>
      <w:tr>
        <w:trPr>
          <w:trHeight w:val="124"/>
        </w:trPr>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6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CONSOLIDATED BALANCE SHEETS</w:t>
              </w:r>
            </w:hyperlink>
          </w:p>
        </w:tc>
        <w:tc>
          <w:tcPr>
            <w:tcW w:w="3780" w:type="dxa"/>
            <w:vAlign w:val="bottom"/>
            <w:gridSpan w:val="5"/>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63</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640" w:type="dxa"/>
            <w:vAlign w:val="bottom"/>
            <w:gridSpan w:val="26"/>
          </w:tcPr>
          <w:p>
            <w:pPr>
              <w:spacing w:after="0" w:line="124" w:lineRule="exact"/>
              <w:rPr>
                <w:rFonts w:ascii="Arial" w:cs="Arial" w:eastAsia="Arial" w:hAnsi="Arial"/>
                <w:sz w:val="12"/>
                <w:szCs w:val="12"/>
                <w:color w:val="0000EE"/>
              </w:rPr>
            </w:pPr>
            <w:hyperlink w:anchor="page67">
              <w:r>
                <w:rPr>
                  <w:rFonts w:ascii="Arial" w:cs="Arial" w:eastAsia="Arial" w:hAnsi="Arial"/>
                  <w:sz w:val="12"/>
                  <w:szCs w:val="12"/>
                  <w:color w:val="0000EE"/>
                </w:rPr>
                <w:t>CONSOLIDATED STATEMENTS OF OPERATIONS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64</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640" w:type="dxa"/>
            <w:vAlign w:val="bottom"/>
            <w:gridSpan w:val="26"/>
          </w:tcPr>
          <w:p>
            <w:pPr>
              <w:spacing w:after="0" w:line="124" w:lineRule="exact"/>
              <w:rPr>
                <w:rFonts w:ascii="Arial" w:cs="Arial" w:eastAsia="Arial" w:hAnsi="Arial"/>
                <w:sz w:val="12"/>
                <w:szCs w:val="12"/>
                <w:color w:val="0000EE"/>
              </w:rPr>
            </w:pPr>
            <w:hyperlink w:anchor="page68">
              <w:r>
                <w:rPr>
                  <w:rFonts w:ascii="Arial" w:cs="Arial" w:eastAsia="Arial" w:hAnsi="Arial"/>
                  <w:sz w:val="12"/>
                  <w:szCs w:val="12"/>
                  <w:color w:val="0000EE"/>
                </w:rPr>
                <w:t>CONSOLIDATED STATEMENTS OF COMPREHENSIVE INCOME (LOSS)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65</w:t>
            </w:r>
          </w:p>
        </w:tc>
      </w:tr>
      <w:tr>
        <w:trPr>
          <w:trHeight w:val="124"/>
        </w:trPr>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2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w:anchor="page69">
              <w:r>
                <w:rPr>
                  <w:rFonts w:ascii="Arial" w:cs="Arial" w:eastAsia="Arial" w:hAnsi="Arial"/>
                  <w:sz w:val="12"/>
                  <w:szCs w:val="12"/>
                  <w:color w:val="0000EE"/>
                </w:rPr>
                <w:t>CONSOLIDATED STATEMENTS OF STOCKHOLDERS’ DEFICIT</w:t>
              </w:r>
            </w:hyperlink>
          </w:p>
        </w:tc>
        <w:tc>
          <w:tcPr>
            <w:tcW w:w="3820" w:type="dxa"/>
            <w:vAlign w:val="bottom"/>
            <w:gridSpan w:val="6"/>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r>
      <w:tr>
        <w:trPr>
          <w:trHeight w:val="124"/>
        </w:trPr>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80" w:type="dxa"/>
            <w:vAlign w:val="bottom"/>
            <w:tcBorders>
              <w:top w:val="single" w:sz="8" w:color="0000EE"/>
              <w:bottom w:val="single" w:sz="8" w:color="0000EE"/>
            </w:tcBorders>
            <w:gridSpan w:val="14"/>
          </w:tcPr>
          <w:p>
            <w:pPr>
              <w:spacing w:after="0" w:line="124" w:lineRule="exact"/>
              <w:rPr>
                <w:rFonts w:ascii="Arial" w:cs="Arial" w:eastAsia="Arial" w:hAnsi="Arial"/>
                <w:sz w:val="12"/>
                <w:szCs w:val="12"/>
                <w:color w:val="0000EE"/>
                <w:w w:val="94"/>
              </w:rPr>
            </w:pPr>
            <w:hyperlink w:anchor="page70">
              <w:r>
                <w:rPr>
                  <w:rFonts w:ascii="Arial" w:cs="Arial" w:eastAsia="Arial" w:hAnsi="Arial"/>
                  <w:sz w:val="12"/>
                  <w:szCs w:val="12"/>
                  <w:color w:val="0000EE"/>
                  <w:w w:val="94"/>
                </w:rPr>
                <w:t>CONSOLIDATED STATEMENTS OF CASH FLOWS</w:t>
              </w:r>
            </w:hyperlink>
          </w:p>
        </w:tc>
        <w:tc>
          <w:tcPr>
            <w:tcW w:w="700" w:type="dxa"/>
            <w:vAlign w:val="bottom"/>
            <w:tcBorders>
              <w:top w:val="single" w:sz="8" w:color="0000EE"/>
            </w:tcBorders>
            <w:gridSpan w:val="4"/>
          </w:tcPr>
          <w:p>
            <w:pPr>
              <w:spacing w:after="0"/>
              <w:rPr>
                <w:sz w:val="10"/>
                <w:szCs w:val="10"/>
                <w:color w:val="auto"/>
              </w:rPr>
            </w:pPr>
          </w:p>
        </w:tc>
        <w:tc>
          <w:tcPr>
            <w:tcW w:w="4260" w:type="dxa"/>
            <w:vAlign w:val="bottom"/>
            <w:gridSpan w:val="8"/>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r>
      <w:tr>
        <w:trPr>
          <w:trHeight w:val="124"/>
        </w:trPr>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640" w:type="dxa"/>
            <w:vAlign w:val="bottom"/>
            <w:gridSpan w:val="26"/>
          </w:tcPr>
          <w:p>
            <w:pPr>
              <w:spacing w:after="0" w:line="124" w:lineRule="exact"/>
              <w:rPr>
                <w:rFonts w:ascii="Arial" w:cs="Arial" w:eastAsia="Arial" w:hAnsi="Arial"/>
                <w:sz w:val="12"/>
                <w:szCs w:val="12"/>
                <w:color w:val="0000EE"/>
              </w:rPr>
            </w:pPr>
            <w:hyperlink w:anchor="page71">
              <w:r>
                <w:rPr>
                  <w:rFonts w:ascii="Arial" w:cs="Arial" w:eastAsia="Arial" w:hAnsi="Arial"/>
                  <w:sz w:val="12"/>
                  <w:szCs w:val="12"/>
                  <w:color w:val="0000EE"/>
                </w:rPr>
                <w:t>NOTES TO CONSOLIDATED FINANCIAL STATEMENTS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68</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9.</w:t>
            </w:r>
          </w:p>
        </w:tc>
        <w:tc>
          <w:tcPr>
            <w:tcW w:w="7640" w:type="dxa"/>
            <w:vAlign w:val="bottom"/>
            <w:gridSpan w:val="26"/>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Changes in and Disagreements With Accountants on Accounting and Financial Disclosure</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51</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9A.</w:t>
            </w:r>
          </w:p>
        </w:tc>
        <w:tc>
          <w:tcPr>
            <w:tcW w:w="434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Controls and Procedures</w:t>
              </w:r>
            </w:hyperlink>
          </w:p>
        </w:tc>
        <w:tc>
          <w:tcPr>
            <w:tcW w:w="3300" w:type="dxa"/>
            <w:vAlign w:val="bottom"/>
            <w:gridSpan w:val="3"/>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51</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9B.</w:t>
            </w:r>
          </w:p>
        </w:tc>
        <w:tc>
          <w:tcPr>
            <w:tcW w:w="1180" w:type="dxa"/>
            <w:vAlign w:val="bottom"/>
            <w:tcBorders>
              <w:top w:val="single" w:sz="8" w:color="0000EE"/>
            </w:tcBorders>
            <w:gridSpan w:val="7"/>
          </w:tcPr>
          <w:p>
            <w:pPr>
              <w:spacing w:after="0" w:line="124" w:lineRule="exact"/>
              <w:rPr>
                <w:rFonts w:ascii="Arial" w:cs="Arial" w:eastAsia="Arial" w:hAnsi="Arial"/>
                <w:sz w:val="12"/>
                <w:szCs w:val="12"/>
                <w:color w:val="0000EE"/>
              </w:rPr>
            </w:pPr>
            <w:hyperlink w:anchor="page55">
              <w:r>
                <w:rPr>
                  <w:rFonts w:ascii="Arial" w:cs="Arial" w:eastAsia="Arial" w:hAnsi="Arial"/>
                  <w:sz w:val="12"/>
                  <w:szCs w:val="12"/>
                  <w:color w:val="0000EE"/>
                </w:rPr>
                <w:t>Other Information</w:t>
              </w:r>
            </w:hyperlink>
          </w:p>
        </w:tc>
        <w:tc>
          <w:tcPr>
            <w:tcW w:w="6460" w:type="dxa"/>
            <w:vAlign w:val="bottom"/>
            <w:gridSpan w:val="19"/>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52</w:t>
            </w:r>
          </w:p>
        </w:tc>
      </w:tr>
      <w:tr>
        <w:trPr>
          <w:trHeight w:val="142"/>
        </w:trPr>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20" w:type="dxa"/>
            <w:vAlign w:val="bottom"/>
            <w:gridSpan w:val="6"/>
          </w:tcPr>
          <w:p>
            <w:pPr>
              <w:jc w:val="center"/>
              <w:ind w:right="3260"/>
              <w:spacing w:after="0"/>
              <w:rPr>
                <w:sz w:val="20"/>
                <w:szCs w:val="20"/>
                <w:color w:val="auto"/>
              </w:rPr>
            </w:pPr>
            <w:r>
              <w:rPr>
                <w:rFonts w:ascii="Arial" w:cs="Arial" w:eastAsia="Arial" w:hAnsi="Arial"/>
                <w:sz w:val="12"/>
                <w:szCs w:val="12"/>
                <w:b w:val="1"/>
                <w:bCs w:val="1"/>
                <w:color w:val="auto"/>
              </w:rPr>
              <w:t>PART III</w:t>
            </w:r>
          </w:p>
        </w:tc>
        <w:tc>
          <w:tcPr>
            <w:tcW w:w="2220" w:type="dxa"/>
            <w:vAlign w:val="bottom"/>
          </w:tcPr>
          <w:p>
            <w:pPr>
              <w:spacing w:after="0"/>
              <w:rPr>
                <w:sz w:val="12"/>
                <w:szCs w:val="12"/>
                <w:color w:val="auto"/>
              </w:rPr>
            </w:pPr>
          </w:p>
        </w:tc>
      </w:tr>
      <w:tr>
        <w:trPr>
          <w:trHeight w:val="126"/>
        </w:trPr>
        <w:tc>
          <w:tcPr>
            <w:tcW w:w="1640" w:type="dxa"/>
            <w:vAlign w:val="bottom"/>
            <w:gridSpan w:val="2"/>
          </w:tcPr>
          <w:p>
            <w:pPr>
              <w:ind w:left="160"/>
              <w:spacing w:after="0" w:line="126" w:lineRule="exact"/>
              <w:rPr>
                <w:sz w:val="20"/>
                <w:szCs w:val="20"/>
                <w:color w:val="auto"/>
              </w:rPr>
            </w:pPr>
            <w:r>
              <w:rPr>
                <w:rFonts w:ascii="Arial" w:cs="Arial" w:eastAsia="Arial" w:hAnsi="Arial"/>
                <w:sz w:val="12"/>
                <w:szCs w:val="12"/>
                <w:color w:val="auto"/>
              </w:rPr>
              <w:t>Item 10.</w:t>
            </w:r>
          </w:p>
        </w:tc>
        <w:tc>
          <w:tcPr>
            <w:tcW w:w="2740" w:type="dxa"/>
            <w:vAlign w:val="bottom"/>
            <w:tcBorders>
              <w:bottom w:val="single" w:sz="8" w:color="0000EE"/>
            </w:tcBorders>
            <w:gridSpan w:val="15"/>
          </w:tcPr>
          <w:p>
            <w:pPr>
              <w:spacing w:after="0" w:line="126" w:lineRule="exact"/>
              <w:rPr>
                <w:rFonts w:ascii="Arial" w:cs="Arial" w:eastAsia="Arial" w:hAnsi="Arial"/>
                <w:sz w:val="12"/>
                <w:szCs w:val="12"/>
                <w:color w:val="0000EE"/>
                <w:w w:val="90"/>
              </w:rPr>
            </w:pPr>
            <w:hyperlink w:anchor="page56">
              <w:r>
                <w:rPr>
                  <w:rFonts w:ascii="Arial" w:cs="Arial" w:eastAsia="Arial" w:hAnsi="Arial"/>
                  <w:sz w:val="12"/>
                  <w:szCs w:val="12"/>
                  <w:color w:val="0000EE"/>
                  <w:w w:val="90"/>
                </w:rPr>
                <w:t>Directors, Executive Officers and Corporate Governance</w:t>
              </w:r>
            </w:hyperlink>
          </w:p>
        </w:tc>
        <w:tc>
          <w:tcPr>
            <w:tcW w:w="4900" w:type="dxa"/>
            <w:vAlign w:val="bottom"/>
            <w:gridSpan w:val="11"/>
          </w:tcPr>
          <w:p>
            <w:pPr>
              <w:spacing w:after="0"/>
              <w:rPr>
                <w:sz w:val="10"/>
                <w:szCs w:val="10"/>
                <w:color w:val="auto"/>
              </w:rPr>
            </w:pPr>
          </w:p>
        </w:tc>
        <w:tc>
          <w:tcPr>
            <w:tcW w:w="2220" w:type="dxa"/>
            <w:vAlign w:val="bottom"/>
          </w:tcPr>
          <w:p>
            <w:pPr>
              <w:jc w:val="right"/>
              <w:spacing w:after="0" w:line="126" w:lineRule="exact"/>
              <w:rPr>
                <w:sz w:val="20"/>
                <w:szCs w:val="20"/>
                <w:color w:val="auto"/>
              </w:rPr>
            </w:pPr>
            <w:r>
              <w:rPr>
                <w:rFonts w:ascii="Arial" w:cs="Arial" w:eastAsia="Arial" w:hAnsi="Arial"/>
                <w:sz w:val="12"/>
                <w:szCs w:val="12"/>
                <w:color w:val="auto"/>
              </w:rPr>
              <w:t>53</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11.</w:t>
            </w:r>
          </w:p>
        </w:tc>
        <w:tc>
          <w:tcPr>
            <w:tcW w:w="7640" w:type="dxa"/>
            <w:vAlign w:val="bottom"/>
            <w:gridSpan w:val="26"/>
          </w:tcPr>
          <w:p>
            <w:pPr>
              <w:spacing w:after="0" w:line="124" w:lineRule="exact"/>
              <w:rPr>
                <w:rFonts w:ascii="Arial" w:cs="Arial" w:eastAsia="Arial" w:hAnsi="Arial"/>
                <w:sz w:val="12"/>
                <w:szCs w:val="12"/>
                <w:color w:val="0000EE"/>
              </w:rPr>
            </w:pPr>
            <w:hyperlink w:anchor="page56">
              <w:r>
                <w:rPr>
                  <w:rFonts w:ascii="Arial" w:cs="Arial" w:eastAsia="Arial" w:hAnsi="Arial"/>
                  <w:sz w:val="12"/>
                  <w:szCs w:val="12"/>
                  <w:color w:val="0000EE"/>
                </w:rPr>
                <w:t>Executive Compensation</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53</w:t>
            </w:r>
          </w:p>
        </w:tc>
      </w:tr>
      <w:tr>
        <w:trPr>
          <w:trHeight w:val="20"/>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gridSpan w:val="8"/>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12.</w:t>
            </w:r>
          </w:p>
        </w:tc>
        <w:tc>
          <w:tcPr>
            <w:tcW w:w="7640" w:type="dxa"/>
            <w:vAlign w:val="bottom"/>
            <w:gridSpan w:val="26"/>
          </w:tcPr>
          <w:p>
            <w:pPr>
              <w:spacing w:after="0" w:line="124" w:lineRule="exact"/>
              <w:rPr>
                <w:rFonts w:ascii="Arial" w:cs="Arial" w:eastAsia="Arial" w:hAnsi="Arial"/>
                <w:sz w:val="12"/>
                <w:szCs w:val="12"/>
                <w:color w:val="0000EE"/>
              </w:rPr>
            </w:pPr>
            <w:hyperlink w:anchor="page56">
              <w:r>
                <w:rPr>
                  <w:rFonts w:ascii="Arial" w:cs="Arial" w:eastAsia="Arial" w:hAnsi="Arial"/>
                  <w:sz w:val="12"/>
                  <w:szCs w:val="12"/>
                  <w:color w:val="0000EE"/>
                </w:rPr>
                <w:t>Security Ownership of Certain Beneficial Owners and Management and Related Stockholder Matters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53</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13.</w:t>
            </w:r>
          </w:p>
        </w:tc>
        <w:tc>
          <w:tcPr>
            <w:tcW w:w="3640" w:type="dxa"/>
            <w:vAlign w:val="bottom"/>
            <w:tcBorders>
              <w:top w:val="single" w:sz="8" w:color="0000EE"/>
              <w:bottom w:val="single" w:sz="8" w:color="0000EE"/>
            </w:tcBorders>
            <w:gridSpan w:val="19"/>
          </w:tcPr>
          <w:p>
            <w:pPr>
              <w:spacing w:after="0" w:line="124" w:lineRule="exact"/>
              <w:rPr>
                <w:rFonts w:ascii="Arial" w:cs="Arial" w:eastAsia="Arial" w:hAnsi="Arial"/>
                <w:sz w:val="12"/>
                <w:szCs w:val="12"/>
                <w:color w:val="0000EE"/>
                <w:w w:val="89"/>
              </w:rPr>
            </w:pPr>
            <w:hyperlink w:anchor="page56">
              <w:r>
                <w:rPr>
                  <w:rFonts w:ascii="Arial" w:cs="Arial" w:eastAsia="Arial" w:hAnsi="Arial"/>
                  <w:sz w:val="12"/>
                  <w:szCs w:val="12"/>
                  <w:color w:val="0000EE"/>
                  <w:w w:val="89"/>
                </w:rPr>
                <w:t>Certain Relationships and Related Transactions, and Director Independence</w:t>
              </w:r>
            </w:hyperlink>
          </w:p>
        </w:tc>
        <w:tc>
          <w:tcPr>
            <w:tcW w:w="1220" w:type="dxa"/>
            <w:vAlign w:val="bottom"/>
            <w:tcBorders>
              <w:top w:val="single" w:sz="8" w:color="0000EE"/>
            </w:tcBorders>
            <w:gridSpan w:val="5"/>
          </w:tcPr>
          <w:p>
            <w:pPr>
              <w:spacing w:after="0"/>
              <w:rPr>
                <w:sz w:val="10"/>
                <w:szCs w:val="10"/>
                <w:color w:val="auto"/>
              </w:rPr>
            </w:pPr>
          </w:p>
        </w:tc>
        <w:tc>
          <w:tcPr>
            <w:tcW w:w="2780" w:type="dxa"/>
            <w:vAlign w:val="bottom"/>
            <w:gridSpan w:val="2"/>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53</w:t>
            </w:r>
          </w:p>
        </w:tc>
      </w:tr>
      <w:tr>
        <w:trPr>
          <w:trHeight w:val="124"/>
        </w:trPr>
        <w:tc>
          <w:tcPr>
            <w:tcW w:w="1640" w:type="dxa"/>
            <w:vAlign w:val="bottom"/>
            <w:gridSpan w:val="2"/>
          </w:tcPr>
          <w:p>
            <w:pPr>
              <w:ind w:left="160"/>
              <w:spacing w:after="0" w:line="124" w:lineRule="exact"/>
              <w:rPr>
                <w:sz w:val="20"/>
                <w:szCs w:val="20"/>
                <w:color w:val="auto"/>
              </w:rPr>
            </w:pPr>
            <w:r>
              <w:rPr>
                <w:rFonts w:ascii="Arial" w:cs="Arial" w:eastAsia="Arial" w:hAnsi="Arial"/>
                <w:sz w:val="12"/>
                <w:szCs w:val="12"/>
                <w:color w:val="auto"/>
              </w:rPr>
              <w:t>Item 14.</w:t>
            </w:r>
          </w:p>
        </w:tc>
        <w:tc>
          <w:tcPr>
            <w:tcW w:w="7640" w:type="dxa"/>
            <w:vAlign w:val="bottom"/>
            <w:gridSpan w:val="26"/>
          </w:tcPr>
          <w:p>
            <w:pPr>
              <w:spacing w:after="0" w:line="124" w:lineRule="exact"/>
              <w:rPr>
                <w:rFonts w:ascii="Arial" w:cs="Arial" w:eastAsia="Arial" w:hAnsi="Arial"/>
                <w:sz w:val="12"/>
                <w:szCs w:val="12"/>
                <w:color w:val="0000EE"/>
              </w:rPr>
            </w:pPr>
            <w:hyperlink w:anchor="page56">
              <w:r>
                <w:rPr>
                  <w:rFonts w:ascii="Arial" w:cs="Arial" w:eastAsia="Arial" w:hAnsi="Arial"/>
                  <w:sz w:val="12"/>
                  <w:szCs w:val="12"/>
                  <w:color w:val="0000EE"/>
                </w:rPr>
                <w:t>Principal Accounting Fees and Services</w:t>
              </w:r>
            </w:hyperlink>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53</w:t>
            </w:r>
          </w:p>
        </w:tc>
      </w:tr>
      <w:tr>
        <w:trPr>
          <w:trHeight w:val="142"/>
        </w:trPr>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20" w:type="dxa"/>
            <w:vAlign w:val="bottom"/>
            <w:gridSpan w:val="6"/>
          </w:tcPr>
          <w:p>
            <w:pPr>
              <w:jc w:val="center"/>
              <w:ind w:right="3260"/>
              <w:spacing w:after="0"/>
              <w:rPr>
                <w:sz w:val="20"/>
                <w:szCs w:val="20"/>
                <w:color w:val="auto"/>
              </w:rPr>
            </w:pPr>
            <w:r>
              <w:rPr>
                <w:rFonts w:ascii="Arial" w:cs="Arial" w:eastAsia="Arial" w:hAnsi="Arial"/>
                <w:sz w:val="12"/>
                <w:szCs w:val="12"/>
                <w:b w:val="1"/>
                <w:bCs w:val="1"/>
                <w:color w:val="auto"/>
              </w:rPr>
              <w:t>PART IV</w:t>
            </w:r>
          </w:p>
        </w:tc>
        <w:tc>
          <w:tcPr>
            <w:tcW w:w="2220" w:type="dxa"/>
            <w:vAlign w:val="bottom"/>
          </w:tcPr>
          <w:p>
            <w:pPr>
              <w:spacing w:after="0"/>
              <w:rPr>
                <w:sz w:val="12"/>
                <w:szCs w:val="12"/>
                <w:color w:val="auto"/>
              </w:rPr>
            </w:pPr>
          </w:p>
        </w:tc>
      </w:tr>
      <w:tr>
        <w:trPr>
          <w:trHeight w:val="126"/>
        </w:trPr>
        <w:tc>
          <w:tcPr>
            <w:tcW w:w="1640" w:type="dxa"/>
            <w:vAlign w:val="bottom"/>
            <w:gridSpan w:val="2"/>
          </w:tcPr>
          <w:p>
            <w:pPr>
              <w:ind w:left="160"/>
              <w:spacing w:after="0" w:line="126" w:lineRule="exact"/>
              <w:rPr>
                <w:sz w:val="20"/>
                <w:szCs w:val="20"/>
                <w:color w:val="auto"/>
              </w:rPr>
            </w:pPr>
            <w:r>
              <w:rPr>
                <w:rFonts w:ascii="Arial" w:cs="Arial" w:eastAsia="Arial" w:hAnsi="Arial"/>
                <w:sz w:val="12"/>
                <w:szCs w:val="12"/>
                <w:color w:val="auto"/>
              </w:rPr>
              <w:t>Item 15.</w:t>
            </w:r>
          </w:p>
        </w:tc>
        <w:tc>
          <w:tcPr>
            <w:tcW w:w="7640" w:type="dxa"/>
            <w:vAlign w:val="bottom"/>
            <w:gridSpan w:val="26"/>
          </w:tcPr>
          <w:p>
            <w:pPr>
              <w:spacing w:after="0" w:line="126" w:lineRule="exact"/>
              <w:rPr>
                <w:rFonts w:ascii="Arial" w:cs="Arial" w:eastAsia="Arial" w:hAnsi="Arial"/>
                <w:sz w:val="12"/>
                <w:szCs w:val="12"/>
                <w:color w:val="0000EE"/>
              </w:rPr>
            </w:pPr>
            <w:hyperlink w:anchor="page57">
              <w:r>
                <w:rPr>
                  <w:rFonts w:ascii="Arial" w:cs="Arial" w:eastAsia="Arial" w:hAnsi="Arial"/>
                  <w:sz w:val="12"/>
                  <w:szCs w:val="12"/>
                  <w:color w:val="0000EE"/>
                </w:rPr>
                <w:t>Exhibits. Financial Statement Schedules</w:t>
              </w:r>
            </w:hyperlink>
          </w:p>
        </w:tc>
        <w:tc>
          <w:tcPr>
            <w:tcW w:w="2220" w:type="dxa"/>
            <w:vAlign w:val="bottom"/>
          </w:tcPr>
          <w:p>
            <w:pPr>
              <w:jc w:val="right"/>
              <w:spacing w:after="0" w:line="126" w:lineRule="exact"/>
              <w:rPr>
                <w:sz w:val="20"/>
                <w:szCs w:val="20"/>
                <w:color w:val="auto"/>
              </w:rPr>
            </w:pPr>
            <w:r>
              <w:rPr>
                <w:rFonts w:ascii="Arial" w:cs="Arial" w:eastAsia="Arial" w:hAnsi="Arial"/>
                <w:sz w:val="12"/>
                <w:szCs w:val="12"/>
                <w:color w:val="auto"/>
              </w:rPr>
              <w:t>54</w:t>
            </w:r>
          </w:p>
        </w:tc>
      </w:tr>
      <w:tr>
        <w:trPr>
          <w:trHeight w:val="124"/>
        </w:trPr>
        <w:tc>
          <w:tcPr>
            <w:tcW w:w="1640" w:type="dxa"/>
            <w:vAlign w:val="bottom"/>
            <w:gridSpan w:val="2"/>
          </w:tcPr>
          <w:p>
            <w:pPr>
              <w:spacing w:after="0" w:line="124" w:lineRule="exact"/>
              <w:rPr>
                <w:rFonts w:ascii="Arial" w:cs="Arial" w:eastAsia="Arial" w:hAnsi="Arial"/>
                <w:sz w:val="12"/>
                <w:szCs w:val="12"/>
                <w:color w:val="0000EE"/>
              </w:rPr>
            </w:pPr>
            <w:hyperlink w:anchor="page63">
              <w:r>
                <w:rPr>
                  <w:rFonts w:ascii="Arial" w:cs="Arial" w:eastAsia="Arial" w:hAnsi="Arial"/>
                  <w:sz w:val="12"/>
                  <w:szCs w:val="12"/>
                  <w:color w:val="0000EE"/>
                </w:rPr>
                <w:t>Signatures</w:t>
              </w:r>
            </w:hyperlink>
          </w:p>
        </w:tc>
        <w:tc>
          <w:tcPr>
            <w:tcW w:w="4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20" w:type="dxa"/>
            <w:vAlign w:val="bottom"/>
          </w:tcPr>
          <w:p>
            <w:pPr>
              <w:jc w:val="right"/>
              <w:spacing w:after="0" w:line="124" w:lineRule="exact"/>
              <w:rPr>
                <w:sz w:val="20"/>
                <w:szCs w:val="20"/>
                <w:color w:val="auto"/>
              </w:rPr>
            </w:pPr>
            <w:r>
              <w:rPr>
                <w:rFonts w:ascii="Arial" w:cs="Arial" w:eastAsia="Arial" w:hAnsi="Arial"/>
                <w:sz w:val="12"/>
                <w:szCs w:val="12"/>
                <w:color w:val="auto"/>
              </w:rPr>
              <w:t>60</w:t>
            </w:r>
          </w:p>
        </w:tc>
      </w:tr>
      <w:tr>
        <w:trPr>
          <w:trHeight w:val="953"/>
        </w:trPr>
        <w:tc>
          <w:tcPr>
            <w:tcW w:w="500" w:type="dxa"/>
            <w:vAlign w:val="bottom"/>
            <w:tcBorders>
              <w:top w:val="single" w:sz="8" w:color="0000EE"/>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firstLine="488"/>
        <w:spacing w:after="0" w:line="279" w:lineRule="auto"/>
        <w:rPr>
          <w:sz w:val="20"/>
          <w:szCs w:val="20"/>
          <w:color w:val="auto"/>
        </w:rPr>
      </w:pPr>
      <w:r>
        <w:rPr>
          <w:rFonts w:ascii="Arial" w:cs="Arial" w:eastAsia="Arial" w:hAnsi="Arial"/>
          <w:sz w:val="11"/>
          <w:szCs w:val="1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or any other product candidates or therapies that we may develop; our ability to manufacture sufficient quantities of Afrezza and obtain insulin supply as needed; our ability to successfully commercialize our Technosphere drug delivery platform; our estimates for future performance; our estimates regarding anticipated operating losses, future revenues, capital requirements and our needs for additional financing;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w:t>
      </w:r>
    </w:p>
    <w:p>
      <w:pPr>
        <w:spacing w:after="0" w:line="118" w:lineRule="exact"/>
        <w:rPr>
          <w:sz w:val="20"/>
          <w:szCs w:val="20"/>
          <w:color w:val="auto"/>
        </w:rPr>
      </w:pPr>
    </w:p>
    <w:p>
      <w:pPr>
        <w:ind w:right="60" w:firstLine="488"/>
        <w:spacing w:after="0" w:line="276" w:lineRule="auto"/>
        <w:rPr>
          <w:sz w:val="20"/>
          <w:szCs w:val="20"/>
          <w:color w:val="auto"/>
        </w:rPr>
      </w:pPr>
      <w:r>
        <w:rPr>
          <w:rFonts w:ascii="Arial" w:cs="Arial" w:eastAsia="Arial" w:hAnsi="Arial"/>
          <w:sz w:val="12"/>
          <w:szCs w:val="12"/>
          <w:color w:val="auto"/>
        </w:rPr>
        <w:t>Afrezza ® and Technosphere ® are our trademarks in the United States. We have also applied for or have registered company trademarks in other jurisdictions. This document also contains trademarks and service marks of other companies that are the property of their respective owners.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Business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Unless the context requires otherwise, the words “MannKind,” “we,” “Company,” “us” and “our” refer to MannKind Corporation and its subsidiaries.</w:t>
      </w:r>
    </w:p>
    <w:p>
      <w:pPr>
        <w:spacing w:after="0" w:line="150"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We are a biopharmaceutical company focused on the development and commercialization of inhaled therapeutic products for patients with diseases such as diabetes and pulmonary arterial hypertension. Our only approved product, Afrezza (insulin human) Inhalation Powder, is a rapid-acting inhaled insulin that was approved by the U.S. Food and Drug Administration (“FDA”) in June 2014. Afrezza became available by prescription in U.S. retail pharmacies in February 2015. According to the Centers for Disease Control and Prevention, 30.3 million people in the United States had diabetes in 2015. Globally, the International Diabetes Federation has estimated that approximately 425.0 million people had diabetes in 2017 and approximately 629.0 million people will have diabetes by 2045.</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Afrezza</w:t>
      </w:r>
    </w:p>
    <w:p>
      <w:pPr>
        <w:spacing w:after="0" w:line="82" w:lineRule="exact"/>
        <w:rPr>
          <w:sz w:val="20"/>
          <w:szCs w:val="20"/>
          <w:color w:val="auto"/>
        </w:rPr>
      </w:pPr>
    </w:p>
    <w:p>
      <w:pPr>
        <w:ind w:right="120" w:firstLine="488"/>
        <w:spacing w:after="0" w:line="323" w:lineRule="auto"/>
        <w:rPr>
          <w:sz w:val="20"/>
          <w:szCs w:val="20"/>
          <w:color w:val="auto"/>
        </w:rPr>
      </w:pPr>
      <w:r>
        <w:rPr>
          <w:rFonts w:ascii="Arial" w:cs="Arial" w:eastAsia="Arial" w:hAnsi="Arial"/>
          <w:sz w:val="11"/>
          <w:szCs w:val="11"/>
          <w:color w:val="auto"/>
        </w:rPr>
        <w:t>Afrezza is a rapid-acting inhaled insulin used to improve glycemic control in adults with diabetes. The product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92" w:lineRule="exact"/>
        <w:rPr>
          <w:sz w:val="20"/>
          <w:szCs w:val="20"/>
          <w:color w:val="auto"/>
        </w:rPr>
      </w:pPr>
    </w:p>
    <w:p>
      <w:pPr>
        <w:ind w:right="40" w:firstLine="488"/>
        <w:spacing w:after="0" w:line="263" w:lineRule="auto"/>
        <w:rPr>
          <w:sz w:val="20"/>
          <w:szCs w:val="20"/>
          <w:color w:val="auto"/>
        </w:rPr>
      </w:pPr>
      <w:r>
        <w:rPr>
          <w:rFonts w:ascii="Arial" w:cs="Arial" w:eastAsia="Arial" w:hAnsi="Arial"/>
          <w:sz w:val="12"/>
          <w:szCs w:val="12"/>
          <w:color w:val="auto"/>
        </w:rPr>
        <w:t>From August 2014 until April 2016, Sanofi-Aventis U.S. LLC (“Sanofi”)) was responsible for commercial, regulatory and development activities associated with Afrezza pursuant to a license and collaboration agreement between us and Sanofi (the “Sanofi License Agreement”). The Sanofi License Agreement terminated effective April 2016 and, after a transition period during which Sanofi continued to fulfill orders for Afrezza, we assumed responsibility for worldwide development and commercialization of Afrezza in July 2016.</w:t>
      </w:r>
    </w:p>
    <w:p>
      <w:pPr>
        <w:spacing w:after="0" w:line="123"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1"/>
          <w:szCs w:val="11"/>
          <w:color w:val="auto"/>
        </w:rPr>
        <w:t>Currently, we promote Afrezza to endocrinologists and certain high-prescribing primary care physicians through our specialty sales force. To support our sales efforts, we have implemented several patient and physician support programs, including a co-pay assistance and product savings program, direct purchase and our MannKind Cares program that supports providers and patients who have questions about insurance coverage, prescription cost and product use. We have also entered into a number of rebate or other agreements with various payors and pharmacy benefit managers that are intended to facilitate more favorable insurance coverage for Afrezza.</w:t>
      </w:r>
    </w:p>
    <w:p>
      <w:pPr>
        <w:spacing w:after="0" w:line="105" w:lineRule="exact"/>
        <w:rPr>
          <w:sz w:val="20"/>
          <w:szCs w:val="20"/>
          <w:color w:val="auto"/>
        </w:rPr>
      </w:pPr>
    </w:p>
    <w:p>
      <w:pPr>
        <w:ind w:firstLine="488"/>
        <w:spacing w:after="0" w:line="290" w:lineRule="auto"/>
        <w:rPr>
          <w:sz w:val="20"/>
          <w:szCs w:val="20"/>
          <w:color w:val="auto"/>
        </w:rPr>
      </w:pPr>
      <w:r>
        <w:rPr>
          <w:rFonts w:ascii="Arial" w:cs="Arial" w:eastAsia="Arial" w:hAnsi="Arial"/>
          <w:sz w:val="11"/>
          <w:szCs w:val="11"/>
          <w:color w:val="auto"/>
        </w:rPr>
        <w:t>In the future, we may seek to supplement our sales force through a co-promotion arrangement with a third party that has an underutilized primary care sales force, that can be used to promote Afrezza to greater number of primary care physicians in the United States. Internationally, our strategy is to establish regional partnerships in foreign jurisdictions where there are commercial opportunities, subject to receipt of the necessary foreign regulatory approvals. In May 2017 we entered into a supply and distribution agreement with Biomm S.A. to pursue regulatory approval and commercialization of Afrezza in Brazil. In May 2018, we entered into a similar agreement with Cipla Ltd. (“Cipla”) for the regulatory approval and commercialization of Afrezza in India. Our partners have not yet commenced commercialization in their respective territories.</w:t>
      </w:r>
    </w:p>
    <w:p>
      <w:pPr>
        <w:spacing w:after="0" w:line="109" w:lineRule="exact"/>
        <w:rPr>
          <w:sz w:val="20"/>
          <w:szCs w:val="20"/>
          <w:color w:val="auto"/>
        </w:rPr>
      </w:pPr>
    </w:p>
    <w:p>
      <w:pPr>
        <w:ind w:right="100" w:firstLine="488"/>
        <w:spacing w:after="0" w:line="286" w:lineRule="auto"/>
        <w:rPr>
          <w:sz w:val="20"/>
          <w:szCs w:val="20"/>
          <w:color w:val="auto"/>
        </w:rPr>
      </w:pPr>
      <w:r>
        <w:rPr>
          <w:rFonts w:ascii="Arial" w:cs="Arial" w:eastAsia="Arial" w:hAnsi="Arial"/>
          <w:sz w:val="11"/>
          <w:szCs w:val="11"/>
          <w:color w:val="auto"/>
        </w:rPr>
        <w:t>We continue to conduct clinical studies of Afrezza, including an open-label pharmacokinetics (PK) and multiple-dose safety and tolerability dose-titration trial of AFREZZA in pediatric patients with type 1 diabetes. The first cohort (patients aged 13-17) in this study was completed in September 2018. Patients in the second cohort (ages 8-12) are currently being recruited and dosed. During the past year, we also supported a collaborative clinical trial with investigators at the Barbara Davis Center for Diabetes, University of Colorado Denver that examined the effect of Afrezza on post-prandial glucose excursions and glucose time-in-range using continuous glucose monitors. We have additional collaborative clinical studies that are underway at this time. As part of the approval of Afrezza, the FDA required us to conduct a five-year, randomized, controlled trial in 8,000-10,000 patients with type 2 diabetes to assess the potential serious risk of pulmonary malignancy with AFREZZA use. We have not yet agreed with the FDA on the final study design for this long-term study.</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Technosphere Platform</w:t>
      </w:r>
    </w:p>
    <w:p>
      <w:pPr>
        <w:spacing w:after="0" w:line="82" w:lineRule="exact"/>
        <w:rPr>
          <w:sz w:val="20"/>
          <w:szCs w:val="20"/>
          <w:color w:val="auto"/>
        </w:rPr>
      </w:pPr>
    </w:p>
    <w:p>
      <w:pPr>
        <w:ind w:right="60" w:firstLine="488"/>
        <w:spacing w:after="0" w:line="283" w:lineRule="auto"/>
        <w:rPr>
          <w:sz w:val="20"/>
          <w:szCs w:val="20"/>
          <w:color w:val="auto"/>
        </w:rPr>
      </w:pPr>
      <w:r>
        <w:rPr>
          <w:rFonts w:ascii="Arial" w:cs="Arial" w:eastAsia="Arial" w:hAnsi="Arial"/>
          <w:sz w:val="11"/>
          <w:szCs w:val="11"/>
          <w:color w:val="auto"/>
        </w:rPr>
        <w:t>We believe there are additional opportunities for our proprietary Technosphere and inhaler technologies for the delivery of active pharmaceutical ingredients (“API”). We believe that our proprietary Technosphere formulation technology represents a versatile drug delivery platform that may allow the oral inhalation of a wide range of API. We have successfully prepared Technosphere formulations of anionic and cationic drugs, hydrophobic and hydrophilic drugs, proteins, peptides and small molecules. Technosphere powders are based on our proprietary excipient, fumaryl diketopiperazine, which is a pH-sensitive organic molecule that self-assembles into small particles under acidic conditions. Certain drugs, such as insulin or treprostinil, can be loaded onto these particles by combining a solution of the drug with a solution or suspension of Technosphere material, which is then dried to powder form. The resulting powder has a consistent and narrow range of particle sizes with good aerodynamic properties that enable efficient delivery deep into the lungs. Technosphere powders dissolve quickly when the particles contact the moist lung surface with its neutral pH, releasing the drug molecules to diffuse across a thin layer of cells into the arterial circulation, bypassing the liver to provide excellent systemic exposure.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5" w:name="page6"/>
    <w:bookmarkEnd w:id="5"/>
    <w:p>
      <w:pPr>
        <w:ind w:right="40" w:firstLine="488"/>
        <w:spacing w:after="0" w:line="257" w:lineRule="auto"/>
        <w:rPr>
          <w:sz w:val="20"/>
          <w:szCs w:val="20"/>
          <w:color w:val="auto"/>
        </w:rPr>
      </w:pPr>
      <w:r>
        <w:rPr>
          <w:rFonts w:ascii="Arial" w:cs="Arial" w:eastAsia="Arial" w:hAnsi="Arial"/>
          <w:sz w:val="12"/>
          <w:szCs w:val="12"/>
          <w:color w:val="auto"/>
        </w:rPr>
        <w:t>We have also created an innovative line of breath-powered, dry powder inhalers. Our inhalers are easy to use, cost-effective and can be produced in both a reusable (chronic treatment) and a single-use (acute treatment) format. Both the reusable and single use inhaler formats use the same internal air-flow design. Being breath-powered, our inhalers require only the patient’s inhalation effort to deliver the powder. To administer the inhalation powder, a patient loads a cartridge into our inhaler and inhales through the mouthpiece. Upon inhalation, the dry powder is lifted out of the cartridge and broken (or de-agglomerated) into small particles. The inhalers are engineered to produce an aggressive airstream to de-agglomerate the powder while keeping the powder moving slowly. This slow-moving powder effectively navigates the patient’s airways for delivery into the lung with minimal deposition at the back of the throat. Our inhalers show very little change in performance (i.e., efficient cartridge emptying) over a wide range of inhalation efforts.</w:t>
      </w:r>
    </w:p>
    <w:p>
      <w:pPr>
        <w:spacing w:after="0" w:line="126" w:lineRule="exact"/>
        <w:rPr>
          <w:sz w:val="20"/>
          <w:szCs w:val="20"/>
          <w:color w:val="auto"/>
        </w:rPr>
      </w:pPr>
    </w:p>
    <w:p>
      <w:pPr>
        <w:ind w:firstLine="488"/>
        <w:spacing w:after="0" w:line="254" w:lineRule="auto"/>
        <w:rPr>
          <w:sz w:val="20"/>
          <w:szCs w:val="20"/>
          <w:color w:val="auto"/>
        </w:rPr>
      </w:pPr>
      <w:r>
        <w:rPr>
          <w:rFonts w:ascii="Arial" w:cs="Arial" w:eastAsia="Arial" w:hAnsi="Arial"/>
          <w:sz w:val="12"/>
          <w:szCs w:val="12"/>
          <w:color w:val="auto"/>
        </w:rPr>
        <w:t>We advanced an inhaled formulation of treprostinil (internally designated “TreT”) into clinical development, completing a Phase 1 dose-escalation study in June 2018. In September 2018, we announced a license and collaboration agreement with United Therapeutics Corporation (“United Therapeutics” or “UT”), pursuant to which UT became responsible for global development, regulatory and commercial activities with respect to TreT (the “UT License Agreement”). We will manufacture clinical supplies and initial commercial supplies of TreT, whereas long-term commercial supplies may be manufactured by UT. In September 2018, we also signed a research agreement with UT (the “UT Research Agreement”) pursuant to which we will evaluate the feasibility of preparing a dry powder formulation of an additional API for the treatment of pulmonary hypertension. In addition to our activities under the UT License Agreement and the UT Research Agreement, we intend to advance additional dry-powder candidates into formulation feasibility and preclinical studies during the next 12-18 months. Our internal product development efforts are supplemented by a collaboration and license agreement with Receptor Life Sciences (“Receptor”), which we entered into in January 2016, pursuant to which Receptor is responsible for the development, manufacture and commercialization of inhaled formulations of certain cannabinoid compounds utilizing our technology. To date, Receptor has conducted formulation studies with a range of different API and has informed us of their plans to commence preclinical development of the most promising powder candidate(s) during 2019.</w:t>
      </w:r>
    </w:p>
    <w:p>
      <w:pPr>
        <w:spacing w:after="0" w:line="129" w:lineRule="exact"/>
        <w:rPr>
          <w:sz w:val="20"/>
          <w:szCs w:val="20"/>
          <w:color w:val="auto"/>
        </w:rPr>
      </w:pPr>
    </w:p>
    <w:p>
      <w:pPr>
        <w:jc w:val="both"/>
        <w:ind w:right="100" w:firstLine="488"/>
        <w:spacing w:after="0" w:line="259" w:lineRule="auto"/>
        <w:rPr>
          <w:sz w:val="20"/>
          <w:szCs w:val="20"/>
          <w:color w:val="auto"/>
        </w:rPr>
      </w:pPr>
      <w:r>
        <w:rPr>
          <w:rFonts w:ascii="Arial" w:cs="Arial" w:eastAsia="Arial" w:hAnsi="Arial"/>
          <w:sz w:val="12"/>
          <w:szCs w:val="12"/>
          <w:color w:val="auto"/>
        </w:rPr>
        <w:t>To aid in the development of our oral inhalation products, we have created a number of innovative tools such as a novel inhalation profiling apparatus that uses miniature sensors to assess the drug delivery process at the level of an individual inhaler. This apparatus provides real-time data regarding patient usage and delivery system performance that is transmitted to a user interface, such as a smartphone application. We are currently evaluating the desirability of developing this apparatus further for use as a training tool in physician offices or as a connected care device that will allow patients to integrate dosing information with other health data, such as blood glucose levels from a self-managed glucose meter or a continuous glucose monitor.</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 and Supply</w:t>
      </w:r>
    </w:p>
    <w:p>
      <w:pPr>
        <w:spacing w:after="0" w:line="82" w:lineRule="exact"/>
        <w:rPr>
          <w:sz w:val="20"/>
          <w:szCs w:val="20"/>
          <w:color w:val="auto"/>
        </w:rPr>
      </w:pPr>
    </w:p>
    <w:p>
      <w:pPr>
        <w:ind w:right="480" w:firstLine="488"/>
        <w:spacing w:after="0" w:line="276" w:lineRule="auto"/>
        <w:rPr>
          <w:sz w:val="20"/>
          <w:szCs w:val="20"/>
          <w:color w:val="auto"/>
        </w:rPr>
      </w:pPr>
      <w:r>
        <w:rPr>
          <w:rFonts w:ascii="Arial" w:cs="Arial" w:eastAsia="Arial" w:hAnsi="Arial"/>
          <w:sz w:val="12"/>
          <w:szCs w:val="12"/>
          <w:color w:val="auto"/>
        </w:rPr>
        <w:t>We manufacture Afrezza in our Danbury, Connecticut facility, where we formulate the Afrezza inhalation powder, fill it into plastic cartridges and then blister package the cartridges and seal the blister cards inside a foil overwrap. These overwraps are then packaged into cartons along with inhalers and printed material by a third-party packager.</w:t>
      </w:r>
    </w:p>
    <w:p>
      <w:pPr>
        <w:spacing w:after="0" w:line="115" w:lineRule="exact"/>
        <w:rPr>
          <w:sz w:val="20"/>
          <w:szCs w:val="20"/>
          <w:color w:val="auto"/>
        </w:rPr>
      </w:pPr>
    </w:p>
    <w:p>
      <w:pPr>
        <w:jc w:val="both"/>
        <w:ind w:right="140" w:firstLine="488"/>
        <w:spacing w:after="0" w:line="263" w:lineRule="auto"/>
        <w:rPr>
          <w:sz w:val="20"/>
          <w:szCs w:val="20"/>
          <w:color w:val="auto"/>
        </w:rPr>
      </w:pPr>
      <w:r>
        <w:rPr>
          <w:rFonts w:ascii="Arial" w:cs="Arial" w:eastAsia="Arial" w:hAnsi="Arial"/>
          <w:sz w:val="12"/>
          <w:szCs w:val="12"/>
          <w:color w:val="auto"/>
        </w:rPr>
        <w:t>The quality management systems of our Connecticut facility have been certified to be in conformance with the ISO 13485 and ISO 9001 standards. Our facility is inspected on a regular basis by the FDA, most recently in June 2018. We were also inspected by ANVISA (Brazil National Health Surveillance Agency) in May 2018. Neither of the regulatory inspections in 2018 gave rise to any inspectional observations (known as “483s” in the United States). The FDA and other foreign jurisdictions are expected to conduct additional inspections of our facility from time to time.</w:t>
      </w:r>
    </w:p>
    <w:p>
      <w:pPr>
        <w:spacing w:after="0" w:line="123" w:lineRule="exact"/>
        <w:rPr>
          <w:sz w:val="20"/>
          <w:szCs w:val="20"/>
          <w:color w:val="auto"/>
        </w:rPr>
      </w:pPr>
    </w:p>
    <w:p>
      <w:pPr>
        <w:ind w:right="100" w:firstLine="488"/>
        <w:spacing w:after="0" w:line="263" w:lineRule="auto"/>
        <w:rPr>
          <w:sz w:val="20"/>
          <w:szCs w:val="20"/>
          <w:color w:val="auto"/>
        </w:rPr>
      </w:pPr>
      <w:r>
        <w:rPr>
          <w:rFonts w:ascii="Arial" w:cs="Arial" w:eastAsia="Arial" w:hAnsi="Arial"/>
          <w:sz w:val="12"/>
          <w:szCs w:val="12"/>
          <w:color w:val="auto"/>
        </w:rPr>
        <w:t>We believe that our Connecticut facility has enough capacity to satisfy the current commercial demand for Afrezza. In addition, the facility includes expansion space to accommodate additional filling lines and other equipment, allowing production capacity to be increased based on the reasonably foreseeable demand for Afrezza over the next several years. We are also utilizing some of this expansion space to create production space for TreT in order to supply UT.</w:t>
      </w:r>
    </w:p>
    <w:p>
      <w:pPr>
        <w:spacing w:after="0" w:line="123" w:lineRule="exact"/>
        <w:rPr>
          <w:sz w:val="20"/>
          <w:szCs w:val="20"/>
          <w:color w:val="auto"/>
        </w:rPr>
      </w:pPr>
    </w:p>
    <w:p>
      <w:pPr>
        <w:ind w:right="200" w:firstLine="488"/>
        <w:spacing w:after="0" w:line="257" w:lineRule="auto"/>
        <w:rPr>
          <w:sz w:val="20"/>
          <w:szCs w:val="20"/>
          <w:color w:val="auto"/>
        </w:rPr>
      </w:pPr>
      <w:r>
        <w:rPr>
          <w:rFonts w:ascii="Arial" w:cs="Arial" w:eastAsia="Arial" w:hAnsi="Arial"/>
          <w:sz w:val="12"/>
          <w:szCs w:val="12"/>
          <w:color w:val="auto"/>
        </w:rPr>
        <w:t>Currently, the only source of insulin that we have qualified for Afrezza is manufactured by Amphastar France Pharmaceuticals S.A.S. (“Amphastar”). In April 2014, we entered into a supply agreement with Amphastar (the “Insulin Supply Agreement”) to purchase certain annual minimum quantities with an initial aggregate purchase commitment of €120.1 million which, after taking into account contract amendments, extends through December 31, 2024 with the ability to renew for an additional two years with certain restrictions. On December 24, 2018 we amended the agreement to extend the term for an additional one year through December 31, 2024 with certain restrictions. As of December 31, 2018, there was €85.8 million remaining in aggregate purchase commitments under this agreement. See additional information in Note 14 – Commitments and Contingencies to the consolidated financial statements for further information related to the Insulin Supply Agreement.</w:t>
      </w:r>
    </w:p>
    <w:p>
      <w:pPr>
        <w:spacing w:after="0" w:line="126" w:lineRule="exact"/>
        <w:rPr>
          <w:sz w:val="20"/>
          <w:szCs w:val="20"/>
          <w:color w:val="auto"/>
        </w:rPr>
      </w:pPr>
    </w:p>
    <w:p>
      <w:pPr>
        <w:ind w:right="280" w:firstLine="488"/>
        <w:spacing w:after="0" w:line="276" w:lineRule="auto"/>
        <w:rPr>
          <w:sz w:val="20"/>
          <w:szCs w:val="20"/>
          <w:color w:val="auto"/>
        </w:rPr>
      </w:pPr>
      <w:r>
        <w:rPr>
          <w:rFonts w:ascii="Arial" w:cs="Arial" w:eastAsia="Arial" w:hAnsi="Arial"/>
          <w:sz w:val="12"/>
          <w:szCs w:val="12"/>
          <w:color w:val="auto"/>
        </w:rPr>
        <w:t>Currently, we purchase the raw material for our proprietary excipient, FDKP (fumaryl diketopiperazine), which is the primary component of our Technosphere technology platform, from a major chemical manufacturer with facilities in Europe and North America.</w:t>
      </w:r>
    </w:p>
    <w:p>
      <w:pPr>
        <w:spacing w:after="0" w:line="115" w:lineRule="exact"/>
        <w:rPr>
          <w:sz w:val="20"/>
          <w:szCs w:val="20"/>
          <w:color w:val="auto"/>
        </w:rPr>
      </w:pPr>
    </w:p>
    <w:p>
      <w:pPr>
        <w:ind w:right="20" w:firstLine="488"/>
        <w:spacing w:after="0" w:line="276" w:lineRule="auto"/>
        <w:rPr>
          <w:sz w:val="20"/>
          <w:szCs w:val="20"/>
          <w:color w:val="auto"/>
        </w:rPr>
      </w:pPr>
      <w:r>
        <w:rPr>
          <w:rFonts w:ascii="Arial" w:cs="Arial" w:eastAsia="Arial" w:hAnsi="Arial"/>
          <w:sz w:val="12"/>
          <w:szCs w:val="12"/>
          <w:color w:val="auto"/>
        </w:rPr>
        <w:t>We have a supply agreement with the contract manufacturer that produces the plastic-molded parts for our inhaler and the corresponding cartridges. We expect to be able to qualify an additional vendor of plastic-molding contract manufacturing services, if warranted by demand. We assemble the inhalers at our Connecticut facility.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6" w:name="page7"/>
    <w:bookmarkEnd w:id="6"/>
    <w:p>
      <w:pPr>
        <w:ind w:right="80" w:firstLine="488"/>
        <w:spacing w:after="0" w:line="276" w:lineRule="auto"/>
        <w:rPr>
          <w:sz w:val="20"/>
          <w:szCs w:val="20"/>
          <w:color w:val="auto"/>
        </w:rPr>
      </w:pPr>
      <w:r>
        <w:rPr>
          <w:rFonts w:ascii="Arial" w:cs="Arial" w:eastAsia="Arial" w:hAnsi="Arial"/>
          <w:sz w:val="12"/>
          <w:szCs w:val="12"/>
          <w:color w:val="auto"/>
        </w:rPr>
        <w:t>We also have an agreement with the contractor that performs the final packaging of Afrezza overwraps, inhalers and printed material into patient kits. We expect to be able to qualify an additional vendor of packaging services, if warranted by demand.</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82"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for all inventions in the United States, Europe, Japan and, depending on the nature of the invention, selected other jurisdictions. We have obtained, are seeking, and will continue to seek patent protection on the compositions of matter, methods and devices flowing from our research and development efforts.</w:t>
      </w:r>
    </w:p>
    <w:p>
      <w:pPr>
        <w:spacing w:after="0" w:line="125" w:lineRule="exact"/>
        <w:rPr>
          <w:sz w:val="20"/>
          <w:szCs w:val="20"/>
          <w:color w:val="auto"/>
        </w:rPr>
      </w:pPr>
    </w:p>
    <w:p>
      <w:pPr>
        <w:ind w:right="80" w:firstLine="488"/>
        <w:spacing w:after="0" w:line="257" w:lineRule="auto"/>
        <w:rPr>
          <w:sz w:val="20"/>
          <w:szCs w:val="20"/>
          <w:color w:val="auto"/>
        </w:rPr>
      </w:pPr>
      <w:r>
        <w:rPr>
          <w:rFonts w:ascii="Arial" w:cs="Arial" w:eastAsia="Arial" w:hAnsi="Arial"/>
          <w:sz w:val="12"/>
          <w:szCs w:val="12"/>
          <w:color w:val="auto"/>
        </w:rPr>
        <w:t>Our Technosphere drug delivery platform, including Afrezza, enjoys patent protection relating to the powder, its manufacture, and its use for pulmonary delivery of drugs. We have additional patent coverage relating to the treatment of diabetes using Afrezza. We have also been granted patent coverage for our inhalers and associated cartridges. Overall, Afrezza is protected by over 570 issued patents in the United States and selected jurisdictions around the world, the longest-lived of which will expire in 2032. We also have over 160 applications pending that may provide additional protection for Afrezza if and when they are allowed. Our entire portfolio consists of approximately 930 issued patents and 280 patent applications that provide protection for our drug delivery platform, Technosphere-based products, the inhalation-profiling apparatus and development tools. Currently, our longest-lived issued patent will expire in 2034. We expect to file further patent applications as our research and development efforts continue.</w:t>
      </w:r>
    </w:p>
    <w:p>
      <w:pPr>
        <w:spacing w:after="0" w:line="126" w:lineRule="exact"/>
        <w:rPr>
          <w:sz w:val="20"/>
          <w:szCs w:val="20"/>
          <w:color w:val="auto"/>
        </w:rPr>
      </w:pPr>
    </w:p>
    <w:p>
      <w:pPr>
        <w:ind w:right="40" w:firstLine="488"/>
        <w:spacing w:after="0" w:line="263" w:lineRule="auto"/>
        <w:rPr>
          <w:sz w:val="20"/>
          <w:szCs w:val="20"/>
          <w:color w:val="auto"/>
        </w:rPr>
      </w:pPr>
      <w:r>
        <w:rPr>
          <w:rFonts w:ascii="Arial" w:cs="Arial" w:eastAsia="Arial" w:hAnsi="Arial"/>
          <w:sz w:val="12"/>
          <w:szCs w:val="12"/>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123" w:lineRule="exact"/>
        <w:rPr>
          <w:sz w:val="20"/>
          <w:szCs w:val="20"/>
          <w:color w:val="auto"/>
        </w:rPr>
      </w:pPr>
    </w:p>
    <w:p>
      <w:pPr>
        <w:ind w:right="120" w:firstLine="488"/>
        <w:spacing w:after="0" w:line="254" w:lineRule="auto"/>
        <w:rPr>
          <w:sz w:val="20"/>
          <w:szCs w:val="20"/>
          <w:color w:val="auto"/>
        </w:rPr>
      </w:pPr>
      <w:r>
        <w:rPr>
          <w:rFonts w:ascii="Arial" w:cs="Arial" w:eastAsia="Arial" w:hAnsi="Arial"/>
          <w:sz w:val="12"/>
          <w:szCs w:val="12"/>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131" w:lineRule="exact"/>
        <w:rPr>
          <w:sz w:val="20"/>
          <w:szCs w:val="20"/>
          <w:color w:val="auto"/>
        </w:rPr>
      </w:pPr>
    </w:p>
    <w:p>
      <w:pPr>
        <w:ind w:right="100" w:firstLine="488"/>
        <w:spacing w:after="0" w:line="316" w:lineRule="auto"/>
        <w:rPr>
          <w:sz w:val="20"/>
          <w:szCs w:val="20"/>
          <w:color w:val="auto"/>
        </w:rPr>
      </w:pPr>
      <w:r>
        <w:rPr>
          <w:rFonts w:ascii="Arial" w:cs="Arial" w:eastAsia="Arial" w:hAnsi="Arial"/>
          <w:sz w:val="10"/>
          <w:szCs w:val="10"/>
          <w:color w:val="auto"/>
        </w:rPr>
        <w:t>If third parties file patent applications, or are issued patents claiming technology also claimed by us in pending applications, we may be required to participate in interference proceedings in the United States Patent and Trademark Office (“USPTO”) to determine priority of invention. We may also be required to participate in interference proceedings involving our issued patents. 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100" w:lineRule="exact"/>
        <w:rPr>
          <w:sz w:val="20"/>
          <w:szCs w:val="20"/>
          <w:color w:val="auto"/>
        </w:rPr>
      </w:pPr>
    </w:p>
    <w:p>
      <w:pPr>
        <w:ind w:right="80" w:firstLine="488"/>
        <w:spacing w:after="0" w:line="259" w:lineRule="auto"/>
        <w:rPr>
          <w:sz w:val="20"/>
          <w:szCs w:val="20"/>
          <w:color w:val="auto"/>
        </w:rPr>
      </w:pPr>
      <w:r>
        <w:rPr>
          <w:rFonts w:ascii="Arial" w:cs="Arial" w:eastAsia="Arial" w:hAnsi="Arial"/>
          <w:sz w:val="12"/>
          <w:szCs w:val="12"/>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Competition</w:t>
      </w:r>
    </w:p>
    <w:p>
      <w:pPr>
        <w:spacing w:after="0" w:line="82"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Diabetes Treatments</w:t>
      </w:r>
    </w:p>
    <w:p>
      <w:pPr>
        <w:spacing w:after="0" w:line="96" w:lineRule="exact"/>
        <w:rPr>
          <w:sz w:val="20"/>
          <w:szCs w:val="20"/>
          <w:color w:val="auto"/>
        </w:rPr>
      </w:pPr>
    </w:p>
    <w:p>
      <w:pPr>
        <w:ind w:right="60" w:firstLine="488"/>
        <w:spacing w:after="0" w:line="263" w:lineRule="auto"/>
        <w:rPr>
          <w:sz w:val="20"/>
          <w:szCs w:val="20"/>
          <w:color w:val="auto"/>
        </w:rPr>
      </w:pPr>
      <w:r>
        <w:rPr>
          <w:rFonts w:ascii="Arial" w:cs="Arial" w:eastAsia="Arial" w:hAnsi="Arial"/>
          <w:sz w:val="12"/>
          <w:szCs w:val="12"/>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have set forth below more detailed information about certain of our competitors. The following is based on information currently available to us.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Rapid-acting (Injected) Insulin</w:t>
      </w:r>
    </w:p>
    <w:p>
      <w:pPr>
        <w:spacing w:after="0" w:line="78" w:lineRule="exact"/>
        <w:rPr>
          <w:sz w:val="20"/>
          <w:szCs w:val="20"/>
          <w:color w:val="auto"/>
        </w:rPr>
      </w:pPr>
    </w:p>
    <w:p>
      <w:pPr>
        <w:ind w:right="100" w:firstLine="488"/>
        <w:spacing w:after="0" w:line="259" w:lineRule="auto"/>
        <w:rPr>
          <w:sz w:val="20"/>
          <w:szCs w:val="20"/>
          <w:color w:val="auto"/>
        </w:rPr>
      </w:pPr>
      <w:r>
        <w:rPr>
          <w:rFonts w:ascii="Arial" w:cs="Arial" w:eastAsia="Arial" w:hAnsi="Arial"/>
          <w:sz w:val="12"/>
          <w:szCs w:val="12"/>
          <w:color w:val="auto"/>
        </w:rPr>
        <w:t>Currently, we believe that Afrezza has a unique pharmacokinetic profile, i.e., with the first measureable effects occurring approximately 12 minutes after administration, reaching peak effects within 35 or 45 minutes after administration of a 4 or 12 unit dose, respectively. There are several formulations of “rapid-acting” insulin analogs that reach their maximum glucose-lowering effect within one to three hours after injection. The principal products in this category are insulin lispro, which is marketed by Eli Lilly &amp; Company as Humalog® and by Sanofi as Admelog®; insulin aspart, which is marketed by Novo Nordisk A/S as Novolog® and as Fiasp ®; and insulin glulisine, which is marketed by Sanofi as Apidra®.</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Inhaled Insulin Delivery Systems</w:t>
      </w:r>
    </w:p>
    <w:p>
      <w:pPr>
        <w:spacing w:after="0" w:line="78" w:lineRule="exact"/>
        <w:rPr>
          <w:sz w:val="20"/>
          <w:szCs w:val="20"/>
          <w:color w:val="auto"/>
        </w:rPr>
      </w:pPr>
    </w:p>
    <w:p>
      <w:pPr>
        <w:ind w:right="360" w:firstLine="488"/>
        <w:spacing w:after="0" w:line="276" w:lineRule="auto"/>
        <w:rPr>
          <w:sz w:val="20"/>
          <w:szCs w:val="20"/>
          <w:color w:val="auto"/>
        </w:rPr>
      </w:pPr>
      <w:r>
        <w:rPr>
          <w:rFonts w:ascii="Arial" w:cs="Arial" w:eastAsia="Arial" w:hAnsi="Arial"/>
          <w:sz w:val="12"/>
          <w:szCs w:val="12"/>
          <w:color w:val="auto"/>
        </w:rPr>
        <w:t>Our drug delivery platform competes with other inhaled delivery systems, including the Dance-501 being developed by Dance Biopharm. Holdings Inc. Dance-501 is a liquid formulation of recombinant human insulin for administration with a small handheld electronic inhaler that is currently being studied in Phase 2 trials.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 and Product Approval</w:t>
      </w:r>
    </w:p>
    <w:p>
      <w:pPr>
        <w:spacing w:after="0" w:line="82" w:lineRule="exact"/>
        <w:rPr>
          <w:sz w:val="20"/>
          <w:szCs w:val="20"/>
          <w:color w:val="auto"/>
        </w:rPr>
      </w:pPr>
    </w:p>
    <w:p>
      <w:pPr>
        <w:ind w:firstLine="488"/>
        <w:spacing w:after="0" w:line="254" w:lineRule="auto"/>
        <w:rPr>
          <w:sz w:val="20"/>
          <w:szCs w:val="20"/>
          <w:color w:val="auto"/>
        </w:rPr>
      </w:pPr>
      <w:r>
        <w:rPr>
          <w:rFonts w:ascii="Arial" w:cs="Arial" w:eastAsia="Arial" w:hAnsi="Arial"/>
          <w:sz w:val="12"/>
          <w:szCs w:val="12"/>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(“FDCA”), and other regulations, regulate research and development activities and the development, testing, manufacture, labeling, storage, shipping, approval, recordkeeping, advertising, promotion, sale and distribution of such products. In addition, if any of our products are marketed abroad, they will also be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steps typically required before an unapproved new drug or biologic product for use in humans may be marketed in the United States include:</w:t>
      </w:r>
    </w:p>
    <w:p>
      <w:pPr>
        <w:spacing w:after="0" w:line="78" w:lineRule="exact"/>
        <w:rPr>
          <w:sz w:val="20"/>
          <w:szCs w:val="20"/>
          <w:color w:val="auto"/>
        </w:rPr>
      </w:pPr>
    </w:p>
    <w:p>
      <w:pPr>
        <w:ind w:left="960" w:right="40" w:hanging="482"/>
        <w:spacing w:after="0" w:line="263" w:lineRule="auto"/>
        <w:tabs>
          <w:tab w:leader="none" w:pos="96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50" w:lineRule="exact"/>
        <w:rPr>
          <w:rFonts w:ascii="Arial" w:cs="Arial" w:eastAsia="Arial" w:hAnsi="Arial"/>
          <w:sz w:val="12"/>
          <w:szCs w:val="12"/>
          <w:color w:val="auto"/>
        </w:rPr>
      </w:pPr>
    </w:p>
    <w:p>
      <w:pPr>
        <w:jc w:val="both"/>
        <w:ind w:left="960" w:right="20" w:hanging="482"/>
        <w:spacing w:after="0" w:line="263" w:lineRule="auto"/>
        <w:tabs>
          <w:tab w:leader="none" w:pos="96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Submission to the FDA of IND (Investigational New Drug Application), which must become effective before human clinical trials may commence. The results of the preclinical studies are submitted to the FDA as part of the IND. Unless the FDA objects and places a clinical hold, the IND becomes effective 30 days following receipt by the FDA, although the FDA may place trials on hold at any time if it believes the risks to subjects outweigh the potential benefits.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87" w:right="239" w:bottom="1440" w:gutter="0" w:footer="0" w:header="0"/>
        </w:sectPr>
      </w:pPr>
    </w:p>
    <w:bookmarkStart w:id="8" w:name="page9"/>
    <w:bookmarkEnd w:id="8"/>
    <w:p>
      <w:pPr>
        <w:ind w:left="960" w:right="180" w:hanging="482"/>
        <w:spacing w:after="0" w:line="276" w:lineRule="auto"/>
        <w:tabs>
          <w:tab w:leader="none" w:pos="9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Approval of clinical protocols by independent institutional review boards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42" w:lineRule="exact"/>
        <w:rPr>
          <w:rFonts w:ascii="Arial" w:cs="Arial" w:eastAsia="Arial" w:hAnsi="Arial"/>
          <w:sz w:val="12"/>
          <w:szCs w:val="12"/>
          <w:color w:val="auto"/>
        </w:rPr>
      </w:pPr>
    </w:p>
    <w:p>
      <w:pPr>
        <w:ind w:left="960" w:right="20" w:hanging="482"/>
        <w:spacing w:after="0" w:line="259" w:lineRule="auto"/>
        <w:tabs>
          <w:tab w:leader="none" w:pos="9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52" w:lineRule="exact"/>
        <w:rPr>
          <w:rFonts w:ascii="Arial" w:cs="Arial" w:eastAsia="Arial" w:hAnsi="Arial"/>
          <w:sz w:val="12"/>
          <w:szCs w:val="12"/>
          <w:color w:val="auto"/>
        </w:rPr>
      </w:pPr>
    </w:p>
    <w:p>
      <w:pPr>
        <w:ind w:left="1460" w:right="100" w:hanging="495"/>
        <w:spacing w:after="0" w:line="286" w:lineRule="auto"/>
        <w:tabs>
          <w:tab w:leader="none" w:pos="1460" w:val="left"/>
        </w:tabs>
        <w:numPr>
          <w:ilvl w:val="1"/>
          <w:numId w:val="4"/>
        </w:numPr>
        <w:rPr>
          <w:rFonts w:ascii="Arial" w:cs="Arial" w:eastAsia="Arial" w:hAnsi="Arial"/>
          <w:sz w:val="11"/>
          <w:szCs w:val="11"/>
          <w:color w:val="auto"/>
        </w:rPr>
      </w:pPr>
      <w:r>
        <w:rPr>
          <w:rFonts w:ascii="Arial" w:cs="Arial" w:eastAsia="Arial" w:hAnsi="Arial"/>
          <w:sz w:val="11"/>
          <w:szCs w:val="11"/>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38" w:lineRule="exact"/>
        <w:rPr>
          <w:rFonts w:ascii="Arial" w:cs="Arial" w:eastAsia="Arial" w:hAnsi="Arial"/>
          <w:sz w:val="11"/>
          <w:szCs w:val="11"/>
          <w:color w:val="auto"/>
        </w:rPr>
      </w:pPr>
    </w:p>
    <w:p>
      <w:pPr>
        <w:ind w:left="1460" w:right="340" w:hanging="495"/>
        <w:spacing w:after="0" w:line="276" w:lineRule="auto"/>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42" w:lineRule="exact"/>
        <w:rPr>
          <w:rFonts w:ascii="Arial" w:cs="Arial" w:eastAsia="Arial" w:hAnsi="Arial"/>
          <w:sz w:val="12"/>
          <w:szCs w:val="12"/>
          <w:color w:val="auto"/>
        </w:rPr>
      </w:pPr>
    </w:p>
    <w:p>
      <w:pPr>
        <w:ind w:left="1460" w:right="40" w:hanging="495"/>
        <w:spacing w:after="0" w:line="263" w:lineRule="auto"/>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50" w:lineRule="exact"/>
        <w:rPr>
          <w:rFonts w:ascii="Arial" w:cs="Arial" w:eastAsia="Arial" w:hAnsi="Arial"/>
          <w:sz w:val="12"/>
          <w:szCs w:val="12"/>
          <w:color w:val="auto"/>
        </w:rPr>
      </w:pPr>
    </w:p>
    <w:p>
      <w:pPr>
        <w:ind w:left="1460" w:right="20" w:hanging="495"/>
        <w:spacing w:after="0" w:line="310" w:lineRule="auto"/>
        <w:tabs>
          <w:tab w:leader="none" w:pos="1460" w:val="left"/>
        </w:tabs>
        <w:numPr>
          <w:ilvl w:val="1"/>
          <w:numId w:val="4"/>
        </w:numPr>
        <w:rPr>
          <w:rFonts w:ascii="Arial" w:cs="Arial" w:eastAsia="Arial" w:hAnsi="Arial"/>
          <w:sz w:val="10"/>
          <w:szCs w:val="10"/>
          <w:color w:val="auto"/>
        </w:rPr>
      </w:pPr>
      <w:r>
        <w:rPr>
          <w:rFonts w:ascii="Arial" w:cs="Arial" w:eastAsia="Arial" w:hAnsi="Arial"/>
          <w:sz w:val="10"/>
          <w:szCs w:val="10"/>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and can provide important safety information to augment the FDA’s voluntary adverse event reporting system.</w:t>
      </w:r>
    </w:p>
    <w:p>
      <w:pPr>
        <w:ind w:left="960" w:right="60" w:hanging="482"/>
        <w:spacing w:after="0" w:line="273" w:lineRule="auto"/>
        <w:tabs>
          <w:tab w:leader="none" w:pos="960" w:val="left"/>
        </w:tabs>
        <w:numPr>
          <w:ilvl w:val="0"/>
          <w:numId w:val="4"/>
        </w:numPr>
        <w:rPr>
          <w:rFonts w:ascii="Arial" w:cs="Arial" w:eastAsia="Arial" w:hAnsi="Arial"/>
          <w:sz w:val="11"/>
          <w:szCs w:val="11"/>
          <w:color w:val="auto"/>
        </w:rPr>
      </w:pPr>
      <w:r>
        <w:rPr>
          <w:rFonts w:ascii="Arial" w:cs="Arial" w:eastAsia="Arial" w:hAnsi="Arial"/>
          <w:sz w:val="11"/>
          <w:szCs w:val="11"/>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(“cGMPs”), requirements for drug products as well as the quality system regulation for medical devices, or QSR.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ind w:left="960" w:right="240" w:hanging="482"/>
        <w:spacing w:after="0" w:line="255" w:lineRule="auto"/>
        <w:tabs>
          <w:tab w:leader="none" w:pos="960" w:val="left"/>
        </w:tabs>
        <w:numPr>
          <w:ilvl w:val="0"/>
          <w:numId w:val="4"/>
        </w:numPr>
        <w:rPr>
          <w:rFonts w:ascii="Arial" w:cs="Arial" w:eastAsia="Arial" w:hAnsi="Arial"/>
          <w:sz w:val="12"/>
          <w:szCs w:val="12"/>
          <w:color w:val="auto"/>
        </w:rPr>
      </w:pPr>
      <w:r>
        <w:rPr>
          <w:rFonts w:ascii="Arial" w:cs="Arial" w:eastAsia="Arial" w:hAnsi="Arial"/>
          <w:sz w:val="12"/>
          <w:szCs w:val="12"/>
          <w:color w:val="auto"/>
        </w:rPr>
        <w:t>Submission to the FDA of a new drug application (“NDA”) based on the clinical trials. The results of product development, preclinical studies and clinical trials are submitted to the FDA in the form of an NDA for approval of the marketing and commercial shipment of the product. Under the Pediatric Research Equity Act, NDAs are required to include an assessment, generally based on clinical study data, of the safety and efficacy of drugs for all relevant pediatric populations. The statute provides for waivers or deferrals in certain situations.</w:t>
      </w:r>
    </w:p>
    <w:p>
      <w:pPr>
        <w:spacing w:after="0" w:line="128" w:lineRule="exact"/>
        <w:rPr>
          <w:sz w:val="20"/>
          <w:szCs w:val="20"/>
          <w:color w:val="auto"/>
        </w:rPr>
      </w:pPr>
    </w:p>
    <w:p>
      <w:pPr>
        <w:ind w:right="120" w:firstLine="488"/>
        <w:spacing w:after="0" w:line="259" w:lineRule="auto"/>
        <w:rPr>
          <w:sz w:val="20"/>
          <w:szCs w:val="20"/>
          <w:color w:val="auto"/>
        </w:rPr>
      </w:pPr>
      <w:r>
        <w:rPr>
          <w:rFonts w:ascii="Arial" w:cs="Arial" w:eastAsia="Arial" w:hAnsi="Arial"/>
          <w:sz w:val="12"/>
          <w:szCs w:val="12"/>
          <w:color w:val="auto"/>
        </w:rPr>
        <w:t>In its review of an NDA,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Before approving an NDA, the FDA may inspect the facilities at which the product is manufactured and will not approve the product unless the manufacturing facility complies with cGMPs and will also inspect clinical trial sites for integrity of data supporting safety and efficacy. The FDA will issue either an approval of the NDA or a Complete Response Letter, detailing the deficiencies and information required in order for reconsideration of the NDA.</w:t>
      </w:r>
    </w:p>
    <w:p>
      <w:pPr>
        <w:spacing w:after="0" w:line="125" w:lineRule="exact"/>
        <w:rPr>
          <w:sz w:val="20"/>
          <w:szCs w:val="20"/>
          <w:color w:val="auto"/>
        </w:rPr>
      </w:pPr>
    </w:p>
    <w:p>
      <w:pPr>
        <w:ind w:firstLine="488"/>
        <w:spacing w:after="0" w:line="287" w:lineRule="auto"/>
        <w:rPr>
          <w:sz w:val="20"/>
          <w:szCs w:val="20"/>
          <w:color w:val="auto"/>
        </w:rPr>
      </w:pPr>
      <w:r>
        <w:rPr>
          <w:rFonts w:ascii="Arial" w:cs="Arial" w:eastAsia="Arial" w:hAnsi="Arial"/>
          <w:sz w:val="11"/>
          <w:szCs w:val="11"/>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investigational products will be granted on a timely basis, if at all. For an approved product such as Afrezza, we are subject to continuing regulation by the FDA, including post marketing study commitments or requirements,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9" w:name="page10"/>
    <w:bookmarkEnd w:id="9"/>
    <w:p>
      <w:pPr>
        <w:ind w:right="120"/>
        <w:spacing w:after="0" w:line="257" w:lineRule="auto"/>
        <w:rPr>
          <w:sz w:val="20"/>
          <w:szCs w:val="20"/>
          <w:color w:val="auto"/>
        </w:rPr>
      </w:pPr>
      <w:r>
        <w:rPr>
          <w:rFonts w:ascii="Arial" w:cs="Arial" w:eastAsia="Arial" w:hAnsi="Arial"/>
          <w:sz w:val="12"/>
          <w:szCs w:val="12"/>
          <w:color w:val="auto"/>
        </w:rPr>
        <w:t>and other national regulatory bodies and must comply with cGMP, QSR and other requirements enforced by the FDA and other national regulatory bodies through their facilities inspection program. In addition, our drug-manufacturing facilities located in Connecticut and the facilities of our insulin supplier, the supplier(s) of FDKP and the supplier(s) of our cartridges are subject to federal registration and listing requirements and, if applicable, to state licensing requirements. A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Numerous device regulatory requirements apply to the device part of a drug-device combination. These include:</w:t>
      </w:r>
    </w:p>
    <w:p>
      <w:pPr>
        <w:spacing w:after="0" w:line="54" w:lineRule="exact"/>
        <w:rPr>
          <w:sz w:val="20"/>
          <w:szCs w:val="20"/>
          <w:color w:val="auto"/>
        </w:rPr>
      </w:pPr>
    </w:p>
    <w:p>
      <w:pPr>
        <w:ind w:left="960" w:hanging="482"/>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product labeling regulations;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general prohibition against promoting products for unapproved or “off-label” uses;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corrections and removals ( </w:t>
      </w:r>
      <w:r>
        <w:rPr>
          <w:rFonts w:ascii="Arial" w:cs="Arial" w:eastAsia="Arial" w:hAnsi="Arial"/>
          <w:sz w:val="12"/>
          <w:szCs w:val="12"/>
          <w:i w:val="1"/>
          <w:iCs w:val="1"/>
          <w:color w:val="auto"/>
        </w:rPr>
        <w:t>e.g</w:t>
      </w:r>
      <w:r>
        <w:rPr>
          <w:rFonts w:ascii="Arial" w:cs="Arial" w:eastAsia="Arial" w:hAnsi="Arial"/>
          <w:sz w:val="12"/>
          <w:szCs w:val="12"/>
          <w:color w:val="auto"/>
        </w:rPr>
        <w:t>., recalls);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establishment registration and device listing;</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general prohibitions against the manufacture and distribution of adulterated and misbranded devices; and</w:t>
      </w:r>
    </w:p>
    <w:p>
      <w:pPr>
        <w:spacing w:after="0" w:line="78" w:lineRule="exact"/>
        <w:rPr>
          <w:rFonts w:ascii="Arial" w:cs="Arial" w:eastAsia="Arial" w:hAnsi="Arial"/>
          <w:sz w:val="12"/>
          <w:szCs w:val="12"/>
          <w:color w:val="auto"/>
        </w:rPr>
      </w:pPr>
    </w:p>
    <w:p>
      <w:pPr>
        <w:ind w:left="960" w:right="240" w:hanging="482"/>
        <w:spacing w:after="0" w:line="276" w:lineRule="auto"/>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115" w:lineRule="exact"/>
        <w:rPr>
          <w:sz w:val="20"/>
          <w:szCs w:val="20"/>
          <w:color w:val="auto"/>
        </w:rPr>
      </w:pPr>
    </w:p>
    <w:p>
      <w:pPr>
        <w:ind w:right="40" w:firstLine="488"/>
        <w:spacing w:after="0" w:line="276" w:lineRule="auto"/>
        <w:rPr>
          <w:sz w:val="20"/>
          <w:szCs w:val="20"/>
          <w:color w:val="auto"/>
        </w:rPr>
      </w:pPr>
      <w:r>
        <w:rPr>
          <w:rFonts w:ascii="Arial" w:cs="Arial" w:eastAsia="Arial" w:hAnsi="Arial"/>
          <w:sz w:val="12"/>
          <w:szCs w:val="12"/>
          <w:color w:val="auto"/>
        </w:rPr>
        <w:t>Further, the supplier we contract with to manufacture our inhaler and cartridges is subject to QSRs, which requires manufacturers to follow elaborate design, testing, control, documentation and other quality assurance procedures during the manufacturing process of medical devices, among other requirements.</w:t>
      </w:r>
    </w:p>
    <w:p>
      <w:pPr>
        <w:spacing w:after="0" w:line="115" w:lineRule="exact"/>
        <w:rPr>
          <w:sz w:val="20"/>
          <w:szCs w:val="20"/>
          <w:color w:val="auto"/>
        </w:rPr>
      </w:pPr>
    </w:p>
    <w:p>
      <w:pPr>
        <w:ind w:right="40" w:firstLine="488"/>
        <w:spacing w:after="0" w:line="320" w:lineRule="auto"/>
        <w:rPr>
          <w:sz w:val="20"/>
          <w:szCs w:val="20"/>
          <w:color w:val="auto"/>
        </w:rPr>
      </w:pPr>
      <w:r>
        <w:rPr>
          <w:rFonts w:ascii="Arial" w:cs="Arial" w:eastAsia="Arial" w:hAnsi="Arial"/>
          <w:sz w:val="10"/>
          <w:szCs w:val="10"/>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98" w:lineRule="exact"/>
        <w:rPr>
          <w:sz w:val="20"/>
          <w:szCs w:val="20"/>
          <w:color w:val="auto"/>
        </w:rPr>
      </w:pPr>
    </w:p>
    <w:p>
      <w:pPr>
        <w:jc w:val="both"/>
        <w:ind w:right="140" w:firstLine="488"/>
        <w:spacing w:after="0" w:line="259" w:lineRule="auto"/>
        <w:rPr>
          <w:sz w:val="20"/>
          <w:szCs w:val="20"/>
          <w:color w:val="auto"/>
        </w:rPr>
      </w:pPr>
      <w:r>
        <w:rPr>
          <w:rFonts w:ascii="Arial" w:cs="Arial" w:eastAsia="Arial" w:hAnsi="Arial"/>
          <w:sz w:val="12"/>
          <w:szCs w:val="12"/>
          <w:color w:val="auto"/>
        </w:rPr>
        <w:t>In addition, the FDA imposes a number of complex regulations on entities that advertise and promote drugs, which include, among other requirements, standards for and regulations of direct-to-consumer advertising, industry sponsored scientific and educational activities, and promotional activities involving the Internet, and restrictions on off-label promotion. The FDA has very broad enforcement authority under the FDCA,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25"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125" w:lineRule="exact"/>
        <w:rPr>
          <w:sz w:val="20"/>
          <w:szCs w:val="20"/>
          <w:color w:val="auto"/>
        </w:rPr>
      </w:pPr>
    </w:p>
    <w:p>
      <w:pPr>
        <w:ind w:right="80" w:firstLine="488"/>
        <w:spacing w:after="0" w:line="259" w:lineRule="auto"/>
        <w:rPr>
          <w:sz w:val="20"/>
          <w:szCs w:val="20"/>
          <w:color w:val="auto"/>
        </w:rPr>
      </w:pPr>
      <w:r>
        <w:rPr>
          <w:rFonts w:ascii="Arial" w:cs="Arial" w:eastAsia="Arial" w:hAnsi="Arial"/>
          <w:sz w:val="12"/>
          <w:szCs w:val="12"/>
          <w:color w:val="auto"/>
        </w:rPr>
        <w:t>There can be no assurance that the current regulatory framework will not change or that additional regulation will not arise at any stage of our product development or marketing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125" w:lineRule="exact"/>
        <w:rPr>
          <w:sz w:val="20"/>
          <w:szCs w:val="20"/>
          <w:color w:val="auto"/>
        </w:rPr>
      </w:pPr>
    </w:p>
    <w:p>
      <w:pPr>
        <w:ind w:right="220" w:firstLine="488"/>
        <w:spacing w:after="0" w:line="323" w:lineRule="auto"/>
        <w:rPr>
          <w:sz w:val="20"/>
          <w:szCs w:val="20"/>
          <w:color w:val="auto"/>
        </w:rPr>
      </w:pPr>
      <w:r>
        <w:rPr>
          <w:rFonts w:ascii="Arial" w:cs="Arial" w:eastAsia="Arial" w:hAnsi="Arial"/>
          <w:sz w:val="11"/>
          <w:szCs w:val="11"/>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10" w:name="page11"/>
    <w:bookmarkEnd w:id="10"/>
    <w:p>
      <w:pPr>
        <w:ind w:left="480"/>
        <w:spacing w:after="0"/>
        <w:rPr>
          <w:sz w:val="20"/>
          <w:szCs w:val="20"/>
          <w:color w:val="auto"/>
        </w:rPr>
      </w:pPr>
      <w:r>
        <w:rPr>
          <w:rFonts w:ascii="Arial" w:cs="Arial" w:eastAsia="Arial" w:hAnsi="Arial"/>
          <w:sz w:val="12"/>
          <w:szCs w:val="12"/>
          <w:i w:val="1"/>
          <w:iCs w:val="1"/>
          <w:color w:val="auto"/>
        </w:rPr>
        <w:t>Healthcare Regulatory and Pharmaceutical Pricing</w:t>
      </w:r>
    </w:p>
    <w:p>
      <w:pPr>
        <w:spacing w:after="0" w:line="78" w:lineRule="exact"/>
        <w:rPr>
          <w:sz w:val="20"/>
          <w:szCs w:val="20"/>
          <w:color w:val="auto"/>
        </w:rPr>
      </w:pPr>
    </w:p>
    <w:p>
      <w:pPr>
        <w:ind w:right="80" w:firstLine="488"/>
        <w:spacing w:after="0" w:line="280" w:lineRule="auto"/>
        <w:rPr>
          <w:sz w:val="20"/>
          <w:szCs w:val="20"/>
          <w:color w:val="auto"/>
        </w:rPr>
      </w:pPr>
      <w:r>
        <w:rPr>
          <w:rFonts w:ascii="Arial" w:cs="Arial" w:eastAsia="Arial" w:hAnsi="Arial"/>
          <w:sz w:val="11"/>
          <w:szCs w:val="11"/>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payors, like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payors often provide reimbursement for products and services based on the level at which the government (through the Medicare or Medicaid programs) provides reimbursement for such products and services. In the United States, the European Union and other potentially significant markets for our product candidates, government authorities and other third-party payors are increasingly attempting to limit or regulate the price of medical products and services, particularly for new and innovative products and therapies, which has resulted in lower average selling prices. Further, the increased emphasis on managed healthcare in the United States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Pricing pressures can arise from rules and practices of managed care organizations, judicial decisions and governmental laws and regulations related to Medicare, Medicaid, healthcare reform, pharmaceutical reimbursement policies and pricing in general.</w:t>
      </w:r>
    </w:p>
    <w:p>
      <w:pPr>
        <w:spacing w:after="0" w:line="116" w:lineRule="exact"/>
        <w:rPr>
          <w:sz w:val="20"/>
          <w:szCs w:val="20"/>
          <w:color w:val="auto"/>
        </w:rPr>
      </w:pPr>
    </w:p>
    <w:p>
      <w:pPr>
        <w:jc w:val="both"/>
        <w:ind w:right="440" w:firstLine="488"/>
        <w:spacing w:after="0" w:line="269" w:lineRule="auto"/>
        <w:rPr>
          <w:sz w:val="20"/>
          <w:szCs w:val="20"/>
          <w:color w:val="auto"/>
        </w:rPr>
      </w:pPr>
      <w:r>
        <w:rPr>
          <w:rFonts w:ascii="Arial" w:cs="Arial" w:eastAsia="Arial" w:hAnsi="Arial"/>
          <w:sz w:val="12"/>
          <w:szCs w:val="12"/>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Reconciliation Act (collectively, “PPACA”), enacted in March 2010.</w:t>
      </w:r>
    </w:p>
    <w:p>
      <w:pPr>
        <w:spacing w:after="0" w:line="120" w:lineRule="exact"/>
        <w:rPr>
          <w:sz w:val="20"/>
          <w:szCs w:val="20"/>
          <w:color w:val="auto"/>
        </w:rPr>
      </w:pPr>
    </w:p>
    <w:p>
      <w:pPr>
        <w:ind w:firstLine="488"/>
        <w:spacing w:after="0" w:line="277" w:lineRule="auto"/>
        <w:rPr>
          <w:sz w:val="20"/>
          <w:szCs w:val="20"/>
          <w:color w:val="auto"/>
        </w:rPr>
      </w:pPr>
      <w:r>
        <w:rPr>
          <w:rFonts w:ascii="Arial" w:cs="Arial" w:eastAsia="Arial" w:hAnsi="Arial"/>
          <w:sz w:val="11"/>
          <w:szCs w:val="11"/>
          <w:color w:val="auto"/>
        </w:rPr>
        <w:t>The PPACA substantially changed the way healthcare is financed by both governmental and private insurers. Among other cost containment measures, PPACA established: an annual, nondeductible fee on any entity that manufactures or imports certain branded prescription drugs and biologic agents; a new Medicare Part D coverage gap discount program; and a new formula that increased the rebates a manufacturer must pay under the Medicaid Drug Rebate Program. There have been judicial and congressional challenges to certain aspects of PPACA, as well as recent efforts by the Trump administration to repeal or replace certain aspects of the PPACA.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portions or repeal and replace all or part of the PPACA. While Congress has not passed comprehensive repeal legislation, two bills affecting the implementation of certain taxes under the PPACA have been signed into law. The Tax Cuts and Jobs Act of 2017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devise excise tax on non-exempt medical devices. The Bipartisan Budget Act of 2018, or the BBA, among other things, amends the PPACA, effective January 1, 2019, to increase from 50 percent to 70 percent the point-of-sale discount that is owed by pharmaceutical manufacturers who participate in Medicare Part D and to close the coverage gap in most Medicare drug plans, commonly referred to as the “donut hole”.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PPACA will impact the PPACA.</w:t>
      </w:r>
    </w:p>
    <w:p>
      <w:pPr>
        <w:spacing w:after="0" w:line="118" w:lineRule="exact"/>
        <w:rPr>
          <w:sz w:val="20"/>
          <w:szCs w:val="20"/>
          <w:color w:val="auto"/>
        </w:rPr>
      </w:pPr>
    </w:p>
    <w:p>
      <w:pPr>
        <w:ind w:right="60" w:firstLine="488"/>
        <w:spacing w:after="0" w:line="286" w:lineRule="auto"/>
        <w:rPr>
          <w:sz w:val="20"/>
          <w:szCs w:val="20"/>
          <w:color w:val="auto"/>
        </w:rPr>
      </w:pPr>
      <w:r>
        <w:rPr>
          <w:rFonts w:ascii="Arial" w:cs="Arial" w:eastAsia="Arial" w:hAnsi="Arial"/>
          <w:sz w:val="11"/>
          <w:szCs w:val="11"/>
          <w:color w:val="auto"/>
        </w:rPr>
        <w:t>Other legislative changes have been proposed and adopted in the United States since PPACA. For example, through the process created by the Budget Control Act of 2011, there are automatic reductions of Medicare payments to providers up to 2% per fiscal year, which went into effect in April 2013 and, following passage of the BBA, will remain in effect through 2027 unless additional Congressional action is taken. In January 2013, President Obama signed into law the American Taxpayer Relief Act of 2012, which, among other things, further reduced Medicare payments to several providers.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11" w:name="page12"/>
    <w:bookmarkEnd w:id="11"/>
    <w:p>
      <w:pPr>
        <w:ind w:firstLine="488"/>
        <w:spacing w:after="0" w:line="281" w:lineRule="auto"/>
        <w:rPr>
          <w:sz w:val="20"/>
          <w:szCs w:val="20"/>
          <w:color w:val="auto"/>
        </w:rPr>
      </w:pPr>
      <w:r>
        <w:rPr>
          <w:rFonts w:ascii="Arial" w:cs="Arial" w:eastAsia="Arial" w:hAnsi="Arial"/>
          <w:sz w:val="11"/>
          <w:szCs w:val="11"/>
          <w:color w:val="auto"/>
        </w:rPr>
        <w:t>Moreover,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Although a number of these, and other proposed measures will require authorization through additional legislation to become effective, Congress and the Trump administration have stated that they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16" w:lineRule="exact"/>
        <w:rPr>
          <w:sz w:val="20"/>
          <w:szCs w:val="20"/>
          <w:color w:val="auto"/>
        </w:rPr>
      </w:pPr>
    </w:p>
    <w:p>
      <w:pPr>
        <w:ind w:right="120" w:firstLine="488"/>
        <w:spacing w:after="0" w:line="263" w:lineRule="auto"/>
        <w:rPr>
          <w:sz w:val="20"/>
          <w:szCs w:val="20"/>
          <w:color w:val="auto"/>
        </w:rPr>
      </w:pPr>
      <w:r>
        <w:rPr>
          <w:rFonts w:ascii="Arial" w:cs="Arial" w:eastAsia="Arial" w:hAnsi="Arial"/>
          <w:sz w:val="12"/>
          <w:szCs w:val="12"/>
          <w:color w:val="auto"/>
        </w:rPr>
        <w:t>Further, 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Similarly,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spacing w:after="0" w:line="123" w:lineRule="exact"/>
        <w:rPr>
          <w:sz w:val="20"/>
          <w:szCs w:val="20"/>
          <w:color w:val="auto"/>
        </w:rPr>
      </w:pPr>
    </w:p>
    <w:p>
      <w:pPr>
        <w:jc w:val="both"/>
        <w:ind w:right="20" w:firstLine="488"/>
        <w:spacing w:after="0" w:line="298" w:lineRule="auto"/>
        <w:rPr>
          <w:sz w:val="20"/>
          <w:szCs w:val="20"/>
          <w:color w:val="auto"/>
        </w:rPr>
      </w:pPr>
      <w:r>
        <w:rPr>
          <w:rFonts w:ascii="Arial" w:cs="Arial" w:eastAsia="Arial" w:hAnsi="Arial"/>
          <w:sz w:val="11"/>
          <w:szCs w:val="11"/>
          <w:color w:val="auto"/>
        </w:rPr>
        <w:t>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(i) report information related to certain payments or other transfers of value made or distributed to physicians and teaching hospitals, or to entities or individuals at the request of, or designated on behalf of, the physicians and teaching hospitals and (ii) report annually certain ownership and investment interests held by physicians and their immediate family members.</w:t>
      </w:r>
    </w:p>
    <w:p>
      <w:pPr>
        <w:spacing w:after="0" w:line="105" w:lineRule="exact"/>
        <w:rPr>
          <w:sz w:val="20"/>
          <w:szCs w:val="20"/>
          <w:color w:val="auto"/>
        </w:rPr>
      </w:pPr>
    </w:p>
    <w:p>
      <w:pPr>
        <w:ind w:right="20" w:firstLine="488"/>
        <w:spacing w:after="0" w:line="253" w:lineRule="auto"/>
        <w:rPr>
          <w:sz w:val="20"/>
          <w:szCs w:val="20"/>
          <w:color w:val="auto"/>
        </w:rPr>
      </w:pPr>
      <w:r>
        <w:rPr>
          <w:rFonts w:ascii="Arial" w:cs="Arial" w:eastAsia="Arial" w:hAnsi="Arial"/>
          <w:sz w:val="12"/>
          <w:szCs w:val="12"/>
          <w:color w:val="auto"/>
        </w:rPr>
        <w:t>In addition, we may be subject to data privacy and security regulation by both the federal government and the states in which we conduct our business. The federal Health Insurance Portability and Accountability Act of 1996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which include certain healthcare providers, health plans, and healthcare clearinghouses,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State laws also govern the privacy and security of health information in certain circumstances, many of which differ from each other in significant ways and may not have the same effect, thus complicating compliance efforts. The recently adopted European General Data Protection Regulation, or GDPR, contains new provisions specifically directed at the processing of health information, higher sanctions and extra-territoriality measures that are intended to bring non-EU companies under the data security and privacy legal framework specified in the regulation. We anticipate that over time we may expand our business operations to include operations in the EU, including potentially conducting preclinical and clinical trials. With such expansion, we would be subject to increased governmental regulation in the EU countries in which we might operate, including the GDPR</w:t>
      </w:r>
    </w:p>
    <w:p>
      <w:pPr>
        <w:spacing w:after="0" w:line="131" w:lineRule="exact"/>
        <w:rPr>
          <w:sz w:val="20"/>
          <w:szCs w:val="20"/>
          <w:color w:val="auto"/>
        </w:rPr>
      </w:pPr>
    </w:p>
    <w:p>
      <w:pPr>
        <w:ind w:right="100" w:firstLine="488"/>
        <w:spacing w:after="0" w:line="286" w:lineRule="auto"/>
        <w:rPr>
          <w:sz w:val="20"/>
          <w:szCs w:val="20"/>
          <w:color w:val="auto"/>
        </w:rPr>
      </w:pPr>
      <w:r>
        <w:rPr>
          <w:rFonts w:ascii="Arial" w:cs="Arial" w:eastAsia="Arial" w:hAnsi="Arial"/>
          <w:sz w:val="11"/>
          <w:szCs w:val="11"/>
          <w:color w:val="auto"/>
        </w:rPr>
        <w:t>Additionally, California recently enacted legislation that has been dubbed the first “GDPR-like” law in the United States. Known as the California Consumer Privacy Act (“CCPA”), it creates new individual privacy rights for consumers (as that word is broadly defined in the law) and places increased privacy and security obligations on entities handling personal data of consumers or households. When it goes into effect on January 1, 2020, the CCPA will require covered companies to provide new disclosures to California consumers, provide such consumers new ways to opt-out of certain sales of personal information, and allow for a new cause of action for data breaches. Legislators have stated that amendments will be proposed to the CCPA before it goes into effect, but it remains unclear what, if any, modifications will be made to this legislation or how it will be interpreted. As currently written,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111" w:lineRule="exact"/>
        <w:rPr>
          <w:sz w:val="20"/>
          <w:szCs w:val="20"/>
          <w:color w:val="auto"/>
        </w:rPr>
      </w:pPr>
    </w:p>
    <w:p>
      <w:pPr>
        <w:ind w:right="120" w:firstLine="488"/>
        <w:spacing w:after="0" w:line="276" w:lineRule="auto"/>
        <w:rPr>
          <w:sz w:val="20"/>
          <w:szCs w:val="20"/>
          <w:color w:val="auto"/>
        </w:rPr>
      </w:pPr>
      <w:r>
        <w:rPr>
          <w:rFonts w:ascii="Arial" w:cs="Arial" w:eastAsia="Arial" w:hAnsi="Arial"/>
          <w:sz w:val="12"/>
          <w:szCs w:val="12"/>
          <w:color w:val="auto"/>
        </w:rPr>
        <w:t>Also, 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and/or limit expenditure for, or payments to, individual medical or health professionals.</w:t>
      </w:r>
    </w:p>
    <w:p>
      <w:pPr>
        <w:spacing w:after="0" w:line="115" w:lineRule="exact"/>
        <w:rPr>
          <w:sz w:val="20"/>
          <w:szCs w:val="20"/>
          <w:color w:val="auto"/>
        </w:rPr>
      </w:pPr>
    </w:p>
    <w:p>
      <w:pPr>
        <w:ind w:right="380" w:firstLine="488"/>
        <w:spacing w:after="0" w:line="259" w:lineRule="auto"/>
        <w:rPr>
          <w:sz w:val="20"/>
          <w:szCs w:val="20"/>
          <w:color w:val="auto"/>
        </w:rPr>
      </w:pPr>
      <w:r>
        <w:rPr>
          <w:rFonts w:ascii="Arial" w:cs="Arial" w:eastAsia="Arial" w:hAnsi="Arial"/>
          <w:sz w:val="12"/>
          <w:szCs w:val="12"/>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significant criminal, civil and administrative penalties, damages, fines, individual imprisonment, disgorgement, exclusion from government healthcare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Ethical Business Practices and Sustainability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Safety of Clinical Trial Participants</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Safe clinical trials play a crucial role in the development of new products and our continuing prosperity. We take numerous steps to maximize the safety of our clinical trial participants.</w:t>
      </w:r>
    </w:p>
    <w:p>
      <w:pPr>
        <w:spacing w:after="0" w:line="150" w:lineRule="exact"/>
        <w:rPr>
          <w:sz w:val="20"/>
          <w:szCs w:val="20"/>
          <w:color w:val="auto"/>
        </w:rPr>
      </w:pPr>
    </w:p>
    <w:p>
      <w:pPr>
        <w:ind w:firstLine="488"/>
        <w:spacing w:after="0" w:line="263" w:lineRule="auto"/>
        <w:rPr>
          <w:sz w:val="20"/>
          <w:szCs w:val="20"/>
          <w:color w:val="auto"/>
        </w:rPr>
      </w:pPr>
      <w:r>
        <w:rPr>
          <w:rFonts w:ascii="Arial" w:cs="Arial" w:eastAsia="Arial" w:hAnsi="Arial"/>
          <w:sz w:val="12"/>
          <w:szCs w:val="12"/>
          <w:color w:val="auto"/>
        </w:rPr>
        <w:t>The health of subjects in clinical trials is a priority for us and we are committed to conducting clinical trials according to uniformly high ethical standards. We apply those standards to trials that we sponsor and conduct directly as well as those conducted on our behalf by clinical research organizations. We conduct trials in accordance with all applicable laws, the standards of International Conference on Harmonisation of Technical Requirements for Registration of Pharmaceuticals for Human Use (ICH) Guidelines and following the ethical principles that have their origin in the Declaration of Helsinki.</w:t>
      </w:r>
    </w:p>
    <w:p>
      <w:pPr>
        <w:spacing w:after="0" w:line="123" w:lineRule="exact"/>
        <w:rPr>
          <w:sz w:val="20"/>
          <w:szCs w:val="20"/>
          <w:color w:val="auto"/>
        </w:rPr>
      </w:pPr>
    </w:p>
    <w:p>
      <w:pPr>
        <w:ind w:right="440" w:firstLine="488"/>
        <w:spacing w:after="0" w:line="276" w:lineRule="auto"/>
        <w:rPr>
          <w:sz w:val="20"/>
          <w:szCs w:val="20"/>
          <w:color w:val="auto"/>
        </w:rPr>
      </w:pPr>
      <w:r>
        <w:rPr>
          <w:rFonts w:ascii="Arial" w:cs="Arial" w:eastAsia="Arial" w:hAnsi="Arial"/>
          <w:sz w:val="12"/>
          <w:szCs w:val="12"/>
          <w:color w:val="auto"/>
        </w:rPr>
        <w:t>We require that a three-stage informed consent process be implemented in all trials to ensure that participants understand the risks and benefits of the procedures, how personal medical data is collected and used, and that participation in the trial is voluntary, among other information. We retain documentation that all participants in our trials have provided informed consent.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monitor clinical trials through audits and inspections conducted by us and by third parties. These inspections verify that our policies, good clinical practices and applicable laws are being adhered to.</w:t>
      </w:r>
    </w:p>
    <w:p>
      <w:pPr>
        <w:spacing w:after="0" w:line="150" w:lineRule="exact"/>
        <w:rPr>
          <w:sz w:val="20"/>
          <w:szCs w:val="20"/>
          <w:color w:val="auto"/>
        </w:rPr>
      </w:pPr>
    </w:p>
    <w:p>
      <w:pPr>
        <w:ind w:right="40" w:firstLine="488"/>
        <w:spacing w:after="0" w:line="276" w:lineRule="auto"/>
        <w:rPr>
          <w:sz w:val="20"/>
          <w:szCs w:val="20"/>
          <w:color w:val="auto"/>
        </w:rPr>
      </w:pPr>
      <w:r>
        <w:rPr>
          <w:rFonts w:ascii="Arial" w:cs="Arial" w:eastAsia="Arial" w:hAnsi="Arial"/>
          <w:sz w:val="12"/>
          <w:szCs w:val="12"/>
          <w:color w:val="auto"/>
        </w:rPr>
        <w:t>Our ability to ensure the safety of clinical trial participants is critical to securing regulatory approval and continued product development success. Moreover, our inability to conduct safe and effective clinical trials could increase our development costs over time. We will continue to hold ourselves to high standards in our oversight and management of 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Ethical Marketing</w:t>
      </w:r>
    </w:p>
    <w:p>
      <w:pPr>
        <w:spacing w:after="0" w:line="78" w:lineRule="exact"/>
        <w:rPr>
          <w:sz w:val="20"/>
          <w:szCs w:val="20"/>
          <w:color w:val="auto"/>
        </w:rPr>
      </w:pPr>
    </w:p>
    <w:p>
      <w:pPr>
        <w:jc w:val="both"/>
        <w:ind w:right="60" w:firstLine="488"/>
        <w:spacing w:after="0" w:line="263" w:lineRule="auto"/>
        <w:rPr>
          <w:sz w:val="20"/>
          <w:szCs w:val="20"/>
          <w:color w:val="auto"/>
        </w:rPr>
      </w:pPr>
      <w:r>
        <w:rPr>
          <w:rFonts w:ascii="Arial" w:cs="Arial" w:eastAsia="Arial" w:hAnsi="Arial"/>
          <w:sz w:val="12"/>
          <w:szCs w:val="12"/>
          <w:color w:val="auto"/>
        </w:rPr>
        <w:t>We require that our employees abide by our Code of Business Conduct and Ethics, our policy on interactions with healthcare professionals and patients, U.S. federal and state laws and applicable foreign laws. We are committed to protecting the health and well-being of patients by ensuring that medically sound knowledge of the benefits and risks of our products is understood and communicated thoroughly and accurately to patients, physicians and global health authorities.</w:t>
      </w:r>
    </w:p>
    <w:p>
      <w:pPr>
        <w:spacing w:after="0" w:line="123" w:lineRule="exact"/>
        <w:rPr>
          <w:sz w:val="20"/>
          <w:szCs w:val="20"/>
          <w:color w:val="auto"/>
        </w:rPr>
      </w:pPr>
    </w:p>
    <w:p>
      <w:pPr>
        <w:ind w:right="160" w:firstLine="488"/>
        <w:spacing w:after="0" w:line="263" w:lineRule="auto"/>
        <w:rPr>
          <w:sz w:val="20"/>
          <w:szCs w:val="20"/>
          <w:color w:val="auto"/>
        </w:rPr>
      </w:pPr>
      <w:r>
        <w:rPr>
          <w:rFonts w:ascii="Arial" w:cs="Arial" w:eastAsia="Arial" w:hAnsi="Arial"/>
          <w:sz w:val="12"/>
          <w:szCs w:val="12"/>
          <w:color w:val="auto"/>
        </w:rPr>
        <w:t>Our policy on interactions with healthcare professionals and patients prohibits off-label promotion of our products. All sales staff received compliance training upon hire and on an annual basis. We also routinely monitor sales calls. Any case where we promote off-label use of our products has the potential to have a material adverse effect on our reputation, sales and liabilities. We expect that consistent enforcement of, and training on, our Code of Business Conduct and Ethics and our policy on interactions with healthcare professionals and patients will help us to limit the incidence of off-label promotion.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Drug Safety</w:t>
      </w:r>
    </w:p>
    <w:p>
      <w:pPr>
        <w:spacing w:after="0" w:line="78" w:lineRule="exact"/>
        <w:rPr>
          <w:sz w:val="20"/>
          <w:szCs w:val="20"/>
          <w:color w:val="auto"/>
        </w:rPr>
      </w:pPr>
    </w:p>
    <w:p>
      <w:pPr>
        <w:ind w:right="40" w:firstLine="488"/>
        <w:spacing w:after="0" w:line="380" w:lineRule="auto"/>
        <w:rPr>
          <w:sz w:val="20"/>
          <w:szCs w:val="20"/>
          <w:color w:val="auto"/>
        </w:rPr>
      </w:pPr>
      <w:r>
        <w:rPr>
          <w:rFonts w:ascii="Arial" w:cs="Arial" w:eastAsia="Arial" w:hAnsi="Arial"/>
          <w:sz w:val="10"/>
          <w:szCs w:val="10"/>
          <w:color w:val="auto"/>
        </w:rPr>
        <w:t>The safety of our products at all stages – from clinical trials to the administration and use and through to safe disposal – is a key area of attention for us. We acknowledge, however, that there are inherent risks associated with the use of drug products. We attempt to minimize these through stringent adherence to quality control procedure and proactive recall processes whenever a safety concern is identified. To date, we have not issued a recall for any product.</w:t>
      </w:r>
    </w:p>
    <w:p>
      <w:pPr>
        <w:spacing w:after="0" w:line="68" w:lineRule="exact"/>
        <w:rPr>
          <w:sz w:val="20"/>
          <w:szCs w:val="20"/>
          <w:color w:val="auto"/>
        </w:rPr>
      </w:pPr>
    </w:p>
    <w:p>
      <w:pPr>
        <w:jc w:val="both"/>
        <w:ind w:right="100" w:firstLine="488"/>
        <w:spacing w:after="0" w:line="298" w:lineRule="auto"/>
        <w:rPr>
          <w:sz w:val="20"/>
          <w:szCs w:val="20"/>
          <w:color w:val="auto"/>
        </w:rPr>
      </w:pPr>
      <w:r>
        <w:rPr>
          <w:rFonts w:ascii="Arial" w:cs="Arial" w:eastAsia="Arial" w:hAnsi="Arial"/>
          <w:sz w:val="11"/>
          <w:szCs w:val="11"/>
          <w:color w:val="auto"/>
        </w:rPr>
        <w:t>In addition, by mid-2018, all sales packs of Afrezza that we placed in the distribution chain are serialized in accordance with the requirements of the Drug Quality and Security Act (“DQSA”). The Drug Supply Chain Security Act (“DSCSA”), included in the DQSA, requires drug manufacturers to assign a unique identifier to each sales pack (and each aggregate of such sales pack, such as a case or pallet), which then remains on such pack or aggregate through the whole supply chain until its consumption or destruction. This system is intended to improve detection and removal of drugs that may be counterfeit, stolen, contaminated, or otherwise harmful from the drug supply chain.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Corruption and Bribery</w:t>
      </w:r>
    </w:p>
    <w:p>
      <w:pPr>
        <w:spacing w:after="0" w:line="78" w:lineRule="exact"/>
        <w:rPr>
          <w:sz w:val="20"/>
          <w:szCs w:val="20"/>
          <w:color w:val="auto"/>
        </w:rPr>
      </w:pPr>
    </w:p>
    <w:p>
      <w:pPr>
        <w:ind w:right="160" w:firstLine="488"/>
        <w:spacing w:after="0" w:line="263" w:lineRule="auto"/>
        <w:rPr>
          <w:sz w:val="20"/>
          <w:szCs w:val="20"/>
          <w:color w:val="auto"/>
        </w:rPr>
      </w:pPr>
      <w:r>
        <w:rPr>
          <w:rFonts w:ascii="Arial" w:cs="Arial" w:eastAsia="Arial" w:hAnsi="Arial"/>
          <w:sz w:val="12"/>
          <w:szCs w:val="12"/>
          <w:color w:val="auto"/>
        </w:rPr>
        <w:t>Our Code of Business Conduct and Ethics includes clear guidelines on anti-bribery and anti-corruption practices. Currently, we have very limited operations outside the United States; however, as we expand our global reach through collaborations or through our own growth, we acknowledge that certain regions may pose a higher risk for corrupt practices. We intend to continue our internal training programs and oversight over collaborators on anti-bribery, anti-corruption and other unethical practices in order to reduce these risks.</w:t>
      </w:r>
    </w:p>
    <w:p>
      <w:pPr>
        <w:spacing w:after="0" w:line="123" w:lineRule="exact"/>
        <w:rPr>
          <w:sz w:val="20"/>
          <w:szCs w:val="20"/>
          <w:color w:val="auto"/>
        </w:rPr>
      </w:pPr>
    </w:p>
    <w:p>
      <w:pPr>
        <w:jc w:val="both"/>
        <w:ind w:right="60" w:firstLine="488"/>
        <w:spacing w:after="0" w:line="263" w:lineRule="auto"/>
        <w:rPr>
          <w:sz w:val="20"/>
          <w:szCs w:val="20"/>
          <w:color w:val="auto"/>
        </w:rPr>
      </w:pPr>
      <w:r>
        <w:rPr>
          <w:rFonts w:ascii="Arial" w:cs="Arial" w:eastAsia="Arial" w:hAnsi="Arial"/>
          <w:sz w:val="12"/>
          <w:szCs w:val="12"/>
          <w:color w:val="auto"/>
        </w:rPr>
        <w:t>Bribing healthcare professionals to use or recommend our products can create adverse publicity and damage our ability to use a critical channel of influence. We have adopted and implement PhRMA’s Code on Interactions with Healthcare Professionals as part of our policy on interactions with healthcare professionals and patients. We believe that training on, and enforcement of, these codes will limit the incidence of unethical interactions between our personnel and healthcare professionals.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87" w:right="23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Long-Lived Assets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Our long-lived assets are located in the United States and totaled $25.6 million and $26.9 million as of December 31, 2018 and 2017,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82" w:lineRule="exact"/>
        <w:rPr>
          <w:sz w:val="20"/>
          <w:szCs w:val="20"/>
          <w:color w:val="auto"/>
        </w:rPr>
      </w:pPr>
    </w:p>
    <w:p>
      <w:pPr>
        <w:ind w:right="80" w:firstLine="488"/>
        <w:spacing w:after="0" w:line="263" w:lineRule="auto"/>
        <w:rPr>
          <w:sz w:val="20"/>
          <w:szCs w:val="20"/>
          <w:color w:val="auto"/>
        </w:rPr>
      </w:pPr>
      <w:r>
        <w:rPr>
          <w:rFonts w:ascii="Arial" w:cs="Arial" w:eastAsia="Arial" w:hAnsi="Arial"/>
          <w:sz w:val="12"/>
          <w:szCs w:val="12"/>
          <w:color w:val="auto"/>
        </w:rPr>
        <w:t>Our human capital helps us develop and commercialize new products, conduct clinical trials and navigate government regulations. Our ability to recruit, develop and retain highly skilled talent is a significant determinant of our success. Our Code of Business Conduct and Ethics codifies our commitment to diversity and to providing equal opportunity and a positive working environment in all aspects of employment. We also have policies setting forth our expectations for nondiscrimination and a harassment-free work environment.</w:t>
      </w:r>
    </w:p>
    <w:p>
      <w:pPr>
        <w:spacing w:after="0" w:line="123" w:lineRule="exact"/>
        <w:rPr>
          <w:sz w:val="20"/>
          <w:szCs w:val="20"/>
          <w:color w:val="auto"/>
        </w:rPr>
      </w:pPr>
    </w:p>
    <w:p>
      <w:pPr>
        <w:ind w:right="260" w:firstLine="488"/>
        <w:spacing w:after="0" w:line="323" w:lineRule="auto"/>
        <w:rPr>
          <w:sz w:val="20"/>
          <w:szCs w:val="20"/>
          <w:color w:val="auto"/>
        </w:rPr>
      </w:pPr>
      <w:r>
        <w:rPr>
          <w:rFonts w:ascii="Arial" w:cs="Arial" w:eastAsia="Arial" w:hAnsi="Arial"/>
          <w:sz w:val="11"/>
          <w:szCs w:val="11"/>
          <w:color w:val="auto"/>
        </w:rPr>
        <w:t>As of December 31, 2018, we had 225 full-time employees, of which 79 were engaged in manufacturing, 19 in research and development, 39 in general and administrative and 88 in selling and marketing. Seventeen of these employees had a Ph.D. degree and/or M.D. degree and were engaged in activities relating to research and development, manufacturing, quality assurance or business development.</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None of our employees are subject to a collective bargaining agreement. We believe relations with our employees are good.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Occupational Health and Safety</w:t>
      </w:r>
    </w:p>
    <w:p>
      <w:pPr>
        <w:spacing w:after="0" w:line="78"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Hazardous materials are inherent in our operations, and it is not possible to eliminate completely the risk of accidental exposure from our operations. We have established procedures to comply with governmental regulations regarding workplace safety, including training employees to enable them to recognize risks and empower them to learn, discover, work safely, and to minimize injuries, illnesses, environmental impact and regulatory risks. In 2018, our total illness and injury incidence rate was 0.9 compared to the 2017 industry average of 1.6, as reported by the U.S. Department of Labor, and our DART (days away/restricted or job transfer) incident rate was 0.9 per 100 employees compared to the 2017 industry average of 1.0. We will continue our efforts to ensure a high level of workplace safety.</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82" w:lineRule="exact"/>
        <w:rPr>
          <w:sz w:val="20"/>
          <w:szCs w:val="20"/>
          <w:color w:val="auto"/>
        </w:rPr>
      </w:pPr>
    </w:p>
    <w:p>
      <w:pPr>
        <w:ind w:right="60" w:firstLine="488"/>
        <w:spacing w:after="0" w:line="257" w:lineRule="auto"/>
        <w:rPr>
          <w:sz w:val="20"/>
          <w:szCs w:val="20"/>
          <w:color w:val="auto"/>
        </w:rPr>
      </w:pPr>
      <w:r>
        <w:rPr>
          <w:rFonts w:ascii="Arial" w:cs="Arial" w:eastAsia="Arial" w:hAnsi="Arial"/>
          <w:sz w:val="12"/>
          <w:szCs w:val="12"/>
          <w:color w:val="auto"/>
        </w:rPr>
        <w:t>We were incorporated in the State of Delaware on February 14, 1991. Our principal executive offices are located at 30930 Russell Ranch Road, Suite 300, Westlake Village, California 91362, and our telephone number at that address is (818) 661-5000. MannKind Corporation and the MannKind Corporation logo are our service marks and trademarks.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these websites are not incorporated into this Annual Report. Further, our references to the URLs for these websites are intended to be inactive textual reference only.</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Advisors</w:t>
      </w:r>
    </w:p>
    <w:p>
      <w:pPr>
        <w:spacing w:after="0" w:line="82" w:lineRule="exact"/>
        <w:rPr>
          <w:sz w:val="20"/>
          <w:szCs w:val="20"/>
          <w:color w:val="auto"/>
        </w:rPr>
      </w:pPr>
    </w:p>
    <w:p>
      <w:pPr>
        <w:ind w:right="400" w:firstLine="488"/>
        <w:spacing w:after="0" w:line="276" w:lineRule="auto"/>
        <w:rPr>
          <w:sz w:val="20"/>
          <w:szCs w:val="20"/>
          <w:color w:val="auto"/>
        </w:rPr>
      </w:pPr>
      <w:r>
        <w:rPr>
          <w:rFonts w:ascii="Arial" w:cs="Arial" w:eastAsia="Arial" w:hAnsi="Arial"/>
          <w:sz w:val="12"/>
          <w:szCs w:val="12"/>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43" w:lineRule="exact"/>
        <w:rPr>
          <w:sz w:val="20"/>
          <w:szCs w:val="20"/>
          <w:color w:val="auto"/>
        </w:rPr>
      </w:pPr>
    </w:p>
    <w:p>
      <w:pPr>
        <w:ind w:left="960" w:hanging="482"/>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research and development programs;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design and implementation of our clinical programs;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patent and publication strategies;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market opportunities from a clinical perspective;</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new technologies relevant to our research and development programs;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specific scientific and technical issues relevant to our business.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 current listing of our scientific advisors is maintained on our corporate website at www.mannkindcorp.com.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87" w:right="21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Executive Officers of the Registrant</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sets forth our current executive officers and their 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0"/>
              </w:rPr>
              <w:t>Name</w:t>
            </w:r>
          </w:p>
        </w:tc>
        <w:tc>
          <w:tcPr>
            <w:tcW w:w="4100" w:type="dxa"/>
            <w:vAlign w:val="bottom"/>
          </w:tcPr>
          <w:p>
            <w:pPr>
              <w:spacing w:after="0"/>
              <w:rPr>
                <w:sz w:val="10"/>
                <w:szCs w:val="1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3"/>
              </w:rPr>
              <w:t>Age</w:t>
            </w: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Position(s)</w:t>
            </w:r>
          </w:p>
        </w:tc>
        <w:tc>
          <w:tcPr>
            <w:tcW w:w="2200" w:type="dxa"/>
            <w:vAlign w:val="bottom"/>
          </w:tcPr>
          <w:p>
            <w:pPr>
              <w:spacing w:after="0"/>
              <w:rPr>
                <w:sz w:val="10"/>
                <w:szCs w:val="10"/>
                <w:color w:val="auto"/>
              </w:rPr>
            </w:pPr>
          </w:p>
        </w:tc>
      </w:tr>
      <w:tr>
        <w:trPr>
          <w:trHeight w:val="124"/>
        </w:trPr>
        <w:tc>
          <w:tcPr>
            <w:tcW w:w="4340" w:type="dxa"/>
            <w:vAlign w:val="bottom"/>
            <w:gridSpan w:val="2"/>
          </w:tcPr>
          <w:p>
            <w:pPr>
              <w:spacing w:after="0" w:line="125" w:lineRule="exact"/>
              <w:rPr>
                <w:sz w:val="20"/>
                <w:szCs w:val="20"/>
                <w:color w:val="auto"/>
              </w:rPr>
            </w:pPr>
            <w:r>
              <w:rPr>
                <w:rFonts w:ascii="Arial" w:cs="Arial" w:eastAsia="Arial" w:hAnsi="Arial"/>
                <w:sz w:val="12"/>
                <w:szCs w:val="12"/>
                <w:color w:val="auto"/>
              </w:rPr>
              <w:t>Michael E. Castagna, Pharm.D.</w:t>
            </w:r>
          </w:p>
        </w:tc>
        <w:tc>
          <w:tcPr>
            <w:tcW w:w="160" w:type="dxa"/>
            <w:vAlign w:val="bottom"/>
          </w:tcPr>
          <w:p>
            <w:pPr>
              <w:ind w:left="20"/>
              <w:spacing w:after="0" w:line="125" w:lineRule="exact"/>
              <w:rPr>
                <w:sz w:val="20"/>
                <w:szCs w:val="20"/>
                <w:color w:val="auto"/>
              </w:rPr>
            </w:pPr>
            <w:r>
              <w:rPr>
                <w:rFonts w:ascii="Arial" w:cs="Arial" w:eastAsia="Arial" w:hAnsi="Arial"/>
                <w:sz w:val="12"/>
                <w:szCs w:val="12"/>
                <w:color w:val="auto"/>
                <w:w w:val="89"/>
              </w:rPr>
              <w:t>42</w:t>
            </w:r>
          </w:p>
        </w:tc>
        <w:tc>
          <w:tcPr>
            <w:tcW w:w="440" w:type="dxa"/>
            <w:vAlign w:val="bottom"/>
          </w:tcPr>
          <w:p>
            <w:pPr>
              <w:spacing w:after="0"/>
              <w:rPr>
                <w:sz w:val="10"/>
                <w:szCs w:val="10"/>
                <w:color w:val="auto"/>
              </w:rPr>
            </w:pPr>
          </w:p>
        </w:tc>
        <w:tc>
          <w:tcPr>
            <w:tcW w:w="2640" w:type="dxa"/>
            <w:vAlign w:val="bottom"/>
            <w:gridSpan w:val="2"/>
          </w:tcPr>
          <w:p>
            <w:pPr>
              <w:spacing w:after="0" w:line="125" w:lineRule="exact"/>
              <w:rPr>
                <w:sz w:val="20"/>
                <w:szCs w:val="20"/>
                <w:color w:val="auto"/>
              </w:rPr>
            </w:pPr>
            <w:r>
              <w:rPr>
                <w:rFonts w:ascii="Arial" w:cs="Arial" w:eastAsia="Arial" w:hAnsi="Arial"/>
                <w:sz w:val="12"/>
                <w:szCs w:val="12"/>
                <w:color w:val="auto"/>
              </w:rPr>
              <w:t>Chief Executive Officer</w:t>
            </w:r>
          </w:p>
        </w:tc>
      </w:tr>
      <w:tr>
        <w:trPr>
          <w:trHeight w:val="144"/>
        </w:trPr>
        <w:tc>
          <w:tcPr>
            <w:tcW w:w="4340" w:type="dxa"/>
            <w:vAlign w:val="bottom"/>
            <w:gridSpan w:val="2"/>
          </w:tcPr>
          <w:p>
            <w:pPr>
              <w:spacing w:after="0"/>
              <w:rPr>
                <w:sz w:val="20"/>
                <w:szCs w:val="20"/>
                <w:color w:val="auto"/>
              </w:rPr>
            </w:pPr>
            <w:r>
              <w:rPr>
                <w:rFonts w:ascii="Arial" w:cs="Arial" w:eastAsia="Arial" w:hAnsi="Arial"/>
                <w:sz w:val="12"/>
                <w:szCs w:val="12"/>
                <w:color w:val="auto"/>
              </w:rPr>
              <w:t>Steven B. Binder</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56</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rPr>
              <w:t>Chief Financial Officer</w:t>
            </w:r>
          </w:p>
        </w:tc>
      </w:tr>
      <w:tr>
        <w:trPr>
          <w:trHeight w:val="144"/>
        </w:trPr>
        <w:tc>
          <w:tcPr>
            <w:tcW w:w="4340" w:type="dxa"/>
            <w:vAlign w:val="bottom"/>
            <w:gridSpan w:val="2"/>
          </w:tcPr>
          <w:p>
            <w:pPr>
              <w:spacing w:after="0"/>
              <w:rPr>
                <w:sz w:val="20"/>
                <w:szCs w:val="20"/>
                <w:color w:val="auto"/>
              </w:rPr>
            </w:pPr>
            <w:r>
              <w:rPr>
                <w:rFonts w:ascii="Arial" w:cs="Arial" w:eastAsia="Arial" w:hAnsi="Arial"/>
                <w:sz w:val="12"/>
                <w:szCs w:val="12"/>
                <w:color w:val="auto"/>
              </w:rPr>
              <w:t>David M. Kendall, M.D</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57</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rPr>
              <w:t>Chief Medical Officer</w:t>
            </w:r>
          </w:p>
        </w:tc>
      </w:tr>
      <w:tr>
        <w:trPr>
          <w:trHeight w:val="144"/>
        </w:trPr>
        <w:tc>
          <w:tcPr>
            <w:tcW w:w="4340" w:type="dxa"/>
            <w:vAlign w:val="bottom"/>
            <w:gridSpan w:val="2"/>
          </w:tcPr>
          <w:p>
            <w:pPr>
              <w:spacing w:after="0"/>
              <w:rPr>
                <w:sz w:val="20"/>
                <w:szCs w:val="20"/>
                <w:color w:val="auto"/>
              </w:rPr>
            </w:pPr>
            <w:r>
              <w:rPr>
                <w:rFonts w:ascii="Arial" w:cs="Arial" w:eastAsia="Arial" w:hAnsi="Arial"/>
                <w:sz w:val="12"/>
                <w:szCs w:val="12"/>
                <w:color w:val="auto"/>
              </w:rPr>
              <w:t>Joseph Kocinsky</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55</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rPr>
              <w:t>Chief Technology Officer</w:t>
            </w:r>
          </w:p>
        </w:tc>
      </w:tr>
      <w:tr>
        <w:trPr>
          <w:trHeight w:val="144"/>
        </w:trPr>
        <w:tc>
          <w:tcPr>
            <w:tcW w:w="4340" w:type="dxa"/>
            <w:vAlign w:val="bottom"/>
            <w:gridSpan w:val="2"/>
          </w:tcPr>
          <w:p>
            <w:pPr>
              <w:spacing w:after="0"/>
              <w:rPr>
                <w:sz w:val="20"/>
                <w:szCs w:val="20"/>
                <w:color w:val="auto"/>
              </w:rPr>
            </w:pPr>
            <w:r>
              <w:rPr>
                <w:rFonts w:ascii="Arial" w:cs="Arial" w:eastAsia="Arial" w:hAnsi="Arial"/>
                <w:sz w:val="12"/>
                <w:szCs w:val="12"/>
                <w:color w:val="auto"/>
              </w:rPr>
              <w:t>James P. McCauley, Jr.</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53</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rPr>
              <w:t>Chief Commercial Officer</w:t>
            </w:r>
          </w:p>
        </w:tc>
      </w:tr>
      <w:tr>
        <w:trPr>
          <w:trHeight w:val="144"/>
        </w:trPr>
        <w:tc>
          <w:tcPr>
            <w:tcW w:w="4340" w:type="dxa"/>
            <w:vAlign w:val="bottom"/>
            <w:gridSpan w:val="2"/>
          </w:tcPr>
          <w:p>
            <w:pPr>
              <w:spacing w:after="0"/>
              <w:rPr>
                <w:sz w:val="20"/>
                <w:szCs w:val="20"/>
                <w:color w:val="auto"/>
              </w:rPr>
            </w:pPr>
            <w:r>
              <w:rPr>
                <w:rFonts w:ascii="Arial" w:cs="Arial" w:eastAsia="Arial" w:hAnsi="Arial"/>
                <w:sz w:val="12"/>
                <w:szCs w:val="12"/>
                <w:color w:val="auto"/>
              </w:rPr>
              <w:t>Elizabeth G. Ingram</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53</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rPr>
              <w:t>Chief Marketing Officer</w:t>
            </w:r>
          </w:p>
        </w:tc>
      </w:tr>
      <w:tr>
        <w:trPr>
          <w:trHeight w:val="144"/>
        </w:trPr>
        <w:tc>
          <w:tcPr>
            <w:tcW w:w="4340" w:type="dxa"/>
            <w:vAlign w:val="bottom"/>
            <w:gridSpan w:val="2"/>
          </w:tcPr>
          <w:p>
            <w:pPr>
              <w:spacing w:after="0"/>
              <w:rPr>
                <w:sz w:val="20"/>
                <w:szCs w:val="20"/>
                <w:color w:val="auto"/>
              </w:rPr>
            </w:pPr>
            <w:r>
              <w:rPr>
                <w:rFonts w:ascii="Arial" w:cs="Arial" w:eastAsia="Arial" w:hAnsi="Arial"/>
                <w:sz w:val="12"/>
                <w:szCs w:val="12"/>
                <w:color w:val="auto"/>
              </w:rPr>
              <w:t>Stuart A. Tross, Ph.D.</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52</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rPr>
              <w:t>Chief People and Workplace Officer</w:t>
            </w:r>
          </w:p>
        </w:tc>
      </w:tr>
      <w:tr>
        <w:trPr>
          <w:trHeight w:val="144"/>
        </w:trPr>
        <w:tc>
          <w:tcPr>
            <w:tcW w:w="4340" w:type="dxa"/>
            <w:vAlign w:val="bottom"/>
            <w:gridSpan w:val="2"/>
          </w:tcPr>
          <w:p>
            <w:pPr>
              <w:spacing w:after="0"/>
              <w:rPr>
                <w:sz w:val="20"/>
                <w:szCs w:val="20"/>
                <w:color w:val="auto"/>
              </w:rPr>
            </w:pPr>
            <w:r>
              <w:rPr>
                <w:rFonts w:ascii="Arial" w:cs="Arial" w:eastAsia="Arial" w:hAnsi="Arial"/>
                <w:sz w:val="12"/>
                <w:szCs w:val="12"/>
                <w:color w:val="auto"/>
              </w:rPr>
              <w:t>David B. Thomson, Ph.D., J.D.</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52</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rPr>
              <w:t>General Counsel and Secretary</w:t>
            </w:r>
          </w:p>
        </w:tc>
      </w:tr>
      <w:tr>
        <w:trPr>
          <w:trHeight w:val="144"/>
        </w:trPr>
        <w:tc>
          <w:tcPr>
            <w:tcW w:w="4340" w:type="dxa"/>
            <w:vAlign w:val="bottom"/>
            <w:gridSpan w:val="2"/>
          </w:tcPr>
          <w:p>
            <w:pPr>
              <w:spacing w:after="0"/>
              <w:rPr>
                <w:sz w:val="20"/>
                <w:szCs w:val="20"/>
                <w:color w:val="auto"/>
              </w:rPr>
            </w:pPr>
            <w:r>
              <w:rPr>
                <w:rFonts w:ascii="Arial" w:cs="Arial" w:eastAsia="Arial" w:hAnsi="Arial"/>
                <w:sz w:val="12"/>
                <w:szCs w:val="12"/>
                <w:color w:val="auto"/>
              </w:rPr>
              <w:t>Rosabel R. Alinaya</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58</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w w:val="89"/>
              </w:rPr>
              <w:t>Senior Vice President, Investor Relations and Treasury</w:t>
            </w: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Courtney Barton</w:t>
            </w:r>
          </w:p>
        </w:tc>
        <w:tc>
          <w:tcPr>
            <w:tcW w:w="160" w:type="dxa"/>
            <w:vAlign w:val="bottom"/>
          </w:tcPr>
          <w:p>
            <w:pPr>
              <w:ind w:left="20"/>
              <w:spacing w:after="0"/>
              <w:rPr>
                <w:sz w:val="20"/>
                <w:szCs w:val="20"/>
                <w:color w:val="auto"/>
              </w:rPr>
            </w:pPr>
            <w:r>
              <w:rPr>
                <w:rFonts w:ascii="Arial" w:cs="Arial" w:eastAsia="Arial" w:hAnsi="Arial"/>
                <w:sz w:val="12"/>
                <w:szCs w:val="12"/>
                <w:color w:val="auto"/>
                <w:w w:val="89"/>
              </w:rPr>
              <w:t>36</w:t>
            </w:r>
          </w:p>
        </w:tc>
        <w:tc>
          <w:tcPr>
            <w:tcW w:w="3080" w:type="dxa"/>
            <w:vAlign w:val="bottom"/>
            <w:gridSpan w:val="3"/>
          </w:tcPr>
          <w:p>
            <w:pPr>
              <w:ind w:left="440"/>
              <w:spacing w:after="0"/>
              <w:rPr>
                <w:sz w:val="20"/>
                <w:szCs w:val="20"/>
                <w:color w:val="auto"/>
              </w:rPr>
            </w:pPr>
            <w:r>
              <w:rPr>
                <w:rFonts w:ascii="Arial" w:cs="Arial" w:eastAsia="Arial" w:hAnsi="Arial"/>
                <w:sz w:val="12"/>
                <w:szCs w:val="12"/>
                <w:color w:val="auto"/>
                <w:w w:val="92"/>
              </w:rPr>
              <w:t>Vice President, Chief Compliance and Privacy Officer</w:t>
            </w:r>
          </w:p>
        </w:tc>
      </w:tr>
    </w:tbl>
    <w:p>
      <w:pPr>
        <w:spacing w:after="0" w:line="135" w:lineRule="exact"/>
        <w:rPr>
          <w:sz w:val="20"/>
          <w:szCs w:val="20"/>
          <w:color w:val="auto"/>
        </w:rPr>
      </w:pPr>
    </w:p>
    <w:p>
      <w:pPr>
        <w:ind w:right="200" w:firstLine="488"/>
        <w:spacing w:after="0" w:line="286" w:lineRule="auto"/>
        <w:rPr>
          <w:sz w:val="20"/>
          <w:szCs w:val="20"/>
          <w:color w:val="auto"/>
        </w:rPr>
      </w:pPr>
      <w:r>
        <w:rPr>
          <w:rFonts w:ascii="Arial" w:cs="Arial" w:eastAsia="Arial" w:hAnsi="Arial"/>
          <w:sz w:val="11"/>
          <w:szCs w:val="11"/>
          <w:i w:val="1"/>
          <w:iCs w:val="1"/>
          <w:color w:val="auto"/>
        </w:rPr>
        <w:t xml:space="preserve">Michael E. Castagna, Pharm.D. </w:t>
      </w:r>
      <w:r>
        <w:rPr>
          <w:rFonts w:ascii="Arial" w:cs="Arial" w:eastAsia="Arial" w:hAnsi="Arial"/>
          <w:sz w:val="11"/>
          <w:szCs w:val="11"/>
          <w:color w:val="auto"/>
        </w:rPr>
        <w:t>has been our Chief Executive Officer since May 2017 and was our Chief Commercial Officer from March 2016 until May 2017. From November 2012 until he joined us, Dr. Castagna was at</w:t>
      </w:r>
      <w:r>
        <w:rPr>
          <w:rFonts w:ascii="Arial" w:cs="Arial" w:eastAsia="Arial" w:hAnsi="Arial"/>
          <w:sz w:val="11"/>
          <w:szCs w:val="11"/>
          <w:i w:val="1"/>
          <w:iCs w:val="1"/>
          <w:color w:val="auto"/>
        </w:rPr>
        <w:t xml:space="preserve"> </w:t>
      </w:r>
      <w:r>
        <w:rPr>
          <w:rFonts w:ascii="Arial" w:cs="Arial" w:eastAsia="Arial" w:hAnsi="Arial"/>
          <w:sz w:val="11"/>
          <w:szCs w:val="11"/>
          <w:color w:val="auto"/>
        </w:rPr>
        <w:t>Amgen, Inc., where he initially served as Vice President, Global Lifecycle Management and was most recently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Pharma D. from Massachusetts College of Pharmacy &amp; Sciences and an MBA from The Wharton School of Business at the University of Pennsylvania.</w:t>
      </w:r>
    </w:p>
    <w:p>
      <w:pPr>
        <w:spacing w:after="0" w:line="111" w:lineRule="exact"/>
        <w:rPr>
          <w:sz w:val="20"/>
          <w:szCs w:val="20"/>
          <w:color w:val="auto"/>
        </w:rPr>
      </w:pPr>
    </w:p>
    <w:p>
      <w:pPr>
        <w:ind w:right="80" w:firstLine="488"/>
        <w:spacing w:after="0" w:line="283" w:lineRule="auto"/>
        <w:rPr>
          <w:sz w:val="20"/>
          <w:szCs w:val="20"/>
          <w:color w:val="auto"/>
        </w:rPr>
      </w:pPr>
      <w:r>
        <w:rPr>
          <w:rFonts w:ascii="Arial" w:cs="Arial" w:eastAsia="Arial" w:hAnsi="Arial"/>
          <w:sz w:val="11"/>
          <w:szCs w:val="11"/>
          <w:i w:val="1"/>
          <w:iCs w:val="1"/>
          <w:color w:val="auto"/>
        </w:rPr>
        <w:t xml:space="preserve">Steven B. Binder </w:t>
      </w:r>
      <w:r>
        <w:rPr>
          <w:rFonts w:ascii="Arial" w:cs="Arial" w:eastAsia="Arial" w:hAnsi="Arial"/>
          <w:sz w:val="11"/>
          <w:szCs w:val="11"/>
          <w:color w:val="auto"/>
        </w:rPr>
        <w:t>has been our Chief Financial Officer since July 2017. Before joining us, since 2013 Mr. Binder served as Vice President and Chief Financial Officer of the International Group of Stryker Corporation, a leading</w:t>
      </w:r>
      <w:r>
        <w:rPr>
          <w:rFonts w:ascii="Arial" w:cs="Arial" w:eastAsia="Arial" w:hAnsi="Arial"/>
          <w:sz w:val="11"/>
          <w:szCs w:val="11"/>
          <w:i w:val="1"/>
          <w:iCs w:val="1"/>
          <w:color w:val="auto"/>
        </w:rPr>
        <w:t xml:space="preserve"> </w:t>
      </w:r>
      <w:r>
        <w:rPr>
          <w:rFonts w:ascii="Arial" w:cs="Arial" w:eastAsia="Arial" w:hAnsi="Arial"/>
          <w:sz w:val="11"/>
          <w:szCs w:val="11"/>
          <w:color w:val="auto"/>
        </w:rPr>
        <w:t>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 year period beginning in 1984. Mr. Binder received a B.S. degree in Accounting and Business Administration from Muhlenberg College and is a Certified Public Accountant.</w:t>
      </w:r>
    </w:p>
    <w:p>
      <w:pPr>
        <w:spacing w:after="0" w:line="141" w:lineRule="exact"/>
        <w:rPr>
          <w:sz w:val="20"/>
          <w:szCs w:val="20"/>
          <w:color w:val="auto"/>
        </w:rPr>
      </w:pPr>
    </w:p>
    <w:p>
      <w:pPr>
        <w:ind w:firstLine="488"/>
        <w:spacing w:after="0" w:line="316" w:lineRule="auto"/>
        <w:rPr>
          <w:sz w:val="20"/>
          <w:szCs w:val="20"/>
          <w:color w:val="auto"/>
        </w:rPr>
      </w:pPr>
      <w:r>
        <w:rPr>
          <w:rFonts w:ascii="Arial" w:cs="Arial" w:eastAsia="Arial" w:hAnsi="Arial"/>
          <w:sz w:val="10"/>
          <w:szCs w:val="10"/>
          <w:i w:val="1"/>
          <w:iCs w:val="1"/>
          <w:color w:val="auto"/>
        </w:rPr>
        <w:t xml:space="preserve">David M. Kendall, M.D. </w:t>
      </w:r>
      <w:r>
        <w:rPr>
          <w:rFonts w:ascii="Arial" w:cs="Arial" w:eastAsia="Arial" w:hAnsi="Arial"/>
          <w:sz w:val="10"/>
          <w:szCs w:val="10"/>
          <w:color w:val="auto"/>
        </w:rPr>
        <w:t>has been our Chief Medical Officer since February 2018. His career includes over 30 years of experience in diabetes and metabolism research, clinical management, research, and policy advocacy. Most</w:t>
      </w:r>
      <w:r>
        <w:rPr>
          <w:rFonts w:ascii="Arial" w:cs="Arial" w:eastAsia="Arial" w:hAnsi="Arial"/>
          <w:sz w:val="10"/>
          <w:szCs w:val="10"/>
          <w:i w:val="1"/>
          <w:iCs w:val="1"/>
          <w:color w:val="auto"/>
        </w:rPr>
        <w:t xml:space="preserve"> </w:t>
      </w:r>
      <w:r>
        <w:rPr>
          <w:rFonts w:ascii="Arial" w:cs="Arial" w:eastAsia="Arial" w:hAnsi="Arial"/>
          <w:sz w:val="10"/>
          <w:szCs w:val="10"/>
          <w:color w:val="auto"/>
        </w:rPr>
        <w:t>recently, he served as Research Physician and Vice President of Global Medical Affairs for Lilly Diabetes from 2011 to 2018, and during that time was responsible for all medical affairs activities and guided research and development strategy across multiple geographies. In this role, he worked to re-establish Lilly Diabetes as a world class medical organization and added to his extensive experience with both injected and mealtime insulins, as well as devices and continuous glucose monitors. Prior to joining Eli Lilly, Dr. Kendall served as Chief Scientific and Medical Officer at the American Diabetes Association, where he was responsible for all medical affairs, medical education, research, outcomes, and medical policy activities. Earlier in his career, Dr. Kendall served as Medical Director at the International Diabetes Center (1997-2009), Executive Director of Medical Affairs at Amylin Pharmaceuticals from 2005 to 2008, and as a consultant in endocrinology at the Park Nicollet Clinic (1994-1997). He received his M.D. and completed his Post Graduate Medical Training at the University of Minnesota, and earned a B.A. in Biology from St. Olaf College.</w:t>
      </w:r>
    </w:p>
    <w:p>
      <w:pPr>
        <w:spacing w:after="0" w:line="100" w:lineRule="exact"/>
        <w:rPr>
          <w:sz w:val="20"/>
          <w:szCs w:val="20"/>
          <w:color w:val="auto"/>
        </w:rPr>
      </w:pPr>
    </w:p>
    <w:p>
      <w:pPr>
        <w:jc w:val="both"/>
        <w:ind w:right="160" w:firstLine="488"/>
        <w:spacing w:after="0" w:line="263" w:lineRule="auto"/>
        <w:rPr>
          <w:sz w:val="20"/>
          <w:szCs w:val="20"/>
          <w:color w:val="auto"/>
        </w:rPr>
      </w:pPr>
      <w:r>
        <w:rPr>
          <w:rFonts w:ascii="Arial" w:cs="Arial" w:eastAsia="Arial" w:hAnsi="Arial"/>
          <w:sz w:val="12"/>
          <w:szCs w:val="12"/>
          <w:i w:val="1"/>
          <w:iCs w:val="1"/>
          <w:color w:val="auto"/>
        </w:rPr>
        <w:t xml:space="preserve">Joseph Kocinsky </w:t>
      </w:r>
      <w:r>
        <w:rPr>
          <w:rFonts w:ascii="Arial" w:cs="Arial" w:eastAsia="Arial" w:hAnsi="Arial"/>
          <w:sz w:val="12"/>
          <w:szCs w:val="12"/>
          <w:color w:val="auto"/>
        </w:rPr>
        <w:t>has been our Chief Technology Officer since October 2015. Mr. Kocinsky has over 30 years experience in the pharmaceutical industry in technical operations and product development. Prior to joining us in</w:t>
      </w:r>
      <w:r>
        <w:rPr>
          <w:rFonts w:ascii="Arial" w:cs="Arial" w:eastAsia="Arial" w:hAnsi="Arial"/>
          <w:sz w:val="12"/>
          <w:szCs w:val="12"/>
          <w:i w:val="1"/>
          <w:iCs w:val="1"/>
          <w:color w:val="auto"/>
        </w:rPr>
        <w:t xml:space="preserve"> </w:t>
      </w:r>
      <w:r>
        <w:rPr>
          <w:rFonts w:ascii="Arial" w:cs="Arial" w:eastAsia="Arial" w:hAnsi="Arial"/>
          <w:sz w:val="12"/>
          <w:szCs w:val="12"/>
          <w:color w:val="auto"/>
        </w:rPr>
        <w:t>2003, he held a variety of technical and management positions with increased responsibility at Schering-Plough Corp. Mr. Kocinsky holds a bachelor’s degree in chemical engineering and an master’s degree in Biomedical Engineering from New Jersey Institute of Technology and an master’s degree in Business Administration from Seton Hall University.</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487" w:right="279" w:bottom="1440" w:gutter="0" w:footer="0" w:header="0"/>
        </w:sectPr>
      </w:pPr>
    </w:p>
    <w:bookmarkStart w:id="15" w:name="page16"/>
    <w:bookmarkEnd w:id="15"/>
    <w:p>
      <w:pPr>
        <w:jc w:val="both"/>
        <w:ind w:right="20" w:firstLine="488"/>
        <w:spacing w:after="0" w:line="286" w:lineRule="auto"/>
        <w:rPr>
          <w:sz w:val="20"/>
          <w:szCs w:val="20"/>
          <w:color w:val="auto"/>
        </w:rPr>
      </w:pPr>
      <w:r>
        <w:rPr>
          <w:rFonts w:ascii="Arial" w:cs="Arial" w:eastAsia="Arial" w:hAnsi="Arial"/>
          <w:sz w:val="11"/>
          <w:szCs w:val="11"/>
          <w:i w:val="1"/>
          <w:iCs w:val="1"/>
          <w:color w:val="auto"/>
        </w:rPr>
        <w:t xml:space="preserve">James P. McCauley, Jr. </w:t>
      </w:r>
      <w:r>
        <w:rPr>
          <w:rFonts w:ascii="Arial" w:cs="Arial" w:eastAsia="Arial" w:hAnsi="Arial"/>
          <w:sz w:val="11"/>
          <w:szCs w:val="11"/>
          <w:color w:val="auto"/>
        </w:rPr>
        <w:t>has been our Chief Commercial Officer since July 2017. Prior to joining us, he spent twelve years at Astellas Pharma in a series of senior sales and compliance leadership roles of increasing responsibility.</w:t>
      </w:r>
      <w:r>
        <w:rPr>
          <w:rFonts w:ascii="Arial" w:cs="Arial" w:eastAsia="Arial" w:hAnsi="Arial"/>
          <w:sz w:val="11"/>
          <w:szCs w:val="11"/>
          <w:i w:val="1"/>
          <w:iCs w:val="1"/>
          <w:color w:val="auto"/>
        </w:rPr>
        <w:t xml:space="preserve"> </w:t>
      </w:r>
      <w:r>
        <w:rPr>
          <w:rFonts w:ascii="Arial" w:cs="Arial" w:eastAsia="Arial" w:hAnsi="Arial"/>
          <w:sz w:val="11"/>
          <w:szCs w:val="11"/>
          <w:color w:val="auto"/>
        </w:rPr>
        <w:t>Prior to Astellas, Mr. McCauley was a member of the U.S. commercialization team and held a sales leadership role with Yamanouchi Pharma before the merger of Yamanouchi and Fujisawa Pharma to create Astellas in 2005. Before that, Mr. McCauley spent thirteen years with DuPont Pharmaceuticals and one year with BMS which acquired DuPont Pharmaceuticals in 2001. At DuPont and BMS, Mr. McCauley held a series of leadership roles across the sales, contracting and pricing, and clinical areas. Throughout his various career moves, Mr. McCauley has developed deep commercial expertise serving both specialty and primary care healthcare providers. He received an MBA from the Kellogg School of Management at Northwestern University, a J.D. from the South Texas College of Law, and a B.A. in Economics from the University of Notre Dame.</w:t>
      </w:r>
    </w:p>
    <w:p>
      <w:pPr>
        <w:spacing w:after="0" w:line="138"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i w:val="1"/>
          <w:iCs w:val="1"/>
          <w:color w:val="auto"/>
        </w:rPr>
        <w:t xml:space="preserve">Elizabeth G. Ingram </w:t>
      </w:r>
      <w:r>
        <w:rPr>
          <w:rFonts w:ascii="Arial" w:cs="Arial" w:eastAsia="Arial" w:hAnsi="Arial"/>
          <w:sz w:val="12"/>
          <w:szCs w:val="12"/>
          <w:color w:val="auto"/>
        </w:rPr>
        <w:t>has been our Chief Marketing Officer since June 2018. Her career includes over twenty years of experience in marketing and market access, delivering strategic planning, and execution of contract, health</w:t>
      </w:r>
      <w:r>
        <w:rPr>
          <w:rFonts w:ascii="Arial" w:cs="Arial" w:eastAsia="Arial" w:hAnsi="Arial"/>
          <w:sz w:val="12"/>
          <w:szCs w:val="12"/>
          <w:i w:val="1"/>
          <w:iCs w:val="1"/>
          <w:color w:val="auto"/>
        </w:rPr>
        <w:t xml:space="preserve"> </w:t>
      </w:r>
      <w:r>
        <w:rPr>
          <w:rFonts w:ascii="Arial" w:cs="Arial" w:eastAsia="Arial" w:hAnsi="Arial"/>
          <w:sz w:val="12"/>
          <w:szCs w:val="12"/>
          <w:color w:val="auto"/>
        </w:rPr>
        <w:t>economics, sales and marketing programs. Most recently, she served as Senior Vice President — Managed Market at Dexcom in 2017, Vice President —Head of Market Access at Sanofi from 2014 to 2016, Vice President – Market Access Strategy at Bristol Myers Squib from 2012 to 2014, and various roles of increasing responsibility at Novo Nordisk Pharmaceuticals from 2006 to 2012. Ms. Ingram obtained a Bachelor of Science degree from East Carolina University and a Master’s degree from University of South Carolina-Columbia.</w:t>
      </w:r>
    </w:p>
    <w:p>
      <w:pPr>
        <w:spacing w:after="0" w:line="143" w:lineRule="exact"/>
        <w:rPr>
          <w:sz w:val="20"/>
          <w:szCs w:val="20"/>
          <w:color w:val="auto"/>
        </w:rPr>
      </w:pPr>
    </w:p>
    <w:p>
      <w:pPr>
        <w:ind w:firstLine="488"/>
        <w:spacing w:after="0" w:line="269" w:lineRule="auto"/>
        <w:rPr>
          <w:sz w:val="20"/>
          <w:szCs w:val="20"/>
          <w:color w:val="auto"/>
        </w:rPr>
      </w:pPr>
      <w:r>
        <w:rPr>
          <w:rFonts w:ascii="Arial" w:cs="Arial" w:eastAsia="Arial" w:hAnsi="Arial"/>
          <w:sz w:val="12"/>
          <w:szCs w:val="12"/>
          <w:i w:val="1"/>
          <w:iCs w:val="1"/>
          <w:color w:val="auto"/>
        </w:rPr>
        <w:t xml:space="preserve">Stuart A. Tross, Ph.D. </w:t>
      </w:r>
      <w:r>
        <w:rPr>
          <w:rFonts w:ascii="Arial" w:cs="Arial" w:eastAsia="Arial" w:hAnsi="Arial"/>
          <w:sz w:val="12"/>
          <w:szCs w:val="12"/>
          <w:color w:val="auto"/>
        </w:rPr>
        <w:t>has been our Chief People and Workplace Officer since December 2016, with responsibilities for human resources, information technology, corporate communications and west coast facilities. From 2006 to</w:t>
      </w:r>
      <w:r>
        <w:rPr>
          <w:rFonts w:ascii="Arial" w:cs="Arial" w:eastAsia="Arial" w:hAnsi="Arial"/>
          <w:sz w:val="12"/>
          <w:szCs w:val="12"/>
          <w:i w:val="1"/>
          <w:iCs w:val="1"/>
          <w:color w:val="auto"/>
        </w:rPr>
        <w:t xml:space="preserve"> </w:t>
      </w:r>
      <w:r>
        <w:rPr>
          <w:rFonts w:ascii="Arial" w:cs="Arial" w:eastAsia="Arial" w:hAnsi="Arial"/>
          <w:sz w:val="12"/>
          <w:szCs w:val="12"/>
          <w:color w:val="auto"/>
        </w:rPr>
        <w:t>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Stuart received a B.S. degree from Cornell University and M.Sc. and Ph.D. degrees in Industrial-Organizational Psychology from the Georgia Institute of Technology.</w:t>
      </w:r>
    </w:p>
    <w:p>
      <w:pPr>
        <w:spacing w:after="0" w:line="147" w:lineRule="exact"/>
        <w:rPr>
          <w:sz w:val="20"/>
          <w:szCs w:val="20"/>
          <w:color w:val="auto"/>
        </w:rPr>
      </w:pPr>
    </w:p>
    <w:p>
      <w:pPr>
        <w:ind w:right="280" w:firstLine="488"/>
        <w:spacing w:after="0" w:line="323" w:lineRule="auto"/>
        <w:rPr>
          <w:sz w:val="20"/>
          <w:szCs w:val="20"/>
          <w:color w:val="auto"/>
        </w:rPr>
      </w:pPr>
      <w:r>
        <w:rPr>
          <w:rFonts w:ascii="Arial" w:cs="Arial" w:eastAsia="Arial" w:hAnsi="Arial"/>
          <w:sz w:val="11"/>
          <w:szCs w:val="11"/>
          <w:i w:val="1"/>
          <w:iCs w:val="1"/>
          <w:color w:val="auto"/>
        </w:rPr>
        <w:t xml:space="preserve">David B. Thomson, Ph.D., J.D. </w:t>
      </w:r>
      <w:r>
        <w:rPr>
          <w:rFonts w:ascii="Arial" w:cs="Arial" w:eastAsia="Arial" w:hAnsi="Arial"/>
          <w:sz w:val="11"/>
          <w:szCs w:val="11"/>
          <w:color w:val="auto"/>
        </w:rPr>
        <w:t>has been our General Counsel and Corporate Secretary since January 2002. Prior to joining us, he practiced corporate/commercial and securities law at a major Toronto law firm. Earlier in his</w:t>
      </w:r>
      <w:r>
        <w:rPr>
          <w:rFonts w:ascii="Arial" w:cs="Arial" w:eastAsia="Arial" w:hAnsi="Arial"/>
          <w:sz w:val="11"/>
          <w:szCs w:val="11"/>
          <w:i w:val="1"/>
          <w:iCs w:val="1"/>
          <w:color w:val="auto"/>
        </w:rPr>
        <w:t xml:space="preserve"> </w:t>
      </w:r>
      <w:r>
        <w:rPr>
          <w:rFonts w:ascii="Arial" w:cs="Arial" w:eastAsia="Arial" w:hAnsi="Arial"/>
          <w:sz w:val="11"/>
          <w:szCs w:val="11"/>
          <w:color w:val="auto"/>
        </w:rPr>
        <w:t>career, Dr. Thomson was a post-doctoral fellow at the Rockefeller University. Dr. Thomson obtained his B.S degree, M Sc. degree and Ph.D. from Queens University and obtained his J.D. from the University of Toronto.</w:t>
      </w:r>
    </w:p>
    <w:p>
      <w:pPr>
        <w:spacing w:after="0" w:line="119" w:lineRule="exact"/>
        <w:rPr>
          <w:sz w:val="20"/>
          <w:szCs w:val="20"/>
          <w:color w:val="auto"/>
        </w:rPr>
      </w:pPr>
    </w:p>
    <w:p>
      <w:pPr>
        <w:jc w:val="both"/>
        <w:ind w:right="140" w:firstLine="488"/>
        <w:spacing w:after="0" w:line="259" w:lineRule="auto"/>
        <w:rPr>
          <w:sz w:val="20"/>
          <w:szCs w:val="20"/>
          <w:color w:val="auto"/>
        </w:rPr>
      </w:pPr>
      <w:r>
        <w:rPr>
          <w:rFonts w:ascii="Arial" w:cs="Arial" w:eastAsia="Arial" w:hAnsi="Arial"/>
          <w:sz w:val="12"/>
          <w:szCs w:val="12"/>
          <w:i w:val="1"/>
          <w:iCs w:val="1"/>
          <w:color w:val="auto"/>
        </w:rPr>
        <w:t xml:space="preserve">Rosabel R. Alinaya </w:t>
      </w:r>
      <w:r>
        <w:rPr>
          <w:rFonts w:ascii="Arial" w:cs="Arial" w:eastAsia="Arial" w:hAnsi="Arial"/>
          <w:sz w:val="12"/>
          <w:szCs w:val="12"/>
          <w:color w:val="auto"/>
        </w:rPr>
        <w:t>has been our Senior Vice President, Investor Relations and Treasury since July 2017. Ms. Alinaya also served as Principal Accounting Officer from January 2016 to July 2017 with responsibility for finance,</w:t>
      </w:r>
      <w:r>
        <w:rPr>
          <w:rFonts w:ascii="Arial" w:cs="Arial" w:eastAsia="Arial" w:hAnsi="Arial"/>
          <w:sz w:val="12"/>
          <w:szCs w:val="12"/>
          <w:i w:val="1"/>
          <w:iCs w:val="1"/>
          <w:color w:val="auto"/>
        </w:rPr>
        <w:t xml:space="preserve"> </w:t>
      </w:r>
      <w:r>
        <w:rPr>
          <w:rFonts w:ascii="Arial" w:cs="Arial" w:eastAsia="Arial" w:hAnsi="Arial"/>
          <w:sz w:val="12"/>
          <w:szCs w:val="12"/>
          <w:color w:val="auto"/>
        </w:rPr>
        <w:t>accounting, tax, treasury, investor relations and risk management. Previously, she was our Vice President, Finance since March 2011 after serving as our Corporate Controller since June 2003. Ms. Alinaya began her career at Deloitte &amp; Touche LLP, graduating from California State University, Northridge with a B.S. in Accounting Information Systems. Ms. Alinaya is also a member of the American Institute of Certified Public Accountants and the California Society of Certified Public Accountants.</w:t>
      </w:r>
    </w:p>
    <w:p>
      <w:pPr>
        <w:spacing w:after="0" w:line="125" w:lineRule="exact"/>
        <w:rPr>
          <w:sz w:val="20"/>
          <w:szCs w:val="20"/>
          <w:color w:val="auto"/>
        </w:rPr>
      </w:pPr>
    </w:p>
    <w:p>
      <w:pPr>
        <w:ind w:right="160" w:firstLine="488"/>
        <w:spacing w:after="0" w:line="290" w:lineRule="auto"/>
        <w:rPr>
          <w:sz w:val="20"/>
          <w:szCs w:val="20"/>
          <w:color w:val="auto"/>
        </w:rPr>
      </w:pPr>
      <w:r>
        <w:rPr>
          <w:rFonts w:ascii="Arial" w:cs="Arial" w:eastAsia="Arial" w:hAnsi="Arial"/>
          <w:sz w:val="11"/>
          <w:szCs w:val="11"/>
          <w:i w:val="1"/>
          <w:iCs w:val="1"/>
          <w:color w:val="auto"/>
        </w:rPr>
        <w:t xml:space="preserve">Courtney Barton </w:t>
      </w:r>
      <w:r>
        <w:rPr>
          <w:rFonts w:ascii="Arial" w:cs="Arial" w:eastAsia="Arial" w:hAnsi="Arial"/>
          <w:sz w:val="11"/>
          <w:szCs w:val="11"/>
          <w:color w:val="auto"/>
        </w:rPr>
        <w:t>has been our Vice President, Chief Compliance Officer since March 2017. From December 2015 until she joined us, she served as Chief Compliance Officer for Anacor Pharmaceuticals, Inc. Prior to that, Ms.</w:t>
      </w:r>
      <w:r>
        <w:rPr>
          <w:rFonts w:ascii="Arial" w:cs="Arial" w:eastAsia="Arial" w:hAnsi="Arial"/>
          <w:sz w:val="11"/>
          <w:szCs w:val="11"/>
          <w:i w:val="1"/>
          <w:iCs w:val="1"/>
          <w:color w:val="auto"/>
        </w:rPr>
        <w:t xml:space="preserve"> </w:t>
      </w:r>
      <w:r>
        <w:rPr>
          <w:rFonts w:ascii="Arial" w:cs="Arial" w:eastAsia="Arial" w:hAnsi="Arial"/>
          <w:sz w:val="11"/>
          <w:szCs w:val="11"/>
          <w:color w:val="auto"/>
        </w:rPr>
        <w:t>Barton served in compliance and privacy roles for Kythera Biopharmaceuticals, Inc. from November 2014 to November 2015, Allergan, Inc. from September 2013 to October 2014, Bausch &amp; Lomb, Inc. from September 2006 to September 2013 and Winn-Dixie Stores, Inc. from August 2003 to August 2006. She has also held positions with Merrill Lynch and Janus, including an international appointment. Ms. Barton holds B.A. degrees in Political Science and International Relations from Syracuse University and is a Certified Compliance and Ethics Professional (CCEP) and Certified Information Privacy Professional (CIPP US/E).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82" w:lineRule="exact"/>
        <w:rPr>
          <w:sz w:val="20"/>
          <w:szCs w:val="20"/>
          <w:color w:val="auto"/>
        </w:rPr>
      </w:pPr>
    </w:p>
    <w:p>
      <w:pPr>
        <w:ind w:right="80" w:firstLine="488"/>
        <w:spacing w:after="0" w:line="259" w:lineRule="auto"/>
        <w:rPr>
          <w:sz w:val="20"/>
          <w:szCs w:val="20"/>
          <w:color w:val="auto"/>
        </w:rPr>
      </w:pPr>
      <w:r>
        <w:rPr>
          <w:rFonts w:ascii="Arial" w:cs="Arial" w:eastAsia="Arial" w:hAnsi="Arial"/>
          <w:sz w:val="12"/>
          <w:szCs w:val="12"/>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to raise additional capital to fund our operations, and there is substantial doubt about our ability to continue as a going concern.</w:t>
      </w:r>
    </w:p>
    <w:p>
      <w:pPr>
        <w:spacing w:after="0" w:line="78" w:lineRule="exact"/>
        <w:rPr>
          <w:sz w:val="20"/>
          <w:szCs w:val="20"/>
          <w:color w:val="auto"/>
        </w:rPr>
      </w:pPr>
    </w:p>
    <w:p>
      <w:pPr>
        <w:ind w:firstLine="488"/>
        <w:spacing w:after="0" w:line="283" w:lineRule="auto"/>
        <w:rPr>
          <w:sz w:val="20"/>
          <w:szCs w:val="20"/>
          <w:color w:val="auto"/>
        </w:rPr>
      </w:pPr>
      <w:r>
        <w:rPr>
          <w:rFonts w:ascii="Arial" w:cs="Arial" w:eastAsia="Arial" w:hAnsi="Arial"/>
          <w:sz w:val="11"/>
          <w:szCs w:val="11"/>
          <w:color w:val="auto"/>
        </w:rPr>
        <w:t>This report includes disclosures stating that our existing cash resources and our accumulated stockholder’s deficit raise substantial doubt about our ability to continue as a going concern.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and to avoid defaulting under the financial covenant in our Facility Agreement with Deerfield Private Design Fund II, L.P. and Deerfield Private Design International II, L.P. (collectively, “Deerfield”) dated July 1, 2013 (as amended, the “Facility Agreement”), which requires us to maintain at least $25.0 million in cash and cash equivalents as of the last day of each fiscal quarter (other than December 31, 2018, when we were required to have at least $20.0 million in cash and cash equivalents). It may be difficult for us to raise additional funds on favorable terms, or at all. As of December 31, 2018, we had cash and cash equivalents of $71.2 million and a stockholders’ deficit of $175.1 million. The extent of our additional funding requirements will depend on a number of factors, including:</w:t>
      </w:r>
    </w:p>
    <w:p>
      <w:pPr>
        <w:spacing w:after="0" w:line="42" w:lineRule="exact"/>
        <w:rPr>
          <w:sz w:val="20"/>
          <w:szCs w:val="20"/>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degree to which Afrezza is commercially successful;</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degree to which we are able to generate revenue from our Technosphere drug delivery platform, including through our collaborations;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costs of developing and commercializing Afrezza on our own in the United States, including the costs of expanding our commercialization capabilities;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demand by any or all of the holders of our debt instruments to require us to repay or repurchase such debt securities if and when required;</w:t>
      </w:r>
    </w:p>
    <w:p>
      <w:pPr>
        <w:spacing w:after="0" w:line="78" w:lineRule="exact"/>
        <w:rPr>
          <w:rFonts w:ascii="Arial" w:cs="Arial" w:eastAsia="Arial" w:hAnsi="Arial"/>
          <w:sz w:val="12"/>
          <w:szCs w:val="12"/>
          <w:color w:val="auto"/>
        </w:rPr>
      </w:pPr>
    </w:p>
    <w:p>
      <w:pPr>
        <w:ind w:left="960" w:right="100" w:hanging="482"/>
        <w:spacing w:after="0" w:line="276" w:lineRule="auto"/>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42"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rate of progress and costs of our clinical studies and research and development activities;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costs of procuring raw materials and operating our manufacturing facility;</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obligation to make milestone payments to Deerfield;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success in establishing additional strategic business collaborations or other sales or licensing of assets, and the timing and amount of any payments we might receive from any such transactions;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actions taken by the FDA and other regulatory authorities affecting Afrezza and our product candidates and competitive products;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emergence of competing technologies and products and other market developments;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costs of preparing, filing, prosecuting, maintaining and enforcing patent claims and other intellectual property rights or defending against claims of infringement by others;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level of our legal and litigation expenses;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costs of discontinuing projects and technologies, and/or decommissioning existing facilities, if we undertake any such activities.</w:t>
      </w:r>
    </w:p>
    <w:p>
      <w:pPr>
        <w:spacing w:after="0" w:line="150" w:lineRule="exact"/>
        <w:rPr>
          <w:sz w:val="20"/>
          <w:szCs w:val="20"/>
          <w:color w:val="auto"/>
        </w:rPr>
      </w:pPr>
    </w:p>
    <w:p>
      <w:pPr>
        <w:ind w:right="60" w:firstLine="488"/>
        <w:spacing w:after="0" w:line="254" w:lineRule="auto"/>
        <w:rPr>
          <w:sz w:val="20"/>
          <w:szCs w:val="20"/>
          <w:color w:val="auto"/>
        </w:rPr>
      </w:pPr>
      <w:r>
        <w:rPr>
          <w:rFonts w:ascii="Arial" w:cs="Arial" w:eastAsia="Arial" w:hAnsi="Arial"/>
          <w:sz w:val="12"/>
          <w:szCs w:val="12"/>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87" w:right="219" w:bottom="1440" w:gutter="0" w:footer="0" w:header="0"/>
        </w:sectPr>
      </w:pPr>
    </w:p>
    <w:bookmarkStart w:id="17" w:name="page18"/>
    <w:bookmarkEnd w:id="17"/>
    <w:p>
      <w:pPr>
        <w:ind w:right="40" w:firstLine="488"/>
        <w:spacing w:after="0" w:line="257" w:lineRule="auto"/>
        <w:rPr>
          <w:sz w:val="20"/>
          <w:szCs w:val="20"/>
          <w:color w:val="auto"/>
        </w:rPr>
      </w:pPr>
      <w:r>
        <w:rPr>
          <w:rFonts w:ascii="Arial" w:cs="Arial" w:eastAsia="Arial" w:hAnsi="Arial"/>
          <w:sz w:val="12"/>
          <w:szCs w:val="12"/>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26" w:lineRule="exact"/>
        <w:rPr>
          <w:sz w:val="20"/>
          <w:szCs w:val="20"/>
          <w:color w:val="auto"/>
        </w:rPr>
      </w:pPr>
    </w:p>
    <w:p>
      <w:pPr>
        <w:ind w:right="140" w:firstLine="488"/>
        <w:spacing w:after="0" w:line="286" w:lineRule="auto"/>
        <w:rPr>
          <w:sz w:val="20"/>
          <w:szCs w:val="20"/>
          <w:color w:val="auto"/>
        </w:rPr>
      </w:pPr>
      <w:r>
        <w:rPr>
          <w:rFonts w:ascii="Arial" w:cs="Arial" w:eastAsia="Arial" w:hAnsi="Arial"/>
          <w:sz w:val="11"/>
          <w:szCs w:val="11"/>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 In addition, if we default under the Facility Agreement, Deerfield could foreclose on substantially all of our assets</w:t>
      </w:r>
    </w:p>
    <w:p>
      <w:pPr>
        <w:spacing w:after="0" w:line="183" w:lineRule="exact"/>
        <w:rPr>
          <w:sz w:val="20"/>
          <w:szCs w:val="20"/>
          <w:color w:val="auto"/>
        </w:rPr>
      </w:pPr>
    </w:p>
    <w:p>
      <w:pPr>
        <w:ind w:firstLine="488"/>
        <w:spacing w:after="0" w:line="276" w:lineRule="auto"/>
        <w:rPr>
          <w:sz w:val="20"/>
          <w:szCs w:val="20"/>
          <w:color w:val="auto"/>
        </w:rPr>
      </w:pPr>
      <w:r>
        <w:rPr>
          <w:rFonts w:ascii="Arial" w:cs="Arial" w:eastAsia="Arial" w:hAnsi="Arial"/>
          <w:sz w:val="12"/>
          <w:szCs w:val="12"/>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43" w:lineRule="exact"/>
        <w:rPr>
          <w:sz w:val="20"/>
          <w:szCs w:val="20"/>
          <w:color w:val="auto"/>
        </w:rPr>
      </w:pPr>
    </w:p>
    <w:p>
      <w:pPr>
        <w:ind w:right="160" w:firstLine="488"/>
        <w:spacing w:after="0" w:line="263" w:lineRule="auto"/>
        <w:rPr>
          <w:sz w:val="20"/>
          <w:szCs w:val="20"/>
          <w:color w:val="auto"/>
        </w:rPr>
      </w:pPr>
      <w:r>
        <w:rPr>
          <w:rFonts w:ascii="Arial" w:cs="Arial" w:eastAsia="Arial" w:hAnsi="Arial"/>
          <w:sz w:val="12"/>
          <w:szCs w:val="12"/>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23" w:lineRule="exact"/>
        <w:rPr>
          <w:sz w:val="20"/>
          <w:szCs w:val="20"/>
          <w:color w:val="auto"/>
        </w:rPr>
      </w:pPr>
    </w:p>
    <w:p>
      <w:pPr>
        <w:ind w:right="20" w:firstLine="488"/>
        <w:spacing w:after="0" w:line="279" w:lineRule="auto"/>
        <w:rPr>
          <w:sz w:val="20"/>
          <w:szCs w:val="20"/>
          <w:color w:val="auto"/>
        </w:rPr>
      </w:pPr>
      <w:r>
        <w:rPr>
          <w:rFonts w:ascii="Arial" w:cs="Arial" w:eastAsia="Arial" w:hAnsi="Arial"/>
          <w:sz w:val="11"/>
          <w:szCs w:val="11"/>
          <w:color w:val="auto"/>
        </w:rPr>
        <w:t>Successful commercialization of Afrezza is subject to many risks, including some that are outside our control. There are numerous examples of unsuccessful product launches, second launches that underperform original expectations and other failures to fully exploit the market potential of drug products, including by pharmaceutical companies with more experience and resources than us.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 We will need to maintain and enhance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18" w:lineRule="exact"/>
        <w:rPr>
          <w:sz w:val="20"/>
          <w:szCs w:val="20"/>
          <w:color w:val="auto"/>
        </w:rPr>
      </w:pPr>
    </w:p>
    <w:p>
      <w:pPr>
        <w:ind w:right="120" w:firstLine="488"/>
        <w:spacing w:after="0" w:line="276" w:lineRule="auto"/>
        <w:rPr>
          <w:sz w:val="20"/>
          <w:szCs w:val="20"/>
          <w:color w:val="auto"/>
        </w:rPr>
      </w:pPr>
      <w:r>
        <w:rPr>
          <w:rFonts w:ascii="Arial" w:cs="Arial" w:eastAsia="Arial" w:hAnsi="Arial"/>
          <w:sz w:val="12"/>
          <w:szCs w:val="12"/>
          <w:color w:val="auto"/>
        </w:rPr>
        <w:t>If we are unable to maintain payor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15" w:lineRule="exact"/>
        <w:rPr>
          <w:sz w:val="20"/>
          <w:szCs w:val="20"/>
          <w:color w:val="auto"/>
        </w:rPr>
      </w:pPr>
    </w:p>
    <w:p>
      <w:pPr>
        <w:ind w:right="340" w:firstLine="488"/>
        <w:spacing w:after="0" w:line="276" w:lineRule="auto"/>
        <w:rPr>
          <w:sz w:val="20"/>
          <w:szCs w:val="20"/>
          <w:color w:val="auto"/>
        </w:rPr>
      </w:pPr>
      <w:r>
        <w:rPr>
          <w:rFonts w:ascii="Arial" w:cs="Arial" w:eastAsia="Arial" w:hAnsi="Arial"/>
          <w:sz w:val="12"/>
          <w:szCs w:val="12"/>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If we fail to achieve commercialize success with Afrezza in the United States, our business, financial condition and results of operations will be materially and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that our results of operations will fluctuate for the foreseeable future, which may make it difficult to predict our future performance from period to period.</w:t>
      </w:r>
    </w:p>
    <w:p>
      <w:pPr>
        <w:spacing w:after="0" w:line="78" w:lineRule="exact"/>
        <w:rPr>
          <w:sz w:val="20"/>
          <w:szCs w:val="20"/>
          <w:color w:val="auto"/>
        </w:rPr>
      </w:pPr>
    </w:p>
    <w:p>
      <w:pPr>
        <w:ind w:right="100" w:firstLine="488"/>
        <w:spacing w:after="0" w:line="323" w:lineRule="auto"/>
        <w:rPr>
          <w:sz w:val="20"/>
          <w:szCs w:val="20"/>
          <w:color w:val="auto"/>
        </w:rPr>
      </w:pPr>
      <w:r>
        <w:rPr>
          <w:rFonts w:ascii="Arial" w:cs="Arial" w:eastAsia="Arial" w:hAnsi="Arial"/>
          <w:sz w:val="11"/>
          <w:szCs w:val="11"/>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18" w:name="page19"/>
    <w:bookmarkEnd w:id="18"/>
    <w:p>
      <w:pPr>
        <w:ind w:left="480"/>
        <w:spacing w:after="0"/>
        <w:rPr>
          <w:sz w:val="20"/>
          <w:szCs w:val="20"/>
          <w:color w:val="auto"/>
        </w:rPr>
      </w:pPr>
      <w:r>
        <w:rPr>
          <w:rFonts w:ascii="Arial" w:cs="Arial" w:eastAsia="Arial" w:hAnsi="Arial"/>
          <w:sz w:val="12"/>
          <w:szCs w:val="12"/>
          <w:color w:val="auto"/>
        </w:rPr>
        <w:t>We believe that comparisons from period to period of our financial results are not necessarily meaningful and should not be relied upon as indications of our future performance.</w:t>
      </w:r>
    </w:p>
    <w:p>
      <w:pPr>
        <w:spacing w:after="0" w:line="22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or maintaining regional partnerships or other arrangements with third parties for the commercialization of Afrezza outside of the United States.</w:t>
      </w:r>
    </w:p>
    <w:p>
      <w:pPr>
        <w:spacing w:after="0" w:line="43" w:lineRule="exact"/>
        <w:rPr>
          <w:sz w:val="20"/>
          <w:szCs w:val="20"/>
          <w:color w:val="auto"/>
        </w:rPr>
      </w:pPr>
    </w:p>
    <w:p>
      <w:pPr>
        <w:ind w:right="40" w:firstLine="488"/>
        <w:spacing w:after="0" w:line="286" w:lineRule="auto"/>
        <w:rPr>
          <w:sz w:val="20"/>
          <w:szCs w:val="20"/>
          <w:color w:val="auto"/>
        </w:rPr>
      </w:pPr>
      <w:r>
        <w:rPr>
          <w:rFonts w:ascii="Arial" w:cs="Arial" w:eastAsia="Arial" w:hAnsi="Arial"/>
          <w:sz w:val="11"/>
          <w:szCs w:val="11"/>
          <w:color w:val="auto"/>
        </w:rPr>
        <w:t>While Afrezza has been approved in the United States by the FDA for glycemic control in adult patients with diabetes, we have not yet obtained approval in any other jurisdiction.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11" w:lineRule="exact"/>
        <w:rPr>
          <w:sz w:val="20"/>
          <w:szCs w:val="20"/>
          <w:color w:val="auto"/>
        </w:rPr>
      </w:pPr>
    </w:p>
    <w:p>
      <w:pPr>
        <w:ind w:right="40" w:firstLine="488"/>
        <w:spacing w:after="0" w:line="254" w:lineRule="auto"/>
        <w:rPr>
          <w:sz w:val="20"/>
          <w:szCs w:val="20"/>
          <w:color w:val="auto"/>
        </w:rPr>
      </w:pPr>
      <w:r>
        <w:rPr>
          <w:rFonts w:ascii="Arial" w:cs="Arial" w:eastAsia="Arial" w:hAnsi="Arial"/>
          <w:sz w:val="12"/>
          <w:szCs w:val="12"/>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our efforts to develop and commercialize our product candidates.</w:t>
      </w:r>
    </w:p>
    <w:p>
      <w:pPr>
        <w:spacing w:after="0" w:line="78" w:lineRule="exact"/>
        <w:rPr>
          <w:sz w:val="20"/>
          <w:szCs w:val="20"/>
          <w:color w:val="auto"/>
        </w:rPr>
      </w:pPr>
    </w:p>
    <w:p>
      <w:pPr>
        <w:ind w:right="120" w:firstLine="488"/>
        <w:spacing w:after="0" w:line="259" w:lineRule="auto"/>
        <w:rPr>
          <w:sz w:val="20"/>
          <w:szCs w:val="20"/>
          <w:color w:val="auto"/>
        </w:rPr>
      </w:pPr>
      <w:r>
        <w:rPr>
          <w:rFonts w:ascii="Arial" w:cs="Arial" w:eastAsia="Arial" w:hAnsi="Arial"/>
          <w:sz w:val="12"/>
          <w:szCs w:val="12"/>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likely not be able to advance these programs unless we are able to enter into collaborations with third parties to fund these programs or to obtain funding to enable us to continue these programs.</w:t>
      </w:r>
    </w:p>
    <w:p>
      <w:pPr>
        <w:spacing w:after="0" w:line="125"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history of operating losses, we expect to incur losses in the future and we may not generate positive cash flow from operations in the future.</w:t>
      </w:r>
    </w:p>
    <w:p>
      <w:pPr>
        <w:spacing w:after="0" w:line="78" w:lineRule="exact"/>
        <w:rPr>
          <w:sz w:val="20"/>
          <w:szCs w:val="20"/>
          <w:color w:val="auto"/>
        </w:rPr>
      </w:pPr>
    </w:p>
    <w:p>
      <w:pPr>
        <w:ind w:right="100" w:firstLine="488"/>
        <w:spacing w:after="0" w:line="327" w:lineRule="auto"/>
        <w:rPr>
          <w:sz w:val="20"/>
          <w:szCs w:val="20"/>
          <w:color w:val="auto"/>
        </w:rPr>
      </w:pPr>
      <w:r>
        <w:rPr>
          <w:rFonts w:ascii="Arial" w:cs="Arial" w:eastAsia="Arial" w:hAnsi="Arial"/>
          <w:sz w:val="10"/>
          <w:szCs w:val="10"/>
          <w:color w:val="auto"/>
        </w:rPr>
        <w:t>We are not currently profitable and have rarely generated positive net cash flow from operations. As of December 31, 2018, we had an accumulated deficit of $2.9 billion. The accumulated deficit has resulted principally from costs incurred in our research and development programs, the write-off of goodwill, inventory and property, plant and equipment, and general operating expenses. We expect to make substantial expenditures and to incur increasing operating losses in the future in order to continue the commercialization of Afrezza. In addition, under the amended Insulin Supply Agreement with Amphastar, we agreed to purchase certain annual minimum quantities of insulin through 2024. As of December 31, 2018, there was €85.8 million remaining in aggregate purchase commitments under this agreement. We may not have the necessary capital resources on hand in order to service this contractual commitment.</w:t>
      </w:r>
    </w:p>
    <w:p>
      <w:pPr>
        <w:spacing w:after="0" w:line="94" w:lineRule="exact"/>
        <w:rPr>
          <w:sz w:val="20"/>
          <w:szCs w:val="20"/>
          <w:color w:val="auto"/>
        </w:rPr>
      </w:pPr>
    </w:p>
    <w:p>
      <w:pPr>
        <w:ind w:right="200" w:firstLine="488"/>
        <w:spacing w:after="0" w:line="276" w:lineRule="auto"/>
        <w:rPr>
          <w:sz w:val="20"/>
          <w:szCs w:val="20"/>
          <w:color w:val="auto"/>
        </w:rPr>
      </w:pPr>
      <w:r>
        <w:rPr>
          <w:rFonts w:ascii="Arial" w:cs="Arial" w:eastAsia="Arial" w:hAnsi="Arial"/>
          <w:sz w:val="12"/>
          <w:szCs w:val="12"/>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i w:val="1"/>
          <w:iCs w:val="1"/>
          <w:color w:val="auto"/>
        </w:rPr>
        <w:t>We have a substantial amount of debt, and we may be unable to make required payments of interest and principal as they become due.</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December 31, 2018, we had $101.7 million principal amount of outstanding debt, consisting of:</w:t>
      </w:r>
    </w:p>
    <w:p>
      <w:pPr>
        <w:spacing w:after="0" w:line="78" w:lineRule="exact"/>
        <w:rPr>
          <w:sz w:val="20"/>
          <w:szCs w:val="20"/>
          <w:color w:val="auto"/>
        </w:rPr>
      </w:pPr>
    </w:p>
    <w:p>
      <w:pPr>
        <w:ind w:left="960" w:right="440" w:hanging="482"/>
        <w:spacing w:after="0" w:line="276" w:lineRule="auto"/>
        <w:tabs>
          <w:tab w:leader="none" w:pos="960" w:val="left"/>
        </w:tabs>
        <w:numPr>
          <w:ilvl w:val="0"/>
          <w:numId w:val="8"/>
        </w:numPr>
        <w:rPr>
          <w:rFonts w:ascii="Arial" w:cs="Arial" w:eastAsia="Arial" w:hAnsi="Arial"/>
          <w:sz w:val="12"/>
          <w:szCs w:val="12"/>
          <w:color w:val="auto"/>
        </w:rPr>
      </w:pPr>
      <w:r>
        <w:rPr>
          <w:rFonts w:ascii="Arial" w:cs="Arial" w:eastAsia="Arial" w:hAnsi="Arial"/>
          <w:sz w:val="12"/>
          <w:szCs w:val="12"/>
          <w:color w:val="auto"/>
        </w:rPr>
        <w:t>$18.7 million principal amount of senior convertible notes bearing interest at 5.75% per annum, with interest payable in cash semiannually in arrears on February 15 and August 15 of each year, and maturing on October 23, 2021;</w:t>
      </w:r>
    </w:p>
    <w:p>
      <w:pPr>
        <w:spacing w:after="0" w:line="42" w:lineRule="exact"/>
        <w:rPr>
          <w:rFonts w:ascii="Arial" w:cs="Arial" w:eastAsia="Arial" w:hAnsi="Arial"/>
          <w:sz w:val="12"/>
          <w:szCs w:val="12"/>
          <w:color w:val="auto"/>
        </w:rPr>
      </w:pPr>
    </w:p>
    <w:p>
      <w:pPr>
        <w:ind w:left="960" w:right="460" w:hanging="482"/>
        <w:spacing w:after="0" w:line="276" w:lineRule="auto"/>
        <w:tabs>
          <w:tab w:leader="none" w:pos="960" w:val="left"/>
        </w:tabs>
        <w:numPr>
          <w:ilvl w:val="0"/>
          <w:numId w:val="8"/>
        </w:numPr>
        <w:rPr>
          <w:rFonts w:ascii="Arial" w:cs="Arial" w:eastAsia="Arial" w:hAnsi="Arial"/>
          <w:sz w:val="12"/>
          <w:szCs w:val="12"/>
          <w:color w:val="auto"/>
        </w:rPr>
      </w:pPr>
      <w:r>
        <w:rPr>
          <w:rFonts w:ascii="Arial" w:cs="Arial" w:eastAsia="Arial" w:hAnsi="Arial"/>
          <w:sz w:val="12"/>
          <w:szCs w:val="12"/>
          <w:color w:val="auto"/>
        </w:rPr>
        <w:t>$9.0 million principal amount of Facility Financing Obligation due and payable in July 2019 and bearing interest at 9.75% per annum (the “2019 notes”). Interest is payable in cash quarterly in arrears in the last business day of March, June, September and December of each year;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color w:val="auto"/>
        </w:rPr>
        <w:t>•$2.5 million principal amount of Facility Financing Obligation due and payable in May 2019 and bearing interest at 8.75% per annum (the “Tranche B notes”, and together with the 2019 notes, the “Facility Financing Obligation”). Interest</w:t>
      </w:r>
    </w:p>
    <w:p>
      <w:pPr>
        <w:spacing w:after="0" w:line="234" w:lineRule="exact"/>
        <w:rPr>
          <w:sz w:val="20"/>
          <w:szCs w:val="20"/>
          <w:color w:val="auto"/>
        </w:rPr>
      </w:pPr>
    </w:p>
    <w:p>
      <w:pPr>
        <w:jc w:val="both"/>
        <w:ind w:left="960" w:right="80" w:hanging="482"/>
        <w:spacing w:after="0" w:line="298" w:lineRule="auto"/>
        <w:tabs>
          <w:tab w:leader="none" w:pos="960" w:val="left"/>
        </w:tabs>
        <w:numPr>
          <w:ilvl w:val="0"/>
          <w:numId w:val="9"/>
        </w:numPr>
        <w:rPr>
          <w:rFonts w:ascii="Arial" w:cs="Arial" w:eastAsia="Arial" w:hAnsi="Arial"/>
          <w:sz w:val="11"/>
          <w:szCs w:val="11"/>
          <w:color w:val="auto"/>
        </w:rPr>
      </w:pPr>
      <w:r>
        <w:rPr>
          <w:rFonts w:ascii="Arial" w:cs="Arial" w:eastAsia="Arial" w:hAnsi="Arial"/>
          <w:sz w:val="11"/>
          <w:szCs w:val="11"/>
          <w:color w:val="auto"/>
        </w:rPr>
        <w:t>$71.5 million principal amount of indebtedness under a loan arrangement (“the Mann Group Loan Arrangement”) bearing interest at a fixed rate of 5.84% per annum compounded quarterly beginning April 1, 2018 and maturing on July 1, 2021, all of which is convertible at a conversion price per share of $4.00. Interest is due and payable quarterly in arrears on the first day of each calendar quarter for the preceding quarter, except that interest payments are subject to deferral under a subordination agreement with Deerfield until our payment obligations to Deerfield have been satisfied in full.</w:t>
      </w:r>
    </w:p>
    <w:p>
      <w:pPr>
        <w:spacing w:after="0" w:line="105" w:lineRule="exact"/>
        <w:rPr>
          <w:sz w:val="20"/>
          <w:szCs w:val="20"/>
          <w:color w:val="auto"/>
        </w:rPr>
      </w:pPr>
    </w:p>
    <w:p>
      <w:pPr>
        <w:ind w:right="140" w:firstLine="488"/>
        <w:spacing w:after="0" w:line="281" w:lineRule="auto"/>
        <w:rPr>
          <w:sz w:val="20"/>
          <w:szCs w:val="20"/>
          <w:color w:val="auto"/>
        </w:rPr>
      </w:pPr>
      <w:r>
        <w:rPr>
          <w:rFonts w:ascii="Arial" w:cs="Arial" w:eastAsia="Arial" w:hAnsi="Arial"/>
          <w:sz w:val="11"/>
          <w:szCs w:val="11"/>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senior convertible notes, or certain Major Transactions as defined in the Facility Agreement in respect of the Facility Financing Obligation, the holders of the respective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senior convertible notes, 2019 notes, or Tranche B notes, or if we fail to repay or repurchase the senior convertible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agreements governing our indebtedness contain covenants that we may not be able to meet and place restrictions on our operating and financial flexibility.</w:t>
      </w:r>
    </w:p>
    <w:p>
      <w:pPr>
        <w:spacing w:after="0" w:line="78" w:lineRule="exact"/>
        <w:rPr>
          <w:sz w:val="20"/>
          <w:szCs w:val="20"/>
          <w:color w:val="auto"/>
        </w:rPr>
      </w:pPr>
    </w:p>
    <w:p>
      <w:pPr>
        <w:ind w:right="40" w:firstLine="488"/>
        <w:spacing w:after="0" w:line="278" w:lineRule="auto"/>
        <w:rPr>
          <w:sz w:val="20"/>
          <w:szCs w:val="20"/>
          <w:color w:val="auto"/>
        </w:rPr>
      </w:pPr>
      <w:r>
        <w:rPr>
          <w:rFonts w:ascii="Arial" w:cs="Arial" w:eastAsia="Arial" w:hAnsi="Arial"/>
          <w:sz w:val="11"/>
          <w:szCs w:val="11"/>
          <w:color w:val="auto"/>
        </w:rPr>
        <w:t>Our obligations under the Facility Agreement, including any indebtedness under the Facility Financing Obligation, and the Milestone Rights Purchase Agreement (the “Milestone Agreement”) with Deerfield and Horizon Santé FLML SÁRL (collectively, the “Milestone Purchasers”) are secured by substantially all of our assets, including our intellectual property, accounts receivables, equipment, general intangibles, inventory (excluding insulin inventory) and investment property, and all of the proceeds and products of the foregoing.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Facility Financing Obligation;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falling below $25.0 million as of the end of each fiscal quarter after December, 31, 2018. There have been no events of default under the Facility Financing Obligation. If we fail to timely pay accrued interest under The Mann Group Loan Arrangement when required, we will be in default under The Mann Group Loan Arrangement. If one or more events of default under the Facility Agreement occurs and continues beyond any applicable cure period, the holders of the Facility Financing Obligation may declare all or any portion of the Facility Financing Obligation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15" w:lineRule="exact"/>
        <w:rPr>
          <w:sz w:val="20"/>
          <w:szCs w:val="20"/>
          <w:color w:val="auto"/>
        </w:rPr>
      </w:pPr>
    </w:p>
    <w:p>
      <w:pPr>
        <w:ind w:right="80" w:firstLine="488"/>
        <w:spacing w:after="0" w:line="279" w:lineRule="auto"/>
        <w:rPr>
          <w:sz w:val="20"/>
          <w:szCs w:val="20"/>
          <w:color w:val="auto"/>
        </w:rPr>
      </w:pPr>
      <w:r>
        <w:rPr>
          <w:rFonts w:ascii="Arial" w:cs="Arial" w:eastAsia="Arial" w:hAnsi="Arial"/>
          <w:sz w:val="11"/>
          <w:szCs w:val="11"/>
          <w:color w:val="auto"/>
        </w:rPr>
        <w:t>There can be no assurance that we will be able to comply with the covenants under any of the foregoing agreements, and we cannot predict whether the holders of the Facility Financing Obligation would demand repayment of the outstanding balance of the Facility Financing Obligation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senior convertible notes. In the event of certain future defaults under the foregoing agreements for which we are not able to obtain waivers, the holders of the senior convertible notes and Facility Financing Obligation may accelerate all of our repayment obligations, and, with respect to the Facility Financing Obligation,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00"/>
          </w:cols>
          <w:pgMar w:left="220" w:top="491" w:right="179" w:bottom="1440" w:gutter="0" w:footer="0" w:header="0"/>
        </w:sectPr>
      </w:pPr>
    </w:p>
    <w:bookmarkStart w:id="20" w:name="page21"/>
    <w:bookmarkEnd w:id="20"/>
    <w:p>
      <w:pPr>
        <w:ind w:right="320"/>
        <w:spacing w:after="0" w:line="276" w:lineRule="auto"/>
        <w:rPr>
          <w:sz w:val="20"/>
          <w:szCs w:val="20"/>
          <w:color w:val="auto"/>
        </w:rPr>
      </w:pPr>
      <w:r>
        <w:rPr>
          <w:rFonts w:ascii="Arial" w:cs="Arial" w:eastAsia="Arial" w:hAnsi="Arial"/>
          <w:sz w:val="12"/>
          <w:szCs w:val="12"/>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43" w:lineRule="exact"/>
        <w:rPr>
          <w:sz w:val="20"/>
          <w:szCs w:val="20"/>
          <w:color w:val="auto"/>
        </w:rPr>
      </w:pPr>
    </w:p>
    <w:p>
      <w:pPr>
        <w:jc w:val="both"/>
        <w:ind w:right="80" w:firstLine="488"/>
        <w:spacing w:after="0" w:line="298" w:lineRule="auto"/>
        <w:rPr>
          <w:sz w:val="20"/>
          <w:szCs w:val="20"/>
          <w:color w:val="auto"/>
        </w:rPr>
      </w:pPr>
      <w:r>
        <w:rPr>
          <w:rFonts w:ascii="Arial" w:cs="Arial" w:eastAsia="Arial" w:hAnsi="Arial"/>
          <w:sz w:val="11"/>
          <w:szCs w:val="11"/>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33" w:lineRule="exact"/>
        <w:rPr>
          <w:sz w:val="20"/>
          <w:szCs w:val="20"/>
          <w:color w:val="auto"/>
        </w:rPr>
      </w:pPr>
    </w:p>
    <w:p>
      <w:pPr>
        <w:ind w:left="960" w:hanging="482"/>
        <w:spacing w:after="0"/>
        <w:tabs>
          <w:tab w:leader="none" w:pos="9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rate of progress, costs and results of our clinical studies and preclinical research and development activities;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identify and enroll patients who meet clinical study eligibility criteria;</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access sufficient, reliable and affordable supplies of components used in the manufacture of our product candidates;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costs of expanding and maintaining manufacturing operations, as necessary;</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extent to which our clinical studies compete for clinical sites and eligible subjects with clinical studies sponsored by other companies;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actions by regulators.</w:t>
      </w:r>
    </w:p>
    <w:p>
      <w:pPr>
        <w:spacing w:after="0" w:line="150" w:lineRule="exact"/>
        <w:rPr>
          <w:sz w:val="20"/>
          <w:szCs w:val="20"/>
          <w:color w:val="auto"/>
        </w:rPr>
      </w:pPr>
    </w:p>
    <w:p>
      <w:pPr>
        <w:ind w:right="100" w:firstLine="488"/>
        <w:spacing w:after="0" w:line="259" w:lineRule="auto"/>
        <w:rPr>
          <w:sz w:val="20"/>
          <w:szCs w:val="20"/>
          <w:color w:val="auto"/>
        </w:rPr>
      </w:pPr>
      <w:r>
        <w:rPr>
          <w:rFonts w:ascii="Arial" w:cs="Arial" w:eastAsia="Arial" w:hAnsi="Arial"/>
          <w:sz w:val="12"/>
          <w:szCs w:val="12"/>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Afrezza or our product candidates may be rendered obsolete by rapid technological change.</w:t>
      </w:r>
    </w:p>
    <w:p>
      <w:pPr>
        <w:spacing w:after="0" w:line="78" w:lineRule="exact"/>
        <w:rPr>
          <w:sz w:val="20"/>
          <w:szCs w:val="20"/>
          <w:color w:val="auto"/>
        </w:rPr>
      </w:pPr>
    </w:p>
    <w:p>
      <w:pPr>
        <w:jc w:val="both"/>
        <w:ind w:right="120" w:firstLine="488"/>
        <w:spacing w:after="0" w:line="263" w:lineRule="auto"/>
        <w:rPr>
          <w:sz w:val="20"/>
          <w:szCs w:val="20"/>
          <w:color w:val="auto"/>
        </w:rPr>
      </w:pPr>
      <w:r>
        <w:rPr>
          <w:rFonts w:ascii="Arial" w:cs="Arial" w:eastAsia="Arial" w:hAnsi="Arial"/>
          <w:sz w:val="12"/>
          <w:szCs w:val="12"/>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23" w:lineRule="exact"/>
        <w:rPr>
          <w:sz w:val="20"/>
          <w:szCs w:val="20"/>
          <w:color w:val="auto"/>
        </w:rPr>
      </w:pPr>
    </w:p>
    <w:p>
      <w:pPr>
        <w:ind w:right="320" w:firstLine="488"/>
        <w:spacing w:after="0" w:line="276" w:lineRule="auto"/>
        <w:rPr>
          <w:sz w:val="20"/>
          <w:szCs w:val="20"/>
          <w:color w:val="auto"/>
        </w:rPr>
      </w:pPr>
      <w:r>
        <w:rPr>
          <w:rFonts w:ascii="Arial" w:cs="Arial" w:eastAsia="Arial" w:hAnsi="Arial"/>
          <w:sz w:val="12"/>
          <w:szCs w:val="12"/>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Continued testing of Afrezza or our product candidates may not yield successful results, and even if it does, we may still be unable to commercialize our product candidates.</w:t>
      </w:r>
    </w:p>
    <w:p>
      <w:pPr>
        <w:spacing w:after="0" w:line="78" w:lineRule="exact"/>
        <w:rPr>
          <w:sz w:val="20"/>
          <w:szCs w:val="20"/>
          <w:color w:val="auto"/>
        </w:rPr>
      </w:pPr>
    </w:p>
    <w:p>
      <w:pPr>
        <w:ind w:firstLine="488"/>
        <w:spacing w:after="0" w:line="290" w:lineRule="auto"/>
        <w:rPr>
          <w:sz w:val="20"/>
          <w:szCs w:val="20"/>
          <w:color w:val="auto"/>
        </w:rPr>
      </w:pPr>
      <w:r>
        <w:rPr>
          <w:rFonts w:ascii="Arial" w:cs="Arial" w:eastAsia="Arial" w:hAnsi="Arial"/>
          <w:sz w:val="11"/>
          <w:szCs w:val="11"/>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09" w:lineRule="exact"/>
        <w:rPr>
          <w:sz w:val="20"/>
          <w:szCs w:val="20"/>
          <w:color w:val="auto"/>
        </w:rPr>
      </w:pPr>
    </w:p>
    <w:p>
      <w:pPr>
        <w:ind w:right="220" w:firstLine="488"/>
        <w:spacing w:after="0" w:line="276" w:lineRule="auto"/>
        <w:rPr>
          <w:sz w:val="20"/>
          <w:szCs w:val="20"/>
          <w:color w:val="auto"/>
        </w:rPr>
      </w:pPr>
      <w:r>
        <w:rPr>
          <w:rFonts w:ascii="Arial" w:cs="Arial" w:eastAsia="Arial" w:hAnsi="Arial"/>
          <w:sz w:val="12"/>
          <w:szCs w:val="12"/>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43" w:lineRule="exact"/>
        <w:rPr>
          <w:sz w:val="20"/>
          <w:szCs w:val="20"/>
          <w:color w:val="auto"/>
        </w:rPr>
      </w:pPr>
    </w:p>
    <w:p>
      <w:pPr>
        <w:ind w:left="960" w:right="160" w:hanging="482"/>
        <w:spacing w:after="0" w:line="276" w:lineRule="auto"/>
        <w:tabs>
          <w:tab w:leader="none" w:pos="9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42" w:lineRule="exact"/>
        <w:rPr>
          <w:rFonts w:ascii="Arial" w:cs="Arial" w:eastAsia="Arial" w:hAnsi="Arial"/>
          <w:sz w:val="12"/>
          <w:szCs w:val="12"/>
          <w:color w:val="auto"/>
        </w:rPr>
      </w:pPr>
    </w:p>
    <w:p>
      <w:pPr>
        <w:ind w:left="960" w:right="200" w:hanging="482"/>
        <w:spacing w:after="0" w:line="276" w:lineRule="auto"/>
        <w:tabs>
          <w:tab w:leader="none" w:pos="9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42" w:lineRule="exact"/>
        <w:rPr>
          <w:rFonts w:ascii="Arial" w:cs="Arial" w:eastAsia="Arial" w:hAnsi="Arial"/>
          <w:sz w:val="12"/>
          <w:szCs w:val="12"/>
          <w:color w:val="auto"/>
        </w:rPr>
      </w:pPr>
    </w:p>
    <w:p>
      <w:pPr>
        <w:ind w:left="960" w:hanging="482"/>
        <w:spacing w:after="0"/>
        <w:tabs>
          <w:tab w:leader="none" w:pos="9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after reviewing clinical data, we or any collaborators may abandon projects that we previously believed were promising;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our product candidates may not produce the desired effects or may result in adverse health effects or other characteristics that preclude regulatory approval or limit their commercial use once approved.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21" w:name="page22"/>
    <w:bookmarkEnd w:id="21"/>
    <w:p>
      <w:pPr>
        <w:ind w:right="80" w:firstLine="488"/>
        <w:spacing w:after="0" w:line="276" w:lineRule="auto"/>
        <w:rPr>
          <w:sz w:val="20"/>
          <w:szCs w:val="20"/>
          <w:color w:val="auto"/>
        </w:rPr>
      </w:pPr>
      <w:r>
        <w:rPr>
          <w:rFonts w:ascii="Arial" w:cs="Arial" w:eastAsia="Arial" w:hAnsi="Arial"/>
          <w:sz w:val="12"/>
          <w:szCs w:val="12"/>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87"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20" w:lineRule="exact"/>
        <w:rPr>
          <w:sz w:val="20"/>
          <w:szCs w:val="20"/>
          <w:color w:val="auto"/>
        </w:rPr>
      </w:pPr>
    </w:p>
    <w:p>
      <w:pPr>
        <w:ind w:right="20" w:firstLine="488"/>
        <w:spacing w:after="0" w:line="281" w:lineRule="auto"/>
        <w:rPr>
          <w:sz w:val="20"/>
          <w:szCs w:val="20"/>
          <w:color w:val="auto"/>
        </w:rPr>
      </w:pPr>
      <w:r>
        <w:rPr>
          <w:rFonts w:ascii="Arial" w:cs="Arial" w:eastAsia="Arial" w:hAnsi="Arial"/>
          <w:sz w:val="11"/>
          <w:szCs w:val="11"/>
          <w:color w:val="auto"/>
        </w:rPr>
        <w:t>For the commercial manufacture of Afrezza, we need access to sufficient, reliable and affordable supplies of insulin, our Afrezza inhaler, the related cartridges and other materials. Currently, the only source of insulin that we have qualified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78" w:lineRule="exact"/>
        <w:rPr>
          <w:sz w:val="20"/>
          <w:szCs w:val="20"/>
          <w:color w:val="auto"/>
        </w:rPr>
      </w:pPr>
    </w:p>
    <w:p>
      <w:pPr>
        <w:ind w:firstLine="488"/>
        <w:spacing w:after="0" w:line="320" w:lineRule="auto"/>
        <w:rPr>
          <w:sz w:val="20"/>
          <w:szCs w:val="20"/>
          <w:color w:val="auto"/>
        </w:rPr>
      </w:pPr>
      <w:r>
        <w:rPr>
          <w:rFonts w:ascii="Arial" w:cs="Arial" w:eastAsia="Arial" w:hAnsi="Arial"/>
          <w:sz w:val="10"/>
          <w:szCs w:val="10"/>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 packs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98"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90" w:lineRule="exact"/>
        <w:rPr>
          <w:sz w:val="20"/>
          <w:szCs w:val="20"/>
          <w:color w:val="auto"/>
        </w:rPr>
      </w:pPr>
    </w:p>
    <w:p>
      <w:pPr>
        <w:ind w:right="20" w:firstLine="488"/>
        <w:spacing w:after="0" w:line="276" w:lineRule="auto"/>
        <w:rPr>
          <w:sz w:val="20"/>
          <w:szCs w:val="20"/>
          <w:color w:val="auto"/>
        </w:rPr>
      </w:pPr>
      <w:r>
        <w:rPr>
          <w:rFonts w:ascii="Arial" w:cs="Arial" w:eastAsia="Arial" w:hAnsi="Arial"/>
          <w:sz w:val="12"/>
          <w:szCs w:val="12"/>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degree of market acceptance of Afrezza and other products that we may develop in the future depends on many factors, including the:</w:t>
      </w:r>
    </w:p>
    <w:p>
      <w:pPr>
        <w:spacing w:after="0" w:line="78" w:lineRule="exact"/>
        <w:rPr>
          <w:sz w:val="20"/>
          <w:szCs w:val="20"/>
          <w:color w:val="auto"/>
        </w:rPr>
      </w:pPr>
    </w:p>
    <w:p>
      <w:pPr>
        <w:ind w:left="960" w:hanging="482"/>
        <w:spacing w:after="0"/>
        <w:tabs>
          <w:tab w:leader="none" w:pos="9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Approved labeling claims;</w:t>
      </w:r>
    </w:p>
    <w:p>
      <w:pPr>
        <w:spacing w:after="0" w:line="78" w:lineRule="exact"/>
        <w:rPr>
          <w:rFonts w:ascii="Arial" w:cs="Arial" w:eastAsia="Arial" w:hAnsi="Arial"/>
          <w:sz w:val="12"/>
          <w:szCs w:val="12"/>
          <w:color w:val="auto"/>
        </w:rPr>
      </w:pPr>
    </w:p>
    <w:p>
      <w:pPr>
        <w:ind w:left="960" w:right="120" w:hanging="482"/>
        <w:spacing w:after="0" w:line="276" w:lineRule="auto"/>
        <w:tabs>
          <w:tab w:leader="none" w:pos="9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42" w:lineRule="exact"/>
        <w:rPr>
          <w:rFonts w:ascii="Arial" w:cs="Arial" w:eastAsia="Arial" w:hAnsi="Arial"/>
          <w:sz w:val="12"/>
          <w:szCs w:val="12"/>
          <w:color w:val="auto"/>
        </w:rPr>
      </w:pPr>
    </w:p>
    <w:p>
      <w:pPr>
        <w:ind w:left="960" w:hanging="482"/>
        <w:spacing w:after="0"/>
        <w:tabs>
          <w:tab w:leader="none" w:pos="9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Willingness of the healthcare community and patients to adopt new technologies;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Ability to manufacture the product in sufficient quantities with acceptable quality and cost;</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Perception of patients and the healthcare community, including third-party payors, regarding the safety, efficacy and benefits compared to competing products or therapies;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Convenience and ease of administration relative to existing treatment methods;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Coverage and reimbursement, as well as pricing relative to other treatment therapeutics and methods;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Marketing and distribution support.</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419" w:right="259" w:bottom="1440" w:gutter="0" w:footer="0" w:header="0"/>
        </w:sectPr>
      </w:pPr>
    </w:p>
    <w:bookmarkStart w:id="22" w:name="page23"/>
    <w:bookmarkEnd w:id="22"/>
    <w:p>
      <w:pPr>
        <w:ind w:left="480"/>
        <w:spacing w:after="0"/>
        <w:rPr>
          <w:sz w:val="20"/>
          <w:szCs w:val="20"/>
          <w:color w:val="auto"/>
        </w:rPr>
      </w:pPr>
      <w:r>
        <w:rPr>
          <w:rFonts w:ascii="Arial" w:cs="Arial" w:eastAsia="Arial" w:hAnsi="Arial"/>
          <w:sz w:val="12"/>
          <w:szCs w:val="12"/>
          <w:color w:val="auto"/>
        </w:rPr>
        <w:t>Because of these and other factors, Afrezza and any other product that we develop may not gain market acceptance, which would materially harm our business, financial condition and results of operations.</w:t>
      </w:r>
    </w:p>
    <w:p>
      <w:pPr>
        <w:spacing w:after="0" w:line="22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43" w:lineRule="exact"/>
        <w:rPr>
          <w:sz w:val="20"/>
          <w:szCs w:val="20"/>
          <w:color w:val="auto"/>
        </w:rPr>
      </w:pPr>
    </w:p>
    <w:p>
      <w:pPr>
        <w:ind w:firstLine="488"/>
        <w:spacing w:after="0" w:line="280" w:lineRule="auto"/>
        <w:rPr>
          <w:sz w:val="20"/>
          <w:szCs w:val="20"/>
          <w:color w:val="auto"/>
        </w:rPr>
      </w:pPr>
      <w:r>
        <w:rPr>
          <w:rFonts w:ascii="Arial" w:cs="Arial" w:eastAsia="Arial" w:hAnsi="Arial"/>
          <w:sz w:val="11"/>
          <w:szCs w:val="11"/>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September 2018, CMS announced that it will allow Medicare Advantage Plans the option to use step therapy for Part B drugs beginning January 1, 2019. Although a number of these, and other proposed measures will require authorization through additional legislation to become effective, Congress and the Trump administration have stated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payors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17" w:lineRule="exact"/>
        <w:rPr>
          <w:sz w:val="20"/>
          <w:szCs w:val="20"/>
          <w:color w:val="auto"/>
        </w:rPr>
      </w:pPr>
    </w:p>
    <w:p>
      <w:pPr>
        <w:ind w:firstLine="488"/>
        <w:spacing w:after="0" w:line="253" w:lineRule="auto"/>
        <w:rPr>
          <w:sz w:val="20"/>
          <w:szCs w:val="20"/>
          <w:color w:val="auto"/>
        </w:rPr>
      </w:pPr>
      <w:r>
        <w:rPr>
          <w:rFonts w:ascii="Arial" w:cs="Arial" w:eastAsia="Arial" w:hAnsi="Arial"/>
          <w:sz w:val="12"/>
          <w:szCs w:val="12"/>
          <w:color w:val="auto"/>
        </w:rPr>
        <w:t>In the United States and elsewhere, sales of prescription pharmaceuticals still depend in large part on the availability of coverage and adequate reimbursement to the consumer from third-party payors, such as government health administration authorities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32" w:lineRule="exact"/>
        <w:rPr>
          <w:sz w:val="20"/>
          <w:szCs w:val="20"/>
          <w:color w:val="auto"/>
        </w:rPr>
      </w:pPr>
    </w:p>
    <w:p>
      <w:pPr>
        <w:ind w:right="40" w:firstLine="488"/>
        <w:spacing w:after="0" w:line="286" w:lineRule="auto"/>
        <w:rPr>
          <w:sz w:val="20"/>
          <w:szCs w:val="20"/>
          <w:color w:val="auto"/>
        </w:rPr>
      </w:pPr>
      <w:r>
        <w:rPr>
          <w:rFonts w:ascii="Arial" w:cs="Arial" w:eastAsia="Arial" w:hAnsi="Arial"/>
          <w:sz w:val="11"/>
          <w:szCs w:val="11"/>
          <w:color w:val="auto"/>
        </w:rPr>
        <w:t>In addition, in many foreign countries,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11" w:lineRule="exact"/>
        <w:rPr>
          <w:sz w:val="20"/>
          <w:szCs w:val="20"/>
          <w:color w:val="auto"/>
        </w:rPr>
      </w:pPr>
    </w:p>
    <w:p>
      <w:pPr>
        <w:ind w:right="280" w:firstLine="488"/>
        <w:spacing w:after="0" w:line="340" w:lineRule="auto"/>
        <w:rPr>
          <w:sz w:val="20"/>
          <w:szCs w:val="20"/>
          <w:color w:val="auto"/>
        </w:rPr>
      </w:pPr>
      <w:r>
        <w:rPr>
          <w:rFonts w:ascii="Arial" w:cs="Arial" w:eastAsia="Arial" w:hAnsi="Arial"/>
          <w:sz w:val="10"/>
          <w:szCs w:val="10"/>
          <w:color w:val="auto"/>
        </w:rPr>
        <w:t>If we or any future marketing partner is unable to obtain coverage of, and adequate payment levels reimbursement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Healthcare legislation may make it more difficult to receive revenues.</w:t>
      </w:r>
    </w:p>
    <w:p>
      <w:pPr>
        <w:spacing w:after="0" w:line="78"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1"/>
          <w:szCs w:val="11"/>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 Among the provisions of PPACA of importance to us are the following:</w:t>
      </w:r>
    </w:p>
    <w:p>
      <w:pPr>
        <w:spacing w:after="0" w:line="33" w:lineRule="exact"/>
        <w:rPr>
          <w:sz w:val="20"/>
          <w:szCs w:val="20"/>
          <w:color w:val="auto"/>
        </w:rPr>
      </w:pPr>
    </w:p>
    <w:p>
      <w:pPr>
        <w:ind w:left="960" w:right="120" w:hanging="482"/>
        <w:spacing w:after="0" w:line="276" w:lineRule="auto"/>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2" w:lineRule="exact"/>
        <w:rPr>
          <w:rFonts w:ascii="Arial" w:cs="Arial" w:eastAsia="Arial" w:hAnsi="Arial"/>
          <w:sz w:val="12"/>
          <w:szCs w:val="12"/>
          <w:color w:val="auto"/>
        </w:rPr>
      </w:pPr>
    </w:p>
    <w:p>
      <w:pPr>
        <w:ind w:left="960" w:right="160" w:hanging="482"/>
        <w:spacing w:after="0" w:line="276" w:lineRule="auto"/>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2.3% medical device excise tax on certain transactions, including many U.S. sales of medical devices, which currently includes and we expect will continue to include U.S. sales of certain drug-device combination products, which has been suspended for calendar years 2016 through 2019;</w:t>
      </w:r>
    </w:p>
    <w:p>
      <w:pPr>
        <w:spacing w:after="0" w:line="42" w:lineRule="exact"/>
        <w:rPr>
          <w:rFonts w:ascii="Arial" w:cs="Arial" w:eastAsia="Arial" w:hAnsi="Arial"/>
          <w:sz w:val="12"/>
          <w:szCs w:val="12"/>
          <w:color w:val="auto"/>
        </w:rPr>
      </w:pPr>
    </w:p>
    <w:p>
      <w:pPr>
        <w:ind w:left="960" w:hanging="482"/>
        <w:spacing w:after="0"/>
        <w:tabs>
          <w:tab w:leader="none" w:pos="9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An increase in the statutory minimum rebates a manufacturer must pay under the Medicaid Drug Rebate Program to 23.1% and 13% of the average manufacturer price for most branded and generic drugs, respectively;</w:t>
      </w:r>
    </w:p>
    <w:p>
      <w:pPr>
        <w:spacing w:after="0" w:line="101" w:lineRule="exact"/>
        <w:rPr>
          <w:rFonts w:ascii="Arial" w:cs="Arial" w:eastAsia="Arial" w:hAnsi="Arial"/>
          <w:sz w:val="10"/>
          <w:szCs w:val="10"/>
          <w:color w:val="auto"/>
        </w:rPr>
      </w:pPr>
    </w:p>
    <w:p>
      <w:pPr>
        <w:ind w:left="960" w:hanging="482"/>
        <w:spacing w:after="0"/>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licensure framework for follow-on biological products;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Expansion of healthcare fraud and abuse laws, including the False Claims Act and the federal Anti-Kickback Statute, new government investigative powers, and enhanced penalties for noncompliance;</w:t>
      </w:r>
    </w:p>
    <w:p>
      <w:pPr>
        <w:spacing w:after="0" w:line="89" w:lineRule="exact"/>
        <w:rPr>
          <w:rFonts w:ascii="Arial" w:cs="Arial" w:eastAsia="Arial" w:hAnsi="Arial"/>
          <w:sz w:val="11"/>
          <w:szCs w:val="11"/>
          <w:color w:val="auto"/>
        </w:rPr>
      </w:pPr>
    </w:p>
    <w:p>
      <w:pPr>
        <w:ind w:left="960" w:right="280" w:hanging="482"/>
        <w:spacing w:after="0" w:line="276" w:lineRule="auto"/>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Medicare Part D coverage gap discount program, in which manufacturers must agree to now offer 70% point-of-sale discounts off negotiated prices of applicable brand drugs to eligible beneficiaries during their coverage gap period, as a condition for the manufacturer’s outpatient drugs to be covered under Medicare Part D;</w:t>
      </w:r>
    </w:p>
    <w:p>
      <w:pPr>
        <w:spacing w:after="0" w:line="42" w:lineRule="exact"/>
        <w:rPr>
          <w:rFonts w:ascii="Arial" w:cs="Arial" w:eastAsia="Arial" w:hAnsi="Arial"/>
          <w:sz w:val="12"/>
          <w:szCs w:val="12"/>
          <w:color w:val="auto"/>
        </w:rPr>
      </w:pPr>
    </w:p>
    <w:p>
      <w:pPr>
        <w:ind w:left="960" w:hanging="482"/>
        <w:spacing w:after="0"/>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Extension of manufacturers’ Medicaid rebate liability to covered drugs dispensed to individuals who are enrolled in Medicaid managed care organizations;</w:t>
      </w:r>
    </w:p>
    <w:p>
      <w:pPr>
        <w:spacing w:after="0" w:line="78" w:lineRule="exact"/>
        <w:rPr>
          <w:rFonts w:ascii="Arial" w:cs="Arial" w:eastAsia="Arial" w:hAnsi="Arial"/>
          <w:sz w:val="12"/>
          <w:szCs w:val="12"/>
          <w:color w:val="auto"/>
        </w:rPr>
      </w:pPr>
    </w:p>
    <w:p>
      <w:pPr>
        <w:ind w:left="960" w:right="100" w:hanging="482"/>
        <w:spacing w:after="0" w:line="276" w:lineRule="auto"/>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42" w:lineRule="exact"/>
        <w:rPr>
          <w:rFonts w:ascii="Arial" w:cs="Arial" w:eastAsia="Arial" w:hAnsi="Arial"/>
          <w:sz w:val="12"/>
          <w:szCs w:val="12"/>
          <w:color w:val="auto"/>
        </w:rPr>
      </w:pPr>
    </w:p>
    <w:p>
      <w:pPr>
        <w:ind w:left="960" w:hanging="482"/>
        <w:spacing w:after="0"/>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Expansion of the entities eligible for discounts under the Public Health Service pharmaceutical pricing program;</w:t>
      </w:r>
    </w:p>
    <w:p>
      <w:pPr>
        <w:spacing w:after="0" w:line="78" w:lineRule="exact"/>
        <w:rPr>
          <w:rFonts w:ascii="Arial" w:cs="Arial" w:eastAsia="Arial" w:hAnsi="Arial"/>
          <w:sz w:val="12"/>
          <w:szCs w:val="12"/>
          <w:color w:val="auto"/>
        </w:rPr>
      </w:pPr>
    </w:p>
    <w:p>
      <w:pPr>
        <w:jc w:val="both"/>
        <w:ind w:left="960" w:hanging="482"/>
        <w:spacing w:after="0" w:line="263" w:lineRule="auto"/>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50" w:lineRule="exact"/>
        <w:rPr>
          <w:rFonts w:ascii="Arial" w:cs="Arial" w:eastAsia="Arial" w:hAnsi="Arial"/>
          <w:sz w:val="12"/>
          <w:szCs w:val="12"/>
          <w:color w:val="auto"/>
        </w:rPr>
      </w:pPr>
    </w:p>
    <w:p>
      <w:pPr>
        <w:ind w:left="960" w:hanging="482"/>
        <w:spacing w:after="0"/>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requirement to annually report drug samples that certain manufacturers and authorized distributors provide to physicians;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Patient-Centered Outcomes Research Institute to oversee, identify priorities in, and conduct comparative clinical effectiveness research, along with funding for such research.</w:t>
      </w:r>
    </w:p>
    <w:p>
      <w:pPr>
        <w:spacing w:after="0" w:line="150" w:lineRule="exact"/>
        <w:rPr>
          <w:sz w:val="20"/>
          <w:szCs w:val="20"/>
          <w:color w:val="auto"/>
        </w:rPr>
      </w:pPr>
    </w:p>
    <w:p>
      <w:pPr>
        <w:ind w:right="20" w:firstLine="488"/>
        <w:spacing w:after="0" w:line="308" w:lineRule="auto"/>
        <w:rPr>
          <w:sz w:val="20"/>
          <w:szCs w:val="20"/>
          <w:color w:val="auto"/>
        </w:rPr>
      </w:pPr>
      <w:r>
        <w:rPr>
          <w:rFonts w:ascii="Arial" w:cs="Arial" w:eastAsia="Arial" w:hAnsi="Arial"/>
          <w:sz w:val="10"/>
          <w:szCs w:val="10"/>
          <w:color w:val="auto"/>
        </w:rPr>
        <w:t>Some of the provisions of the PPACA have yet to be fully implemented, while certain provisions have been subject to judicial and congressional challenges, as well as efforts by the Trump administration to repeal or replace certain aspects of the PPACA.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PPACA, effective January 1, 2019, to close the coverage gap in most Medicare drug plans.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PPACA will impact the PPACA and our business.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24" w:name="page25"/>
    <w:bookmarkEnd w:id="24"/>
    <w:p>
      <w:pPr>
        <w:ind w:right="80" w:firstLine="488"/>
        <w:spacing w:after="0" w:line="253" w:lineRule="auto"/>
        <w:rPr>
          <w:sz w:val="20"/>
          <w:szCs w:val="20"/>
          <w:color w:val="auto"/>
        </w:rPr>
      </w:pPr>
      <w:r>
        <w:rPr>
          <w:rFonts w:ascii="Arial" w:cs="Arial" w:eastAsia="Arial" w:hAnsi="Arial"/>
          <w:sz w:val="12"/>
          <w:szCs w:val="12"/>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2027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32"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25" w:lineRule="exact"/>
        <w:rPr>
          <w:sz w:val="20"/>
          <w:szCs w:val="20"/>
          <w:color w:val="auto"/>
        </w:rPr>
      </w:pPr>
    </w:p>
    <w:p>
      <w:pPr>
        <w:ind w:right="340" w:firstLine="488"/>
        <w:spacing w:after="0" w:line="298" w:lineRule="auto"/>
        <w:rPr>
          <w:sz w:val="20"/>
          <w:szCs w:val="20"/>
          <w:color w:val="auto"/>
        </w:rPr>
      </w:pPr>
      <w:r>
        <w:rPr>
          <w:rFonts w:ascii="Arial" w:cs="Arial" w:eastAsia="Arial" w:hAnsi="Arial"/>
          <w:sz w:val="11"/>
          <w:szCs w:val="11"/>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77"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43" w:lineRule="exact"/>
        <w:rPr>
          <w:sz w:val="20"/>
          <w:szCs w:val="20"/>
          <w:color w:val="auto"/>
        </w:rPr>
      </w:pPr>
    </w:p>
    <w:p>
      <w:pPr>
        <w:ind w:right="240" w:firstLine="488"/>
        <w:spacing w:after="0" w:line="263" w:lineRule="auto"/>
        <w:rPr>
          <w:sz w:val="20"/>
          <w:szCs w:val="20"/>
          <w:color w:val="auto"/>
        </w:rPr>
      </w:pPr>
      <w:r>
        <w:rPr>
          <w:rFonts w:ascii="Arial" w:cs="Arial" w:eastAsia="Arial" w:hAnsi="Arial"/>
          <w:sz w:val="12"/>
          <w:szCs w:val="12"/>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51" w:lineRule="exact"/>
        <w:rPr>
          <w:sz w:val="20"/>
          <w:szCs w:val="20"/>
          <w:color w:val="auto"/>
        </w:rPr>
      </w:pPr>
    </w:p>
    <w:p>
      <w:pPr>
        <w:ind w:left="960" w:right="40" w:hanging="482"/>
        <w:spacing w:after="0" w:line="290" w:lineRule="auto"/>
        <w:tabs>
          <w:tab w:leader="none" w:pos="9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37" w:lineRule="exact"/>
        <w:rPr>
          <w:rFonts w:ascii="Arial" w:cs="Arial" w:eastAsia="Arial" w:hAnsi="Arial"/>
          <w:sz w:val="11"/>
          <w:szCs w:val="11"/>
          <w:color w:val="auto"/>
        </w:rPr>
      </w:pPr>
    </w:p>
    <w:p>
      <w:pPr>
        <w:ind w:left="960" w:hanging="482"/>
        <w:spacing w:after="0" w:line="259" w:lineRule="auto"/>
        <w:tabs>
          <w:tab w:leader="none" w:pos="9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52" w:lineRule="exact"/>
        <w:rPr>
          <w:rFonts w:ascii="Arial" w:cs="Arial" w:eastAsia="Arial" w:hAnsi="Arial"/>
          <w:sz w:val="12"/>
          <w:szCs w:val="12"/>
          <w:color w:val="auto"/>
        </w:rPr>
      </w:pPr>
    </w:p>
    <w:p>
      <w:pPr>
        <w:ind w:left="960" w:right="100" w:hanging="482"/>
        <w:spacing w:after="0" w:line="276" w:lineRule="auto"/>
        <w:tabs>
          <w:tab w:leader="none" w:pos="9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42" w:lineRule="exact"/>
        <w:rPr>
          <w:rFonts w:ascii="Arial" w:cs="Arial" w:eastAsia="Arial" w:hAnsi="Arial"/>
          <w:sz w:val="12"/>
          <w:szCs w:val="12"/>
          <w:color w:val="auto"/>
        </w:rPr>
      </w:pPr>
    </w:p>
    <w:p>
      <w:pPr>
        <w:ind w:left="960" w:right="100" w:hanging="482"/>
        <w:spacing w:after="0" w:line="298" w:lineRule="auto"/>
        <w:tabs>
          <w:tab w:leader="none" w:pos="9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In addition, in May 2018, the European Union, or EU, adopted European General Data Protection Regulation, or GDPR, which contains new</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25" w:name="page26"/>
    <w:bookmarkEnd w:id="25"/>
    <w:p>
      <w:pPr>
        <w:jc w:val="both"/>
        <w:ind w:left="960" w:right="40"/>
        <w:spacing w:after="0" w:line="263" w:lineRule="auto"/>
        <w:rPr>
          <w:sz w:val="20"/>
          <w:szCs w:val="20"/>
          <w:color w:val="auto"/>
        </w:rPr>
      </w:pPr>
      <w:r>
        <w:rPr>
          <w:rFonts w:ascii="Arial" w:cs="Arial" w:eastAsia="Arial" w:hAnsi="Arial"/>
          <w:sz w:val="12"/>
          <w:szCs w:val="12"/>
          <w:color w:val="auto"/>
        </w:rPr>
        <w:t>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51" w:lineRule="exact"/>
        <w:rPr>
          <w:sz w:val="20"/>
          <w:szCs w:val="20"/>
          <w:color w:val="auto"/>
        </w:rPr>
      </w:pPr>
    </w:p>
    <w:p>
      <w:pPr>
        <w:ind w:left="960" w:right="100" w:hanging="437"/>
        <w:spacing w:after="0" w:line="255" w:lineRule="auto"/>
        <w:tabs>
          <w:tab w:leader="none" w:pos="960" w:val="left"/>
        </w:tabs>
        <w:numPr>
          <w:ilvl w:val="1"/>
          <w:numId w:val="15"/>
        </w:numPr>
        <w:rPr>
          <w:rFonts w:ascii="Arial" w:cs="Arial" w:eastAsia="Arial" w:hAnsi="Arial"/>
          <w:sz w:val="12"/>
          <w:szCs w:val="12"/>
          <w:color w:val="auto"/>
        </w:rPr>
      </w:pPr>
      <w:r>
        <w:rPr>
          <w:rFonts w:ascii="Arial" w:cs="Arial" w:eastAsia="Arial" w:hAnsi="Arial"/>
          <w:sz w:val="12"/>
          <w:szCs w:val="12"/>
          <w:color w:val="auto"/>
        </w:rPr>
        <w:t>California recently enacted legislation that has been dubbed the first “GDPR-like” law in the United States. Known as the California Consumer Privacy Act (“CCPA”), it will create new individual privacy rights for consumers (as that word is broadly defined in the law) and place increased privacy and security obligations on entities handling personal data of consumers or households. When it goes into effect on January 1, 2020, the CCPA will require covered companies to provide new disclosures to California consumers, provide such consumers new ways to opt-out of certain sales of personal information, and allow for a new cause of action for data breaches. Legislators have stated that amendments will be proposed to the CCPA before it goes into effect, but it remains unclear what, if any, modifications will be made to this legislation or how it will be interpreted. As currently written,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57" w:lineRule="exact"/>
        <w:rPr>
          <w:rFonts w:ascii="Arial" w:cs="Arial" w:eastAsia="Arial" w:hAnsi="Arial"/>
          <w:sz w:val="12"/>
          <w:szCs w:val="12"/>
          <w:color w:val="auto"/>
        </w:rPr>
      </w:pPr>
    </w:p>
    <w:p>
      <w:pPr>
        <w:ind w:left="960" w:right="100" w:hanging="482"/>
        <w:spacing w:after="0" w:line="375" w:lineRule="auto"/>
        <w:tabs>
          <w:tab w:leader="none" w:pos="9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federal Physician Payments Sunshine Act under PPACA, which requires certain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ind w:left="960" w:right="20" w:hanging="482"/>
        <w:spacing w:after="0" w:line="286" w:lineRule="auto"/>
        <w:tabs>
          <w:tab w:leader="none" w:pos="9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w:t>
      </w:r>
    </w:p>
    <w:p>
      <w:pPr>
        <w:spacing w:after="0" w:line="111" w:lineRule="exact"/>
        <w:rPr>
          <w:sz w:val="20"/>
          <w:szCs w:val="20"/>
          <w:color w:val="auto"/>
        </w:rPr>
      </w:pPr>
    </w:p>
    <w:p>
      <w:pPr>
        <w:ind w:right="80" w:firstLine="488"/>
        <w:spacing w:after="0" w:line="254" w:lineRule="auto"/>
        <w:rPr>
          <w:sz w:val="20"/>
          <w:szCs w:val="20"/>
          <w:color w:val="auto"/>
        </w:rPr>
      </w:pPr>
      <w:r>
        <w:rPr>
          <w:rFonts w:ascii="Arial" w:cs="Arial" w:eastAsia="Arial" w:hAnsi="Arial"/>
          <w:sz w:val="12"/>
          <w:szCs w:val="12"/>
          <w:color w:val="auto"/>
        </w:rPr>
        <w:t>Because of the breadth of these laws and the narrowness of available statutory exceptions and regulatory safe harbors,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criminal and administrative penalties, damages, fines, individual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0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43" w:lineRule="exact"/>
        <w:rPr>
          <w:sz w:val="20"/>
          <w:szCs w:val="20"/>
          <w:color w:val="auto"/>
        </w:rPr>
      </w:pPr>
    </w:p>
    <w:p>
      <w:pPr>
        <w:ind w:firstLine="488"/>
        <w:spacing w:after="0" w:line="280" w:lineRule="auto"/>
        <w:rPr>
          <w:sz w:val="20"/>
          <w:szCs w:val="20"/>
          <w:color w:val="auto"/>
        </w:rPr>
      </w:pPr>
      <w:r>
        <w:rPr>
          <w:rFonts w:ascii="Arial" w:cs="Arial" w:eastAsia="Arial" w:hAnsi="Arial"/>
          <w:sz w:val="11"/>
          <w:szCs w:val="11"/>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26" w:name="page27"/>
    <w:bookmarkEnd w:id="26"/>
    <w:p>
      <w:pPr>
        <w:ind w:right="80" w:firstLine="488"/>
        <w:spacing w:after="0" w:line="283" w:lineRule="auto"/>
        <w:rPr>
          <w:sz w:val="20"/>
          <w:szCs w:val="20"/>
          <w:color w:val="auto"/>
        </w:rPr>
      </w:pPr>
      <w:r>
        <w:rPr>
          <w:rFonts w:ascii="Arial" w:cs="Arial" w:eastAsia="Arial" w:hAnsi="Arial"/>
          <w:sz w:val="11"/>
          <w:szCs w:val="11"/>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product liability claims are brought against us, we may incur significant liabilities and suffer damage to our reputation.</w:t>
      </w:r>
    </w:p>
    <w:p>
      <w:pPr>
        <w:spacing w:after="0" w:line="78" w:lineRule="exact"/>
        <w:rPr>
          <w:sz w:val="20"/>
          <w:szCs w:val="20"/>
          <w:color w:val="auto"/>
        </w:rPr>
      </w:pPr>
    </w:p>
    <w:p>
      <w:pPr>
        <w:ind w:firstLine="488"/>
        <w:spacing w:after="0" w:line="286" w:lineRule="auto"/>
        <w:rPr>
          <w:sz w:val="20"/>
          <w:szCs w:val="20"/>
          <w:color w:val="auto"/>
        </w:rPr>
      </w:pPr>
      <w:r>
        <w:rPr>
          <w:rFonts w:ascii="Arial" w:cs="Arial" w:eastAsia="Arial" w:hAnsi="Arial"/>
          <w:sz w:val="11"/>
          <w:szCs w:val="11"/>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lose any key employees or scientific advisors, our operations and our ability to execute our business strategy could be materially harmed.</w:t>
      </w:r>
    </w:p>
    <w:p>
      <w:pPr>
        <w:spacing w:after="0" w:line="78" w:lineRule="exact"/>
        <w:rPr>
          <w:sz w:val="20"/>
          <w:szCs w:val="20"/>
          <w:color w:val="auto"/>
        </w:rPr>
      </w:pPr>
    </w:p>
    <w:p>
      <w:pPr>
        <w:jc w:val="both"/>
        <w:ind w:right="140" w:firstLine="488"/>
        <w:spacing w:after="0" w:line="259" w:lineRule="auto"/>
        <w:rPr>
          <w:sz w:val="20"/>
          <w:szCs w:val="20"/>
          <w:color w:val="auto"/>
        </w:rPr>
      </w:pPr>
      <w:r>
        <w:rPr>
          <w:rFonts w:ascii="Arial" w:cs="Arial" w:eastAsia="Arial" w:hAnsi="Arial"/>
          <w:sz w:val="12"/>
          <w:szCs w:val="12"/>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25" w:lineRule="exact"/>
        <w:rPr>
          <w:sz w:val="20"/>
          <w:szCs w:val="20"/>
          <w:color w:val="auto"/>
        </w:rPr>
      </w:pPr>
    </w:p>
    <w:p>
      <w:pPr>
        <w:ind w:right="100" w:firstLine="488"/>
        <w:spacing w:after="0" w:line="259" w:lineRule="auto"/>
        <w:rPr>
          <w:sz w:val="20"/>
          <w:szCs w:val="20"/>
          <w:color w:val="auto"/>
        </w:rPr>
      </w:pPr>
      <w:r>
        <w:rPr>
          <w:rFonts w:ascii="Arial" w:cs="Arial" w:eastAsia="Arial" w:hAnsi="Arial"/>
          <w:sz w:val="12"/>
          <w:szCs w:val="12"/>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25" w:lineRule="exact"/>
        <w:rPr>
          <w:sz w:val="20"/>
          <w:szCs w:val="20"/>
          <w:color w:val="auto"/>
        </w:rPr>
      </w:pPr>
    </w:p>
    <w:p>
      <w:pPr>
        <w:ind w:right="140" w:firstLine="488"/>
        <w:spacing w:after="0" w:line="259" w:lineRule="auto"/>
        <w:rPr>
          <w:sz w:val="20"/>
          <w:szCs w:val="20"/>
          <w:color w:val="auto"/>
        </w:rPr>
      </w:pPr>
      <w:r>
        <w:rPr>
          <w:rFonts w:ascii="Arial" w:cs="Arial" w:eastAsia="Arial" w:hAnsi="Arial"/>
          <w:sz w:val="12"/>
          <w:szCs w:val="12"/>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78" w:lineRule="exact"/>
        <w:rPr>
          <w:sz w:val="20"/>
          <w:szCs w:val="20"/>
          <w:color w:val="auto"/>
        </w:rPr>
      </w:pPr>
    </w:p>
    <w:p>
      <w:pPr>
        <w:ind w:right="400" w:firstLine="488"/>
        <w:spacing w:after="0" w:line="263" w:lineRule="auto"/>
        <w:rPr>
          <w:sz w:val="20"/>
          <w:szCs w:val="20"/>
          <w:color w:val="auto"/>
        </w:rPr>
      </w:pPr>
      <w:r>
        <w:rPr>
          <w:rFonts w:ascii="Arial" w:cs="Arial" w:eastAsia="Arial" w:hAnsi="Arial"/>
          <w:sz w:val="12"/>
          <w:szCs w:val="12"/>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27" w:name="page28"/>
    <w:bookmarkEnd w:id="27"/>
    <w:p>
      <w:pPr>
        <w:ind w:firstLine="488"/>
        <w:spacing w:after="0" w:line="279" w:lineRule="auto"/>
        <w:rPr>
          <w:sz w:val="20"/>
          <w:szCs w:val="20"/>
          <w:color w:val="auto"/>
        </w:rPr>
      </w:pPr>
      <w:r>
        <w:rPr>
          <w:rFonts w:ascii="Arial" w:cs="Arial" w:eastAsia="Arial" w:hAnsi="Arial"/>
          <w:sz w:val="11"/>
          <w:szCs w:val="11"/>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or modifications in financial accounting standards, including those related to revenue recognition, may harm our results of operations.</w:t>
      </w:r>
    </w:p>
    <w:p>
      <w:pPr>
        <w:spacing w:after="0" w:line="87" w:lineRule="exact"/>
        <w:rPr>
          <w:sz w:val="20"/>
          <w:szCs w:val="20"/>
          <w:color w:val="auto"/>
        </w:rPr>
      </w:pPr>
    </w:p>
    <w:p>
      <w:pPr>
        <w:ind w:right="40" w:firstLine="488"/>
        <w:spacing w:after="0" w:line="253" w:lineRule="auto"/>
        <w:rPr>
          <w:sz w:val="20"/>
          <w:szCs w:val="20"/>
          <w:color w:val="auto"/>
        </w:rPr>
      </w:pPr>
      <w:r>
        <w:rPr>
          <w:rFonts w:ascii="Arial" w:cs="Arial" w:eastAsia="Arial" w:hAnsi="Arial"/>
          <w:sz w:val="12"/>
          <w:szCs w:val="12"/>
          <w:color w:val="auto"/>
        </w:rPr>
        <w:t xml:space="preserve">From time to time, the Financial Accounting Standards Board (“FASB”), either alone or jointly with other organizations, promulgates new accounting principles that could have an adverse impact on our financial position, results of operations or reported cash flows. In May 2014, the FASB issued Accounting Standards Update (ASU)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which was subsequently clarified by additional ASUs. The standard requires a company to recognize revenue to depict the transfer of goods or services when transferred to customers in the amount that reflects the consideration it expects to be entitled to receive in exchange for those goods or services. We adopted the new standard for the year beginning January 1, 2018. We had the option to apply the new standard either retrospectively for all prior reporting periods presented (full retrospective) or retrospectively with the cumulative effect of initially applying the new standard recognized at the date of initial application (modified retrospective). We have elected to apply the new standard using the modified retrospective approach with the cumulative effect of initial application recognized as of January 1, 2018 and the cumulative effect adjustment was a $1.7 million decrease to the opening balance of accumulated deficit.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may be subject to limitations.</w:t>
      </w:r>
    </w:p>
    <w:p>
      <w:pPr>
        <w:spacing w:after="0" w:line="78" w:lineRule="exact"/>
        <w:rPr>
          <w:sz w:val="20"/>
          <w:szCs w:val="20"/>
          <w:color w:val="auto"/>
        </w:rPr>
      </w:pPr>
    </w:p>
    <w:p>
      <w:pPr>
        <w:ind w:right="40" w:firstLine="488"/>
        <w:spacing w:after="0" w:line="279" w:lineRule="auto"/>
        <w:rPr>
          <w:sz w:val="20"/>
          <w:szCs w:val="20"/>
          <w:color w:val="auto"/>
        </w:rPr>
      </w:pPr>
      <w:r>
        <w:rPr>
          <w:rFonts w:ascii="Arial" w:cs="Arial" w:eastAsia="Arial" w:hAnsi="Arial"/>
          <w:sz w:val="11"/>
          <w:szCs w:val="11"/>
          <w:color w:val="auto"/>
        </w:rPr>
        <w:t>As of December 31, 2018, we had federal and state net operating loss carryforwards of $2.1 billion and $2.4 billion, respectively. The federal and state net operating loss carryforwards have begun to expire.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and are subject to an annual use limitation of approximately $13.0 million. The annual limitation is cumulative and therefore, if not fully utilized in a year, can be utilized in future years in addition to the Section 382 limitation for those years. We have not completed an IRC Section 382 analysis regarding the limitation of net operating loss carryforwards and other tax attributes since the August 2004 change in ownership in connection with our initial public offering. There is a risk that changes in ownership have occurred since our initial public offering. If a change in ownership were to have occurred after the initial public offering, net operating loss carryforwards and other tax attributes could be further limited or restricted. If an ownership change occurs and our ability to use our net operating loss carryforwards is materially limited, it would harm our future operating results by effectively increasing our future tax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78" w:lineRule="exact"/>
        <w:rPr>
          <w:sz w:val="20"/>
          <w:szCs w:val="20"/>
          <w:color w:val="auto"/>
        </w:rPr>
      </w:pPr>
    </w:p>
    <w:p>
      <w:pPr>
        <w:ind w:right="120" w:firstLine="488"/>
        <w:spacing w:after="0" w:line="257" w:lineRule="auto"/>
        <w:rPr>
          <w:sz w:val="20"/>
          <w:szCs w:val="20"/>
          <w:color w:val="auto"/>
        </w:rPr>
      </w:pPr>
      <w:r>
        <w:rPr>
          <w:rFonts w:ascii="Arial" w:cs="Arial" w:eastAsia="Arial" w:hAnsi="Arial"/>
          <w:sz w:val="12"/>
          <w:szCs w:val="12"/>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78" w:lineRule="exact"/>
        <w:rPr>
          <w:sz w:val="20"/>
          <w:szCs w:val="20"/>
          <w:color w:val="auto"/>
        </w:rPr>
      </w:pPr>
    </w:p>
    <w:p>
      <w:pPr>
        <w:ind w:right="20" w:firstLine="488"/>
        <w:spacing w:after="0" w:line="279" w:lineRule="auto"/>
        <w:rPr>
          <w:sz w:val="20"/>
          <w:szCs w:val="20"/>
          <w:color w:val="auto"/>
        </w:rPr>
      </w:pPr>
      <w:r>
        <w:rPr>
          <w:rFonts w:ascii="Arial" w:cs="Arial" w:eastAsia="Arial" w:hAnsi="Arial"/>
          <w:sz w:val="11"/>
          <w:szCs w:val="11"/>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and following an oral hearing before the Supreme Court of Israel, has decided to withdraw his appeal. Subsequently, in November 2018, Mannkind filed a motion to dismiss the certification motion. At a case conference in February 2019, the court directed the parties to negotiate a procedure for determining whether the plaintiff can distinguish the claims in the Israeli litigation from those in a U.S. case against us based on the same events (which was dismissed by the U.S. district court for the Central District of California in August 2016).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operations might be interrupted by the occurrence of a natural disaster or other catastrophic event.</w:t>
      </w:r>
    </w:p>
    <w:p>
      <w:pPr>
        <w:spacing w:after="0" w:line="78" w:lineRule="exact"/>
        <w:rPr>
          <w:sz w:val="20"/>
          <w:szCs w:val="20"/>
          <w:color w:val="auto"/>
        </w:rPr>
      </w:pPr>
    </w:p>
    <w:p>
      <w:pPr>
        <w:ind w:firstLine="488"/>
        <w:spacing w:after="0" w:line="254" w:lineRule="auto"/>
        <w:rPr>
          <w:sz w:val="20"/>
          <w:szCs w:val="20"/>
          <w:color w:val="auto"/>
        </w:rPr>
      </w:pPr>
      <w:r>
        <w:rPr>
          <w:rFonts w:ascii="Arial" w:cs="Arial" w:eastAsia="Arial" w:hAnsi="Arial"/>
          <w:sz w:val="12"/>
          <w:szCs w:val="12"/>
          <w:color w:val="auto"/>
        </w:rPr>
        <w:t>We expect that at least for the foreseeable future, our manufacturing facility in Danbury, Connecticut will be the sole location for the manufacturing of Afrezza. It will also serve as the initial production facility for TreT.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deal with hazardous materials and must comply with environmental laws and regulations, which can be expensive and restrict how we do business.</w:t>
      </w:r>
    </w:p>
    <w:p>
      <w:pPr>
        <w:spacing w:after="0" w:line="78" w:lineRule="exact"/>
        <w:rPr>
          <w:sz w:val="20"/>
          <w:szCs w:val="20"/>
          <w:color w:val="auto"/>
        </w:rPr>
      </w:pPr>
    </w:p>
    <w:p>
      <w:pPr>
        <w:ind w:firstLine="488"/>
        <w:spacing w:after="0" w:line="280" w:lineRule="auto"/>
        <w:rPr>
          <w:sz w:val="20"/>
          <w:szCs w:val="20"/>
          <w:color w:val="auto"/>
        </w:rPr>
      </w:pPr>
      <w:r>
        <w:rPr>
          <w:rFonts w:ascii="Arial" w:cs="Arial" w:eastAsia="Arial" w:hAnsi="Arial"/>
          <w:sz w:val="11"/>
          <w:szCs w:val="11"/>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16"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i w:val="1"/>
          <w:iCs w:val="1"/>
          <w:color w:val="auto"/>
        </w:rPr>
        <w:t>We are increasingly dependent on information technology systems, infrastructure and data security.</w:t>
      </w:r>
    </w:p>
    <w:p>
      <w:pPr>
        <w:spacing w:after="0" w:line="78" w:lineRule="exact"/>
        <w:rPr>
          <w:sz w:val="20"/>
          <w:szCs w:val="20"/>
          <w:color w:val="auto"/>
        </w:rPr>
      </w:pPr>
    </w:p>
    <w:p>
      <w:pPr>
        <w:ind w:right="20" w:firstLine="488"/>
        <w:spacing w:after="0" w:line="279" w:lineRule="auto"/>
        <w:rPr>
          <w:sz w:val="20"/>
          <w:szCs w:val="20"/>
          <w:color w:val="auto"/>
        </w:rPr>
      </w:pPr>
      <w:r>
        <w:rPr>
          <w:rFonts w:ascii="Arial" w:cs="Arial" w:eastAsia="Arial" w:hAnsi="Arial"/>
          <w:sz w:val="11"/>
          <w:szCs w:val="11"/>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190"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20" w:lineRule="exact"/>
        <w:rPr>
          <w:sz w:val="20"/>
          <w:szCs w:val="20"/>
          <w:color w:val="auto"/>
        </w:rPr>
      </w:pPr>
    </w:p>
    <w:p>
      <w:pPr>
        <w:ind w:right="160" w:firstLine="488"/>
        <w:spacing w:after="0" w:line="263" w:lineRule="auto"/>
        <w:rPr>
          <w:sz w:val="20"/>
          <w:szCs w:val="20"/>
          <w:color w:val="auto"/>
        </w:rPr>
      </w:pPr>
      <w:r>
        <w:rPr>
          <w:rFonts w:ascii="Arial" w:cs="Arial" w:eastAsia="Arial" w:hAnsi="Arial"/>
          <w:sz w:val="12"/>
          <w:szCs w:val="12"/>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51" w:lineRule="exact"/>
        <w:rPr>
          <w:sz w:val="20"/>
          <w:szCs w:val="20"/>
          <w:color w:val="auto"/>
        </w:rPr>
      </w:pPr>
    </w:p>
    <w:p>
      <w:pPr>
        <w:ind w:right="140" w:firstLine="488"/>
        <w:spacing w:after="0" w:line="290" w:lineRule="auto"/>
        <w:rPr>
          <w:sz w:val="20"/>
          <w:szCs w:val="20"/>
          <w:color w:val="auto"/>
        </w:rPr>
      </w:pPr>
      <w:r>
        <w:rPr>
          <w:rFonts w:ascii="Arial" w:cs="Arial" w:eastAsia="Arial" w:hAnsi="Arial"/>
          <w:sz w:val="11"/>
          <w:szCs w:val="11"/>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82"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20" w:lineRule="exact"/>
        <w:rPr>
          <w:sz w:val="20"/>
          <w:szCs w:val="20"/>
          <w:color w:val="auto"/>
        </w:rPr>
      </w:pPr>
    </w:p>
    <w:p>
      <w:pPr>
        <w:ind w:firstLine="488"/>
        <w:spacing w:after="0" w:line="276" w:lineRule="auto"/>
        <w:rPr>
          <w:sz w:val="20"/>
          <w:szCs w:val="20"/>
          <w:color w:val="auto"/>
        </w:rPr>
      </w:pPr>
      <w:r>
        <w:rPr>
          <w:rFonts w:ascii="Arial" w:cs="Arial" w:eastAsia="Arial" w:hAnsi="Arial"/>
          <w:sz w:val="12"/>
          <w:szCs w:val="12"/>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43" w:lineRule="exact"/>
        <w:rPr>
          <w:sz w:val="20"/>
          <w:szCs w:val="20"/>
          <w:color w:val="auto"/>
        </w:rPr>
      </w:pPr>
    </w:p>
    <w:p>
      <w:pPr>
        <w:ind w:left="960" w:hanging="482"/>
        <w:spacing w:after="0"/>
        <w:tabs>
          <w:tab w:leader="none" w:pos="9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product design, development, manufacture and testing;</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product labeling;</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product storage and shipping;</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pre-market clearance or approval;</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advertising and promotion;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product sales and distribution.</w:t>
      </w:r>
    </w:p>
    <w:p>
      <w:pPr>
        <w:spacing w:after="0" w:line="150" w:lineRule="exact"/>
        <w:rPr>
          <w:sz w:val="20"/>
          <w:szCs w:val="20"/>
          <w:color w:val="auto"/>
        </w:rPr>
      </w:pPr>
    </w:p>
    <w:p>
      <w:pPr>
        <w:ind w:right="140" w:firstLine="488"/>
        <w:spacing w:after="0" w:line="290" w:lineRule="auto"/>
        <w:rPr>
          <w:sz w:val="20"/>
          <w:szCs w:val="20"/>
          <w:color w:val="auto"/>
        </w:rPr>
      </w:pPr>
      <w:r>
        <w:rPr>
          <w:rFonts w:ascii="Arial" w:cs="Arial" w:eastAsia="Arial" w:hAnsi="Arial"/>
          <w:sz w:val="11"/>
          <w:szCs w:val="11"/>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91" w:right="239" w:bottom="1440" w:gutter="0" w:footer="0" w:header="0"/>
        </w:sectPr>
      </w:pPr>
    </w:p>
    <w:bookmarkStart w:id="30" w:name="page31"/>
    <w:bookmarkEnd w:id="30"/>
    <w:p>
      <w:pPr>
        <w:ind w:right="60" w:firstLine="488"/>
        <w:spacing w:after="0" w:line="286" w:lineRule="auto"/>
        <w:rPr>
          <w:sz w:val="20"/>
          <w:szCs w:val="20"/>
          <w:color w:val="auto"/>
        </w:rPr>
      </w:pPr>
      <w:r>
        <w:rPr>
          <w:rFonts w:ascii="Arial" w:cs="Arial" w:eastAsia="Arial" w:hAnsi="Arial"/>
          <w:sz w:val="11"/>
          <w:szCs w:val="11"/>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11" w:lineRule="exact"/>
        <w:rPr>
          <w:sz w:val="20"/>
          <w:szCs w:val="20"/>
          <w:color w:val="auto"/>
        </w:rPr>
      </w:pPr>
    </w:p>
    <w:p>
      <w:pPr>
        <w:ind w:right="200" w:firstLine="488"/>
        <w:spacing w:after="0" w:line="263" w:lineRule="auto"/>
        <w:rPr>
          <w:sz w:val="20"/>
          <w:szCs w:val="20"/>
          <w:color w:val="auto"/>
        </w:rPr>
      </w:pPr>
      <w:r>
        <w:rPr>
          <w:rFonts w:ascii="Arial" w:cs="Arial" w:eastAsia="Arial" w:hAnsi="Arial"/>
          <w:sz w:val="12"/>
          <w:szCs w:val="12"/>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95"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43" w:lineRule="exact"/>
        <w:rPr>
          <w:sz w:val="20"/>
          <w:szCs w:val="20"/>
          <w:color w:val="auto"/>
        </w:rPr>
      </w:pPr>
    </w:p>
    <w:p>
      <w:pPr>
        <w:ind w:right="40" w:firstLine="488"/>
        <w:spacing w:after="0" w:line="323" w:lineRule="auto"/>
        <w:rPr>
          <w:sz w:val="20"/>
          <w:szCs w:val="20"/>
          <w:color w:val="auto"/>
        </w:rPr>
      </w:pPr>
      <w:r>
        <w:rPr>
          <w:rFonts w:ascii="Arial" w:cs="Arial" w:eastAsia="Arial" w:hAnsi="Arial"/>
          <w:sz w:val="11"/>
          <w:szCs w:val="11"/>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92" w:lineRule="exact"/>
        <w:rPr>
          <w:sz w:val="20"/>
          <w:szCs w:val="20"/>
          <w:color w:val="auto"/>
        </w:rPr>
      </w:pPr>
    </w:p>
    <w:p>
      <w:pPr>
        <w:ind w:right="200" w:firstLine="488"/>
        <w:spacing w:after="0" w:line="263" w:lineRule="auto"/>
        <w:rPr>
          <w:sz w:val="20"/>
          <w:szCs w:val="20"/>
          <w:color w:val="auto"/>
        </w:rPr>
      </w:pPr>
      <w:r>
        <w:rPr>
          <w:rFonts w:ascii="Arial" w:cs="Arial" w:eastAsia="Arial" w:hAnsi="Arial"/>
          <w:sz w:val="12"/>
          <w:szCs w:val="12"/>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stringent, ongoing government regulation.</w:t>
      </w:r>
    </w:p>
    <w:p>
      <w:pPr>
        <w:spacing w:after="0" w:line="78" w:lineRule="exact"/>
        <w:rPr>
          <w:sz w:val="20"/>
          <w:szCs w:val="20"/>
          <w:color w:val="auto"/>
        </w:rPr>
      </w:pPr>
    </w:p>
    <w:p>
      <w:pPr>
        <w:ind w:right="300" w:firstLine="488"/>
        <w:spacing w:after="0" w:line="263" w:lineRule="auto"/>
        <w:rPr>
          <w:sz w:val="20"/>
          <w:szCs w:val="20"/>
          <w:color w:val="auto"/>
        </w:rPr>
      </w:pPr>
      <w:r>
        <w:rPr>
          <w:rFonts w:ascii="Arial" w:cs="Arial" w:eastAsia="Arial" w:hAnsi="Arial"/>
          <w:sz w:val="12"/>
          <w:szCs w:val="12"/>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23" w:lineRule="exact"/>
        <w:rPr>
          <w:sz w:val="20"/>
          <w:szCs w:val="20"/>
          <w:color w:val="auto"/>
        </w:rPr>
      </w:pPr>
    </w:p>
    <w:p>
      <w:pPr>
        <w:ind w:firstLine="488"/>
        <w:spacing w:after="0" w:line="254" w:lineRule="auto"/>
        <w:rPr>
          <w:sz w:val="20"/>
          <w:szCs w:val="20"/>
          <w:color w:val="auto"/>
        </w:rPr>
      </w:pPr>
      <w:r>
        <w:rPr>
          <w:rFonts w:ascii="Arial" w:cs="Arial" w:eastAsia="Arial" w:hAnsi="Arial"/>
          <w:sz w:val="12"/>
          <w:szCs w:val="12"/>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29" w:lineRule="exact"/>
        <w:rPr>
          <w:sz w:val="20"/>
          <w:szCs w:val="20"/>
          <w:color w:val="auto"/>
        </w:rPr>
      </w:pPr>
    </w:p>
    <w:p>
      <w:pPr>
        <w:ind w:right="40" w:firstLine="488"/>
        <w:spacing w:after="0" w:line="259" w:lineRule="auto"/>
        <w:rPr>
          <w:sz w:val="20"/>
          <w:szCs w:val="20"/>
          <w:color w:val="auto"/>
        </w:rPr>
      </w:pPr>
      <w:r>
        <w:rPr>
          <w:rFonts w:ascii="Arial" w:cs="Arial" w:eastAsia="Arial" w:hAnsi="Arial"/>
          <w:sz w:val="12"/>
          <w:szCs w:val="12"/>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53" w:lineRule="exact"/>
        <w:rPr>
          <w:sz w:val="20"/>
          <w:szCs w:val="20"/>
          <w:color w:val="auto"/>
        </w:rPr>
      </w:pPr>
    </w:p>
    <w:p>
      <w:pPr>
        <w:ind w:left="960" w:hanging="482"/>
        <w:spacing w:after="0"/>
        <w:tabs>
          <w:tab w:leader="none" w:pos="9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our product candidates, withdrawal of the product from the market, or voluntary or mandatory product recalls;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fines, warning letters or holds on clinical trials;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31" w:name="page32"/>
    <w:bookmarkEnd w:id="31"/>
    <w:p>
      <w:pPr>
        <w:ind w:left="960" w:hanging="482"/>
        <w:spacing w:after="0"/>
        <w:tabs>
          <w:tab w:leader="none" w:pos="9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refusal by the FDA to approve pending applications or supplements to approved applications filed by us or suspension or revocation of approvals;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our product candidates;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50" w:lineRule="exact"/>
        <w:rPr>
          <w:sz w:val="20"/>
          <w:szCs w:val="20"/>
          <w:color w:val="auto"/>
        </w:rPr>
      </w:pPr>
    </w:p>
    <w:p>
      <w:pPr>
        <w:ind w:right="80" w:firstLine="488"/>
        <w:spacing w:after="0" w:line="254" w:lineRule="auto"/>
        <w:rPr>
          <w:sz w:val="20"/>
          <w:szCs w:val="20"/>
          <w:color w:val="auto"/>
        </w:rPr>
      </w:pPr>
      <w:r>
        <w:rPr>
          <w:rFonts w:ascii="Arial" w:cs="Arial" w:eastAsia="Arial" w:hAnsi="Arial"/>
          <w:sz w:val="12"/>
          <w:szCs w:val="12"/>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31" w:lineRule="exact"/>
        <w:rPr>
          <w:sz w:val="20"/>
          <w:szCs w:val="20"/>
          <w:color w:val="auto"/>
        </w:rPr>
      </w:pPr>
    </w:p>
    <w:p>
      <w:pPr>
        <w:ind w:firstLine="488"/>
        <w:spacing w:after="0" w:line="290" w:lineRule="auto"/>
        <w:rPr>
          <w:sz w:val="20"/>
          <w:szCs w:val="20"/>
          <w:color w:val="auto"/>
        </w:rPr>
      </w:pPr>
      <w:r>
        <w:rPr>
          <w:rFonts w:ascii="Arial" w:cs="Arial" w:eastAsia="Arial" w:hAnsi="Arial"/>
          <w:sz w:val="11"/>
          <w:szCs w:val="11"/>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related to a particular post on our Afrezza Facebook page. The warning letter stated that the post in question failed to adequately disclose the risks associated with the use of Afrezza. As a result, we inactivated all Afrezza social media accounts (including Facebook, Instagram and Twitter) and conducted a review to determine whether any additional postings may contain content similar to the post in question. We have responded to the warning letter and will continue to work with the FDA to address their concerns.</w:t>
      </w:r>
    </w:p>
    <w:p>
      <w:pPr>
        <w:spacing w:after="0" w:line="109" w:lineRule="exact"/>
        <w:rPr>
          <w:sz w:val="20"/>
          <w:szCs w:val="20"/>
          <w:color w:val="auto"/>
        </w:rPr>
      </w:pPr>
    </w:p>
    <w:p>
      <w:pPr>
        <w:ind w:right="40" w:firstLine="488"/>
        <w:spacing w:after="0" w:line="298" w:lineRule="auto"/>
        <w:rPr>
          <w:sz w:val="20"/>
          <w:szCs w:val="20"/>
          <w:color w:val="auto"/>
        </w:rPr>
      </w:pPr>
      <w:r>
        <w:rPr>
          <w:rFonts w:ascii="Arial" w:cs="Arial" w:eastAsia="Arial" w:hAnsi="Arial"/>
          <w:sz w:val="11"/>
          <w:szCs w:val="11"/>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suppliers are subject to FDA inspection.</w:t>
      </w:r>
    </w:p>
    <w:p>
      <w:pPr>
        <w:spacing w:after="0" w:line="78" w:lineRule="exact"/>
        <w:rPr>
          <w:sz w:val="20"/>
          <w:szCs w:val="20"/>
          <w:color w:val="auto"/>
        </w:rPr>
      </w:pPr>
    </w:p>
    <w:p>
      <w:pPr>
        <w:ind w:right="40" w:firstLine="488"/>
        <w:spacing w:after="0" w:line="259" w:lineRule="auto"/>
        <w:rPr>
          <w:sz w:val="20"/>
          <w:szCs w:val="20"/>
          <w:color w:val="auto"/>
        </w:rPr>
      </w:pPr>
      <w:r>
        <w:rPr>
          <w:rFonts w:ascii="Arial" w:cs="Arial" w:eastAsia="Arial" w:hAnsi="Arial"/>
          <w:sz w:val="12"/>
          <w:szCs w:val="12"/>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25" w:lineRule="exact"/>
        <w:rPr>
          <w:sz w:val="20"/>
          <w:szCs w:val="20"/>
          <w:color w:val="auto"/>
        </w:rPr>
      </w:pPr>
    </w:p>
    <w:p>
      <w:pPr>
        <w:ind w:right="380" w:firstLine="488"/>
        <w:spacing w:after="0" w:line="276" w:lineRule="auto"/>
        <w:rPr>
          <w:sz w:val="20"/>
          <w:szCs w:val="20"/>
          <w:color w:val="auto"/>
        </w:rPr>
      </w:pPr>
      <w:r>
        <w:rPr>
          <w:rFonts w:ascii="Arial" w:cs="Arial" w:eastAsia="Arial" w:hAnsi="Arial"/>
          <w:sz w:val="12"/>
          <w:szCs w:val="12"/>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187"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43" w:lineRule="exact"/>
        <w:rPr>
          <w:sz w:val="20"/>
          <w:szCs w:val="20"/>
          <w:color w:val="auto"/>
        </w:rPr>
      </w:pPr>
    </w:p>
    <w:p>
      <w:pPr>
        <w:ind w:right="120" w:firstLine="488"/>
        <w:spacing w:after="0" w:line="263" w:lineRule="auto"/>
        <w:rPr>
          <w:sz w:val="20"/>
          <w:szCs w:val="20"/>
          <w:color w:val="auto"/>
        </w:rPr>
      </w:pPr>
      <w:r>
        <w:rPr>
          <w:rFonts w:ascii="Arial" w:cs="Arial" w:eastAsia="Arial" w:hAnsi="Arial"/>
          <w:sz w:val="12"/>
          <w:szCs w:val="12"/>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23" w:lineRule="exact"/>
        <w:rPr>
          <w:sz w:val="20"/>
          <w:szCs w:val="20"/>
          <w:color w:val="auto"/>
        </w:rPr>
      </w:pPr>
    </w:p>
    <w:p>
      <w:pPr>
        <w:ind w:right="40" w:firstLine="488"/>
        <w:spacing w:after="0" w:line="263" w:lineRule="auto"/>
        <w:rPr>
          <w:sz w:val="20"/>
          <w:szCs w:val="20"/>
          <w:color w:val="auto"/>
        </w:rPr>
      </w:pPr>
      <w:r>
        <w:rPr>
          <w:rFonts w:ascii="Arial" w:cs="Arial" w:eastAsia="Arial" w:hAnsi="Arial"/>
          <w:sz w:val="12"/>
          <w:szCs w:val="12"/>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protect our proprietary rights, we may not be able to compete effectively, or operate profitably.</w:t>
      </w:r>
    </w:p>
    <w:p>
      <w:pPr>
        <w:spacing w:after="0" w:line="78" w:lineRule="exact"/>
        <w:rPr>
          <w:sz w:val="20"/>
          <w:szCs w:val="20"/>
          <w:color w:val="auto"/>
        </w:rPr>
      </w:pPr>
    </w:p>
    <w:p>
      <w:pPr>
        <w:ind w:right="80" w:firstLine="488"/>
        <w:spacing w:after="0" w:line="257" w:lineRule="auto"/>
        <w:rPr>
          <w:sz w:val="20"/>
          <w:szCs w:val="20"/>
          <w:color w:val="auto"/>
        </w:rPr>
      </w:pPr>
      <w:r>
        <w:rPr>
          <w:rFonts w:ascii="Arial" w:cs="Arial" w:eastAsia="Arial" w:hAnsi="Arial"/>
          <w:sz w:val="12"/>
          <w:szCs w:val="12"/>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26" w:lineRule="exact"/>
        <w:rPr>
          <w:sz w:val="20"/>
          <w:szCs w:val="20"/>
          <w:color w:val="auto"/>
        </w:rPr>
      </w:pPr>
    </w:p>
    <w:p>
      <w:pPr>
        <w:ind w:right="100" w:firstLine="488"/>
        <w:spacing w:after="0" w:line="290" w:lineRule="auto"/>
        <w:rPr>
          <w:sz w:val="20"/>
          <w:szCs w:val="20"/>
          <w:color w:val="auto"/>
        </w:rPr>
      </w:pPr>
      <w:r>
        <w:rPr>
          <w:rFonts w:ascii="Arial" w:cs="Arial" w:eastAsia="Arial" w:hAnsi="Arial"/>
          <w:sz w:val="11"/>
          <w:szCs w:val="11"/>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09" w:lineRule="exact"/>
        <w:rPr>
          <w:sz w:val="20"/>
          <w:szCs w:val="20"/>
          <w:color w:val="auto"/>
        </w:rPr>
      </w:pPr>
    </w:p>
    <w:p>
      <w:pPr>
        <w:ind w:right="20" w:firstLine="488"/>
        <w:spacing w:after="0" w:line="294" w:lineRule="auto"/>
        <w:rPr>
          <w:sz w:val="20"/>
          <w:szCs w:val="20"/>
          <w:color w:val="auto"/>
        </w:rPr>
      </w:pPr>
      <w:r>
        <w:rPr>
          <w:rFonts w:ascii="Arial" w:cs="Arial" w:eastAsia="Arial" w:hAnsi="Arial"/>
          <w:sz w:val="11"/>
          <w:szCs w:val="11"/>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08" w:lineRule="exact"/>
        <w:rPr>
          <w:sz w:val="20"/>
          <w:szCs w:val="20"/>
          <w:color w:val="auto"/>
        </w:rPr>
      </w:pPr>
    </w:p>
    <w:p>
      <w:pPr>
        <w:ind w:right="120" w:firstLine="488"/>
        <w:spacing w:after="0" w:line="263" w:lineRule="auto"/>
        <w:rPr>
          <w:sz w:val="20"/>
          <w:szCs w:val="20"/>
          <w:color w:val="auto"/>
        </w:rPr>
      </w:pPr>
      <w:r>
        <w:rPr>
          <w:rFonts w:ascii="Arial" w:cs="Arial" w:eastAsia="Arial" w:hAnsi="Arial"/>
          <w:sz w:val="12"/>
          <w:szCs w:val="12"/>
          <w:color w:val="auto"/>
        </w:rPr>
        <w:t>Moreover, the term of a patent is limited and, as a result, the patents protecting our products expire at various dates. For example, various patents providing protection for the powder component of Afrezza have terms extending into 2020,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23"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25" w:lineRule="exact"/>
        <w:rPr>
          <w:sz w:val="20"/>
          <w:szCs w:val="20"/>
          <w:color w:val="auto"/>
        </w:rPr>
      </w:pPr>
    </w:p>
    <w:p>
      <w:pPr>
        <w:ind w:right="40" w:firstLine="488"/>
        <w:spacing w:after="0" w:line="286" w:lineRule="auto"/>
        <w:rPr>
          <w:sz w:val="20"/>
          <w:szCs w:val="20"/>
          <w:color w:val="auto"/>
        </w:rPr>
      </w:pPr>
      <w:r>
        <w:rPr>
          <w:rFonts w:ascii="Arial" w:cs="Arial" w:eastAsia="Arial" w:hAnsi="Arial"/>
          <w:sz w:val="11"/>
          <w:szCs w:val="11"/>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01" w:lineRule="exact"/>
        <w:rPr>
          <w:sz w:val="20"/>
          <w:szCs w:val="20"/>
          <w:color w:val="auto"/>
        </w:rPr>
      </w:pPr>
    </w:p>
    <w:p>
      <w:pPr>
        <w:ind w:right="60" w:firstLine="488"/>
        <w:spacing w:after="0" w:line="259" w:lineRule="auto"/>
        <w:rPr>
          <w:sz w:val="20"/>
          <w:szCs w:val="20"/>
          <w:color w:val="auto"/>
        </w:rPr>
      </w:pPr>
      <w:r>
        <w:rPr>
          <w:rFonts w:ascii="Arial" w:cs="Arial" w:eastAsia="Arial" w:hAnsi="Arial"/>
          <w:sz w:val="12"/>
          <w:szCs w:val="12"/>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87" w:right="199" w:bottom="1440" w:gutter="0" w:footer="0" w:header="0"/>
        </w:sectPr>
      </w:pPr>
    </w:p>
    <w:bookmarkStart w:id="33" w:name="page34"/>
    <w:bookmarkEnd w:id="33"/>
    <w:p>
      <w:pPr>
        <w:ind w:right="20" w:firstLine="488"/>
        <w:spacing w:after="0" w:line="316" w:lineRule="auto"/>
        <w:rPr>
          <w:sz w:val="20"/>
          <w:szCs w:val="20"/>
          <w:color w:val="auto"/>
        </w:rPr>
      </w:pPr>
      <w:r>
        <w:rPr>
          <w:rFonts w:ascii="Arial" w:cs="Arial" w:eastAsia="Arial" w:hAnsi="Arial"/>
          <w:sz w:val="10"/>
          <w:szCs w:val="10"/>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00" w:lineRule="exact"/>
        <w:rPr>
          <w:sz w:val="20"/>
          <w:szCs w:val="20"/>
          <w:color w:val="auto"/>
        </w:rPr>
      </w:pPr>
    </w:p>
    <w:p>
      <w:pPr>
        <w:jc w:val="both"/>
        <w:ind w:right="220" w:firstLine="488"/>
        <w:spacing w:after="0" w:line="263"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95"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1"/>
          <w:szCs w:val="11"/>
          <w:color w:val="auto"/>
        </w:rPr>
        <w:t>Biotechnology patents are numerous and may, at times, conflict with one another. As a result, it is not always clear to industry participants, including us, which patents cover the multitude of biotechnology product types.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Ultimately, the courts must determine the scope of coverage afforded by a patent and the courts do not always arrive at uniform conclusions.</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0"/>
          <w:szCs w:val="10"/>
          <w:color w:val="auto"/>
        </w:rPr>
        <w:t>A patent owner may claim that we are making, using, selling or offering for sale an invention covered by the owner’s patents and may go to court to stop us from engaging in such activities. Such litigation is not uncommon in our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industry.</w:t>
      </w:r>
    </w:p>
    <w:p>
      <w:pPr>
        <w:spacing w:after="0" w:line="141" w:lineRule="exact"/>
        <w:rPr>
          <w:sz w:val="20"/>
          <w:szCs w:val="20"/>
          <w:color w:val="auto"/>
        </w:rPr>
      </w:pPr>
    </w:p>
    <w:p>
      <w:pPr>
        <w:ind w:right="20" w:firstLine="488"/>
        <w:spacing w:after="0" w:line="257" w:lineRule="auto"/>
        <w:rPr>
          <w:sz w:val="20"/>
          <w:szCs w:val="20"/>
          <w:color w:val="auto"/>
        </w:rPr>
      </w:pPr>
      <w:r>
        <w:rPr>
          <w:rFonts w:ascii="Arial" w:cs="Arial" w:eastAsia="Arial" w:hAnsi="Arial"/>
          <w:sz w:val="12"/>
          <w:szCs w:val="12"/>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26" w:lineRule="exact"/>
        <w:rPr>
          <w:sz w:val="20"/>
          <w:szCs w:val="20"/>
          <w:color w:val="auto"/>
        </w:rPr>
      </w:pPr>
    </w:p>
    <w:p>
      <w:pPr>
        <w:ind w:right="20" w:firstLine="488"/>
        <w:spacing w:after="0" w:line="286" w:lineRule="auto"/>
        <w:rPr>
          <w:sz w:val="20"/>
          <w:szCs w:val="20"/>
          <w:color w:val="auto"/>
        </w:rPr>
      </w:pPr>
      <w:r>
        <w:rPr>
          <w:rFonts w:ascii="Arial" w:cs="Arial" w:eastAsia="Arial" w:hAnsi="Arial"/>
          <w:sz w:val="11"/>
          <w:szCs w:val="11"/>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11" w:lineRule="exact"/>
        <w:rPr>
          <w:sz w:val="20"/>
          <w:szCs w:val="20"/>
          <w:color w:val="auto"/>
        </w:rPr>
      </w:pPr>
    </w:p>
    <w:p>
      <w:pPr>
        <w:ind w:right="40" w:firstLine="488"/>
        <w:spacing w:after="0" w:line="255" w:lineRule="auto"/>
        <w:rPr>
          <w:sz w:val="20"/>
          <w:szCs w:val="20"/>
          <w:color w:val="auto"/>
        </w:rPr>
      </w:pPr>
      <w:r>
        <w:rPr>
          <w:rFonts w:ascii="Arial" w:cs="Arial" w:eastAsia="Arial" w:hAnsi="Arial"/>
          <w:sz w:val="12"/>
          <w:szCs w:val="12"/>
          <w:color w:val="auto"/>
        </w:rPr>
        <w:t>Although we do not believe that Afrezza infringes any third-party patents, we have identified certain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29" w:lineRule="exact"/>
        <w:rPr>
          <w:sz w:val="20"/>
          <w:szCs w:val="20"/>
          <w:color w:val="auto"/>
        </w:rPr>
      </w:pPr>
    </w:p>
    <w:p>
      <w:pPr>
        <w:jc w:val="both"/>
        <w:ind w:right="220" w:firstLine="488"/>
        <w:spacing w:after="0" w:line="263"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34" w:name="page35"/>
    <w:bookmarkEnd w:id="34"/>
    <w:p>
      <w:pPr>
        <w:jc w:val="both"/>
        <w:ind w:right="60" w:firstLine="488"/>
        <w:spacing w:after="0" w:line="259" w:lineRule="auto"/>
        <w:rPr>
          <w:sz w:val="20"/>
          <w:szCs w:val="20"/>
          <w:color w:val="auto"/>
        </w:rPr>
      </w:pPr>
      <w:r>
        <w:rPr>
          <w:rFonts w:ascii="Arial" w:cs="Arial" w:eastAsia="Arial" w:hAnsi="Arial"/>
          <w:sz w:val="12"/>
          <w:szCs w:val="12"/>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obtain trademark registrations for our potential trade names.</w:t>
      </w:r>
    </w:p>
    <w:p>
      <w:pPr>
        <w:spacing w:after="0" w:line="78" w:lineRule="exact"/>
        <w:rPr>
          <w:sz w:val="20"/>
          <w:szCs w:val="20"/>
          <w:color w:val="auto"/>
        </w:rPr>
      </w:pPr>
    </w:p>
    <w:p>
      <w:pPr>
        <w:jc w:val="both"/>
        <w:ind w:right="140" w:firstLine="488"/>
        <w:spacing w:after="0" w:line="298" w:lineRule="auto"/>
        <w:rPr>
          <w:sz w:val="20"/>
          <w:szCs w:val="20"/>
          <w:color w:val="auto"/>
        </w:rPr>
      </w:pPr>
      <w:r>
        <w:rPr>
          <w:rFonts w:ascii="Arial" w:cs="Arial" w:eastAsia="Arial" w:hAnsi="Arial"/>
          <w:sz w:val="11"/>
          <w:szCs w:val="11"/>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05" w:lineRule="exact"/>
        <w:rPr>
          <w:sz w:val="20"/>
          <w:szCs w:val="20"/>
          <w:color w:val="auto"/>
        </w:rPr>
      </w:pPr>
    </w:p>
    <w:p>
      <w:pPr>
        <w:ind w:right="100" w:firstLine="488"/>
        <w:spacing w:after="0" w:line="263" w:lineRule="auto"/>
        <w:rPr>
          <w:sz w:val="20"/>
          <w:szCs w:val="20"/>
          <w:color w:val="auto"/>
        </w:rPr>
      </w:pPr>
      <w:r>
        <w:rPr>
          <w:rFonts w:ascii="Arial" w:cs="Arial" w:eastAsia="Arial" w:hAnsi="Arial"/>
          <w:sz w:val="12"/>
          <w:szCs w:val="12"/>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90" w:lineRule="exact"/>
        <w:rPr>
          <w:sz w:val="20"/>
          <w:szCs w:val="20"/>
          <w:color w:val="auto"/>
        </w:rPr>
      </w:pPr>
    </w:p>
    <w:p>
      <w:pPr>
        <w:ind w:firstLine="488"/>
        <w:spacing w:after="0" w:line="281" w:lineRule="auto"/>
        <w:rPr>
          <w:sz w:val="20"/>
          <w:szCs w:val="20"/>
          <w:color w:val="auto"/>
        </w:rPr>
      </w:pPr>
      <w:r>
        <w:rPr>
          <w:rFonts w:ascii="Arial" w:cs="Arial" w:eastAsia="Arial" w:hAnsi="Arial"/>
          <w:sz w:val="11"/>
          <w:szCs w:val="11"/>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8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101" w:lineRule="exact"/>
        <w:rPr>
          <w:sz w:val="20"/>
          <w:szCs w:val="20"/>
          <w:color w:val="auto"/>
        </w:rPr>
      </w:pPr>
    </w:p>
    <w:p>
      <w:pPr>
        <w:jc w:val="both"/>
        <w:ind w:right="60" w:firstLine="488"/>
        <w:spacing w:after="0" w:line="263" w:lineRule="auto"/>
        <w:rPr>
          <w:sz w:val="20"/>
          <w:szCs w:val="20"/>
          <w:color w:val="auto"/>
        </w:rPr>
      </w:pPr>
      <w:r>
        <w:rPr>
          <w:rFonts w:ascii="Arial" w:cs="Arial" w:eastAsia="Arial" w:hAnsi="Arial"/>
          <w:sz w:val="12"/>
          <w:szCs w:val="12"/>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23" w:lineRule="exact"/>
        <w:rPr>
          <w:sz w:val="20"/>
          <w:szCs w:val="20"/>
          <w:color w:val="auto"/>
        </w:rPr>
      </w:pPr>
    </w:p>
    <w:p>
      <w:pPr>
        <w:ind w:right="260" w:firstLine="488"/>
        <w:spacing w:after="0" w:line="340" w:lineRule="auto"/>
        <w:rPr>
          <w:sz w:val="20"/>
          <w:szCs w:val="20"/>
          <w:color w:val="auto"/>
        </w:rPr>
      </w:pPr>
      <w:r>
        <w:rPr>
          <w:rFonts w:ascii="Arial" w:cs="Arial" w:eastAsia="Arial" w:hAnsi="Arial"/>
          <w:sz w:val="10"/>
          <w:szCs w:val="10"/>
          <w:color w:val="auto"/>
        </w:rPr>
        <w:t>In the future, we may sell additional shares of our common stock to raise capital. In addition, a substantial number of shares of our common stock is reserved for: issuance upon the exercise of stock options and the vesting of restricted stock unit awards and the purchase of shares of common stock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i w:val="1"/>
          <w:iCs w:val="1"/>
          <w:color w:val="auto"/>
        </w:rPr>
        <w:t>Our stock price is volatile and may affect the market price of our common stock and other securities.</w:t>
      </w:r>
    </w:p>
    <w:p>
      <w:pPr>
        <w:spacing w:after="0" w:line="78" w:lineRule="exact"/>
        <w:rPr>
          <w:sz w:val="20"/>
          <w:szCs w:val="20"/>
          <w:color w:val="auto"/>
        </w:rPr>
      </w:pPr>
    </w:p>
    <w:p>
      <w:pPr>
        <w:jc w:val="both"/>
        <w:ind w:right="80" w:firstLine="488"/>
        <w:spacing w:after="0" w:line="263" w:lineRule="auto"/>
        <w:rPr>
          <w:sz w:val="20"/>
          <w:szCs w:val="20"/>
          <w:color w:val="auto"/>
        </w:rPr>
      </w:pPr>
      <w:r>
        <w:rPr>
          <w:rFonts w:ascii="Arial" w:cs="Arial" w:eastAsia="Arial" w:hAnsi="Arial"/>
          <w:sz w:val="12"/>
          <w:szCs w:val="12"/>
          <w:color w:val="auto"/>
        </w:rPr>
        <w:t>Between January 1, 2016 and December 31, 2018, our closing stock price as reported on The Nasdaq Global Market has ranged from $0.71 to $10.80, adjusted for the 1-for-5 reverse stock split that occurred during this period.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23" w:lineRule="exact"/>
        <w:rPr>
          <w:sz w:val="20"/>
          <w:szCs w:val="20"/>
          <w:color w:val="auto"/>
        </w:rPr>
      </w:pPr>
    </w:p>
    <w:p>
      <w:pPr>
        <w:ind w:firstLine="488"/>
        <w:spacing w:after="0" w:line="276" w:lineRule="auto"/>
        <w:rPr>
          <w:sz w:val="20"/>
          <w:szCs w:val="20"/>
          <w:color w:val="auto"/>
        </w:rPr>
      </w:pPr>
      <w:r>
        <w:rPr>
          <w:rFonts w:ascii="Arial" w:cs="Arial" w:eastAsia="Arial" w:hAnsi="Arial"/>
          <w:sz w:val="12"/>
          <w:szCs w:val="12"/>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43" w:lineRule="exact"/>
        <w:rPr>
          <w:sz w:val="20"/>
          <w:szCs w:val="20"/>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obtain marketing approval for Afrezza outside of the United States and to find collaboration partners for the commercialization of Afrezza in foreign jurisdictions;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future estimates of Afrezza sales, prescriptions or other operating metrics;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successfully commercialize other products (in addition to Afrezza) based on our Technosphere drug delivery platform;</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progress of preclinical and clinical studies of our product candidates and of post-approval studies of Afrezza required by the FDA;</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results of preclinical and clinical studies of our product candidates;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general economic, political or stock market conditions, especially for emerging growth and pharmaceutical market sectors;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legislative developments;</w:t>
      </w:r>
    </w:p>
    <w:p>
      <w:pPr>
        <w:spacing w:after="0" w:line="78" w:lineRule="exact"/>
        <w:rPr>
          <w:rFonts w:ascii="Arial" w:cs="Arial" w:eastAsia="Arial" w:hAnsi="Arial"/>
          <w:sz w:val="12"/>
          <w:szCs w:val="12"/>
          <w:color w:val="auto"/>
        </w:rPr>
      </w:pPr>
    </w:p>
    <w:p>
      <w:pPr>
        <w:ind w:left="960" w:right="20" w:hanging="482"/>
        <w:spacing w:after="0" w:line="276" w:lineRule="auto"/>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42"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availability of critical materials used in developing and manufacturing Afrezza or other product candidates;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developments or disputes concerning our relationship with any of our current or future collaborators or third party manufacturers;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developments or disputes concerning our patents or proprietary rights;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expense and time associated with, and the extent of our ultimate success in, securing regulatory approvals;</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announcements by us concerning our financial condition or operating performance;</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securities analysts’ estimates of our financial condition or operating performance;</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sales of large blocks of our common stock, including sales by our executive officers, directors and significant stockholders;</w:t>
      </w:r>
    </w:p>
    <w:p>
      <w:pPr>
        <w:spacing w:after="0" w:line="78" w:lineRule="exact"/>
        <w:rPr>
          <w:rFonts w:ascii="Arial" w:cs="Arial" w:eastAsia="Arial" w:hAnsi="Arial"/>
          <w:sz w:val="12"/>
          <w:szCs w:val="12"/>
          <w:color w:val="auto"/>
        </w:rPr>
      </w:pPr>
    </w:p>
    <w:p>
      <w:pPr>
        <w:ind w:left="960" w:hanging="482"/>
        <w:spacing w:after="0" w:line="276" w:lineRule="auto"/>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42" w:lineRule="exact"/>
        <w:rPr>
          <w:rFonts w:ascii="Arial" w:cs="Arial" w:eastAsia="Arial" w:hAnsi="Arial"/>
          <w:sz w:val="12"/>
          <w:szCs w:val="12"/>
          <w:color w:val="auto"/>
        </w:rPr>
      </w:pPr>
    </w:p>
    <w:p>
      <w:pPr>
        <w:ind w:left="960" w:hanging="482"/>
        <w:spacing w:after="0"/>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status of any legal proceedings or regulatory matters against or involving us or any of our executive officers and directors; and</w:t>
      </w:r>
    </w:p>
    <w:p>
      <w:pPr>
        <w:spacing w:after="0" w:line="78" w:lineRule="exact"/>
        <w:rPr>
          <w:rFonts w:ascii="Arial" w:cs="Arial" w:eastAsia="Arial" w:hAnsi="Arial"/>
          <w:sz w:val="12"/>
          <w:szCs w:val="12"/>
          <w:color w:val="auto"/>
        </w:rPr>
      </w:pPr>
    </w:p>
    <w:p>
      <w:pPr>
        <w:ind w:left="960" w:right="120" w:hanging="482"/>
        <w:spacing w:after="0" w:line="263" w:lineRule="auto"/>
        <w:tabs>
          <w:tab w:leader="none" w:pos="9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Any of these risks, as well as other factors, could cause the market value of our common stock and other securities to decline.</w:t>
      </w: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101" w:lineRule="exact"/>
        <w:rPr>
          <w:sz w:val="20"/>
          <w:szCs w:val="20"/>
          <w:color w:val="auto"/>
        </w:rPr>
      </w:pPr>
    </w:p>
    <w:p>
      <w:pPr>
        <w:ind w:right="40" w:firstLine="488"/>
        <w:spacing w:after="0" w:line="320" w:lineRule="auto"/>
        <w:rPr>
          <w:sz w:val="20"/>
          <w:szCs w:val="20"/>
          <w:color w:val="auto"/>
        </w:rPr>
      </w:pPr>
      <w:r>
        <w:rPr>
          <w:rFonts w:ascii="Arial" w:cs="Arial" w:eastAsia="Arial" w:hAnsi="Arial"/>
          <w:sz w:val="10"/>
          <w:szCs w:val="10"/>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491" w:right="259" w:bottom="1440" w:gutter="0" w:footer="0" w:header="0"/>
        </w:sectPr>
      </w:pPr>
    </w:p>
    <w:bookmarkStart w:id="36" w:name="page37"/>
    <w:bookmarkEnd w:id="36"/>
    <w:p>
      <w:pPr>
        <w:spacing w:after="0"/>
        <w:rPr>
          <w:sz w:val="20"/>
          <w:szCs w:val="20"/>
          <w:color w:val="auto"/>
        </w:rPr>
      </w:pPr>
      <w:r>
        <w:rPr>
          <w:rFonts w:ascii="Arial" w:cs="Arial" w:eastAsia="Arial" w:hAnsi="Arial"/>
          <w:sz w:val="11"/>
          <w:szCs w:val="11"/>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90" w:lineRule="exact"/>
        <w:rPr>
          <w:sz w:val="20"/>
          <w:szCs w:val="20"/>
          <w:color w:val="auto"/>
        </w:rPr>
      </w:pPr>
    </w:p>
    <w:p>
      <w:pPr>
        <w:ind w:right="180" w:firstLine="488"/>
        <w:spacing w:after="0" w:line="290" w:lineRule="auto"/>
        <w:rPr>
          <w:sz w:val="20"/>
          <w:szCs w:val="20"/>
          <w:color w:val="auto"/>
        </w:rPr>
      </w:pPr>
      <w:r>
        <w:rPr>
          <w:rFonts w:ascii="Arial" w:cs="Arial" w:eastAsia="Arial" w:hAnsi="Arial"/>
          <w:sz w:val="11"/>
          <w:szCs w:val="11"/>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09" w:lineRule="exact"/>
        <w:rPr>
          <w:sz w:val="20"/>
          <w:szCs w:val="20"/>
          <w:color w:val="auto"/>
        </w:rPr>
      </w:pPr>
    </w:p>
    <w:p>
      <w:pPr>
        <w:ind w:right="400" w:firstLine="488"/>
        <w:spacing w:after="0" w:line="276" w:lineRule="auto"/>
        <w:rPr>
          <w:sz w:val="20"/>
          <w:szCs w:val="20"/>
          <w:color w:val="auto"/>
        </w:rPr>
      </w:pPr>
      <w:r>
        <w:rPr>
          <w:rFonts w:ascii="Arial" w:cs="Arial" w:eastAsia="Arial" w:hAnsi="Arial"/>
          <w:sz w:val="12"/>
          <w:szCs w:val="12"/>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87"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43" w:lineRule="exact"/>
        <w:rPr>
          <w:sz w:val="20"/>
          <w:szCs w:val="20"/>
          <w:color w:val="auto"/>
        </w:rPr>
      </w:pPr>
    </w:p>
    <w:p>
      <w:pPr>
        <w:ind w:firstLine="488"/>
        <w:spacing w:after="0" w:line="327" w:lineRule="auto"/>
        <w:rPr>
          <w:sz w:val="20"/>
          <w:szCs w:val="20"/>
          <w:color w:val="auto"/>
        </w:rPr>
      </w:pPr>
      <w:r>
        <w:rPr>
          <w:rFonts w:ascii="Arial" w:cs="Arial" w:eastAsia="Arial" w:hAnsi="Arial"/>
          <w:sz w:val="10"/>
          <w:szCs w:val="10"/>
          <w:color w:val="auto"/>
        </w:rPr>
        <w:t>As of February 14, 2019, we had 187,342,566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senior convertible notes or notes payable to related party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94" w:lineRule="exact"/>
        <w:rPr>
          <w:sz w:val="20"/>
          <w:szCs w:val="20"/>
          <w:color w:val="auto"/>
        </w:rPr>
      </w:pPr>
    </w:p>
    <w:p>
      <w:pPr>
        <w:ind w:right="40" w:firstLine="488"/>
        <w:spacing w:after="0" w:line="276" w:lineRule="auto"/>
        <w:rPr>
          <w:sz w:val="20"/>
          <w:szCs w:val="20"/>
          <w:color w:val="auto"/>
        </w:rPr>
      </w:pPr>
      <w:r>
        <w:rPr>
          <w:rFonts w:ascii="Arial" w:cs="Arial" w:eastAsia="Arial" w:hAnsi="Arial"/>
          <w:sz w:val="12"/>
          <w:szCs w:val="12"/>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87"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3" w:lineRule="exact"/>
        <w:rPr>
          <w:sz w:val="20"/>
          <w:szCs w:val="20"/>
          <w:color w:val="auto"/>
        </w:rPr>
      </w:pPr>
    </w:p>
    <w:p>
      <w:pPr>
        <w:ind w:right="220" w:firstLine="488"/>
        <w:spacing w:after="0" w:line="283" w:lineRule="auto"/>
        <w:rPr>
          <w:sz w:val="20"/>
          <w:szCs w:val="20"/>
          <w:color w:val="auto"/>
        </w:rPr>
      </w:pPr>
      <w:r>
        <w:rPr>
          <w:rFonts w:ascii="Arial" w:cs="Arial" w:eastAsia="Arial" w:hAnsi="Arial"/>
          <w:sz w:val="11"/>
          <w:szCs w:val="11"/>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do not expect to pay dividends in the foreseeable future, you must rely on stock appreciation for any return on any investment in our common stock.</w:t>
      </w:r>
    </w:p>
    <w:p>
      <w:pPr>
        <w:spacing w:after="0" w:line="78" w:lineRule="exact"/>
        <w:rPr>
          <w:sz w:val="20"/>
          <w:szCs w:val="20"/>
          <w:color w:val="auto"/>
        </w:rPr>
      </w:pPr>
    </w:p>
    <w:p>
      <w:pPr>
        <w:ind w:right="100" w:firstLine="488"/>
        <w:spacing w:after="0" w:line="259" w:lineRule="auto"/>
        <w:rPr>
          <w:sz w:val="20"/>
          <w:szCs w:val="20"/>
          <w:color w:val="auto"/>
        </w:rPr>
      </w:pPr>
      <w:r>
        <w:rPr>
          <w:rFonts w:ascii="Arial" w:cs="Arial" w:eastAsia="Arial" w:hAnsi="Arial"/>
          <w:sz w:val="12"/>
          <w:szCs w:val="12"/>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 xml:space="preserve">Item 1B. </w:t>
      </w:r>
      <w:r>
        <w:rPr>
          <w:rFonts w:ascii="Arial" w:cs="Arial" w:eastAsia="Arial" w:hAnsi="Arial"/>
          <w:sz w:val="12"/>
          <w:szCs w:val="12"/>
          <w:b w:val="1"/>
          <w:bCs w:val="1"/>
          <w:i w:val="1"/>
          <w:iCs w:val="1"/>
          <w:color w:val="auto"/>
        </w:rPr>
        <w:t>Unresolved Staff Comments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Properties</w:t>
      </w:r>
    </w:p>
    <w:p>
      <w:pPr>
        <w:spacing w:after="0" w:line="82" w:lineRule="exact"/>
        <w:rPr>
          <w:sz w:val="20"/>
          <w:szCs w:val="20"/>
          <w:color w:val="auto"/>
        </w:rPr>
      </w:pPr>
    </w:p>
    <w:p>
      <w:pPr>
        <w:ind w:firstLine="488"/>
        <w:spacing w:after="0" w:line="257" w:lineRule="auto"/>
        <w:rPr>
          <w:sz w:val="20"/>
          <w:szCs w:val="20"/>
          <w:color w:val="auto"/>
        </w:rPr>
      </w:pPr>
      <w:r>
        <w:rPr>
          <w:rFonts w:ascii="Arial" w:cs="Arial" w:eastAsia="Arial" w:hAnsi="Arial"/>
          <w:sz w:val="12"/>
          <w:szCs w:val="12"/>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for Afrezza. We believe the Connecticut facility will have sufficient space to satisfy commercial demand for Afrezza. Our obligations under the Facility Agreement and the Milestone Agreement are secured by our facility in Danbury, Connecticut and other assets. At the end of December 31, 2018, we leased a total of approximately 24,475 square feet of office space in Westlake Village, California pursuant to a lease that expires in January 2023. This facility contains our principal executive offices.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Legal Proceedings</w:t>
      </w:r>
    </w:p>
    <w:p>
      <w:pPr>
        <w:spacing w:after="0" w:line="82" w:lineRule="exact"/>
        <w:rPr>
          <w:sz w:val="20"/>
          <w:szCs w:val="20"/>
          <w:color w:val="auto"/>
        </w:rPr>
      </w:pPr>
    </w:p>
    <w:p>
      <w:pPr>
        <w:ind w:right="80" w:firstLine="488"/>
        <w:spacing w:after="0" w:line="254" w:lineRule="auto"/>
        <w:rPr>
          <w:sz w:val="20"/>
          <w:szCs w:val="20"/>
          <w:color w:val="auto"/>
        </w:rPr>
      </w:pPr>
      <w:r>
        <w:rPr>
          <w:rFonts w:ascii="Arial" w:cs="Arial" w:eastAsia="Arial" w:hAnsi="Arial"/>
          <w:sz w:val="12"/>
          <w:szCs w:val="12"/>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and following an oral hearing before the Supreme Court of Israel, has decided to withdraw his appeal. Subsequently, in November 2018, we filed a motion to dismiss the certification motion in limine. In December 2018, the district court ordered that the motion to dismiss will be heard during a pretrial hearing set for February 2019. The Court also granted our motion to postpone its response to the merits of the certification motion until after the resolution of the motion to dismiss. We will continue to vigorously defend against the claims advanced.</w:t>
      </w:r>
    </w:p>
    <w:p>
      <w:pPr>
        <w:spacing w:after="0" w:line="131" w:lineRule="exact"/>
        <w:rPr>
          <w:sz w:val="20"/>
          <w:szCs w:val="20"/>
          <w:color w:val="auto"/>
        </w:rPr>
      </w:pPr>
    </w:p>
    <w:p>
      <w:pPr>
        <w:ind w:right="320" w:firstLine="488"/>
        <w:spacing w:after="0" w:line="323" w:lineRule="auto"/>
        <w:rPr>
          <w:sz w:val="20"/>
          <w:szCs w:val="20"/>
          <w:color w:val="auto"/>
        </w:rPr>
      </w:pPr>
      <w:r>
        <w:rPr>
          <w:rFonts w:ascii="Arial" w:cs="Arial" w:eastAsia="Arial" w:hAnsi="Arial"/>
          <w:sz w:val="11"/>
          <w:szCs w:val="11"/>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Not applicable.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87" w:right="19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right="5260"/>
        <w:spacing w:after="0" w:line="379" w:lineRule="auto"/>
        <w:rPr>
          <w:sz w:val="20"/>
          <w:szCs w:val="20"/>
          <w:color w:val="auto"/>
        </w:rPr>
      </w:pPr>
      <w:r>
        <w:rPr>
          <w:rFonts w:ascii="Arial" w:cs="Arial" w:eastAsia="Arial" w:hAnsi="Arial"/>
          <w:sz w:val="12"/>
          <w:szCs w:val="12"/>
          <w:b w:val="1"/>
          <w:bCs w:val="1"/>
          <w:color w:val="auto"/>
        </w:rPr>
        <w:t xml:space="preserve">Item 5. </w:t>
      </w:r>
      <w:r>
        <w:rPr>
          <w:rFonts w:ascii="Arial" w:cs="Arial" w:eastAsia="Arial" w:hAnsi="Arial"/>
          <w:sz w:val="12"/>
          <w:szCs w:val="12"/>
          <w:b w:val="1"/>
          <w:bCs w:val="1"/>
          <w:i w:val="1"/>
          <w:iCs w:val="1"/>
          <w:color w:val="auto"/>
        </w:rPr>
        <w:t>Market for the Registrant’s Common Equity, Related Stockholder Matters and Issuer Purchases of Equity Securities</w:t>
      </w:r>
      <w:r>
        <w:rPr>
          <w:rFonts w:ascii="Arial" w:cs="Arial" w:eastAsia="Arial" w:hAnsi="Arial"/>
          <w:sz w:val="12"/>
          <w:szCs w:val="12"/>
          <w:b w:val="1"/>
          <w:bCs w:val="1"/>
          <w:color w:val="auto"/>
        </w:rPr>
        <w:t xml:space="preserve"> Common Stock Market</w:t>
      </w:r>
    </w:p>
    <w:p>
      <w:pPr>
        <w:spacing w:after="0" w:line="1" w:lineRule="exact"/>
        <w:rPr>
          <w:sz w:val="20"/>
          <w:szCs w:val="20"/>
          <w:color w:val="auto"/>
        </w:rPr>
      </w:pPr>
    </w:p>
    <w:p>
      <w:pPr>
        <w:ind w:firstLine="488"/>
        <w:spacing w:after="0" w:line="276" w:lineRule="auto"/>
        <w:rPr>
          <w:sz w:val="20"/>
          <w:szCs w:val="20"/>
          <w:color w:val="auto"/>
        </w:rPr>
      </w:pPr>
      <w:r>
        <w:rPr>
          <w:rFonts w:ascii="Arial" w:cs="Arial" w:eastAsia="Arial" w:hAnsi="Arial"/>
          <w:sz w:val="12"/>
          <w:szCs w:val="12"/>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 (adjusted for the Reverse Stock Split effected March 3, 2017).</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401"/>
              <w:spacing w:after="0"/>
              <w:rPr>
                <w:sz w:val="20"/>
                <w:szCs w:val="20"/>
                <w:color w:val="auto"/>
              </w:rPr>
            </w:pPr>
            <w:r>
              <w:rPr>
                <w:rFonts w:ascii="Arial" w:cs="Arial" w:eastAsia="Arial" w:hAnsi="Arial"/>
                <w:sz w:val="10"/>
                <w:szCs w:val="10"/>
                <w:b w:val="1"/>
                <w:bCs w:val="1"/>
                <w:color w:val="auto"/>
              </w:rPr>
              <w:t>High</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ind w:left="200"/>
              <w:spacing w:after="0"/>
              <w:rPr>
                <w:sz w:val="20"/>
                <w:szCs w:val="20"/>
                <w:color w:val="auto"/>
              </w:rPr>
            </w:pPr>
            <w:r>
              <w:rPr>
                <w:rFonts w:ascii="Arial" w:cs="Arial" w:eastAsia="Arial" w:hAnsi="Arial"/>
                <w:sz w:val="10"/>
                <w:szCs w:val="10"/>
                <w:b w:val="1"/>
                <w:bCs w:val="1"/>
                <w:color w:val="auto"/>
              </w:rPr>
              <w:t>Low</w:t>
            </w:r>
          </w:p>
        </w:tc>
      </w:tr>
      <w:tr>
        <w:trPr>
          <w:trHeight w:val="142"/>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Year ended December 31, 2018</w:t>
            </w:r>
          </w:p>
        </w:tc>
        <w:tc>
          <w:tcPr>
            <w:tcW w:w="20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r>
      <w:tr>
        <w:trPr>
          <w:trHeight w:val="153"/>
        </w:trPr>
        <w:tc>
          <w:tcPr>
            <w:tcW w:w="3520" w:type="dxa"/>
            <w:vAlign w:val="bottom"/>
          </w:tcPr>
          <w:p>
            <w:pPr>
              <w:ind w:left="160"/>
              <w:spacing w:after="0"/>
              <w:rPr>
                <w:sz w:val="20"/>
                <w:szCs w:val="20"/>
                <w:color w:val="auto"/>
              </w:rPr>
            </w:pPr>
            <w:r>
              <w:rPr>
                <w:rFonts w:ascii="Arial" w:cs="Arial" w:eastAsia="Arial" w:hAnsi="Arial"/>
                <w:sz w:val="12"/>
                <w:szCs w:val="12"/>
                <w:color w:val="auto"/>
              </w:rPr>
              <w:t>First quarter</w:t>
            </w:r>
          </w:p>
        </w:tc>
        <w:tc>
          <w:tcPr>
            <w:tcW w:w="2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4.05</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2.18</w:t>
            </w:r>
          </w:p>
        </w:tc>
        <w:tc>
          <w:tcPr>
            <w:tcW w:w="80" w:type="dxa"/>
            <w:vAlign w:val="bottom"/>
          </w:tcPr>
          <w:p>
            <w:pPr>
              <w:spacing w:after="0"/>
              <w:rPr>
                <w:sz w:val="13"/>
                <w:szCs w:val="13"/>
                <w:color w:val="auto"/>
              </w:rPr>
            </w:pPr>
          </w:p>
        </w:tc>
      </w:tr>
      <w:tr>
        <w:trPr>
          <w:trHeight w:val="153"/>
        </w:trPr>
        <w:tc>
          <w:tcPr>
            <w:tcW w:w="3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Second quarter</w:t>
            </w:r>
          </w:p>
        </w:tc>
        <w:tc>
          <w:tcPr>
            <w:tcW w:w="2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w:t>
            </w:r>
          </w:p>
        </w:tc>
        <w:tc>
          <w:tcPr>
            <w:tcW w:w="80" w:type="dxa"/>
            <w:vAlign w:val="bottom"/>
            <w:shd w:val="clear" w:color="auto" w:fill="CFF0FC"/>
          </w:tcPr>
          <w:p>
            <w:pPr>
              <w:spacing w:after="0"/>
              <w:rPr>
                <w:sz w:val="13"/>
                <w:szCs w:val="13"/>
                <w:color w:val="auto"/>
              </w:rPr>
            </w:pPr>
          </w:p>
        </w:tc>
      </w:tr>
      <w:tr>
        <w:trPr>
          <w:trHeight w:val="153"/>
        </w:trPr>
        <w:tc>
          <w:tcPr>
            <w:tcW w:w="3520" w:type="dxa"/>
            <w:vAlign w:val="bottom"/>
          </w:tcPr>
          <w:p>
            <w:pPr>
              <w:ind w:left="160"/>
              <w:spacing w:after="0"/>
              <w:rPr>
                <w:sz w:val="20"/>
                <w:szCs w:val="20"/>
                <w:color w:val="auto"/>
              </w:rPr>
            </w:pPr>
            <w:r>
              <w:rPr>
                <w:rFonts w:ascii="Arial" w:cs="Arial" w:eastAsia="Arial" w:hAnsi="Arial"/>
                <w:sz w:val="12"/>
                <w:szCs w:val="12"/>
                <w:color w:val="auto"/>
              </w:rPr>
              <w:t>Third quarter</w:t>
            </w:r>
          </w:p>
        </w:tc>
        <w:tc>
          <w:tcPr>
            <w:tcW w:w="2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3.04</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0.98</w:t>
            </w:r>
          </w:p>
        </w:tc>
        <w:tc>
          <w:tcPr>
            <w:tcW w:w="80" w:type="dxa"/>
            <w:vAlign w:val="bottom"/>
          </w:tcPr>
          <w:p>
            <w:pPr>
              <w:spacing w:after="0"/>
              <w:rPr>
                <w:sz w:val="13"/>
                <w:szCs w:val="13"/>
                <w:color w:val="auto"/>
              </w:rPr>
            </w:pPr>
          </w:p>
        </w:tc>
      </w:tr>
      <w:tr>
        <w:trPr>
          <w:trHeight w:val="153"/>
        </w:trPr>
        <w:tc>
          <w:tcPr>
            <w:tcW w:w="3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Fourth quarter</w:t>
            </w:r>
          </w:p>
        </w:tc>
        <w:tc>
          <w:tcPr>
            <w:tcW w:w="2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0.94</w:t>
            </w:r>
          </w:p>
        </w:tc>
        <w:tc>
          <w:tcPr>
            <w:tcW w:w="80" w:type="dxa"/>
            <w:vAlign w:val="bottom"/>
            <w:shd w:val="clear" w:color="auto" w:fill="CFF0FC"/>
          </w:tcPr>
          <w:p>
            <w:pPr>
              <w:spacing w:after="0"/>
              <w:rPr>
                <w:sz w:val="13"/>
                <w:szCs w:val="13"/>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Year ended December 31, 2017</w:t>
            </w:r>
          </w:p>
        </w:tc>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3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First quarter</w:t>
            </w:r>
          </w:p>
        </w:tc>
        <w:tc>
          <w:tcPr>
            <w:tcW w:w="2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w:t>
            </w:r>
          </w:p>
        </w:tc>
        <w:tc>
          <w:tcPr>
            <w:tcW w:w="80" w:type="dxa"/>
            <w:vAlign w:val="bottom"/>
            <w:shd w:val="clear" w:color="auto" w:fill="CFF0FC"/>
          </w:tcPr>
          <w:p>
            <w:pPr>
              <w:spacing w:after="0"/>
              <w:rPr>
                <w:sz w:val="13"/>
                <w:szCs w:val="13"/>
                <w:color w:val="auto"/>
              </w:rPr>
            </w:pPr>
          </w:p>
        </w:tc>
      </w:tr>
      <w:tr>
        <w:trPr>
          <w:trHeight w:val="153"/>
        </w:trPr>
        <w:tc>
          <w:tcPr>
            <w:tcW w:w="3520" w:type="dxa"/>
            <w:vAlign w:val="bottom"/>
          </w:tcPr>
          <w:p>
            <w:pPr>
              <w:ind w:left="160"/>
              <w:spacing w:after="0"/>
              <w:rPr>
                <w:sz w:val="20"/>
                <w:szCs w:val="20"/>
                <w:color w:val="auto"/>
              </w:rPr>
            </w:pPr>
            <w:r>
              <w:rPr>
                <w:rFonts w:ascii="Arial" w:cs="Arial" w:eastAsia="Arial" w:hAnsi="Arial"/>
                <w:sz w:val="12"/>
                <w:szCs w:val="12"/>
                <w:color w:val="auto"/>
              </w:rPr>
              <w:t>Second quarter</w:t>
            </w:r>
          </w:p>
        </w:tc>
        <w:tc>
          <w:tcPr>
            <w:tcW w:w="2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1.88</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0.67</w:t>
            </w:r>
          </w:p>
        </w:tc>
        <w:tc>
          <w:tcPr>
            <w:tcW w:w="80" w:type="dxa"/>
            <w:vAlign w:val="bottom"/>
          </w:tcPr>
          <w:p>
            <w:pPr>
              <w:spacing w:after="0"/>
              <w:rPr>
                <w:sz w:val="13"/>
                <w:szCs w:val="13"/>
                <w:color w:val="auto"/>
              </w:rPr>
            </w:pPr>
          </w:p>
        </w:tc>
      </w:tr>
      <w:tr>
        <w:trPr>
          <w:trHeight w:val="153"/>
        </w:trPr>
        <w:tc>
          <w:tcPr>
            <w:tcW w:w="3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Third quarter</w:t>
            </w:r>
          </w:p>
        </w:tc>
        <w:tc>
          <w:tcPr>
            <w:tcW w:w="2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80" w:type="dxa"/>
            <w:vAlign w:val="bottom"/>
            <w:shd w:val="clear" w:color="auto" w:fill="CFF0FC"/>
          </w:tcPr>
          <w:p>
            <w:pPr>
              <w:spacing w:after="0"/>
              <w:rPr>
                <w:sz w:val="13"/>
                <w:szCs w:val="13"/>
                <w:color w:val="auto"/>
              </w:rPr>
            </w:pPr>
          </w:p>
        </w:tc>
      </w:tr>
      <w:tr>
        <w:trPr>
          <w:trHeight w:val="153"/>
        </w:trPr>
        <w:tc>
          <w:tcPr>
            <w:tcW w:w="3520" w:type="dxa"/>
            <w:vAlign w:val="bottom"/>
          </w:tcPr>
          <w:p>
            <w:pPr>
              <w:ind w:left="160"/>
              <w:spacing w:after="0"/>
              <w:rPr>
                <w:sz w:val="20"/>
                <w:szCs w:val="20"/>
                <w:color w:val="auto"/>
              </w:rPr>
            </w:pPr>
            <w:r>
              <w:rPr>
                <w:rFonts w:ascii="Arial" w:cs="Arial" w:eastAsia="Arial" w:hAnsi="Arial"/>
                <w:sz w:val="12"/>
                <w:szCs w:val="12"/>
                <w:color w:val="auto"/>
              </w:rPr>
              <w:t>Fourth quarter</w:t>
            </w:r>
          </w:p>
        </w:tc>
        <w:tc>
          <w:tcPr>
            <w:tcW w:w="2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6.96</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2.01</w:t>
            </w:r>
          </w:p>
        </w:tc>
        <w:tc>
          <w:tcPr>
            <w:tcW w:w="80" w:type="dxa"/>
            <w:vAlign w:val="bottom"/>
          </w:tcPr>
          <w:p>
            <w:pPr>
              <w:spacing w:after="0"/>
              <w:rPr>
                <w:sz w:val="13"/>
                <w:szCs w:val="13"/>
                <w:color w:val="auto"/>
              </w:rPr>
            </w:pPr>
          </w:p>
        </w:tc>
      </w:tr>
    </w:tbl>
    <w:p>
      <w:pPr>
        <w:spacing w:after="0" w:line="13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closing sales price of our common stock on The Nasdaq Global Market was $1.39 on February 14, 2019 and there were 105 registered holders of record as of that date.</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Measurement Comparison</w:t>
      </w:r>
    </w:p>
    <w:p>
      <w:pPr>
        <w:spacing w:after="0" w:line="82" w:lineRule="exact"/>
        <w:rPr>
          <w:sz w:val="20"/>
          <w:szCs w:val="20"/>
          <w:color w:val="auto"/>
        </w:rPr>
      </w:pPr>
    </w:p>
    <w:p>
      <w:pPr>
        <w:ind w:firstLine="488"/>
        <w:spacing w:after="0" w:line="276" w:lineRule="auto"/>
        <w:rPr>
          <w:sz w:val="20"/>
          <w:szCs w:val="20"/>
          <w:color w:val="auto"/>
        </w:rPr>
      </w:pPr>
      <w:r>
        <w:rPr>
          <w:rFonts w:ascii="Arial" w:cs="Arial" w:eastAsia="Arial" w:hAnsi="Arial"/>
          <w:sz w:val="12"/>
          <w:szCs w:val="12"/>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or the Exchange Act, except to the extent we specifically incorporate this section by reference.</w:t>
      </w:r>
    </w:p>
    <w:p>
      <w:pPr>
        <w:spacing w:after="0" w:line="115" w:lineRule="exact"/>
        <w:rPr>
          <w:sz w:val="20"/>
          <w:szCs w:val="20"/>
          <w:color w:val="auto"/>
        </w:rPr>
      </w:pPr>
    </w:p>
    <w:p>
      <w:pPr>
        <w:ind w:right="220" w:firstLine="488"/>
        <w:spacing w:after="0" w:line="263" w:lineRule="auto"/>
        <w:rPr>
          <w:sz w:val="20"/>
          <w:szCs w:val="20"/>
          <w:color w:val="auto"/>
        </w:rPr>
      </w:pPr>
      <w:r>
        <w:rPr>
          <w:rFonts w:ascii="Arial" w:cs="Arial" w:eastAsia="Arial" w:hAnsi="Arial"/>
          <w:sz w:val="12"/>
          <w:szCs w:val="12"/>
          <w:color w:val="auto"/>
        </w:rPr>
        <w:t>The following graph illustrates a comparison of the cumulative total stockholder return (change in stock price plus reinvested dividends) of our common stock with (i) The Nasdaq Composite Index and (ii) The Nasdaq Biotechnology Index. The graph assumes a $100 investment, on December 31, 2013, in (i) our common stock, (ii) the securities comprising The Nasdaq Composite Index and (iii) the securities comprising The Nasdaq Biotechnology Index.</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20" w:top="271" w:right="299" w:bottom="1440" w:gutter="0" w:footer="0" w:header="0"/>
        </w:sectPr>
      </w:pPr>
    </w:p>
    <w:bookmarkStart w:id="39" w:name="page40"/>
    <w:bookmarkEnd w:id="39"/>
    <w:p>
      <w:pPr>
        <w:ind w:left="480"/>
        <w:spacing w:after="0"/>
        <w:rPr>
          <w:sz w:val="20"/>
          <w:szCs w:val="20"/>
          <w:color w:val="auto"/>
        </w:rPr>
      </w:pPr>
      <w:r>
        <w:rPr>
          <w:rFonts w:ascii="Arial" w:cs="Arial" w:eastAsia="Arial" w:hAnsi="Arial"/>
          <w:sz w:val="12"/>
          <w:szCs w:val="12"/>
          <w:color w:val="auto"/>
        </w:rPr>
        <w:t>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100965</wp:posOffset>
            </wp:positionV>
            <wp:extent cx="3837940" cy="20993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37940" cy="209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82" w:lineRule="exact"/>
        <w:rPr>
          <w:sz w:val="20"/>
          <w:szCs w:val="20"/>
          <w:color w:val="auto"/>
        </w:rPr>
      </w:pPr>
    </w:p>
    <w:p>
      <w:pPr>
        <w:jc w:val="both"/>
        <w:ind w:right="40" w:firstLine="488"/>
        <w:spacing w:after="0" w:line="263" w:lineRule="auto"/>
        <w:rPr>
          <w:sz w:val="20"/>
          <w:szCs w:val="20"/>
          <w:color w:val="auto"/>
        </w:rPr>
      </w:pPr>
      <w:r>
        <w:rPr>
          <w:rFonts w:ascii="Arial" w:cs="Arial" w:eastAsia="Arial" w:hAnsi="Arial"/>
          <w:sz w:val="12"/>
          <w:szCs w:val="12"/>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Facility Agreement, we are restricted from distributing any of our assets or declaring and distributing a dividend to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6. </w:t>
      </w:r>
      <w:r>
        <w:rPr>
          <w:rFonts w:ascii="Arial" w:cs="Arial" w:eastAsia="Arial" w:hAnsi="Arial"/>
          <w:sz w:val="12"/>
          <w:szCs w:val="12"/>
          <w:b w:val="1"/>
          <w:bCs w:val="1"/>
          <w:i w:val="1"/>
          <w:iCs w:val="1"/>
          <w:color w:val="auto"/>
        </w:rPr>
        <w:t>Selected Financial Data</w:t>
      </w:r>
    </w:p>
    <w:p>
      <w:pPr>
        <w:spacing w:after="0" w:line="82"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The following data has been derived from our audited financial statements, including the consolidated balance sheets at December 31, 2018 and 2017 and the related consolidated statements of operations for each of the three years ended December 31, 2018, 2017 and 2016 and related notes appearing elsewhere in this report. The consolidated statement of operations data for the years ended December 31, 2015 and 2014 and the consolidated balance sheet data as of December 31, 2016, 2015 and 2014 are derived from our audited consolidated financial statements that are not included in this report. Items that significantly impact the comparability among the periods presented include the following:</w:t>
      </w:r>
    </w:p>
    <w:p>
      <w:pPr>
        <w:spacing w:after="0" w:line="53" w:lineRule="exact"/>
        <w:rPr>
          <w:sz w:val="20"/>
          <w:szCs w:val="20"/>
          <w:color w:val="auto"/>
        </w:rPr>
      </w:pPr>
    </w:p>
    <w:p>
      <w:pPr>
        <w:ind w:left="960" w:hanging="482"/>
        <w:spacing w:after="0"/>
        <w:tabs>
          <w:tab w:leader="none" w:pos="9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Long-lived asset, inventory impairments, and recognition of loss on purchase commitments in 2015,</w:t>
      </w:r>
    </w:p>
    <w:p>
      <w:pPr>
        <w:spacing w:after="0" w:line="78" w:lineRule="exact"/>
        <w:rPr>
          <w:rFonts w:ascii="Arial" w:cs="Arial" w:eastAsia="Arial" w:hAnsi="Arial"/>
          <w:sz w:val="12"/>
          <w:szCs w:val="12"/>
          <w:color w:val="auto"/>
        </w:rPr>
      </w:pPr>
    </w:p>
    <w:p>
      <w:pPr>
        <w:ind w:left="960" w:hanging="437"/>
        <w:spacing w:after="0"/>
        <w:tabs>
          <w:tab w:leader="none" w:pos="960" w:val="left"/>
        </w:tabs>
        <w:numPr>
          <w:ilvl w:val="1"/>
          <w:numId w:val="20"/>
        </w:numPr>
        <w:rPr>
          <w:rFonts w:ascii="Arial" w:cs="Arial" w:eastAsia="Arial" w:hAnsi="Arial"/>
          <w:sz w:val="12"/>
          <w:szCs w:val="12"/>
          <w:color w:val="auto"/>
        </w:rPr>
      </w:pPr>
      <w:r>
        <w:rPr>
          <w:rFonts w:ascii="Arial" w:cs="Arial" w:eastAsia="Arial" w:hAnsi="Arial"/>
          <w:sz w:val="12"/>
          <w:szCs w:val="12"/>
          <w:color w:val="auto"/>
        </w:rPr>
        <w:t>Recognition of revenue, related costs and gain on extinguishment of debt related to the collaboration with Sanofi in 2016,</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Recognition of revenue related to commercial sales of Afrezza in 2016 and 2017; and</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Recognition of revenue related to UT License Agreement and Research Agreement.</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20" w:top="419" w:right="299" w:bottom="1440" w:gutter="0" w:footer="0" w:header="0"/>
        </w:sectPr>
      </w:pPr>
    </w:p>
    <w:bookmarkStart w:id="40" w:name="page41"/>
    <w:bookmarkEnd w:id="40"/>
    <w:p>
      <w:pPr>
        <w:ind w:right="60" w:firstLine="488"/>
        <w:spacing w:after="0" w:line="380" w:lineRule="auto"/>
        <w:rPr>
          <w:sz w:val="20"/>
          <w:szCs w:val="20"/>
          <w:color w:val="auto"/>
        </w:rPr>
      </w:pPr>
      <w:r>
        <w:rPr>
          <w:rFonts w:ascii="Arial" w:cs="Arial" w:eastAsia="Arial" w:hAnsi="Arial"/>
          <w:sz w:val="10"/>
          <w:szCs w:val="10"/>
          <w:color w:val="auto"/>
        </w:rPr>
        <w:t>The selected financial data set forth below should be read in conjunction with “Management’s Discussion and Analysis of Financial Condition and Results of Operations” and the audited consolidated financial statements, and the notes thereto, and other financial information included herein this Annual Report on Form 10-K, which provide additional information about the items noted above that significantly affect the comparability among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7"/>
              </w:rPr>
              <w:t>Year Ended December 31,</w:t>
            </w: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7"/>
        </w:trPr>
        <w:tc>
          <w:tcPr>
            <w:tcW w:w="5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501"/>
              <w:spacing w:after="0" w:line="97" w:lineRule="exact"/>
              <w:rPr>
                <w:sz w:val="20"/>
                <w:szCs w:val="20"/>
                <w:color w:val="auto"/>
              </w:rPr>
            </w:pPr>
            <w:r>
              <w:rPr>
                <w:rFonts w:ascii="Arial" w:cs="Arial" w:eastAsia="Arial" w:hAnsi="Arial"/>
                <w:sz w:val="10"/>
                <w:szCs w:val="10"/>
                <w:b w:val="1"/>
                <w:bCs w:val="1"/>
                <w:color w:val="auto"/>
              </w:rPr>
              <w:t>2018</w:t>
            </w: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502"/>
              <w:spacing w:after="0" w:line="97"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center"/>
              <w:ind w:right="222"/>
              <w:spacing w:after="0" w:line="97" w:lineRule="exact"/>
              <w:rPr>
                <w:sz w:val="20"/>
                <w:szCs w:val="20"/>
                <w:color w:val="auto"/>
              </w:rPr>
            </w:pPr>
            <w:r>
              <w:rPr>
                <w:rFonts w:ascii="Arial" w:cs="Arial" w:eastAsia="Arial" w:hAnsi="Arial"/>
                <w:sz w:val="10"/>
                <w:szCs w:val="10"/>
                <w:b w:val="1"/>
                <w:bCs w:val="1"/>
                <w:color w:val="auto"/>
                <w:w w:val="80"/>
              </w:rPr>
              <w:t>2016</w:t>
            </w: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501"/>
              <w:spacing w:after="0" w:line="97" w:lineRule="exact"/>
              <w:rPr>
                <w:sz w:val="20"/>
                <w:szCs w:val="20"/>
                <w:color w:val="auto"/>
              </w:rPr>
            </w:pPr>
            <w:r>
              <w:rPr>
                <w:rFonts w:ascii="Arial" w:cs="Arial" w:eastAsia="Arial" w:hAnsi="Arial"/>
                <w:sz w:val="10"/>
                <w:szCs w:val="10"/>
                <w:b w:val="1"/>
                <w:bCs w:val="1"/>
                <w:color w:val="auto"/>
              </w:rPr>
              <w:t>2015</w:t>
            </w: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61"/>
              <w:spacing w:after="0" w:line="97" w:lineRule="exact"/>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7"/>
        </w:trPr>
        <w:tc>
          <w:tcPr>
            <w:tcW w:w="5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540" w:type="dxa"/>
            <w:vAlign w:val="bottom"/>
            <w:gridSpan w:val="4"/>
          </w:tcPr>
          <w:p>
            <w:pPr>
              <w:jc w:val="center"/>
              <w:ind w:left="482"/>
              <w:spacing w:after="0" w:line="97" w:lineRule="exact"/>
              <w:rPr>
                <w:sz w:val="20"/>
                <w:szCs w:val="20"/>
                <w:color w:val="auto"/>
              </w:rPr>
            </w:pPr>
            <w:r>
              <w:rPr>
                <w:rFonts w:ascii="Arial" w:cs="Arial" w:eastAsia="Arial" w:hAnsi="Arial"/>
                <w:sz w:val="10"/>
                <w:szCs w:val="10"/>
                <w:b w:val="1"/>
                <w:bCs w:val="1"/>
                <w:color w:val="auto"/>
                <w:w w:val="84"/>
              </w:rPr>
              <w:t>(In thousands, except per share amounts)</w:t>
            </w: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Statement of Operations Data:</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Revenue:</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net revenue</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27,859</w:t>
            </w:r>
          </w:p>
        </w:tc>
        <w:tc>
          <w:tcPr>
            <w:tcW w:w="34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11,745</w:t>
            </w:r>
          </w:p>
        </w:tc>
        <w:tc>
          <w:tcPr>
            <w:tcW w:w="24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174,758</w:t>
            </w:r>
          </w:p>
        </w:tc>
        <w:tc>
          <w:tcPr>
            <w:tcW w:w="36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(Loss) income from operations</w:t>
            </w:r>
          </w:p>
        </w:tc>
        <w:tc>
          <w:tcPr>
            <w:tcW w:w="220" w:type="dxa"/>
            <w:vAlign w:val="bottom"/>
          </w:tcPr>
          <w:p>
            <w:pPr>
              <w:spacing w:after="0"/>
              <w:rPr>
                <w:sz w:val="13"/>
                <w:szCs w:val="13"/>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(76,595)</w:t>
            </w:r>
          </w:p>
        </w:tc>
        <w:tc>
          <w:tcPr>
            <w:tcW w:w="340" w:type="dxa"/>
            <w:vAlign w:val="bottom"/>
          </w:tcPr>
          <w:p>
            <w:pPr>
              <w:spacing w:after="0"/>
              <w:rPr>
                <w:sz w:val="13"/>
                <w:szCs w:val="13"/>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(108,189)</w:t>
            </w:r>
          </w:p>
        </w:tc>
        <w:tc>
          <w:tcPr>
            <w:tcW w:w="24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67,260</w:t>
            </w:r>
          </w:p>
        </w:tc>
        <w:tc>
          <w:tcPr>
            <w:tcW w:w="36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(344,655)</w:t>
            </w:r>
          </w:p>
        </w:tc>
        <w:tc>
          <w:tcPr>
            <w:tcW w:w="3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(179,627)</w:t>
            </w:r>
          </w:p>
        </w:tc>
        <w:tc>
          <w:tcPr>
            <w:tcW w:w="2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Net (loss) income</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(86,975)</w:t>
            </w: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(117,333)</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125,664</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(368,445)</w:t>
            </w:r>
          </w:p>
        </w:tc>
        <w:tc>
          <w:tcPr>
            <w:tcW w:w="3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(198,382)</w:t>
            </w: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Net (loss) income per share - basic</w:t>
            </w:r>
          </w:p>
        </w:tc>
        <w:tc>
          <w:tcPr>
            <w:tcW w:w="220" w:type="dxa"/>
            <w:vAlign w:val="bottom"/>
          </w:tcPr>
          <w:p>
            <w:pPr>
              <w:spacing w:after="0"/>
              <w:rPr>
                <w:sz w:val="13"/>
                <w:szCs w:val="13"/>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(0.60)</w:t>
            </w:r>
          </w:p>
        </w:tc>
        <w:tc>
          <w:tcPr>
            <w:tcW w:w="340" w:type="dxa"/>
            <w:vAlign w:val="bottom"/>
          </w:tcPr>
          <w:p>
            <w:pPr>
              <w:spacing w:after="0"/>
              <w:rPr>
                <w:sz w:val="13"/>
                <w:szCs w:val="13"/>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(1.13)</w:t>
            </w:r>
          </w:p>
        </w:tc>
        <w:tc>
          <w:tcPr>
            <w:tcW w:w="24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1.37</w:t>
            </w:r>
          </w:p>
        </w:tc>
        <w:tc>
          <w:tcPr>
            <w:tcW w:w="36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(4.54)</w:t>
            </w:r>
          </w:p>
        </w:tc>
        <w:tc>
          <w:tcPr>
            <w:tcW w:w="3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(2.57)</w:t>
            </w:r>
          </w:p>
        </w:tc>
        <w:tc>
          <w:tcPr>
            <w:tcW w:w="2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Net (loss) income per share - diluted</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(0.60)</w:t>
            </w: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(1.13)</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1.36</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(4.54)</w:t>
            </w:r>
          </w:p>
        </w:tc>
        <w:tc>
          <w:tcPr>
            <w:tcW w:w="3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(2.57)</w:t>
            </w: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Shares used to compute basic net (loss) income per share</w:t>
            </w:r>
          </w:p>
        </w:tc>
        <w:tc>
          <w:tcPr>
            <w:tcW w:w="220" w:type="dxa"/>
            <w:vAlign w:val="bottom"/>
          </w:tcPr>
          <w:p>
            <w:pPr>
              <w:spacing w:after="0"/>
              <w:rPr>
                <w:sz w:val="13"/>
                <w:szCs w:val="13"/>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144,136</w:t>
            </w:r>
          </w:p>
        </w:tc>
        <w:tc>
          <w:tcPr>
            <w:tcW w:w="340" w:type="dxa"/>
            <w:vAlign w:val="bottom"/>
          </w:tcPr>
          <w:p>
            <w:pPr>
              <w:spacing w:after="0"/>
              <w:rPr>
                <w:sz w:val="13"/>
                <w:szCs w:val="13"/>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104,245</w:t>
            </w:r>
          </w:p>
        </w:tc>
        <w:tc>
          <w:tcPr>
            <w:tcW w:w="24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92,053</w:t>
            </w:r>
          </w:p>
        </w:tc>
        <w:tc>
          <w:tcPr>
            <w:tcW w:w="3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81,233</w:t>
            </w: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77,045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Shares used to compute diluted net (loss) income per share</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144,136</w:t>
            </w: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104,245</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92,085</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81,233</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77,045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202"/>
              <w:spacing w:after="0"/>
              <w:rPr>
                <w:sz w:val="20"/>
                <w:szCs w:val="20"/>
                <w:color w:val="auto"/>
              </w:rPr>
            </w:pPr>
            <w:r>
              <w:rPr>
                <w:rFonts w:ascii="Arial" w:cs="Arial" w:eastAsia="Arial" w:hAnsi="Arial"/>
                <w:sz w:val="10"/>
                <w:szCs w:val="10"/>
                <w:b w:val="1"/>
                <w:bCs w:val="1"/>
                <w:color w:val="auto"/>
                <w:w w:val="86"/>
              </w:rPr>
              <w:t>December 31,</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5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501"/>
              <w:spacing w:after="0" w:line="97" w:lineRule="exact"/>
              <w:rPr>
                <w:sz w:val="20"/>
                <w:szCs w:val="20"/>
                <w:color w:val="auto"/>
              </w:rPr>
            </w:pPr>
            <w:r>
              <w:rPr>
                <w:rFonts w:ascii="Arial" w:cs="Arial" w:eastAsia="Arial" w:hAnsi="Arial"/>
                <w:sz w:val="10"/>
                <w:szCs w:val="10"/>
                <w:b w:val="1"/>
                <w:bCs w:val="1"/>
                <w:color w:val="auto"/>
              </w:rPr>
              <w:t>2018</w:t>
            </w: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502"/>
              <w:spacing w:after="0" w:line="97"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center"/>
              <w:ind w:right="222"/>
              <w:spacing w:after="0" w:line="97" w:lineRule="exact"/>
              <w:rPr>
                <w:sz w:val="20"/>
                <w:szCs w:val="20"/>
                <w:color w:val="auto"/>
              </w:rPr>
            </w:pPr>
            <w:r>
              <w:rPr>
                <w:rFonts w:ascii="Arial" w:cs="Arial" w:eastAsia="Arial" w:hAnsi="Arial"/>
                <w:sz w:val="10"/>
                <w:szCs w:val="10"/>
                <w:b w:val="1"/>
                <w:bCs w:val="1"/>
                <w:color w:val="auto"/>
                <w:w w:val="80"/>
              </w:rPr>
              <w:t>2016</w:t>
            </w: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501"/>
              <w:spacing w:after="0" w:line="97" w:lineRule="exact"/>
              <w:rPr>
                <w:sz w:val="20"/>
                <w:szCs w:val="20"/>
                <w:color w:val="auto"/>
              </w:rPr>
            </w:pPr>
            <w:r>
              <w:rPr>
                <w:rFonts w:ascii="Arial" w:cs="Arial" w:eastAsia="Arial" w:hAnsi="Arial"/>
                <w:sz w:val="10"/>
                <w:szCs w:val="10"/>
                <w:b w:val="1"/>
                <w:bCs w:val="1"/>
                <w:color w:val="auto"/>
              </w:rPr>
              <w:t>2015</w:t>
            </w: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61"/>
              <w:spacing w:after="0" w:line="97" w:lineRule="exact"/>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7"/>
        </w:trPr>
        <w:tc>
          <w:tcPr>
            <w:tcW w:w="5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jc w:val="center"/>
              <w:ind w:right="202"/>
              <w:spacing w:after="0" w:line="97" w:lineRule="exact"/>
              <w:rPr>
                <w:sz w:val="20"/>
                <w:szCs w:val="20"/>
                <w:color w:val="auto"/>
              </w:rPr>
            </w:pPr>
            <w:r>
              <w:rPr>
                <w:rFonts w:ascii="Arial" w:cs="Arial" w:eastAsia="Arial" w:hAnsi="Arial"/>
                <w:sz w:val="10"/>
                <w:szCs w:val="10"/>
                <w:b w:val="1"/>
                <w:bCs w:val="1"/>
                <w:color w:val="auto"/>
                <w:w w:val="87"/>
              </w:rPr>
              <w:t>(In thousands)</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Sheet Data:</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71,157</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43,946</w:t>
            </w:r>
          </w:p>
        </w:tc>
        <w:tc>
          <w:tcPr>
            <w:tcW w:w="240" w:type="dxa"/>
            <w:vAlign w:val="bottom"/>
          </w:tcPr>
          <w:p>
            <w:pPr>
              <w:jc w:val="right"/>
              <w:ind w:right="24"/>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22,895</w:t>
            </w:r>
          </w:p>
        </w:tc>
        <w:tc>
          <w:tcPr>
            <w:tcW w:w="3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59,074</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120,841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Total assets</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107,705</w:t>
            </w: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84,575</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107,063</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126,412</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394,439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Facility financing obligation</w:t>
            </w:r>
          </w:p>
        </w:tc>
        <w:tc>
          <w:tcPr>
            <w:tcW w:w="220" w:type="dxa"/>
            <w:vAlign w:val="bottom"/>
          </w:tcPr>
          <w:p>
            <w:pPr>
              <w:spacing w:after="0"/>
              <w:rPr>
                <w:sz w:val="13"/>
                <w:szCs w:val="13"/>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11,298</w:t>
            </w:r>
          </w:p>
        </w:tc>
        <w:tc>
          <w:tcPr>
            <w:tcW w:w="340" w:type="dxa"/>
            <w:vAlign w:val="bottom"/>
          </w:tcPr>
          <w:p>
            <w:pPr>
              <w:spacing w:after="0"/>
              <w:rPr>
                <w:sz w:val="13"/>
                <w:szCs w:val="13"/>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52,745</w:t>
            </w:r>
          </w:p>
        </w:tc>
        <w:tc>
          <w:tcPr>
            <w:tcW w:w="24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71,339</w:t>
            </w:r>
          </w:p>
        </w:tc>
        <w:tc>
          <w:tcPr>
            <w:tcW w:w="3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74,582</w:t>
            </w: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72,995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Note payable to related party</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72,089</w:t>
            </w: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79,666</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49,521</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49,521</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49,521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Accrued interest — note payable to related party</w:t>
            </w:r>
          </w:p>
        </w:tc>
        <w:tc>
          <w:tcPr>
            <w:tcW w:w="220" w:type="dxa"/>
            <w:vAlign w:val="bottom"/>
          </w:tcPr>
          <w:p>
            <w:pPr>
              <w:spacing w:after="0"/>
              <w:rPr>
                <w:sz w:val="13"/>
                <w:szCs w:val="13"/>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6,835</w:t>
            </w:r>
          </w:p>
        </w:tc>
        <w:tc>
          <w:tcPr>
            <w:tcW w:w="340" w:type="dxa"/>
            <w:vAlign w:val="bottom"/>
          </w:tcPr>
          <w:p>
            <w:pPr>
              <w:spacing w:after="0"/>
              <w:rPr>
                <w:sz w:val="13"/>
                <w:szCs w:val="13"/>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2,347</w:t>
            </w:r>
          </w:p>
        </w:tc>
        <w:tc>
          <w:tcPr>
            <w:tcW w:w="24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9,281</w:t>
            </w:r>
          </w:p>
        </w:tc>
        <w:tc>
          <w:tcPr>
            <w:tcW w:w="3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6,380</w:t>
            </w: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3,486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Senior convertible notes</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19,099</w:t>
            </w: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24,411</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27,635</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27,613</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99,355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Sanofi loan facility and loss share obligation</w:t>
            </w:r>
          </w:p>
        </w:tc>
        <w:tc>
          <w:tcPr>
            <w:tcW w:w="220" w:type="dxa"/>
            <w:vAlign w:val="bottom"/>
          </w:tcPr>
          <w:p>
            <w:pPr>
              <w:spacing w:after="0"/>
              <w:rPr>
                <w:sz w:val="13"/>
                <w:szCs w:val="13"/>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62,371</w:t>
            </w: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3,034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Accumulated deficit</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(2,940,000)</w:t>
            </w: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(2,854,898)</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(2,737,565)</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(2,863,229)</w:t>
            </w:r>
          </w:p>
        </w:tc>
        <w:tc>
          <w:tcPr>
            <w:tcW w:w="3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(2,494,784)</w:t>
            </w:r>
          </w:p>
        </w:tc>
        <w:tc>
          <w:tcPr>
            <w:tcW w:w="20" w:type="dxa"/>
            <w:vAlign w:val="bottom"/>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Total stockholders’ deficit</w:t>
            </w:r>
          </w:p>
        </w:tc>
        <w:tc>
          <w:tcPr>
            <w:tcW w:w="220" w:type="dxa"/>
            <w:vAlign w:val="bottom"/>
          </w:tcPr>
          <w:p>
            <w:pPr>
              <w:spacing w:after="0"/>
              <w:rPr>
                <w:sz w:val="13"/>
                <w:szCs w:val="13"/>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(175,082)</w:t>
            </w:r>
          </w:p>
        </w:tc>
        <w:tc>
          <w:tcPr>
            <w:tcW w:w="340" w:type="dxa"/>
            <w:vAlign w:val="bottom"/>
          </w:tcPr>
          <w:p>
            <w:pPr>
              <w:spacing w:after="0"/>
              <w:rPr>
                <w:sz w:val="13"/>
                <w:szCs w:val="13"/>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(214,732)</w:t>
            </w:r>
          </w:p>
        </w:tc>
        <w:tc>
          <w:tcPr>
            <w:tcW w:w="240" w:type="dxa"/>
            <w:vAlign w:val="bottom"/>
          </w:tcPr>
          <w:p>
            <w:pPr>
              <w:spacing w:after="0"/>
              <w:rPr>
                <w:sz w:val="13"/>
                <w:szCs w:val="1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(183,593)</w:t>
            </w:r>
          </w:p>
        </w:tc>
        <w:tc>
          <w:tcPr>
            <w:tcW w:w="36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(350,329)</w:t>
            </w:r>
          </w:p>
        </w:tc>
        <w:tc>
          <w:tcPr>
            <w:tcW w:w="3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(73,770)</w:t>
            </w:r>
          </w:p>
        </w:tc>
        <w:tc>
          <w:tcPr>
            <w:tcW w:w="20" w:type="dxa"/>
            <w:vAlign w:val="bottom"/>
          </w:tcPr>
          <w:p>
            <w:pPr>
              <w:spacing w:after="0"/>
              <w:rPr>
                <w:sz w:val="13"/>
                <w:szCs w:val="13"/>
                <w:color w:val="auto"/>
              </w:rPr>
            </w:pPr>
          </w:p>
        </w:tc>
      </w:tr>
      <w:tr>
        <w:trPr>
          <w:trHeight w:val="594"/>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81"/>
              <w:spacing w:after="0"/>
              <w:rPr>
                <w:sz w:val="20"/>
                <w:szCs w:val="20"/>
                <w:color w:val="auto"/>
              </w:rPr>
            </w:pPr>
            <w:r>
              <w:rPr>
                <w:rFonts w:ascii="Arial" w:cs="Arial" w:eastAsia="Arial" w:hAnsi="Arial"/>
                <w:sz w:val="12"/>
                <w:szCs w:val="12"/>
                <w:color w:val="auto"/>
              </w:rPr>
              <w:t>38</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52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19" w:right="17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 xml:space="preserve">Item 7.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The following discussion of our financial condition and results of operations should be read in conjunction with our consolidated financial statements and notes thereto included in this Annual Report on Form 10-K.</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right="260" w:firstLine="488"/>
        <w:spacing w:after="0" w:line="263" w:lineRule="auto"/>
        <w:rPr>
          <w:sz w:val="20"/>
          <w:szCs w:val="20"/>
          <w:color w:val="auto"/>
        </w:rPr>
      </w:pPr>
      <w:r>
        <w:rPr>
          <w:rFonts w:ascii="Arial" w:cs="Arial" w:eastAsia="Arial" w:hAnsi="Arial"/>
          <w:sz w:val="12"/>
          <w:szCs w:val="12"/>
          <w:color w:val="auto"/>
        </w:rPr>
        <w:t>We are a biopharmaceutical company focused on the development and commercialization of inhaled therapeutic products for patients with diseases such as diabetes and pulmonary arterial hypertension. Our only approved product, Afrezza, is a rapid-acting inhaled insulin that was approved by the FDA in June 2014 to improve glycemic control in adult patients with diabetes. Afrezza became available by prescription in United States retail pharmacies in February 2015.</w:t>
      </w:r>
    </w:p>
    <w:p>
      <w:pPr>
        <w:spacing w:after="0" w:line="141" w:lineRule="exact"/>
        <w:rPr>
          <w:sz w:val="20"/>
          <w:szCs w:val="20"/>
          <w:color w:val="auto"/>
        </w:rPr>
      </w:pPr>
    </w:p>
    <w:p>
      <w:pPr>
        <w:ind w:right="20" w:firstLine="488"/>
        <w:spacing w:after="0" w:line="255" w:lineRule="auto"/>
        <w:rPr>
          <w:sz w:val="20"/>
          <w:szCs w:val="20"/>
          <w:color w:val="auto"/>
        </w:rPr>
      </w:pPr>
      <w:r>
        <w:rPr>
          <w:rFonts w:ascii="Arial" w:cs="Arial" w:eastAsia="Arial" w:hAnsi="Arial"/>
          <w:sz w:val="12"/>
          <w:szCs w:val="12"/>
          <w:color w:val="auto"/>
        </w:rPr>
        <w:t>As of December 31, 2018, we had an accumulated deficit of $2.9 billion and a stockholders’ deficit of $175.1 million. We had net income (losses) of approximately $(87.0) million, $(117.3) million and $125.7 million in the years ended December 31, 2018, 2017 and 2016, respectively. We have funded our operations primarily through the sale of equity securities and convertible debt securities, borrowings under The Mann Group Loan Arrangement, receipt of a $45.0 million upfront payment under the UT License Agreement, receipt of upfront and milestone payments under the Sanofi License Agreement and borrowings under a senior secured revolving promissory note and a guaranty and security agreement that we entered into with an affiliate of Sanofi in September 2014 in connection with the Sanofi License Agreement (the “Sanofi Loan Facility”), which provided us with a secured loan facility of up to $175.0 million to fund our share of net losses under the Sanofi License Agreement, which was terminated in 2016. As discussed below in “Liquidity and Capital Resources”, if we are unable to obtain additional funding, there is substantial doubt about our ability to continue as a going concern.</w:t>
      </w:r>
    </w:p>
    <w:p>
      <w:pPr>
        <w:spacing w:after="0" w:line="129" w:lineRule="exact"/>
        <w:rPr>
          <w:sz w:val="20"/>
          <w:szCs w:val="20"/>
          <w:color w:val="auto"/>
        </w:rPr>
      </w:pPr>
    </w:p>
    <w:p>
      <w:pPr>
        <w:ind w:right="80" w:firstLine="488"/>
        <w:spacing w:after="0" w:line="263" w:lineRule="auto"/>
        <w:rPr>
          <w:sz w:val="20"/>
          <w:szCs w:val="20"/>
          <w:color w:val="auto"/>
        </w:rPr>
      </w:pPr>
      <w:r>
        <w:rPr>
          <w:rFonts w:ascii="Arial" w:cs="Arial" w:eastAsia="Arial" w:hAnsi="Arial"/>
          <w:sz w:val="12"/>
          <w:szCs w:val="12"/>
          <w:color w:val="auto"/>
        </w:rPr>
        <w:t>Our business is subject to significant risks, including but not limited to our need to raise additional capital to fund our operations, our ability to successfully commercialize Afrezza and manufacture sufficient quantities of Afrezza, competition from other products and technologies and uncertainties associated with obtaining and enforcing patent rights. Additional significant risks include the risks inherent in clinical trials and the regulatory approval process for our product candidates, which in some cases depends upon the efforts of our partners.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82" w:lineRule="exact"/>
        <w:rPr>
          <w:sz w:val="20"/>
          <w:szCs w:val="20"/>
          <w:color w:val="auto"/>
        </w:rPr>
      </w:pPr>
    </w:p>
    <w:p>
      <w:pPr>
        <w:ind w:right="80" w:firstLine="488"/>
        <w:spacing w:after="0" w:line="255" w:lineRule="auto"/>
        <w:rPr>
          <w:sz w:val="20"/>
          <w:szCs w:val="20"/>
          <w:color w:val="auto"/>
        </w:rPr>
      </w:pPr>
      <w:r>
        <w:rPr>
          <w:rFonts w:ascii="Arial" w:cs="Arial" w:eastAsia="Arial" w:hAnsi="Arial"/>
          <w:sz w:val="12"/>
          <w:szCs w:val="12"/>
          <w:color w:val="auto"/>
        </w:rPr>
        <w:t>The preparation of our consolidated financial statements is in accordance with accounting principles generally accepted in the United States of America (GAAP).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9" w:lineRule="exact"/>
        <w:rPr>
          <w:sz w:val="20"/>
          <w:szCs w:val="20"/>
          <w:color w:val="auto"/>
        </w:rPr>
      </w:pPr>
    </w:p>
    <w:p>
      <w:pPr>
        <w:ind w:right="40" w:firstLine="488"/>
        <w:spacing w:after="0" w:line="298" w:lineRule="auto"/>
        <w:rPr>
          <w:sz w:val="20"/>
          <w:szCs w:val="20"/>
          <w:color w:val="auto"/>
        </w:rPr>
      </w:pPr>
      <w:r>
        <w:rPr>
          <w:rFonts w:ascii="Arial" w:cs="Arial" w:eastAsia="Arial" w:hAnsi="Arial"/>
          <w:sz w:val="11"/>
          <w:szCs w:val="11"/>
          <w:color w:val="auto"/>
        </w:rPr>
        <w:t>We consider our critical accounting policies to be those related to revenue recognition and gross-to-net adjustments, inventory costing and recoverability, recognized loss on purchase commitments, impairment of long-lived assets, milestone rights liability, clinical trial expenses, stock-based compensation and accounting for income taxes. These critical accounting policies are also considered significant accounting policies and are more fully described in Note 2 — Summary of Significant Accounting Policies of the Notes to Consolidated Financial Statements included in Part II, Item 8 — Financial Statements and Supplementary Data.</w:t>
      </w:r>
    </w:p>
    <w:p>
      <w:pPr>
        <w:spacing w:after="0" w:line="105" w:lineRule="exact"/>
        <w:rPr>
          <w:sz w:val="20"/>
          <w:szCs w:val="20"/>
          <w:color w:val="auto"/>
        </w:rPr>
      </w:pPr>
    </w:p>
    <w:p>
      <w:pPr>
        <w:jc w:val="both"/>
        <w:ind w:right="340" w:firstLine="488"/>
        <w:spacing w:after="0" w:line="340" w:lineRule="auto"/>
        <w:rPr>
          <w:sz w:val="20"/>
          <w:szCs w:val="20"/>
          <w:color w:val="auto"/>
        </w:rPr>
      </w:pPr>
      <w:r>
        <w:rPr>
          <w:rFonts w:ascii="Arial" w:cs="Arial" w:eastAsia="Arial" w:hAnsi="Arial"/>
          <w:sz w:val="10"/>
          <w:szCs w:val="10"/>
          <w:b w:val="1"/>
          <w:bCs w:val="1"/>
          <w:i w:val="1"/>
          <w:iCs w:val="1"/>
          <w:color w:val="auto"/>
        </w:rPr>
        <w:t xml:space="preserve">Revenue Recognition – Net Revenue – Commercial Product Sales – </w:t>
      </w:r>
      <w:r>
        <w:rPr>
          <w:rFonts w:ascii="Arial" w:cs="Arial" w:eastAsia="Arial" w:hAnsi="Arial"/>
          <w:sz w:val="10"/>
          <w:szCs w:val="10"/>
          <w:color w:val="auto"/>
        </w:rPr>
        <w:t>On January 1, 2018, we adopoted Accounting Standards Codification (“ASC”) Topic 606 - Revenue from Contracts with Customers (“the new revenue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guidance”). We recognize revenue on product sales when the Customer obtains control of the Company's product, in an amount that reflects the consideration which the Company expects to be entitled in exchange for those goods or services. Product revenues are recorded net of applicable reserves for variable consideration, including discounts, rebates, allowances and fees. For further detail refer to Note 2 – Summary of Significant Accounting Policies.</w:t>
      </w:r>
    </w:p>
    <w:p>
      <w:pPr>
        <w:spacing w:after="0" w:line="88" w:lineRule="exact"/>
        <w:rPr>
          <w:sz w:val="20"/>
          <w:szCs w:val="20"/>
          <w:color w:val="auto"/>
        </w:rPr>
      </w:pPr>
    </w:p>
    <w:p>
      <w:pPr>
        <w:ind w:firstLine="488"/>
        <w:spacing w:after="0" w:line="281" w:lineRule="auto"/>
        <w:rPr>
          <w:sz w:val="20"/>
          <w:szCs w:val="20"/>
          <w:color w:val="auto"/>
        </w:rPr>
      </w:pPr>
      <w:r>
        <w:rPr>
          <w:rFonts w:ascii="Arial" w:cs="Arial" w:eastAsia="Arial" w:hAnsi="Arial"/>
          <w:sz w:val="11"/>
          <w:szCs w:val="11"/>
          <w:color w:val="auto"/>
        </w:rPr>
        <w:t>Prior to Janaury 1, 2018, we invoiced our customers upon shipment of Afrezza to them and record an accounts receivable, with a corresponding liability for deferred revenue equal to the gross invoice price net of estimated gross-to-net adjustments. We were required to reliably estimate returns in a very narrow range in order to recognize revenue upon shipment. While we can currently estimate returns within a range, it is not sufficiently precise to meet the requirements. Accordingly, we defered recognition of revenue and the related estimated discounts and allowances on Afrezza product shipments until the right of return no longer existed, which occurs at the earlier of the time Afrezza is dispensed through patient prescriptions or expiration of the right of return. Through December 31, 2017, we recognized revenue based on Afrezza prescriptions dispensed, as estimated by syndicated data provided by a third party. We also analyzed additional data points to ensure that such third-party data is reasonable, including data related to inventory movements within the channel and ongoing prescription demand. In addition, the costs of Afrezza associated with the deferred revenue were recorded as deferred costs until such time as the related deferred revenue is recognized. As of December 31, 2017, prior to the adoption of Topic 606, the ending balance for net deferred revenue, was $3.0 million on the Company’s consolidated balance sheets, which is presented net of $1.5 million in gross-to-net revenue adjustments.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42" w:name="page43"/>
    <w:bookmarkEnd w:id="42"/>
    <w:p>
      <w:pPr>
        <w:ind w:right="20" w:firstLine="488"/>
        <w:spacing w:after="0" w:line="313" w:lineRule="auto"/>
        <w:rPr>
          <w:sz w:val="20"/>
          <w:szCs w:val="20"/>
          <w:color w:val="auto"/>
        </w:rPr>
      </w:pPr>
      <w:r>
        <w:rPr>
          <w:rFonts w:ascii="Arial" w:cs="Arial" w:eastAsia="Arial" w:hAnsi="Arial"/>
          <w:sz w:val="10"/>
          <w:szCs w:val="10"/>
          <w:b w:val="1"/>
          <w:bCs w:val="1"/>
          <w:i w:val="1"/>
          <w:iCs w:val="1"/>
          <w:color w:val="auto"/>
        </w:rPr>
        <w:t xml:space="preserve">Revenue Recognition – Collaborations and Services </w:t>
      </w:r>
      <w:r>
        <w:rPr>
          <w:rFonts w:ascii="Arial" w:cs="Arial" w:eastAsia="Arial" w:hAnsi="Arial"/>
          <w:sz w:val="10"/>
          <w:szCs w:val="10"/>
          <w:color w:val="auto"/>
        </w:rPr>
        <w:t>— We enter into licensing or research agreements under which we license certain rights to our product candidates to third parties or provide research services to third-parties.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The terms of these arrangements may include but are not limited to, payment to us of one or more of the following: nonrefundable, up-front license fees; development, regulatory, and commercial milestone payments; payments for manufacturing supply services we provide; and royalties on net sales of licensed products and sublicenses of the rights.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development timelines, reimbursement rates for personnel costs, discount rates, and probabilities of technical and regulatory success. Given that significant estimates depend on the development plan, these estimates could change and impact the revenue recognition. Consideration received that does not meet the requirements to satisfy the revenue recognition criteria is recorded as deferred revenue in the accompanying consolidated balance sheets based on our best estimate of when such revenue will be recognized. Current deferred revenue consists of amounts that are expected to be recognized as revenue in the next 12 months. Amounts that we expect will not be recognized within the next 12 months are classified as long-term deferred revenue.</w:t>
      </w:r>
    </w:p>
    <w:p>
      <w:pPr>
        <w:spacing w:after="0" w:line="103" w:lineRule="exact"/>
        <w:rPr>
          <w:sz w:val="20"/>
          <w:szCs w:val="20"/>
          <w:color w:val="auto"/>
        </w:rPr>
      </w:pPr>
    </w:p>
    <w:p>
      <w:pPr>
        <w:ind w:right="60" w:firstLine="488"/>
        <w:spacing w:after="0" w:line="290" w:lineRule="auto"/>
        <w:rPr>
          <w:sz w:val="20"/>
          <w:szCs w:val="20"/>
          <w:color w:val="auto"/>
        </w:rPr>
      </w:pPr>
      <w:r>
        <w:rPr>
          <w:rFonts w:ascii="Arial" w:cs="Arial" w:eastAsia="Arial" w:hAnsi="Arial"/>
          <w:sz w:val="11"/>
          <w:szCs w:val="11"/>
          <w:b w:val="1"/>
          <w:bCs w:val="1"/>
          <w:i w:val="1"/>
          <w:iCs w:val="1"/>
          <w:color w:val="auto"/>
        </w:rPr>
        <w:t xml:space="preserve">Inventory Costing and Recoverability </w:t>
      </w:r>
      <w:r>
        <w:rPr>
          <w:rFonts w:ascii="Arial" w:cs="Arial" w:eastAsia="Arial" w:hAnsi="Arial"/>
          <w:sz w:val="11"/>
          <w:szCs w:val="11"/>
          <w:color w:val="auto"/>
        </w:rPr>
        <w:t>— We determine the cost of inventory using the first-in, first-out or FIFO method. We capitalize inventory costs associated with our product’s based on judgement that future economic</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benefits are expected to be realized. Inventories are stated at the lower of cost or net realizable value. We analyzed our inventory levels to identify inventory that may expire or has a cost basis in excess of its estimated realizable value. We performed an assessment of projected sales to evaluate the lower of cost or net realizable value and the potential excess inventory on hand at December 31, 2018, 2017 and 2016. As a result of these assessments, we recorded inventory write-offs of $2.2 million and $3.0 million in the years ended December 31, 2018 and 2017, respectively. There were no write-offs for the year ended December 31, 2016.</w:t>
      </w:r>
    </w:p>
    <w:p>
      <w:pPr>
        <w:spacing w:after="0" w:line="109" w:lineRule="exact"/>
        <w:rPr>
          <w:sz w:val="20"/>
          <w:szCs w:val="20"/>
          <w:color w:val="auto"/>
        </w:rPr>
      </w:pPr>
    </w:p>
    <w:p>
      <w:pPr>
        <w:ind w:right="80" w:firstLine="488"/>
        <w:spacing w:after="0" w:line="263" w:lineRule="auto"/>
        <w:rPr>
          <w:sz w:val="20"/>
          <w:szCs w:val="20"/>
          <w:color w:val="auto"/>
        </w:rPr>
      </w:pPr>
      <w:r>
        <w:rPr>
          <w:rFonts w:ascii="Arial" w:cs="Arial" w:eastAsia="Arial" w:hAnsi="Arial"/>
          <w:sz w:val="12"/>
          <w:szCs w:val="12"/>
          <w:b w:val="1"/>
          <w:bCs w:val="1"/>
          <w:i w:val="1"/>
          <w:iCs w:val="1"/>
          <w:color w:val="auto"/>
        </w:rPr>
        <w:t xml:space="preserve">Recognized Loss on Purchase Commitments </w:t>
      </w:r>
      <w:r>
        <w:rPr>
          <w:rFonts w:ascii="Arial" w:cs="Arial" w:eastAsia="Arial" w:hAnsi="Arial"/>
          <w:sz w:val="12"/>
          <w:szCs w:val="12"/>
          <w:color w:val="auto"/>
        </w:rPr>
        <w:t>— We assess whether losses on long term purchase commitments should be accrued. Losses that are expected to arise from firm, non-cancellable, commitments for future purchases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inventory items are recognized unless recoverable. The loss on the purchase commitment balance is reduced as material is received. The balance of recognized loss on purchase commitments is primarily associated with insulin purchases. As of December 31, 2018 and 2017 the balance was $98.3 million and $109.3 million, respectively.</w:t>
      </w:r>
    </w:p>
    <w:p>
      <w:pPr>
        <w:spacing w:after="0" w:line="123" w:lineRule="exact"/>
        <w:rPr>
          <w:sz w:val="20"/>
          <w:szCs w:val="20"/>
          <w:color w:val="auto"/>
        </w:rPr>
      </w:pPr>
    </w:p>
    <w:p>
      <w:pPr>
        <w:jc w:val="both"/>
        <w:ind w:firstLine="488"/>
        <w:spacing w:after="0" w:line="263" w:lineRule="auto"/>
        <w:rPr>
          <w:sz w:val="20"/>
          <w:szCs w:val="20"/>
          <w:color w:val="auto"/>
        </w:rPr>
      </w:pPr>
      <w:r>
        <w:rPr>
          <w:rFonts w:ascii="Arial" w:cs="Arial" w:eastAsia="Arial" w:hAnsi="Arial"/>
          <w:sz w:val="12"/>
          <w:szCs w:val="12"/>
          <w:b w:val="1"/>
          <w:bCs w:val="1"/>
          <w:i w:val="1"/>
          <w:iCs w:val="1"/>
          <w:color w:val="auto"/>
        </w:rPr>
        <w:t xml:space="preserve">Impairment of Long-Lived Assets </w:t>
      </w:r>
      <w:r>
        <w:rPr>
          <w:rFonts w:ascii="Arial" w:cs="Arial" w:eastAsia="Arial" w:hAnsi="Arial"/>
          <w:sz w:val="12"/>
          <w:szCs w:val="12"/>
          <w:color w:val="auto"/>
        </w:rPr>
        <w:t>— We evaluate long lived assets for impairment at least on a quarterly basis and whenever events or changes in circumstances indicate that the carrying value of an asset may not be recoverable.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 impairment loss would be indicated when estimated undiscounted future cash flows from the use and eventual disposition of an asset group, which are identifiable and largely independent of the cash flows of other asset groups, are less than the carrying amount of the asset group.</w:t>
      </w:r>
    </w:p>
    <w:p>
      <w:pPr>
        <w:spacing w:after="0" w:line="123" w:lineRule="exact"/>
        <w:rPr>
          <w:sz w:val="20"/>
          <w:szCs w:val="20"/>
          <w:color w:val="auto"/>
        </w:rPr>
      </w:pPr>
    </w:p>
    <w:p>
      <w:pPr>
        <w:ind w:right="160" w:firstLine="488"/>
        <w:spacing w:after="0" w:line="323" w:lineRule="auto"/>
        <w:rPr>
          <w:sz w:val="20"/>
          <w:szCs w:val="20"/>
          <w:color w:val="auto"/>
        </w:rPr>
      </w:pPr>
      <w:r>
        <w:rPr>
          <w:rFonts w:ascii="Arial" w:cs="Arial" w:eastAsia="Arial" w:hAnsi="Arial"/>
          <w:sz w:val="11"/>
          <w:szCs w:val="11"/>
          <w:color w:val="auto"/>
        </w:rPr>
        <w:t>In connection with our quarterly assessment of impairment indicators, we recorded no impairments for the year ended December 31, 2018. We recorded $0.2 million and $1.2 million for the year ended December 31, 2017 and 2016, respectively. For further information see Note 4 — Property and Equipment of the Notes to Consolidated Financial Statements included in “Part II, Item 8 — Financial Statements and Supplementary Data”.</w:t>
      </w:r>
    </w:p>
    <w:p>
      <w:pPr>
        <w:spacing w:after="0" w:line="92" w:lineRule="exact"/>
        <w:rPr>
          <w:sz w:val="20"/>
          <w:szCs w:val="20"/>
          <w:color w:val="auto"/>
        </w:rPr>
      </w:pPr>
    </w:p>
    <w:p>
      <w:pPr>
        <w:ind w:firstLine="488"/>
        <w:spacing w:after="0" w:line="258" w:lineRule="auto"/>
        <w:rPr>
          <w:sz w:val="20"/>
          <w:szCs w:val="20"/>
          <w:color w:val="auto"/>
        </w:rPr>
      </w:pPr>
      <w:r>
        <w:rPr>
          <w:rFonts w:ascii="Arial" w:cs="Arial" w:eastAsia="Arial" w:hAnsi="Arial"/>
          <w:sz w:val="12"/>
          <w:szCs w:val="12"/>
          <w:b w:val="1"/>
          <w:bCs w:val="1"/>
          <w:i w:val="1"/>
          <w:iCs w:val="1"/>
          <w:color w:val="auto"/>
        </w:rPr>
        <w:t xml:space="preserve">Milestone Rights Liability </w:t>
      </w:r>
      <w:r>
        <w:rPr>
          <w:rFonts w:ascii="Arial" w:cs="Arial" w:eastAsia="Arial" w:hAnsi="Arial"/>
          <w:sz w:val="12"/>
          <w:szCs w:val="12"/>
          <w:color w:val="auto"/>
        </w:rPr>
        <w:t>— In connection with the execution of the Facility Agreement, we also entered into the Milestone Agreement which requires the Company to make contingent payments to the Milestone Purchasers,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totaling up to $90.0 million, of which $75.0 million remain payable as of December 31, 2018, upon the Company achieving specified commercialization milestones (the “Milestone Rights”). We evaluated the Milestone Rights and determined that such rights do not meet the definition of a freestanding derivative. Since we have elected not to apply the fair value option, we recorded the rights at the initial fair value. Upon the achievement of a milestone event, the milestone payment will be allocated between (i) a reduction of the initial liability and (ii) a return on investment and the gain or loss is recognized at the time the milestone event is achieved.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w:t>
      </w:r>
    </w:p>
    <w:p>
      <w:pPr>
        <w:spacing w:after="0" w:line="128" w:lineRule="exact"/>
        <w:rPr>
          <w:sz w:val="20"/>
          <w:szCs w:val="20"/>
          <w:color w:val="auto"/>
        </w:rPr>
      </w:pPr>
    </w:p>
    <w:p>
      <w:pPr>
        <w:ind w:right="20" w:firstLine="488"/>
        <w:spacing w:after="0" w:line="320" w:lineRule="auto"/>
        <w:rPr>
          <w:sz w:val="20"/>
          <w:szCs w:val="20"/>
          <w:color w:val="auto"/>
        </w:rPr>
      </w:pPr>
      <w:r>
        <w:rPr>
          <w:rFonts w:ascii="Arial" w:cs="Arial" w:eastAsia="Arial" w:hAnsi="Arial"/>
          <w:sz w:val="10"/>
          <w:szCs w:val="10"/>
          <w:b w:val="1"/>
          <w:bCs w:val="1"/>
          <w:i w:val="1"/>
          <w:iCs w:val="1"/>
          <w:color w:val="auto"/>
        </w:rPr>
        <w:t xml:space="preserve">Clinical Trial Expenses </w:t>
      </w:r>
      <w:r>
        <w:rPr>
          <w:rFonts w:ascii="Arial" w:cs="Arial" w:eastAsia="Arial" w:hAnsi="Arial"/>
          <w:sz w:val="10"/>
          <w:szCs w:val="10"/>
          <w:color w:val="auto"/>
        </w:rPr>
        <w:t>— Our clinical trial accrual process seeks to account for expenses resulting from our obligations under contract with vendors, consultants, and clinical site agreements in connection with conducting</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98" w:lineRule="exact"/>
        <w:rPr>
          <w:sz w:val="20"/>
          <w:szCs w:val="20"/>
          <w:color w:val="auto"/>
        </w:rPr>
      </w:pPr>
    </w:p>
    <w:p>
      <w:pPr>
        <w:ind w:right="160" w:firstLine="488"/>
        <w:spacing w:after="0" w:line="276" w:lineRule="auto"/>
        <w:rPr>
          <w:sz w:val="20"/>
          <w:szCs w:val="20"/>
          <w:color w:val="auto"/>
        </w:rPr>
      </w:pPr>
      <w:r>
        <w:rPr>
          <w:rFonts w:ascii="Arial" w:cs="Arial" w:eastAsia="Arial" w:hAnsi="Arial"/>
          <w:sz w:val="12"/>
          <w:szCs w:val="12"/>
          <w:color w:val="auto"/>
        </w:rPr>
        <w:t>Although we do not expect our estimates to be materially different from amounts actually incurred, our understanding of the status and timing of services performed relative to the actual status and timing of services performed may vary and may result in our reporting amounts that are too high or too low for any particular period.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43" w:name="page44"/>
    <w:bookmarkEnd w:id="43"/>
    <w:p>
      <w:pPr>
        <w:ind w:right="100" w:firstLine="488"/>
        <w:spacing w:after="0" w:line="327" w:lineRule="auto"/>
        <w:rPr>
          <w:sz w:val="20"/>
          <w:szCs w:val="20"/>
          <w:color w:val="auto"/>
        </w:rPr>
      </w:pPr>
      <w:r>
        <w:rPr>
          <w:rFonts w:ascii="Arial" w:cs="Arial" w:eastAsia="Arial" w:hAnsi="Arial"/>
          <w:sz w:val="10"/>
          <w:szCs w:val="10"/>
          <w:b w:val="1"/>
          <w:bCs w:val="1"/>
          <w:i w:val="1"/>
          <w:iCs w:val="1"/>
          <w:color w:val="auto"/>
        </w:rPr>
        <w:t xml:space="preserve">Stock-Based Compensation </w:t>
      </w:r>
      <w:r>
        <w:rPr>
          <w:rFonts w:ascii="Arial" w:cs="Arial" w:eastAsia="Arial" w:hAnsi="Arial"/>
          <w:sz w:val="10"/>
          <w:szCs w:val="10"/>
          <w:color w:val="auto"/>
        </w:rPr>
        <w:t>— Share-based payments to employees, including grants of stock options, restricted stock units, performance-based awards and the compensatory elements of employee stock purchase plans, are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recognized in the consolidated statements of operations based upon the fair value of the awards at the grant date subject to an estimated forfeiture rate. We use the Black-Scholes option valuation model to estimate the grant date fair value of employee stock options and the compensatory elements of employee stock purchase plans. Restricted stock units are valued based on the market price on the grant date. We evaluate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94" w:lineRule="exact"/>
        <w:rPr>
          <w:sz w:val="20"/>
          <w:szCs w:val="20"/>
          <w:color w:val="auto"/>
        </w:rPr>
      </w:pPr>
    </w:p>
    <w:p>
      <w:pPr>
        <w:ind w:firstLine="488"/>
        <w:spacing w:after="0" w:line="257" w:lineRule="auto"/>
        <w:rPr>
          <w:sz w:val="20"/>
          <w:szCs w:val="20"/>
          <w:color w:val="auto"/>
        </w:rPr>
      </w:pPr>
      <w:r>
        <w:rPr>
          <w:rFonts w:ascii="Arial" w:cs="Arial" w:eastAsia="Arial" w:hAnsi="Arial"/>
          <w:sz w:val="12"/>
          <w:szCs w:val="12"/>
          <w:b w:val="1"/>
          <w:bCs w:val="1"/>
          <w:i w:val="1"/>
          <w:iCs w:val="1"/>
          <w:color w:val="auto"/>
        </w:rPr>
        <w:t xml:space="preserve">Accounting for Income Taxes </w:t>
      </w:r>
      <w:r>
        <w:rPr>
          <w:rFonts w:ascii="Arial" w:cs="Arial" w:eastAsia="Arial" w:hAnsi="Arial"/>
          <w:sz w:val="12"/>
          <w:szCs w:val="12"/>
          <w:color w:val="auto"/>
        </w:rPr>
        <w:t>— Our management must make judgments when determining our provision for income taxes, our deferred tax assets and liabilities and any valuation allowance recorded against our net deferred tax</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At December 31, 2018 and December 31, 2017, respectively, we had established a valuation allowance of $665.4 million and $654.3 million against all of our net deferred tax asset balances,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26" w:lineRule="exact"/>
        <w:rPr>
          <w:sz w:val="20"/>
          <w:szCs w:val="20"/>
          <w:color w:val="auto"/>
        </w:rPr>
      </w:pPr>
    </w:p>
    <w:p>
      <w:pPr>
        <w:ind w:right="80" w:firstLine="488"/>
        <w:spacing w:after="0" w:line="255" w:lineRule="auto"/>
        <w:rPr>
          <w:sz w:val="20"/>
          <w:szCs w:val="20"/>
          <w:color w:val="auto"/>
        </w:rPr>
      </w:pPr>
      <w:r>
        <w:rPr>
          <w:rFonts w:ascii="Arial" w:cs="Arial" w:eastAsia="Arial" w:hAnsi="Arial"/>
          <w:sz w:val="12"/>
          <w:szCs w:val="12"/>
          <w:color w:val="auto"/>
        </w:rPr>
        <w:t>On December 22, 2017, the Tax Cuts and Jobs Act of 2017 (the “Act”) was signed into law making significant changes to the Internal Revenue Code of 1986, as amended. The changes include, but are not limited to, a corporate tax rate decrease from 35% to 21% effective for tax years beginning after December 31, 2017, a one-time transition tax on the mandatory deemed repatriation of cumulative foreign earnings as of December 31, 2017, and expanded limits on employee remuneration. In 2017, we recorded provisional amounts for certain enactment-date effects of the Act by applying the guidance in SAB 118 because we had not yet completed our enactment-date accounting for these effects. In 2018 and 2017, we did not record tax expense related to the enactment-date effects of the Act as we maintained a full valuation allowance and we estimated a deficit in post-1986 earnings and profits from its foreign subsidiaries. At December 31, 2018, we have now completed the accounting for all of the enactment-date income tax effects of the Act. During 2018, we did not recognize adjustments to the provisional amounts recorded at December 31, 2017 as all changes were off-set by the valuation allowance.</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Years ended December 31, 2018 and 2017</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Revenues</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a comparison of the revenue categories for the years ended December 31, 2018 and 2017 (dollars in thousands):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0"/>
                <w:szCs w:val="10"/>
                <w:b w:val="1"/>
                <w:bCs w:val="1"/>
                <w:color w:val="auto"/>
                <w:w w:val="86"/>
              </w:rPr>
              <w:t>Year Ended December 31,</w:t>
            </w: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8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4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2018</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880" w:type="dxa"/>
            <w:vAlign w:val="bottom"/>
            <w:gridSpan w:val="2"/>
          </w:tcPr>
          <w:p>
            <w:pPr>
              <w:jc w:val="right"/>
              <w:ind w:right="560"/>
              <w:spacing w:after="0" w:line="97" w:lineRule="exact"/>
              <w:rPr>
                <w:sz w:val="20"/>
                <w:szCs w:val="20"/>
                <w:color w:val="auto"/>
              </w:rPr>
            </w:pPr>
            <w:r>
              <w:rPr>
                <w:rFonts w:ascii="Arial" w:cs="Arial" w:eastAsia="Arial" w:hAnsi="Arial"/>
                <w:sz w:val="10"/>
                <w:szCs w:val="10"/>
                <w:b w:val="1"/>
                <w:bCs w:val="1"/>
                <w:color w:val="auto"/>
                <w:w w:val="81"/>
              </w:rPr>
              <w:t>Change</w:t>
            </w:r>
          </w:p>
        </w:tc>
        <w:tc>
          <w:tcPr>
            <w:tcW w:w="1060" w:type="dxa"/>
            <w:vAlign w:val="bottom"/>
          </w:tcPr>
          <w:p>
            <w:pPr>
              <w:ind w:left="300"/>
              <w:spacing w:after="0" w:line="97" w:lineRule="exact"/>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revenue - commercial product sales:</w:t>
            </w:r>
          </w:p>
        </w:tc>
        <w:tc>
          <w:tcPr>
            <w:tcW w:w="15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0" w:type="dxa"/>
            <w:vAlign w:val="bottom"/>
          </w:tcPr>
          <w:p>
            <w:pPr>
              <w:ind w:left="180"/>
              <w:spacing w:after="0"/>
              <w:rPr>
                <w:sz w:val="20"/>
                <w:szCs w:val="20"/>
                <w:color w:val="auto"/>
              </w:rPr>
            </w:pPr>
            <w:r>
              <w:rPr>
                <w:rFonts w:ascii="Arial" w:cs="Arial" w:eastAsia="Arial" w:hAnsi="Arial"/>
                <w:sz w:val="12"/>
                <w:szCs w:val="12"/>
                <w:color w:val="auto"/>
              </w:rPr>
              <w:t>Gross revenue from product sales</w:t>
            </w:r>
          </w:p>
        </w:tc>
        <w:tc>
          <w:tcPr>
            <w:tcW w:w="2160" w:type="dxa"/>
            <w:vAlign w:val="bottom"/>
            <w:gridSpan w:val="2"/>
          </w:tcPr>
          <w:p>
            <w:pPr>
              <w:jc w:val="right"/>
              <w:ind w:right="532"/>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97"/>
              </w:rPr>
              <w:t>30,242</w:t>
            </w:r>
          </w:p>
        </w:tc>
        <w:tc>
          <w:tcPr>
            <w:tcW w:w="220" w:type="dxa"/>
            <w:vAlign w:val="bottom"/>
          </w:tcPr>
          <w:p>
            <w:pPr>
              <w:spacing w:after="0"/>
              <w:rPr>
                <w:sz w:val="13"/>
                <w:szCs w:val="13"/>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12,572</w:t>
            </w:r>
          </w:p>
        </w:tc>
        <w:tc>
          <w:tcPr>
            <w:tcW w:w="240" w:type="dxa"/>
            <w:vAlign w:val="bottom"/>
          </w:tcPr>
          <w:p>
            <w:pPr>
              <w:spacing w:after="0"/>
              <w:rPr>
                <w:sz w:val="13"/>
                <w:szCs w:val="13"/>
                <w:color w:val="auto"/>
              </w:rPr>
            </w:pP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17,670</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340"/>
              <w:spacing w:after="0"/>
              <w:rPr>
                <w:sz w:val="20"/>
                <w:szCs w:val="20"/>
                <w:color w:val="auto"/>
              </w:rPr>
            </w:pPr>
            <w:r>
              <w:rPr>
                <w:rFonts w:ascii="Arial" w:cs="Arial" w:eastAsia="Arial" w:hAnsi="Arial"/>
                <w:sz w:val="12"/>
                <w:szCs w:val="12"/>
                <w:color w:val="auto"/>
              </w:rPr>
              <w:t>Wholesaler distribution fees, rebates and</w:t>
            </w:r>
          </w:p>
        </w:tc>
        <w:tc>
          <w:tcPr>
            <w:tcW w:w="15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420"/>
              <w:spacing w:after="0"/>
              <w:rPr>
                <w:sz w:val="20"/>
                <w:szCs w:val="20"/>
                <w:color w:val="auto"/>
              </w:rPr>
            </w:pPr>
            <w:r>
              <w:rPr>
                <w:rFonts w:ascii="Arial" w:cs="Arial" w:eastAsia="Arial" w:hAnsi="Arial"/>
                <w:sz w:val="12"/>
                <w:szCs w:val="12"/>
                <w:color w:val="auto"/>
              </w:rPr>
              <w:t>chargebacks, product returns and other</w:t>
            </w:r>
          </w:p>
        </w:tc>
        <w:tc>
          <w:tcPr>
            <w:tcW w:w="15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FF0FC"/>
          </w:tcPr>
          <w:p>
            <w:pPr>
              <w:ind w:left="420"/>
              <w:spacing w:after="0"/>
              <w:rPr>
                <w:sz w:val="20"/>
                <w:szCs w:val="20"/>
                <w:color w:val="auto"/>
              </w:rPr>
            </w:pPr>
            <w:r>
              <w:rPr>
                <w:rFonts w:ascii="Arial" w:cs="Arial" w:eastAsia="Arial" w:hAnsi="Arial"/>
                <w:sz w:val="12"/>
                <w:szCs w:val="12"/>
                <w:color w:val="auto"/>
              </w:rPr>
              <w:t>discounts</w:t>
            </w:r>
          </w:p>
        </w:tc>
        <w:tc>
          <w:tcPr>
            <w:tcW w:w="15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3"/>
              </w:rPr>
              <w:t>(12,966)</w:t>
            </w:r>
          </w:p>
        </w:tc>
        <w:tc>
          <w:tcPr>
            <w:tcW w:w="6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(3,380)</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(9,586)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2"/>
                <w:szCs w:val="12"/>
                <w:color w:val="auto"/>
              </w:rPr>
              <w:t>Net revenue - commercial product sales</w:t>
            </w:r>
          </w:p>
        </w:tc>
        <w:tc>
          <w:tcPr>
            <w:tcW w:w="1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17,276</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9,192</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8,084</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53"/>
        </w:trPr>
        <w:tc>
          <w:tcPr>
            <w:tcW w:w="3800" w:type="dxa"/>
            <w:vAlign w:val="bottom"/>
            <w:shd w:val="clear" w:color="auto" w:fill="CFF0FC"/>
          </w:tcPr>
          <w:p>
            <w:pPr>
              <w:spacing w:after="0"/>
              <w:rPr>
                <w:sz w:val="20"/>
                <w:szCs w:val="20"/>
                <w:color w:val="auto"/>
              </w:rPr>
            </w:pPr>
            <w:r>
              <w:rPr>
                <w:rFonts w:ascii="Arial" w:cs="Arial" w:eastAsia="Arial" w:hAnsi="Arial"/>
                <w:sz w:val="12"/>
                <w:szCs w:val="12"/>
                <w:color w:val="auto"/>
              </w:rPr>
              <w:t>Revenue - collaborations and services</w:t>
            </w:r>
          </w:p>
        </w:tc>
        <w:tc>
          <w:tcPr>
            <w:tcW w:w="15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10,583</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10,333</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4,133%</w:t>
            </w:r>
          </w:p>
        </w:tc>
        <w:tc>
          <w:tcPr>
            <w:tcW w:w="0" w:type="dxa"/>
            <w:vAlign w:val="bottom"/>
          </w:tcPr>
          <w:p>
            <w:pPr>
              <w:spacing w:after="0"/>
              <w:rPr>
                <w:sz w:val="1"/>
                <w:szCs w:val="1"/>
                <w:color w:val="auto"/>
              </w:rPr>
            </w:pPr>
          </w:p>
        </w:tc>
      </w:tr>
      <w:tr>
        <w:trPr>
          <w:trHeight w:val="153"/>
        </w:trPr>
        <w:tc>
          <w:tcPr>
            <w:tcW w:w="3800" w:type="dxa"/>
            <w:vAlign w:val="bottom"/>
          </w:tcPr>
          <w:p>
            <w:pPr>
              <w:spacing w:after="0"/>
              <w:rPr>
                <w:sz w:val="20"/>
                <w:szCs w:val="20"/>
                <w:color w:val="auto"/>
              </w:rPr>
            </w:pPr>
            <w:r>
              <w:rPr>
                <w:rFonts w:ascii="Arial" w:cs="Arial" w:eastAsia="Arial" w:hAnsi="Arial"/>
                <w:sz w:val="12"/>
                <w:szCs w:val="12"/>
                <w:color w:val="auto"/>
              </w:rPr>
              <w:t>Revenue - other</w:t>
            </w: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2,303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(2,303)</w:t>
            </w: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ind w:left="180"/>
              <w:spacing w:after="0"/>
              <w:rPr>
                <w:sz w:val="20"/>
                <w:szCs w:val="20"/>
                <w:color w:val="auto"/>
              </w:rPr>
            </w:pPr>
            <w:r>
              <w:rPr>
                <w:rFonts w:ascii="Arial" w:cs="Arial" w:eastAsia="Arial" w:hAnsi="Arial"/>
                <w:sz w:val="12"/>
                <w:szCs w:val="12"/>
                <w:color w:val="auto"/>
              </w:rPr>
              <w:t>Total revenues</w:t>
            </w:r>
          </w:p>
        </w:tc>
        <w:tc>
          <w:tcPr>
            <w:tcW w:w="15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0" w:type="dxa"/>
            <w:vAlign w:val="bottom"/>
            <w:vMerge w:val="continue"/>
            <w:shd w:val="clear" w:color="auto" w:fill="CFF0FC"/>
          </w:tcPr>
          <w:p>
            <w:pPr>
              <w:spacing w:after="0"/>
              <w:rPr>
                <w:sz w:val="12"/>
                <w:szCs w:val="12"/>
                <w:color w:val="auto"/>
              </w:rPr>
            </w:pPr>
          </w:p>
        </w:tc>
        <w:tc>
          <w:tcPr>
            <w:tcW w:w="2160" w:type="dxa"/>
            <w:vAlign w:val="bottom"/>
            <w:gridSpan w:val="2"/>
            <w:shd w:val="clear" w:color="auto" w:fill="CFF0FC"/>
          </w:tcPr>
          <w:p>
            <w:pPr>
              <w:jc w:val="right"/>
              <w:ind w:right="53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27,859</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11,745</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7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16,114</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27"/>
        </w:trPr>
        <w:tc>
          <w:tcPr>
            <w:tcW w:w="380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40" w:firstLine="488"/>
        <w:spacing w:after="0" w:line="320" w:lineRule="auto"/>
        <w:rPr>
          <w:sz w:val="20"/>
          <w:szCs w:val="20"/>
          <w:color w:val="auto"/>
        </w:rPr>
      </w:pPr>
      <w:r>
        <w:rPr>
          <w:rFonts w:ascii="Arial" w:cs="Arial" w:eastAsia="Arial" w:hAnsi="Arial"/>
          <w:sz w:val="10"/>
          <w:szCs w:val="10"/>
          <w:color w:val="auto"/>
        </w:rPr>
        <w:t>Gross revenue from the sales of Afrezza increased by $17.7 million for the year ended December 31, 2018, or 141%, compared to the prior year, primarily driven by higher product demand and price increases, as well as a more favorable mix of cartridges. Effective as of the beginning of 2018, we adopted Topic 606, the new revenue standard under which we now recognize revenue on a sell-to model rather than a sell-through model. The estimated gross-to-net adjustment of $13.0 million (43% of gross revenue) for the year ended December 31, 2018, compared to the prior year ended December 31, 2017 estimated gross-to-net adjustment was $3.4 million (27% of gross revenue) was primarily due to commercial and government rebates related to increases in the wholesale acquisition cost of Afrezza as well as product returns. We were not required to reduce revenue in 2017 for product returns because we deferred recognition of revenue on Afrezza product delivered to wholesalers until the right of return no longer existed, which occurred at the earlier of the time Afrezza was dispensed from pharmacies to patients or expiration of the right of return.</w:t>
      </w:r>
    </w:p>
    <w:p>
      <w:pPr>
        <w:spacing w:after="0" w:line="98" w:lineRule="exact"/>
        <w:rPr>
          <w:sz w:val="20"/>
          <w:szCs w:val="20"/>
          <w:color w:val="auto"/>
        </w:rPr>
      </w:pPr>
    </w:p>
    <w:p>
      <w:pPr>
        <w:ind w:right="240" w:firstLine="488"/>
        <w:spacing w:after="0" w:line="380" w:lineRule="auto"/>
        <w:rPr>
          <w:sz w:val="20"/>
          <w:szCs w:val="20"/>
          <w:color w:val="auto"/>
        </w:rPr>
      </w:pPr>
      <w:r>
        <w:rPr>
          <w:rFonts w:ascii="Arial" w:cs="Arial" w:eastAsia="Arial" w:hAnsi="Arial"/>
          <w:sz w:val="10"/>
          <w:szCs w:val="10"/>
          <w:color w:val="auto"/>
        </w:rPr>
        <w:t>Net revenue from collaborations and services increased by $10.3 million, or 4,133%, for the year ended December 31, 2018 compared to the prior year. The increase was primarily attributable to $6.5 million earned from our collaboration agreements with Cipla and UT, which were executed in the second and fourth quarters of 2018, respectively. In addition, we also recognized $3.8 million in services revenue related to the research agreement with UT.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44" w:name="page45"/>
    <w:bookmarkEnd w:id="44"/>
    <w:p>
      <w:pPr>
        <w:ind w:left="480"/>
        <w:spacing w:after="0"/>
        <w:rPr>
          <w:sz w:val="20"/>
          <w:szCs w:val="20"/>
          <w:color w:val="auto"/>
        </w:rPr>
      </w:pPr>
      <w:r>
        <w:rPr>
          <w:rFonts w:ascii="Arial" w:cs="Arial" w:eastAsia="Arial" w:hAnsi="Arial"/>
          <w:sz w:val="11"/>
          <w:szCs w:val="11"/>
          <w:color w:val="auto"/>
        </w:rPr>
        <w:t>Revenue – other decreased by 100% as compared to the prior year ended December 31, 2017 which was primarily due to bulk insulin sales of $1.7 million and $0.6 million for the sale of intellectual property in 2017.</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Expenses</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a comparison of the expense categories for the years ended December 31, 2018 and 2017 (dollars in thousands):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0"/>
                <w:szCs w:val="10"/>
                <w:b w:val="1"/>
                <w:bCs w:val="1"/>
                <w:color w:val="auto"/>
                <w:w w:val="86"/>
              </w:rPr>
              <w:t>Year Ended December 31,</w:t>
            </w: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8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2018</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880" w:type="dxa"/>
            <w:vAlign w:val="bottom"/>
            <w:gridSpan w:val="2"/>
          </w:tcPr>
          <w:p>
            <w:pPr>
              <w:jc w:val="right"/>
              <w:ind w:right="560"/>
              <w:spacing w:after="0" w:line="97" w:lineRule="exact"/>
              <w:rPr>
                <w:sz w:val="20"/>
                <w:szCs w:val="20"/>
                <w:color w:val="auto"/>
              </w:rPr>
            </w:pPr>
            <w:r>
              <w:rPr>
                <w:rFonts w:ascii="Arial" w:cs="Arial" w:eastAsia="Arial" w:hAnsi="Arial"/>
                <w:sz w:val="10"/>
                <w:szCs w:val="10"/>
                <w:b w:val="1"/>
                <w:bCs w:val="1"/>
                <w:color w:val="auto"/>
                <w:w w:val="81"/>
              </w:rPr>
              <w:t>Change</w:t>
            </w:r>
          </w:p>
        </w:tc>
        <w:tc>
          <w:tcPr>
            <w:tcW w:w="1060" w:type="dxa"/>
            <w:vAlign w:val="bottom"/>
          </w:tcPr>
          <w:p>
            <w:pPr>
              <w:ind w:left="300"/>
              <w:spacing w:after="0" w:line="97" w:lineRule="exact"/>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Expenses:</w:t>
            </w:r>
          </w:p>
        </w:tc>
        <w:tc>
          <w:tcPr>
            <w:tcW w:w="150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180"/>
              <w:spacing w:after="0"/>
              <w:rPr>
                <w:sz w:val="20"/>
                <w:szCs w:val="20"/>
                <w:color w:val="auto"/>
              </w:rPr>
            </w:pPr>
            <w:r>
              <w:rPr>
                <w:rFonts w:ascii="Arial" w:cs="Arial" w:eastAsia="Arial" w:hAnsi="Arial"/>
                <w:sz w:val="12"/>
                <w:szCs w:val="12"/>
                <w:color w:val="auto"/>
              </w:rPr>
              <w:t>Cost of goods sold</w:t>
            </w:r>
          </w:p>
        </w:tc>
        <w:tc>
          <w:tcPr>
            <w:tcW w:w="2120" w:type="dxa"/>
            <w:vAlign w:val="bottom"/>
            <w:gridSpan w:val="2"/>
          </w:tcPr>
          <w:p>
            <w:pPr>
              <w:jc w:val="right"/>
              <w:ind w:right="51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19,402</w:t>
            </w:r>
          </w:p>
        </w:tc>
        <w:tc>
          <w:tcPr>
            <w:tcW w:w="220" w:type="dxa"/>
            <w:vAlign w:val="bottom"/>
          </w:tcPr>
          <w:p>
            <w:pPr>
              <w:spacing w:after="0"/>
              <w:rPr>
                <w:sz w:val="13"/>
                <w:szCs w:val="13"/>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17,228</w:t>
            </w:r>
          </w:p>
        </w:tc>
        <w:tc>
          <w:tcPr>
            <w:tcW w:w="240" w:type="dxa"/>
            <w:vAlign w:val="bottom"/>
          </w:tcPr>
          <w:p>
            <w:pPr>
              <w:spacing w:after="0"/>
              <w:rPr>
                <w:sz w:val="13"/>
                <w:szCs w:val="13"/>
                <w:color w:val="auto"/>
              </w:rPr>
            </w:pP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2,174</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Cost of revenue - collaborations and services</w:t>
            </w:r>
          </w:p>
        </w:tc>
        <w:tc>
          <w:tcPr>
            <w:tcW w:w="15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1,077</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1,077</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820" w:type="dxa"/>
            <w:vAlign w:val="bottom"/>
          </w:tcPr>
          <w:p>
            <w:pPr>
              <w:ind w:left="180"/>
              <w:spacing w:after="0"/>
              <w:rPr>
                <w:sz w:val="20"/>
                <w:szCs w:val="20"/>
                <w:color w:val="auto"/>
              </w:rPr>
            </w:pPr>
            <w:r>
              <w:rPr>
                <w:rFonts w:ascii="Arial" w:cs="Arial" w:eastAsia="Arial" w:hAnsi="Arial"/>
                <w:sz w:val="12"/>
                <w:szCs w:val="12"/>
                <w:color w:val="auto"/>
              </w:rPr>
              <w:t>Research and development</w:t>
            </w:r>
          </w:p>
        </w:tc>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8,737</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14,118</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(5,381)</w:t>
            </w: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Selling</w:t>
            </w:r>
          </w:p>
        </w:tc>
        <w:tc>
          <w:tcPr>
            <w:tcW w:w="15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47,407</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46,135</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1,272</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3820" w:type="dxa"/>
            <w:vAlign w:val="bottom"/>
          </w:tcPr>
          <w:p>
            <w:pPr>
              <w:ind w:left="180"/>
              <w:spacing w:after="0"/>
              <w:rPr>
                <w:sz w:val="20"/>
                <w:szCs w:val="20"/>
                <w:color w:val="auto"/>
              </w:rPr>
            </w:pPr>
            <w:r>
              <w:rPr>
                <w:rFonts w:ascii="Arial" w:cs="Arial" w:eastAsia="Arial" w:hAnsi="Arial"/>
                <w:sz w:val="12"/>
                <w:szCs w:val="12"/>
                <w:color w:val="auto"/>
              </w:rPr>
              <w:t>General and administrative</w:t>
            </w:r>
          </w:p>
        </w:tc>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32,309</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28,824</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3,485</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Property and equipment impairment</w:t>
            </w:r>
          </w:p>
        </w:tc>
        <w:tc>
          <w:tcPr>
            <w:tcW w:w="15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(203)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820" w:type="dxa"/>
            <w:vAlign w:val="bottom"/>
          </w:tcPr>
          <w:p>
            <w:pPr>
              <w:ind w:left="180"/>
              <w:spacing w:after="0"/>
              <w:rPr>
                <w:sz w:val="20"/>
                <w:szCs w:val="20"/>
                <w:color w:val="auto"/>
              </w:rPr>
            </w:pPr>
            <w:r>
              <w:rPr>
                <w:rFonts w:ascii="Arial" w:cs="Arial" w:eastAsia="Arial" w:hAnsi="Arial"/>
                <w:sz w:val="12"/>
                <w:szCs w:val="12"/>
                <w:color w:val="auto"/>
              </w:rPr>
              <w:t>(Gain) loss on foreign currency translation</w:t>
            </w:r>
          </w:p>
        </w:tc>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(4,468)</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13,641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(18,109)</w:t>
            </w: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Loss on purchase commitment</w:t>
            </w:r>
          </w:p>
        </w:tc>
        <w:tc>
          <w:tcPr>
            <w:tcW w:w="15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w:t>
            </w:r>
          </w:p>
        </w:tc>
        <w:tc>
          <w:tcPr>
            <w:tcW w:w="6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(215)</w:t>
            </w: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340"/>
              <w:spacing w:after="0"/>
              <w:rPr>
                <w:sz w:val="20"/>
                <w:szCs w:val="20"/>
                <w:color w:val="auto"/>
              </w:rPr>
            </w:pPr>
            <w:r>
              <w:rPr>
                <w:rFonts w:ascii="Arial" w:cs="Arial" w:eastAsia="Arial" w:hAnsi="Arial"/>
                <w:sz w:val="12"/>
                <w:szCs w:val="12"/>
                <w:color w:val="auto"/>
              </w:rPr>
              <w:t>Total expenses</w:t>
            </w:r>
          </w:p>
        </w:tc>
        <w:tc>
          <w:tcPr>
            <w:tcW w:w="1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2120" w:type="dxa"/>
            <w:vAlign w:val="bottom"/>
            <w:gridSpan w:val="2"/>
          </w:tcPr>
          <w:p>
            <w:pPr>
              <w:jc w:val="right"/>
              <w:ind w:right="51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87"/>
              </w:rPr>
              <w:t>104,454</w:t>
            </w:r>
          </w:p>
        </w:tc>
        <w:tc>
          <w:tcPr>
            <w:tcW w:w="220" w:type="dxa"/>
            <w:vAlign w:val="bottom"/>
          </w:tcPr>
          <w:p>
            <w:pPr>
              <w:spacing w:after="0"/>
              <w:rPr>
                <w:sz w:val="12"/>
                <w:szCs w:val="12"/>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119,934</w:t>
            </w:r>
          </w:p>
        </w:tc>
        <w:tc>
          <w:tcPr>
            <w:tcW w:w="240" w:type="dxa"/>
            <w:vAlign w:val="bottom"/>
          </w:tcPr>
          <w:p>
            <w:pPr>
              <w:spacing w:after="0"/>
              <w:rPr>
                <w:sz w:val="12"/>
                <w:szCs w:val="12"/>
                <w:color w:val="auto"/>
              </w:rPr>
            </w:pP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(15,480)</w:t>
            </w: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20" w:firstLine="488"/>
        <w:spacing w:after="0" w:line="276" w:lineRule="auto"/>
        <w:rPr>
          <w:sz w:val="20"/>
          <w:szCs w:val="20"/>
          <w:color w:val="auto"/>
        </w:rPr>
      </w:pPr>
      <w:r>
        <w:rPr>
          <w:rFonts w:ascii="Arial" w:cs="Arial" w:eastAsia="Arial" w:hAnsi="Arial"/>
          <w:sz w:val="12"/>
          <w:szCs w:val="12"/>
          <w:color w:val="auto"/>
        </w:rPr>
        <w:t>Cost of goods sold increased by $2.2 million, or 13%, compared to the prior year ended December 31, 2017. The increase was primarily attributable to a $1.6 million increase in costs associated with Afrezza sales and a one-time $2.0 million fee associated with amending our Insulin Supply Agreement. These increases were offset by a decrease in inventory write-off of $0.8 million in 2018.</w:t>
      </w:r>
    </w:p>
    <w:p>
      <w:pPr>
        <w:spacing w:after="0" w:line="115" w:lineRule="exact"/>
        <w:rPr>
          <w:sz w:val="20"/>
          <w:szCs w:val="20"/>
          <w:color w:val="auto"/>
        </w:rPr>
      </w:pPr>
    </w:p>
    <w:p>
      <w:pPr>
        <w:ind w:right="260" w:firstLine="488"/>
        <w:spacing w:after="0" w:line="276" w:lineRule="auto"/>
        <w:rPr>
          <w:sz w:val="20"/>
          <w:szCs w:val="20"/>
          <w:color w:val="auto"/>
        </w:rPr>
      </w:pPr>
      <w:r>
        <w:rPr>
          <w:rFonts w:ascii="Arial" w:cs="Arial" w:eastAsia="Arial" w:hAnsi="Arial"/>
          <w:sz w:val="12"/>
          <w:szCs w:val="12"/>
          <w:color w:val="auto"/>
        </w:rPr>
        <w:t>Cost of revenue - collaborations and services was $1.1 million for the year ended December 31, 2018 compared to zero for the prior year ended December 31, 2017. Cost of revenue - collaborations and services for 2018 was attributable to resource costs related to conducting the UT license and research agreement which was executed in 2018.</w:t>
      </w:r>
    </w:p>
    <w:p>
      <w:pPr>
        <w:spacing w:after="0" w:line="115" w:lineRule="exact"/>
        <w:rPr>
          <w:sz w:val="20"/>
          <w:szCs w:val="20"/>
          <w:color w:val="auto"/>
        </w:rPr>
      </w:pPr>
    </w:p>
    <w:p>
      <w:pPr>
        <w:jc w:val="both"/>
        <w:ind w:right="40" w:firstLine="488"/>
        <w:spacing w:after="0" w:line="263" w:lineRule="auto"/>
        <w:rPr>
          <w:sz w:val="20"/>
          <w:szCs w:val="20"/>
          <w:color w:val="auto"/>
        </w:rPr>
      </w:pPr>
      <w:r>
        <w:rPr>
          <w:rFonts w:ascii="Arial" w:cs="Arial" w:eastAsia="Arial" w:hAnsi="Arial"/>
          <w:sz w:val="12"/>
          <w:szCs w:val="12"/>
          <w:color w:val="auto"/>
        </w:rPr>
        <w:t>Research and development expenses decreased by $5.4 million, or 38%, compared with the prior year ended December 31, 2017. The decrease was primarily attributable to a $2.2 million decrease in clinical trial spending, a $1.7 million decrease in salary-related expenses associated with our move to office-only space in 2017 as well as higher personnel costs associated with supporting manufacturing production activities and a $0.8 million decrease in research and development supply and services costs.</w:t>
      </w:r>
    </w:p>
    <w:p>
      <w:pPr>
        <w:spacing w:after="0" w:line="123" w:lineRule="exact"/>
        <w:rPr>
          <w:sz w:val="20"/>
          <w:szCs w:val="20"/>
          <w:color w:val="auto"/>
        </w:rPr>
      </w:pPr>
    </w:p>
    <w:p>
      <w:pPr>
        <w:ind w:firstLine="488"/>
        <w:spacing w:after="0" w:line="340" w:lineRule="auto"/>
        <w:rPr>
          <w:sz w:val="20"/>
          <w:szCs w:val="20"/>
          <w:color w:val="auto"/>
        </w:rPr>
      </w:pPr>
      <w:r>
        <w:rPr>
          <w:rFonts w:ascii="Arial" w:cs="Arial" w:eastAsia="Arial" w:hAnsi="Arial"/>
          <w:sz w:val="10"/>
          <w:szCs w:val="10"/>
          <w:color w:val="auto"/>
        </w:rPr>
        <w:t>Selling expenses increased by $1.3 million, or 3%, compared to the prior year ended December 31, 2017. The increase was primarily attributable to $2.9 million in salary-related expenses and benefits in supporting Afrezza sales commercial operations and patient support, a $1.8 million increase in medical affairs support and market access, a $0.6 million increase in stock-based compensation expense mainly related to the performance-based stock awards as a result of the achievement of performance goals related to Afrezza sales in 2018 and a $0.5 million increase in travel for our salesforces. These increases were offset by decreases in on-line marketing and product advertising of $4.7 million.</w:t>
      </w:r>
    </w:p>
    <w:p>
      <w:pPr>
        <w:spacing w:after="0" w:line="88" w:lineRule="exact"/>
        <w:rPr>
          <w:sz w:val="20"/>
          <w:szCs w:val="20"/>
          <w:color w:val="auto"/>
        </w:rPr>
      </w:pPr>
    </w:p>
    <w:p>
      <w:pPr>
        <w:ind w:right="60" w:firstLine="488"/>
        <w:spacing w:after="0" w:line="380" w:lineRule="auto"/>
        <w:rPr>
          <w:sz w:val="20"/>
          <w:szCs w:val="20"/>
          <w:color w:val="auto"/>
        </w:rPr>
      </w:pPr>
      <w:r>
        <w:rPr>
          <w:rFonts w:ascii="Arial" w:cs="Arial" w:eastAsia="Arial" w:hAnsi="Arial"/>
          <w:sz w:val="10"/>
          <w:szCs w:val="10"/>
          <w:color w:val="auto"/>
        </w:rPr>
        <w:t>In order to conform to the 2018 presentation above, we reclassified approximately $3.6 million of personnel costs for the year ended December 31, 2017 related to Afrezza medical affair activities from general administrative expenses to selling expenses. This resulted in a change in selling expenses for the year ended December 31, 2017 from $42.6 million as previously reported in our Annual Report on Form 10-K filed on February 27, 2018, to $46.1 million.</w:t>
      </w:r>
    </w:p>
    <w:p>
      <w:pPr>
        <w:spacing w:after="0" w:line="95" w:lineRule="exact"/>
        <w:rPr>
          <w:sz w:val="20"/>
          <w:szCs w:val="20"/>
          <w:color w:val="auto"/>
        </w:rPr>
      </w:pPr>
    </w:p>
    <w:p>
      <w:pPr>
        <w:jc w:val="both"/>
        <w:ind w:right="20" w:firstLine="488"/>
        <w:spacing w:after="0" w:line="298" w:lineRule="auto"/>
        <w:rPr>
          <w:sz w:val="20"/>
          <w:szCs w:val="20"/>
          <w:color w:val="auto"/>
        </w:rPr>
      </w:pPr>
      <w:r>
        <w:rPr>
          <w:rFonts w:ascii="Arial" w:cs="Arial" w:eastAsia="Arial" w:hAnsi="Arial"/>
          <w:sz w:val="11"/>
          <w:szCs w:val="11"/>
          <w:color w:val="auto"/>
        </w:rPr>
        <w:t>General and administrative expenses increased by $3.5 million, or 12%, compared with the prior year ended December 31, 2017. This increase was primarily attributable to $1.7 million in headcount increases in human resources, corporate communications, and office support departments, a $1.3 million increase in stock-based compensation expenses, a $1.1 million increase in transition costs due to transitioning certain corporate support functions from Connecticut to our headquarters in California, and a $0.4 million increase in investor relations and corporate communication. These increases were offset by decreases of $0.8 million in accounting consulting fees.</w:t>
      </w:r>
    </w:p>
    <w:p>
      <w:pPr>
        <w:spacing w:after="0" w:line="105" w:lineRule="exact"/>
        <w:rPr>
          <w:sz w:val="20"/>
          <w:szCs w:val="20"/>
          <w:color w:val="auto"/>
        </w:rPr>
      </w:pPr>
    </w:p>
    <w:p>
      <w:pPr>
        <w:ind w:right="40" w:firstLine="488"/>
        <w:spacing w:after="0" w:line="263" w:lineRule="auto"/>
        <w:rPr>
          <w:sz w:val="20"/>
          <w:szCs w:val="20"/>
          <w:color w:val="auto"/>
        </w:rPr>
      </w:pPr>
      <w:r>
        <w:rPr>
          <w:rFonts w:ascii="Arial" w:cs="Arial" w:eastAsia="Arial" w:hAnsi="Arial"/>
          <w:sz w:val="12"/>
          <w:szCs w:val="12"/>
          <w:color w:val="auto"/>
        </w:rPr>
        <w:t>In order to conform to the 2018 presentation above, we reclassified approximately $3.6 million of personnel costs for the year ended December 31, 2017 related to Afrezza medical affair activities from general and administrative expenses to selling expenses. The resulted in a change in general and administrative expenses for the year ended December 31, 2017 from $32.4 million as previously reported in our Annual Report on Form 10-K filed on February 27, 2018, to $28.8 million.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45" w:name="page46"/>
    <w:bookmarkEnd w:id="45"/>
    <w:p>
      <w:pPr>
        <w:ind w:right="40" w:firstLine="488"/>
        <w:spacing w:after="0" w:line="263" w:lineRule="auto"/>
        <w:rPr>
          <w:sz w:val="20"/>
          <w:szCs w:val="20"/>
          <w:color w:val="auto"/>
        </w:rPr>
      </w:pPr>
      <w:r>
        <w:rPr>
          <w:rFonts w:ascii="Arial" w:cs="Arial" w:eastAsia="Arial" w:hAnsi="Arial"/>
          <w:sz w:val="12"/>
          <w:szCs w:val="12"/>
          <w:color w:val="auto"/>
        </w:rPr>
        <w:t>Under the Insulin Supply Agreement with Amphastar, payment obligations are denominated in Euros. We are required to record the foreign currency translation impact of the U.S. dollar to Euro exchange rate associated with the recognized loss on purchase commitments. The gain on foreign currency translation for the year ended December 31, 2018 was $4.5 million as compared to a loss of $13.6 million for the year ended December 31, 2017, resulting in an $18.1 million net change due to favorable U.S. dollar to Euro exchange rates.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Income (Expense)</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a comparison of the other income (expense) categories for the years ended December 31, 2018 and 2017 (dollars in thousands):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0"/>
                <w:szCs w:val="10"/>
                <w:b w:val="1"/>
                <w:bCs w:val="1"/>
                <w:color w:val="auto"/>
                <w:w w:val="86"/>
              </w:rPr>
              <w:t>Year Ended December 31,</w:t>
            </w: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820" w:type="dxa"/>
            <w:vAlign w:val="bottom"/>
            <w:tcBorders>
              <w:bottom w:val="single" w:sz="8" w:color="CFF0FC"/>
            </w:tcBorders>
          </w:tcPr>
          <w:p>
            <w:pPr>
              <w:spacing w:after="0"/>
              <w:rPr>
                <w:sz w:val="8"/>
                <w:szCs w:val="8"/>
                <w:color w:val="auto"/>
              </w:rPr>
            </w:pPr>
          </w:p>
        </w:tc>
        <w:tc>
          <w:tcPr>
            <w:tcW w:w="1500" w:type="dxa"/>
            <w:vAlign w:val="bottom"/>
            <w:tcBorders>
              <w:bottom w:val="single" w:sz="8" w:color="CFF0FC"/>
            </w:tcBorders>
          </w:tcPr>
          <w:p>
            <w:pPr>
              <w:spacing w:after="0"/>
              <w:rPr>
                <w:sz w:val="8"/>
                <w:szCs w:val="8"/>
                <w:color w:val="auto"/>
              </w:rPr>
            </w:pPr>
          </w:p>
        </w:tc>
        <w:tc>
          <w:tcPr>
            <w:tcW w:w="6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2018</w:t>
            </w: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6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2017</w:t>
            </w: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3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281"/>
              <w:spacing w:after="0" w:line="97" w:lineRule="exact"/>
              <w:rPr>
                <w:sz w:val="20"/>
                <w:szCs w:val="20"/>
                <w:color w:val="auto"/>
              </w:rPr>
            </w:pPr>
            <w:r>
              <w:rPr>
                <w:rFonts w:ascii="Arial" w:cs="Arial" w:eastAsia="Arial" w:hAnsi="Arial"/>
                <w:sz w:val="10"/>
                <w:szCs w:val="10"/>
                <w:b w:val="1"/>
                <w:bCs w:val="1"/>
                <w:color w:val="auto"/>
                <w:w w:val="81"/>
              </w:rPr>
              <w:t>Change</w:t>
            </w:r>
          </w:p>
        </w:tc>
        <w:tc>
          <w:tcPr>
            <w:tcW w:w="220" w:type="dxa"/>
            <w:vAlign w:val="bottom"/>
            <w:tcBorders>
              <w:bottom w:val="single" w:sz="8" w:color="CFF0FC"/>
            </w:tcBorders>
          </w:tcPr>
          <w:p>
            <w:pPr>
              <w:spacing w:after="0"/>
              <w:rPr>
                <w:sz w:val="8"/>
                <w:szCs w:val="8"/>
                <w:color w:val="auto"/>
              </w:rPr>
            </w:pPr>
          </w:p>
        </w:tc>
        <w:tc>
          <w:tcPr>
            <w:tcW w:w="1060" w:type="dxa"/>
            <w:vAlign w:val="bottom"/>
            <w:tcBorders>
              <w:bottom w:val="single" w:sz="8" w:color="auto"/>
            </w:tcBorders>
          </w:tcPr>
          <w:p>
            <w:pPr>
              <w:ind w:left="300"/>
              <w:spacing w:after="0" w:line="97" w:lineRule="exact"/>
              <w:rPr>
                <w:sz w:val="20"/>
                <w:szCs w:val="20"/>
                <w:color w:val="auto"/>
              </w:rPr>
            </w:pPr>
            <w:r>
              <w:rPr>
                <w:rFonts w:ascii="Arial" w:cs="Arial" w:eastAsia="Arial" w:hAnsi="Arial"/>
                <w:sz w:val="10"/>
                <w:szCs w:val="10"/>
                <w:b w:val="1"/>
                <w:bCs w:val="1"/>
                <w:color w:val="auto"/>
              </w:rPr>
              <w:t>% Change</w:t>
            </w:r>
          </w:p>
        </w:tc>
        <w:tc>
          <w:tcPr>
            <w:tcW w:w="16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Change in fair value of warrant liability</w:t>
            </w:r>
          </w:p>
        </w:tc>
        <w:tc>
          <w:tcPr>
            <w:tcW w:w="2140" w:type="dxa"/>
            <w:vAlign w:val="bottom"/>
            <w:gridSpan w:val="2"/>
            <w:shd w:val="clear" w:color="auto" w:fill="CFF0FC"/>
          </w:tcPr>
          <w:p>
            <w:pPr>
              <w:jc w:val="right"/>
              <w:ind w:right="532"/>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5,488</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7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(5,488)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20"/>
                <w:szCs w:val="20"/>
                <w:color w:val="auto"/>
              </w:rPr>
            </w:pPr>
            <w:r>
              <w:rPr>
                <w:rFonts w:ascii="Arial" w:cs="Arial" w:eastAsia="Arial" w:hAnsi="Arial"/>
                <w:sz w:val="12"/>
                <w:szCs w:val="12"/>
                <w:color w:val="auto"/>
              </w:rPr>
              <w:t>Interest income</w:t>
            </w:r>
          </w:p>
        </w:tc>
        <w:tc>
          <w:tcPr>
            <w:tcW w:w="1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501</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208</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on notes</w:t>
            </w:r>
          </w:p>
        </w:tc>
        <w:tc>
          <w:tcPr>
            <w:tcW w:w="15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(5,116)</w:t>
            </w:r>
          </w:p>
        </w:tc>
        <w:tc>
          <w:tcPr>
            <w:tcW w:w="6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(9,494)</w:t>
            </w: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4,378</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20"/>
                <w:szCs w:val="20"/>
                <w:color w:val="auto"/>
              </w:rPr>
            </w:pPr>
            <w:r>
              <w:rPr>
                <w:rFonts w:ascii="Arial" w:cs="Arial" w:eastAsia="Arial" w:hAnsi="Arial"/>
                <w:sz w:val="12"/>
                <w:szCs w:val="12"/>
                <w:color w:val="auto"/>
              </w:rPr>
              <w:t>Interest expense on note payable to related party</w:t>
            </w:r>
          </w:p>
        </w:tc>
        <w:tc>
          <w:tcPr>
            <w:tcW w:w="1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(4,323)</w:t>
            </w:r>
          </w:p>
        </w:tc>
        <w:tc>
          <w:tcPr>
            <w:tcW w:w="6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(3,782)</w:t>
            </w:r>
          </w:p>
        </w:tc>
        <w:tc>
          <w:tcPr>
            <w:tcW w:w="3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(541)</w:t>
            </w: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Loss on extinguishment of debt</w:t>
            </w:r>
          </w:p>
        </w:tc>
        <w:tc>
          <w:tcPr>
            <w:tcW w:w="15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(765)</w:t>
            </w:r>
          </w:p>
        </w:tc>
        <w:tc>
          <w:tcPr>
            <w:tcW w:w="6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(1,611)</w:t>
            </w: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846</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3"/>
        </w:trPr>
        <w:tc>
          <w:tcPr>
            <w:tcW w:w="3820" w:type="dxa"/>
            <w:vAlign w:val="bottom"/>
          </w:tcPr>
          <w:p>
            <w:pPr>
              <w:ind w:left="180"/>
              <w:spacing w:after="0"/>
              <w:rPr>
                <w:sz w:val="20"/>
                <w:szCs w:val="20"/>
                <w:color w:val="auto"/>
              </w:rPr>
            </w:pPr>
            <w:r>
              <w:rPr>
                <w:rFonts w:ascii="Arial" w:cs="Arial" w:eastAsia="Arial" w:hAnsi="Arial"/>
                <w:sz w:val="12"/>
                <w:szCs w:val="12"/>
                <w:color w:val="auto"/>
              </w:rPr>
              <w:t>Other income (expense)</w:t>
            </w:r>
          </w:p>
        </w:tc>
        <w:tc>
          <w:tcPr>
            <w:tcW w:w="1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(437)</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(450)</w:t>
            </w: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(3,462%)</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ind w:left="340"/>
              <w:spacing w:after="0"/>
              <w:rPr>
                <w:sz w:val="20"/>
                <w:szCs w:val="20"/>
                <w:color w:val="auto"/>
              </w:rPr>
            </w:pPr>
            <w:r>
              <w:rPr>
                <w:rFonts w:ascii="Arial" w:cs="Arial" w:eastAsia="Arial" w:hAnsi="Arial"/>
                <w:sz w:val="12"/>
                <w:szCs w:val="12"/>
                <w:color w:val="auto"/>
              </w:rPr>
              <w:t>Total other (expense) income</w:t>
            </w:r>
          </w:p>
        </w:tc>
        <w:tc>
          <w:tcPr>
            <w:tcW w:w="15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vMerge w:val="continue"/>
            <w:shd w:val="clear" w:color="auto" w:fill="CFF0FC"/>
          </w:tcPr>
          <w:p>
            <w:pPr>
              <w:spacing w:after="0"/>
              <w:rPr>
                <w:sz w:val="12"/>
                <w:szCs w:val="12"/>
                <w:color w:val="auto"/>
              </w:rPr>
            </w:pPr>
          </w:p>
        </w:tc>
        <w:tc>
          <w:tcPr>
            <w:tcW w:w="2140" w:type="dxa"/>
            <w:vAlign w:val="bottom"/>
            <w:gridSpan w:val="2"/>
            <w:shd w:val="clear" w:color="auto" w:fill="CFF0FC"/>
          </w:tcPr>
          <w:p>
            <w:pPr>
              <w:jc w:val="right"/>
              <w:ind w:right="532"/>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3"/>
              </w:rPr>
              <w:t>(10,140)</w:t>
            </w:r>
          </w:p>
        </w:tc>
        <w:tc>
          <w:tcPr>
            <w:tcW w:w="620" w:type="dxa"/>
            <w:vAlign w:val="bottom"/>
            <w:shd w:val="clear" w:color="auto" w:fill="CFF0FC"/>
          </w:tcPr>
          <w:p>
            <w:pPr>
              <w:jc w:val="right"/>
              <w:ind w:right="5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(9,093)</w:t>
            </w:r>
          </w:p>
        </w:tc>
        <w:tc>
          <w:tcPr>
            <w:tcW w:w="380" w:type="dxa"/>
            <w:vAlign w:val="bottom"/>
            <w:shd w:val="clear" w:color="auto" w:fill="CFF0FC"/>
          </w:tcPr>
          <w:p>
            <w:pPr>
              <w:jc w:val="right"/>
              <w:ind w:right="27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(1,047)</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7"/>
        </w:trPr>
        <w:tc>
          <w:tcPr>
            <w:tcW w:w="382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During 2017 we recorded a change in fair value of the warrant liability of $5.5 million. The Company determined that these warrants required liability classification primarily due to a price-protection clause that applies in the event of certain dilutive financings. The warrant liability was extinguished in 2017 and therefore there was no such impact on our consolidated statements of operations in 2018.</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1"/>
          <w:szCs w:val="11"/>
          <w:color w:val="auto"/>
        </w:rPr>
        <w:t>Interest income increased by $0.2 million for the year ended December 31, 2018, or 71%, compared to the prior year , which was primarily attributable to a higher balance on our money market fund and a higher interest rate.</w:t>
      </w:r>
    </w:p>
    <w:p>
      <w:pPr>
        <w:spacing w:after="0" w:line="162" w:lineRule="exact"/>
        <w:rPr>
          <w:sz w:val="20"/>
          <w:szCs w:val="20"/>
          <w:color w:val="auto"/>
        </w:rPr>
      </w:pPr>
    </w:p>
    <w:p>
      <w:pPr>
        <w:ind w:firstLine="488"/>
        <w:spacing w:after="0" w:line="276" w:lineRule="auto"/>
        <w:rPr>
          <w:sz w:val="20"/>
          <w:szCs w:val="20"/>
          <w:color w:val="auto"/>
        </w:rPr>
      </w:pPr>
      <w:r>
        <w:rPr>
          <w:rFonts w:ascii="Arial" w:cs="Arial" w:eastAsia="Arial" w:hAnsi="Arial"/>
          <w:sz w:val="12"/>
          <w:szCs w:val="12"/>
          <w:color w:val="auto"/>
        </w:rPr>
        <w:t>Interest expense on notes, which includes the Facility Financing Obligation and senior convertible notes, decreased by $4.4 million for the year ended December 31, 2018, or 46%, compared to the prior year, which was primarily attributable to a reduction in principal debt balances.</w:t>
      </w:r>
    </w:p>
    <w:p>
      <w:pPr>
        <w:spacing w:after="0" w:line="115"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Interest expense on note payable to related party (“The Mann Group”) increased by $0.5 million for the year ended December 31, 2018, or 14% compared to the prior year, which was primarily attributable to a higher average principal balance.</w:t>
      </w:r>
    </w:p>
    <w:p>
      <w:pPr>
        <w:spacing w:after="0" w:line="115" w:lineRule="exact"/>
        <w:rPr>
          <w:sz w:val="20"/>
          <w:szCs w:val="20"/>
          <w:color w:val="auto"/>
        </w:rPr>
      </w:pPr>
    </w:p>
    <w:p>
      <w:pPr>
        <w:ind w:right="140" w:firstLine="488"/>
        <w:spacing w:after="0" w:line="263" w:lineRule="auto"/>
        <w:rPr>
          <w:sz w:val="20"/>
          <w:szCs w:val="20"/>
          <w:color w:val="auto"/>
        </w:rPr>
      </w:pPr>
      <w:r>
        <w:rPr>
          <w:rFonts w:ascii="Arial" w:cs="Arial" w:eastAsia="Arial" w:hAnsi="Arial"/>
          <w:sz w:val="12"/>
          <w:szCs w:val="12"/>
          <w:color w:val="auto"/>
        </w:rPr>
        <w:t>The loss on extinguishment of debt decreased by $0.8 million for the year ended December 31, 2018, or 53%, compared to the prior year, which was primarily attributable to conversions of convertible debt under our facility financing agreement to common stock in September 2018. In the same period of 2017, we recorded a loss on extinguishment of $1.6 million related to the exchange of convertible debt under our facility financing agreement in April and June 2017.</w:t>
      </w:r>
    </w:p>
    <w:p>
      <w:pPr>
        <w:spacing w:after="0" w:line="123" w:lineRule="exact"/>
        <w:rPr>
          <w:sz w:val="20"/>
          <w:szCs w:val="20"/>
          <w:color w:val="auto"/>
        </w:rPr>
      </w:pPr>
    </w:p>
    <w:p>
      <w:pPr>
        <w:ind w:right="280" w:firstLine="488"/>
        <w:spacing w:after="0" w:line="276" w:lineRule="auto"/>
        <w:rPr>
          <w:sz w:val="20"/>
          <w:szCs w:val="20"/>
          <w:color w:val="auto"/>
        </w:rPr>
      </w:pPr>
      <w:r>
        <w:rPr>
          <w:rFonts w:ascii="Arial" w:cs="Arial" w:eastAsia="Arial" w:hAnsi="Arial"/>
          <w:sz w:val="12"/>
          <w:szCs w:val="12"/>
          <w:color w:val="auto"/>
        </w:rPr>
        <w:t>Other income (expense) increased by $0.4 million for the year ended December 31, 2018 compared to the prior year. This change was primarily due to a realized currency loss in connection with a foreign exchange contract associated with purchases under the Insulin Supply Agreement.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19" w:right="239"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i w:val="1"/>
          <w:iCs w:val="1"/>
          <w:color w:val="auto"/>
        </w:rPr>
        <w:t>Years ended December 31, 2017 and 2016</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Revenues</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a comparison of the revenue categories for the years ended December 31, 2017 and 2016 (dollars in thousands):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0"/>
                <w:szCs w:val="10"/>
                <w:b w:val="1"/>
                <w:bCs w:val="1"/>
                <w:color w:val="auto"/>
                <w:w w:val="86"/>
              </w:rPr>
              <w:t>Year Ended December 31,</w:t>
            </w: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2017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2016</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81"/>
              </w:rPr>
              <w:t>Change</w:t>
            </w:r>
          </w:p>
        </w:tc>
        <w:tc>
          <w:tcPr>
            <w:tcW w:w="12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76"/>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revenue - commercial product sales:</w:t>
            </w:r>
          </w:p>
        </w:tc>
        <w:tc>
          <w:tcPr>
            <w:tcW w:w="1520" w:type="dxa"/>
            <w:vAlign w:val="bottom"/>
            <w:tcBorders>
              <w:top w:val="single" w:sz="8" w:color="CFF0FC"/>
              <w:bottom w:val="single" w:sz="8" w:color="CFF0FC"/>
            </w:tcBorders>
            <w:shd w:val="clear" w:color="auto" w:fill="CFF0FC"/>
          </w:tcPr>
          <w:p>
            <w:pPr>
              <w:spacing w:after="0"/>
              <w:rPr>
                <w:sz w:val="15"/>
                <w:szCs w:val="15"/>
                <w:color w:val="auto"/>
              </w:rPr>
            </w:pPr>
          </w:p>
        </w:tc>
        <w:tc>
          <w:tcPr>
            <w:tcW w:w="660" w:type="dxa"/>
            <w:vAlign w:val="bottom"/>
            <w:tcBorders>
              <w:top w:val="single" w:sz="8" w:color="auto"/>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CFF0FC"/>
            </w:tcBorders>
            <w:shd w:val="clear" w:color="auto" w:fill="CFF0FC"/>
          </w:tcPr>
          <w:p>
            <w:pPr>
              <w:spacing w:after="0"/>
              <w:rPr>
                <w:sz w:val="15"/>
                <w:szCs w:val="15"/>
                <w:color w:val="auto"/>
              </w:rPr>
            </w:pPr>
          </w:p>
        </w:tc>
        <w:tc>
          <w:tcPr>
            <w:tcW w:w="660" w:type="dxa"/>
            <w:vAlign w:val="bottom"/>
            <w:tcBorders>
              <w:top w:val="single" w:sz="8" w:color="auto"/>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60" w:type="dxa"/>
            <w:vAlign w:val="bottom"/>
            <w:tcBorders>
              <w:top w:val="single" w:sz="8" w:color="auto"/>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00" w:type="dxa"/>
            <w:vAlign w:val="bottom"/>
          </w:tcPr>
          <w:p>
            <w:pPr>
              <w:ind w:left="180"/>
              <w:spacing w:after="0"/>
              <w:rPr>
                <w:sz w:val="20"/>
                <w:szCs w:val="20"/>
                <w:color w:val="auto"/>
              </w:rPr>
            </w:pPr>
            <w:r>
              <w:rPr>
                <w:rFonts w:ascii="Arial" w:cs="Arial" w:eastAsia="Arial" w:hAnsi="Arial"/>
                <w:sz w:val="12"/>
                <w:szCs w:val="12"/>
                <w:color w:val="auto"/>
              </w:rPr>
              <w:t>Gross revenue from product sales</w:t>
            </w:r>
          </w:p>
        </w:tc>
        <w:tc>
          <w:tcPr>
            <w:tcW w:w="218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2"/>
              </w:rPr>
              <w:t>12,572</w:t>
            </w:r>
          </w:p>
        </w:tc>
        <w:tc>
          <w:tcPr>
            <w:tcW w:w="220" w:type="dxa"/>
            <w:vAlign w:val="bottom"/>
          </w:tcPr>
          <w:p>
            <w:pPr>
              <w:spacing w:after="0"/>
              <w:rPr>
                <w:sz w:val="13"/>
                <w:szCs w:val="13"/>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2,714</w:t>
            </w:r>
          </w:p>
        </w:tc>
        <w:tc>
          <w:tcPr>
            <w:tcW w:w="240" w:type="dxa"/>
            <w:vAlign w:val="bottom"/>
          </w:tcPr>
          <w:p>
            <w:pPr>
              <w:spacing w:after="0"/>
              <w:rPr>
                <w:sz w:val="13"/>
                <w:szCs w:val="13"/>
                <w:color w:val="auto"/>
              </w:rPr>
            </w:pP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9,858</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363%</w:t>
            </w: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340"/>
              <w:spacing w:after="0"/>
              <w:rPr>
                <w:sz w:val="20"/>
                <w:szCs w:val="20"/>
                <w:color w:val="auto"/>
              </w:rPr>
            </w:pPr>
            <w:r>
              <w:rPr>
                <w:rFonts w:ascii="Arial" w:cs="Arial" w:eastAsia="Arial" w:hAnsi="Arial"/>
                <w:sz w:val="12"/>
                <w:szCs w:val="12"/>
                <w:color w:val="auto"/>
              </w:rPr>
              <w:t>Wholesaler distribution fees, rebates and</w:t>
            </w:r>
          </w:p>
        </w:tc>
        <w:tc>
          <w:tcPr>
            <w:tcW w:w="15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420"/>
              <w:spacing w:after="0"/>
              <w:rPr>
                <w:sz w:val="20"/>
                <w:szCs w:val="20"/>
                <w:color w:val="auto"/>
              </w:rPr>
            </w:pPr>
            <w:r>
              <w:rPr>
                <w:rFonts w:ascii="Arial" w:cs="Arial" w:eastAsia="Arial" w:hAnsi="Arial"/>
                <w:sz w:val="12"/>
                <w:szCs w:val="12"/>
                <w:color w:val="auto"/>
              </w:rPr>
              <w:t>chargebacks, product returns and other</w:t>
            </w:r>
          </w:p>
        </w:tc>
        <w:tc>
          <w:tcPr>
            <w:tcW w:w="15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FF0FC"/>
          </w:tcPr>
          <w:p>
            <w:pPr>
              <w:ind w:left="420"/>
              <w:spacing w:after="0"/>
              <w:rPr>
                <w:sz w:val="20"/>
                <w:szCs w:val="20"/>
                <w:color w:val="auto"/>
              </w:rPr>
            </w:pPr>
            <w:r>
              <w:rPr>
                <w:rFonts w:ascii="Arial" w:cs="Arial" w:eastAsia="Arial" w:hAnsi="Arial"/>
                <w:sz w:val="12"/>
                <w:szCs w:val="12"/>
                <w:color w:val="auto"/>
              </w:rPr>
              <w:t>discounts</w:t>
            </w:r>
          </w:p>
        </w:tc>
        <w:tc>
          <w:tcPr>
            <w:tcW w:w="15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(3,380)</w:t>
            </w:r>
          </w:p>
        </w:tc>
        <w:tc>
          <w:tcPr>
            <w:tcW w:w="6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(819)</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(2,561)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2"/>
                <w:szCs w:val="12"/>
                <w:color w:val="auto"/>
              </w:rPr>
              <w:t>Net revenue - commercial product sales</w:t>
            </w:r>
          </w:p>
        </w:tc>
        <w:tc>
          <w:tcPr>
            <w:tcW w:w="1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9,192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1,895</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7,297</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385%</w:t>
            </w:r>
          </w:p>
        </w:tc>
        <w:tc>
          <w:tcPr>
            <w:tcW w:w="0" w:type="dxa"/>
            <w:vAlign w:val="bottom"/>
          </w:tcPr>
          <w:p>
            <w:pPr>
              <w:spacing w:after="0"/>
              <w:rPr>
                <w:sz w:val="1"/>
                <w:szCs w:val="1"/>
                <w:color w:val="auto"/>
              </w:rPr>
            </w:pPr>
          </w:p>
        </w:tc>
      </w:tr>
      <w:tr>
        <w:trPr>
          <w:trHeight w:val="153"/>
        </w:trPr>
        <w:tc>
          <w:tcPr>
            <w:tcW w:w="3800" w:type="dxa"/>
            <w:vAlign w:val="bottom"/>
            <w:shd w:val="clear" w:color="auto" w:fill="CFF0FC"/>
          </w:tcPr>
          <w:p>
            <w:pPr>
              <w:spacing w:after="0"/>
              <w:rPr>
                <w:sz w:val="20"/>
                <w:szCs w:val="20"/>
                <w:color w:val="auto"/>
              </w:rPr>
            </w:pPr>
            <w:r>
              <w:rPr>
                <w:rFonts w:ascii="Arial" w:cs="Arial" w:eastAsia="Arial" w:hAnsi="Arial"/>
                <w:sz w:val="12"/>
                <w:szCs w:val="12"/>
                <w:color w:val="auto"/>
              </w:rPr>
              <w:t>Revenue - collaborations and services</w:t>
            </w:r>
          </w:p>
        </w:tc>
        <w:tc>
          <w:tcPr>
            <w:tcW w:w="15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171,965</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(171,715)</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800" w:type="dxa"/>
            <w:vAlign w:val="bottom"/>
          </w:tcPr>
          <w:p>
            <w:pPr>
              <w:spacing w:after="0"/>
              <w:rPr>
                <w:sz w:val="20"/>
                <w:szCs w:val="20"/>
                <w:color w:val="auto"/>
              </w:rPr>
            </w:pPr>
            <w:r>
              <w:rPr>
                <w:rFonts w:ascii="Arial" w:cs="Arial" w:eastAsia="Arial" w:hAnsi="Arial"/>
                <w:sz w:val="12"/>
                <w:szCs w:val="12"/>
                <w:color w:val="auto"/>
              </w:rPr>
              <w:t>Revenue - other</w:t>
            </w:r>
          </w:p>
        </w:tc>
        <w:tc>
          <w:tcPr>
            <w:tcW w:w="1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2,303</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898</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1,405</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ind w:left="180"/>
              <w:spacing w:after="0"/>
              <w:rPr>
                <w:sz w:val="20"/>
                <w:szCs w:val="20"/>
                <w:color w:val="auto"/>
              </w:rPr>
            </w:pPr>
            <w:r>
              <w:rPr>
                <w:rFonts w:ascii="Arial" w:cs="Arial" w:eastAsia="Arial" w:hAnsi="Arial"/>
                <w:sz w:val="12"/>
                <w:szCs w:val="12"/>
                <w:color w:val="auto"/>
              </w:rPr>
              <w:t>Total revenues</w:t>
            </w:r>
          </w:p>
        </w:tc>
        <w:tc>
          <w:tcPr>
            <w:tcW w:w="15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0" w:type="dxa"/>
            <w:vAlign w:val="bottom"/>
            <w:vMerge w:val="continue"/>
            <w:shd w:val="clear" w:color="auto" w:fill="CFF0FC"/>
          </w:tcPr>
          <w:p>
            <w:pPr>
              <w:spacing w:after="0"/>
              <w:rPr>
                <w:sz w:val="12"/>
                <w:szCs w:val="12"/>
                <w:color w:val="auto"/>
              </w:rPr>
            </w:pPr>
          </w:p>
        </w:tc>
        <w:tc>
          <w:tcPr>
            <w:tcW w:w="2180" w:type="dxa"/>
            <w:vAlign w:val="bottom"/>
            <w:gridSpan w:val="2"/>
            <w:shd w:val="clear" w:color="auto" w:fill="CFF0FC"/>
          </w:tcPr>
          <w:p>
            <w:pPr>
              <w:jc w:val="right"/>
              <w:ind w:right="6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11,745</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174,758</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7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(163,013)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27"/>
        </w:trPr>
        <w:tc>
          <w:tcPr>
            <w:tcW w:w="380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40" w:firstLine="488"/>
        <w:spacing w:after="0" w:line="259" w:lineRule="auto"/>
        <w:rPr>
          <w:sz w:val="20"/>
          <w:szCs w:val="20"/>
          <w:color w:val="auto"/>
        </w:rPr>
      </w:pPr>
      <w:r>
        <w:rPr>
          <w:rFonts w:ascii="Arial" w:cs="Arial" w:eastAsia="Arial" w:hAnsi="Arial"/>
          <w:sz w:val="12"/>
          <w:szCs w:val="12"/>
          <w:color w:val="auto"/>
        </w:rPr>
        <w:t>The increase in gross revenue from product sales of $9.9 million for the year ended December 31, 2017 compared to the prior year is primarily due to an increase in cartridges sold. Total estimated gross-to-net adjustments of $3.4 million were approximately 27% of gross revenue from product sales for the year ended December 31, 2017, a decrease of approximately 3% of gross revenue from the prior year. This decrease is due primarily to distribution fees paid to Integrated Commercialization Solutions Direct (“ICS”) in 2016 as part of an interim agreement that enabled us to distribute product in all necessary jurisdictions while we obtained the necessary licenses. This agreement was terminated in December 2016 and therefore these fees did not recur in 2017.</w:t>
      </w:r>
    </w:p>
    <w:p>
      <w:pPr>
        <w:spacing w:after="0" w:line="125" w:lineRule="exact"/>
        <w:rPr>
          <w:sz w:val="20"/>
          <w:szCs w:val="20"/>
          <w:color w:val="auto"/>
        </w:rPr>
      </w:pPr>
    </w:p>
    <w:p>
      <w:pPr>
        <w:ind w:right="60" w:firstLine="488"/>
        <w:spacing w:after="0" w:line="276" w:lineRule="auto"/>
        <w:rPr>
          <w:sz w:val="20"/>
          <w:szCs w:val="20"/>
          <w:color w:val="auto"/>
        </w:rPr>
      </w:pPr>
      <w:r>
        <w:rPr>
          <w:rFonts w:ascii="Arial" w:cs="Arial" w:eastAsia="Arial" w:hAnsi="Arial"/>
          <w:sz w:val="12"/>
          <w:szCs w:val="12"/>
          <w:color w:val="auto"/>
        </w:rPr>
        <w:t>Net revenue from collaborations and services for the year ended December 31, 2017 decreased by $171.7 million from the prior year, primarily because the Sanofi License Agreement was terminated in 2016, which resulted in us recognizing previously deferred revenue from Sanofi, including upfront and milestone payments.</w:t>
      </w:r>
    </w:p>
    <w:p>
      <w:pPr>
        <w:spacing w:after="0" w:line="115" w:lineRule="exact"/>
        <w:rPr>
          <w:sz w:val="20"/>
          <w:szCs w:val="20"/>
          <w:color w:val="auto"/>
        </w:rPr>
      </w:pPr>
    </w:p>
    <w:p>
      <w:pPr>
        <w:ind w:right="280" w:firstLine="488"/>
        <w:spacing w:after="0" w:line="276" w:lineRule="auto"/>
        <w:rPr>
          <w:sz w:val="20"/>
          <w:szCs w:val="20"/>
          <w:color w:val="auto"/>
        </w:rPr>
      </w:pPr>
      <w:r>
        <w:rPr>
          <w:rFonts w:ascii="Arial" w:cs="Arial" w:eastAsia="Arial" w:hAnsi="Arial"/>
          <w:sz w:val="12"/>
          <w:szCs w:val="12"/>
          <w:color w:val="auto"/>
        </w:rPr>
        <w:t>Revenue – other for the year ended December 31, 2017 represents $1.7 million from sales of bulk insulin to a third party and $0.6 million from a sale of intellectual property. Revenue – other for the year ended December 31, 2016 represents $0.9 million from sales of bulk insulin to a third party.</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Expenses</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a comparison of the expense categories for the years ended December 31, 2017 and 2016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0"/>
                <w:szCs w:val="10"/>
                <w:b w:val="1"/>
                <w:bCs w:val="1"/>
                <w:color w:val="auto"/>
                <w:w w:val="86"/>
              </w:rPr>
              <w:t>Year Ended December 31,</w:t>
            </w: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2016</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880" w:type="dxa"/>
            <w:vAlign w:val="bottom"/>
            <w:gridSpan w:val="2"/>
          </w:tcPr>
          <w:p>
            <w:pPr>
              <w:jc w:val="right"/>
              <w:ind w:right="560"/>
              <w:spacing w:after="0" w:line="97" w:lineRule="exact"/>
              <w:rPr>
                <w:sz w:val="20"/>
                <w:szCs w:val="20"/>
                <w:color w:val="auto"/>
              </w:rPr>
            </w:pPr>
            <w:r>
              <w:rPr>
                <w:rFonts w:ascii="Arial" w:cs="Arial" w:eastAsia="Arial" w:hAnsi="Arial"/>
                <w:sz w:val="10"/>
                <w:szCs w:val="10"/>
                <w:b w:val="1"/>
                <w:bCs w:val="1"/>
                <w:color w:val="auto"/>
                <w:w w:val="81"/>
              </w:rPr>
              <w:t>Change</w:t>
            </w:r>
          </w:p>
        </w:tc>
        <w:tc>
          <w:tcPr>
            <w:tcW w:w="1060" w:type="dxa"/>
            <w:vAlign w:val="bottom"/>
          </w:tcPr>
          <w:p>
            <w:pPr>
              <w:ind w:left="300"/>
              <w:spacing w:after="0" w:line="97" w:lineRule="exact"/>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Expenses:</w:t>
            </w:r>
          </w:p>
        </w:tc>
        <w:tc>
          <w:tcPr>
            <w:tcW w:w="160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Cost of goods sold</w:t>
            </w:r>
          </w:p>
        </w:tc>
        <w:tc>
          <w:tcPr>
            <w:tcW w:w="2220" w:type="dxa"/>
            <w:vAlign w:val="bottom"/>
            <w:gridSpan w:val="2"/>
          </w:tcPr>
          <w:p>
            <w:pPr>
              <w:jc w:val="right"/>
              <w:ind w:right="51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17,228</w:t>
            </w:r>
          </w:p>
        </w:tc>
        <w:tc>
          <w:tcPr>
            <w:tcW w:w="220" w:type="dxa"/>
            <w:vAlign w:val="bottom"/>
          </w:tcPr>
          <w:p>
            <w:pPr>
              <w:spacing w:after="0"/>
              <w:rPr>
                <w:sz w:val="13"/>
                <w:szCs w:val="13"/>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17,121</w:t>
            </w:r>
          </w:p>
        </w:tc>
        <w:tc>
          <w:tcPr>
            <w:tcW w:w="240" w:type="dxa"/>
            <w:vAlign w:val="bottom"/>
          </w:tcPr>
          <w:p>
            <w:pPr>
              <w:spacing w:after="0"/>
              <w:rPr>
                <w:sz w:val="13"/>
                <w:szCs w:val="13"/>
                <w:color w:val="auto"/>
              </w:rPr>
            </w:pP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107</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Cost of revenue - collaborations and services</w:t>
            </w:r>
          </w:p>
        </w:tc>
        <w:tc>
          <w:tcPr>
            <w:tcW w:w="16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32,971</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(32,971)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Research and development</w:t>
            </w:r>
          </w:p>
        </w:tc>
        <w:tc>
          <w:tcPr>
            <w:tcW w:w="1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14,118</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14,917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(799)</w:t>
            </w: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Selling</w:t>
            </w:r>
          </w:p>
        </w:tc>
        <w:tc>
          <w:tcPr>
            <w:tcW w:w="16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46,135</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21,027</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25,108</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119%</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General and administrative</w:t>
            </w:r>
          </w:p>
        </w:tc>
        <w:tc>
          <w:tcPr>
            <w:tcW w:w="1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28,824</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25,901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2,923</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11%</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Property and equipment impairment</w:t>
            </w:r>
          </w:p>
        </w:tc>
        <w:tc>
          <w:tcPr>
            <w:tcW w:w="16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1,259</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(1,056)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(84%)</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Loss (gain) on foreign currency translation</w:t>
            </w:r>
          </w:p>
        </w:tc>
        <w:tc>
          <w:tcPr>
            <w:tcW w:w="1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13,641</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(3,433)</w:t>
            </w: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17,074</w:t>
            </w:r>
          </w:p>
        </w:tc>
        <w:tc>
          <w:tcPr>
            <w:tcW w:w="220" w:type="dxa"/>
            <w:vAlign w:val="bottom"/>
          </w:tcPr>
          <w:p>
            <w:pPr>
              <w:spacing w:after="0"/>
              <w:rPr>
                <w:sz w:val="13"/>
                <w:szCs w:val="1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(497%)</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Loss on purchase commitment</w:t>
            </w:r>
          </w:p>
        </w:tc>
        <w:tc>
          <w:tcPr>
            <w:tcW w:w="16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(215)</w:t>
            </w:r>
          </w:p>
        </w:tc>
        <w:tc>
          <w:tcPr>
            <w:tcW w:w="6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(2,265)</w:t>
            </w: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2,050</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(91%)</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720" w:type="dxa"/>
            <w:vAlign w:val="bottom"/>
            <w:vMerge w:val="restart"/>
          </w:tcPr>
          <w:p>
            <w:pPr>
              <w:ind w:left="340"/>
              <w:spacing w:after="0"/>
              <w:rPr>
                <w:sz w:val="20"/>
                <w:szCs w:val="20"/>
                <w:color w:val="auto"/>
              </w:rPr>
            </w:pPr>
            <w:r>
              <w:rPr>
                <w:rFonts w:ascii="Arial" w:cs="Arial" w:eastAsia="Arial" w:hAnsi="Arial"/>
                <w:sz w:val="12"/>
                <w:szCs w:val="12"/>
                <w:color w:val="auto"/>
              </w:rPr>
              <w:t>Total expenses</w:t>
            </w:r>
          </w:p>
        </w:tc>
        <w:tc>
          <w:tcPr>
            <w:tcW w:w="1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2220" w:type="dxa"/>
            <w:vAlign w:val="bottom"/>
            <w:gridSpan w:val="2"/>
          </w:tcPr>
          <w:p>
            <w:pPr>
              <w:jc w:val="right"/>
              <w:ind w:right="51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87"/>
              </w:rPr>
              <w:t>119,934</w:t>
            </w:r>
          </w:p>
        </w:tc>
        <w:tc>
          <w:tcPr>
            <w:tcW w:w="220" w:type="dxa"/>
            <w:vAlign w:val="bottom"/>
          </w:tcPr>
          <w:p>
            <w:pPr>
              <w:spacing w:after="0"/>
              <w:rPr>
                <w:sz w:val="12"/>
                <w:szCs w:val="12"/>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107,498</w:t>
            </w:r>
          </w:p>
        </w:tc>
        <w:tc>
          <w:tcPr>
            <w:tcW w:w="240" w:type="dxa"/>
            <w:vAlign w:val="bottom"/>
          </w:tcPr>
          <w:p>
            <w:pPr>
              <w:spacing w:after="0"/>
              <w:rPr>
                <w:sz w:val="12"/>
                <w:szCs w:val="12"/>
                <w:color w:val="auto"/>
              </w:rPr>
            </w:pP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12,436</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0" w:type="dxa"/>
            <w:vAlign w:val="bottom"/>
          </w:tcPr>
          <w:p>
            <w:pPr>
              <w:jc w:val="right"/>
              <w:ind w:right="20"/>
              <w:spacing w:after="0"/>
              <w:rPr>
                <w:sz w:val="20"/>
                <w:szCs w:val="20"/>
                <w:color w:val="auto"/>
              </w:rPr>
            </w:pPr>
            <w:r>
              <w:rPr>
                <w:rFonts w:ascii="Arial" w:cs="Arial" w:eastAsia="Arial" w:hAnsi="Arial"/>
                <w:sz w:val="12"/>
                <w:szCs w:val="12"/>
                <w:color w:val="auto"/>
              </w:rPr>
              <w:t>44</w:t>
            </w:r>
          </w:p>
        </w:tc>
        <w:tc>
          <w:tcPr>
            <w:tcW w:w="6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0" w:type="dxa"/>
            <w:vAlign w:val="bottom"/>
            <w:tcBorders>
              <w:bottom w:val="single" w:sz="8" w:color="9A9A9A"/>
            </w:tcBorders>
          </w:tcPr>
          <w:p>
            <w:pPr>
              <w:spacing w:after="0"/>
              <w:rPr>
                <w:sz w:val="19"/>
                <w:szCs w:val="19"/>
                <w:color w:val="auto"/>
              </w:rPr>
            </w:pPr>
          </w:p>
        </w:tc>
        <w:tc>
          <w:tcPr>
            <w:tcW w:w="3720" w:type="dxa"/>
            <w:vAlign w:val="bottom"/>
            <w:tcBorders>
              <w:bottom w:val="single" w:sz="8" w:color="9A9A9A"/>
            </w:tcBorders>
          </w:tcPr>
          <w:p>
            <w:pPr>
              <w:spacing w:after="0"/>
              <w:rPr>
                <w:sz w:val="19"/>
                <w:szCs w:val="19"/>
                <w:color w:val="auto"/>
              </w:rPr>
            </w:pPr>
          </w:p>
        </w:tc>
        <w:tc>
          <w:tcPr>
            <w:tcW w:w="160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91" w:right="179" w:bottom="1440" w:gutter="0" w:footer="0" w:header="0"/>
        </w:sectPr>
      </w:pPr>
    </w:p>
    <w:bookmarkStart w:id="47" w:name="page48"/>
    <w:bookmarkEnd w:id="47"/>
    <w:p>
      <w:pPr>
        <w:ind w:right="60" w:firstLine="488"/>
        <w:spacing w:after="0" w:line="257" w:lineRule="auto"/>
        <w:rPr>
          <w:sz w:val="20"/>
          <w:szCs w:val="20"/>
          <w:color w:val="auto"/>
        </w:rPr>
      </w:pPr>
      <w:r>
        <w:rPr>
          <w:rFonts w:ascii="Arial" w:cs="Arial" w:eastAsia="Arial" w:hAnsi="Arial"/>
          <w:sz w:val="12"/>
          <w:szCs w:val="12"/>
          <w:color w:val="auto"/>
        </w:rPr>
        <w:t>Cost of goods sold includes the costs related to Afrezza product dispensed by pharmacies to patients as well as the following costs, which are recorded as expenses in the period in which they are incurred, rather than as a portion of the inventory cost: current year manufacturing costs in excess of costs capitalized into inventory, the impact of an annual revaluation of inventory and deferred costs of commercial sales to standard cost, write-offs of inventory and deferred costs of commercial sales. The increase in cost of goods sold of $0.1 million for the year ended December 31, 2017 compared to the prior year is primarily due to increases of $2.8 million in inventory write-offs related to obsolescence and $1.6 million in cost of goods attributable to greater commercial product sales. These increases were offset by a decrease of $4.5 million related to a reduction in current year manufacturing costs in excess of costs capitalized into inventory (resulting from the reduction in work force in the fourth quarter of 2016).</w:t>
      </w:r>
    </w:p>
    <w:p>
      <w:pPr>
        <w:spacing w:after="0" w:line="126" w:lineRule="exact"/>
        <w:rPr>
          <w:sz w:val="20"/>
          <w:szCs w:val="20"/>
          <w:color w:val="auto"/>
        </w:rPr>
      </w:pPr>
    </w:p>
    <w:p>
      <w:pPr>
        <w:ind w:right="120" w:firstLine="488"/>
        <w:spacing w:after="0" w:line="263" w:lineRule="auto"/>
        <w:rPr>
          <w:sz w:val="20"/>
          <w:szCs w:val="20"/>
          <w:color w:val="auto"/>
        </w:rPr>
      </w:pPr>
      <w:r>
        <w:rPr>
          <w:rFonts w:ascii="Arial" w:cs="Arial" w:eastAsia="Arial" w:hAnsi="Arial"/>
          <w:sz w:val="12"/>
          <w:szCs w:val="12"/>
          <w:color w:val="auto"/>
        </w:rPr>
        <w:t>Costs of revenue - collaboration represents the costs of product manufactured and sold to Sanofi, as well as certain direct costs associated with a firm purchase commitment entered into in connection with the collaboration with Sanofi for the year ended December 31, 2016. During the year ended December 31, 2017, we did not recognize any collaboration product costs. During the year ended December 31, 2016, we recognized $33.0 million of collaboration product costs, which consists of $13.5 million in Afrezza manufacturing costs for product sold to Sanofi, and $19.5 million related to the cost of bulk insulin sold to Sanofi.</w:t>
      </w:r>
    </w:p>
    <w:p>
      <w:pPr>
        <w:spacing w:after="0" w:line="123" w:lineRule="exact"/>
        <w:rPr>
          <w:sz w:val="20"/>
          <w:szCs w:val="20"/>
          <w:color w:val="auto"/>
        </w:rPr>
      </w:pPr>
    </w:p>
    <w:p>
      <w:pPr>
        <w:ind w:right="20" w:firstLine="488"/>
        <w:spacing w:after="0" w:line="263" w:lineRule="auto"/>
        <w:rPr>
          <w:sz w:val="20"/>
          <w:szCs w:val="20"/>
          <w:color w:val="auto"/>
        </w:rPr>
      </w:pPr>
      <w:r>
        <w:rPr>
          <w:rFonts w:ascii="Arial" w:cs="Arial" w:eastAsia="Arial" w:hAnsi="Arial"/>
          <w:sz w:val="12"/>
          <w:szCs w:val="12"/>
          <w:color w:val="auto"/>
        </w:rPr>
        <w:t>Research and development expenses decreased for the year ended December 31, 2017 by $0.8 million, or 5% compared with the prior year, primarily due to a $3.6 million decrease in research and development workforce costs in the fourth quarter of 2016 and an FDA submission fee for label expansion of $1.0 million incurred in 2016. These decreases were offset by a $2.5 million increase in clinical trial expenses, a $0.7 million increase in expenses incurred for research and development related to manufacturing automation and improvements, and a $0.2 million increase in travel expenses.</w:t>
      </w:r>
    </w:p>
    <w:p>
      <w:pPr>
        <w:spacing w:after="0" w:line="123" w:lineRule="exact"/>
        <w:rPr>
          <w:sz w:val="20"/>
          <w:szCs w:val="20"/>
          <w:color w:val="auto"/>
        </w:rPr>
      </w:pPr>
    </w:p>
    <w:p>
      <w:pPr>
        <w:ind w:right="60" w:firstLine="488"/>
        <w:spacing w:after="0" w:line="290" w:lineRule="auto"/>
        <w:rPr>
          <w:sz w:val="20"/>
          <w:szCs w:val="20"/>
          <w:color w:val="auto"/>
        </w:rPr>
      </w:pPr>
      <w:r>
        <w:rPr>
          <w:rFonts w:ascii="Arial" w:cs="Arial" w:eastAsia="Arial" w:hAnsi="Arial"/>
          <w:sz w:val="11"/>
          <w:szCs w:val="11"/>
          <w:color w:val="auto"/>
        </w:rPr>
        <w:t>Selling expenses increased for the year ended December 31, 2017 by $25.1 million, or 119%, compared to the prior year, primarily due to a full year of marketing Afrezza in 2017 using an internal sales force, versus marketing Afrezza for a partial year in 2016 using a contracted sales force. This resulted in a $16.0 million increase in expense related to the transition and build-out of our internal sales-force, which was offset by a $7.7 million decrease in spending on contracted sales efforts. In addition, there was a $5.0 million increase in product advertising expense, primarily attributed to television advertisements, a $3.9 million increase in expenses for marketing and branding, a $3.5 million increase in travel expenses, a $1.0 million increase in expenses related to promotional materials, a $0.5 million increase in facilities expense, and a $0.3 million increase in sponsorship expense.</w:t>
      </w:r>
    </w:p>
    <w:p>
      <w:pPr>
        <w:spacing w:after="0" w:line="109" w:lineRule="exact"/>
        <w:rPr>
          <w:sz w:val="20"/>
          <w:szCs w:val="20"/>
          <w:color w:val="auto"/>
        </w:rPr>
      </w:pPr>
    </w:p>
    <w:p>
      <w:pPr>
        <w:ind w:right="100" w:firstLine="488"/>
        <w:spacing w:after="0" w:line="263" w:lineRule="auto"/>
        <w:rPr>
          <w:sz w:val="20"/>
          <w:szCs w:val="20"/>
          <w:color w:val="auto"/>
        </w:rPr>
      </w:pPr>
      <w:r>
        <w:rPr>
          <w:rFonts w:ascii="Arial" w:cs="Arial" w:eastAsia="Arial" w:hAnsi="Arial"/>
          <w:sz w:val="12"/>
          <w:szCs w:val="12"/>
          <w:color w:val="auto"/>
        </w:rPr>
        <w:t>In order to conform to the 2017 presentation above, we reclassified approximately $3.6 million of personnel costs related to Afrezza medical affair activities from general administrative expenses to selling expenses in 2017 and $1.2 million in 2016. This resulted in a change in selling expenses from $42.6 million in 2017 and $19.9 million in 2016, as previously reported in our Annual Report on Form 10-K filed on March 6, 2017, to $46.1 million for the year ended December 31, 2017 and $20.0 million for the year ended December 31, 2016.</w:t>
      </w:r>
    </w:p>
    <w:p>
      <w:pPr>
        <w:spacing w:after="0" w:line="123"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General and administrative expense increased for the year ended December 31, 2017 by $2.9 million, or 11%, compared to the prior year, primarily due to increases in salaries of $2.6 million related to new executives hired in late 2016 and 2017, a $1.5 million increase in professional fees, primarily related to recapitalization transactions, a $1.4 million increase in expense for consulting services related to accounting, human resources, and business development, a $0.7 million increase in expenses for performance bonuses, a $0.5 million increase in expenses associated with executive recruitment and relocation, and a $0.2 million increase in expenses for software infrastructure. These increases were partially offset by a $2.1 million decrease in legal expenses.</w:t>
      </w:r>
    </w:p>
    <w:p>
      <w:pPr>
        <w:spacing w:after="0" w:line="125" w:lineRule="exact"/>
        <w:rPr>
          <w:sz w:val="20"/>
          <w:szCs w:val="20"/>
          <w:color w:val="auto"/>
        </w:rPr>
      </w:pPr>
    </w:p>
    <w:p>
      <w:pPr>
        <w:ind w:right="40" w:firstLine="488"/>
        <w:spacing w:after="0" w:line="263" w:lineRule="auto"/>
        <w:rPr>
          <w:sz w:val="20"/>
          <w:szCs w:val="20"/>
          <w:color w:val="auto"/>
        </w:rPr>
      </w:pPr>
      <w:r>
        <w:rPr>
          <w:rFonts w:ascii="Arial" w:cs="Arial" w:eastAsia="Arial" w:hAnsi="Arial"/>
          <w:sz w:val="12"/>
          <w:szCs w:val="12"/>
          <w:color w:val="auto"/>
        </w:rPr>
        <w:t>In order to conform to the 2017 presentation above, we reclassified approximately $3.6 million of personnel costs related to Afrezza medical affair activities from general and administrative expenses to selling expenses in 2017 and $1.2 million in 2016. This resulted in a change in general and administrative expenses from $32.4 million in 2017 and $27.1 million in 2016, as previously reported in our Annual Report on Form 10-K filed on March 6, 2017, to $28.8 million for the year ended December 31, 2017 and $25.9 million for the year ended December 31, 2016.</w:t>
      </w:r>
    </w:p>
    <w:p>
      <w:pPr>
        <w:spacing w:after="0" w:line="123" w:lineRule="exact"/>
        <w:rPr>
          <w:sz w:val="20"/>
          <w:szCs w:val="20"/>
          <w:color w:val="auto"/>
        </w:rPr>
      </w:pPr>
    </w:p>
    <w:p>
      <w:pPr>
        <w:jc w:val="both"/>
        <w:ind w:right="40" w:firstLine="488"/>
        <w:spacing w:after="0" w:line="263" w:lineRule="auto"/>
        <w:rPr>
          <w:sz w:val="20"/>
          <w:szCs w:val="20"/>
          <w:color w:val="auto"/>
        </w:rPr>
      </w:pPr>
      <w:r>
        <w:rPr>
          <w:rFonts w:ascii="Arial" w:cs="Arial" w:eastAsia="Arial" w:hAnsi="Arial"/>
          <w:sz w:val="12"/>
          <w:szCs w:val="12"/>
          <w:color w:val="auto"/>
        </w:rPr>
        <w:t>Under the Insulin Supply Agreement with Amphastar, payment obligations are denominated in Euros. We are required to record the foreign currency translation impact of the U.S. dollar to Euro exchange rate associated with the recognized loss on purchase commitments. A loss of $13.6 million was recorded for foreign currency translation for the year ended December 31, 2017, as compared to a gain in 2016 of $3.4 million, resulting in a $17.1 million net change due to unfavorable U.S. dollar to Euro exchange rates during 2017.</w:t>
      </w:r>
    </w:p>
    <w:p>
      <w:pPr>
        <w:spacing w:after="0" w:line="123" w:lineRule="exact"/>
        <w:rPr>
          <w:sz w:val="20"/>
          <w:szCs w:val="20"/>
          <w:color w:val="auto"/>
        </w:rPr>
      </w:pPr>
    </w:p>
    <w:p>
      <w:pPr>
        <w:ind w:right="60" w:firstLine="488"/>
        <w:spacing w:after="0" w:line="276" w:lineRule="auto"/>
        <w:rPr>
          <w:sz w:val="20"/>
          <w:szCs w:val="20"/>
          <w:color w:val="auto"/>
        </w:rPr>
      </w:pPr>
      <w:r>
        <w:rPr>
          <w:rFonts w:ascii="Arial" w:cs="Arial" w:eastAsia="Arial" w:hAnsi="Arial"/>
          <w:sz w:val="12"/>
          <w:szCs w:val="12"/>
          <w:color w:val="auto"/>
        </w:rPr>
        <w:t>(Gain) loss on purchase commitments changed by $2.1 million as a result of a gain recorded in 2016 of $2.3 million versus $0.2 million in 2017. The $2.3 million gain on purchase commitments in 2016 related to a renegotiation of certain of our purchase commitments (primarily the reduction in cancellation fees under the Insulin Supply Agreement).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48" w:name="page49"/>
    <w:bookmarkEnd w:id="48"/>
    <w:p>
      <w:pPr>
        <w:spacing w:after="0"/>
        <w:rPr>
          <w:sz w:val="20"/>
          <w:szCs w:val="20"/>
          <w:color w:val="auto"/>
        </w:rPr>
      </w:pPr>
      <w:r>
        <w:rPr>
          <w:rFonts w:ascii="Arial" w:cs="Arial" w:eastAsia="Arial" w:hAnsi="Arial"/>
          <w:sz w:val="12"/>
          <w:szCs w:val="12"/>
          <w:i w:val="1"/>
          <w:iCs w:val="1"/>
          <w:color w:val="auto"/>
        </w:rPr>
        <w:t>Other Income (Expense)</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a comparison of the other income (expense) categories for the years ended December 31, 2017 and 2016 (dollars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0"/>
                <w:szCs w:val="10"/>
                <w:b w:val="1"/>
                <w:bCs w:val="1"/>
                <w:color w:val="auto"/>
              </w:rPr>
              <w:t>Year Ended December 31,</w:t>
            </w: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520" w:type="dxa"/>
            <w:vAlign w:val="bottom"/>
            <w:tcBorders>
              <w:bottom w:val="single" w:sz="8" w:color="CFF0FC"/>
            </w:tcBorders>
          </w:tcPr>
          <w:p>
            <w:pPr>
              <w:spacing w:after="0"/>
              <w:rPr>
                <w:sz w:val="8"/>
                <w:szCs w:val="8"/>
                <w:color w:val="auto"/>
              </w:rPr>
            </w:pPr>
          </w:p>
        </w:tc>
        <w:tc>
          <w:tcPr>
            <w:tcW w:w="1220" w:type="dxa"/>
            <w:vAlign w:val="bottom"/>
            <w:tcBorders>
              <w:bottom w:val="single" w:sz="8" w:color="CFF0FC"/>
            </w:tcBorders>
          </w:tcPr>
          <w:p>
            <w:pPr>
              <w:spacing w:after="0"/>
              <w:rPr>
                <w:sz w:val="8"/>
                <w:szCs w:val="8"/>
                <w:color w:val="auto"/>
              </w:rPr>
            </w:pPr>
          </w:p>
        </w:tc>
        <w:tc>
          <w:tcPr>
            <w:tcW w:w="5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2017</w:t>
            </w: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03"/>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221"/>
              <w:spacing w:after="0" w:line="97" w:lineRule="exact"/>
              <w:rPr>
                <w:sz w:val="20"/>
                <w:szCs w:val="20"/>
                <w:color w:val="auto"/>
              </w:rPr>
            </w:pPr>
            <w:r>
              <w:rPr>
                <w:rFonts w:ascii="Arial" w:cs="Arial" w:eastAsia="Arial" w:hAnsi="Arial"/>
                <w:sz w:val="10"/>
                <w:szCs w:val="10"/>
                <w:b w:val="1"/>
                <w:bCs w:val="1"/>
                <w:color w:val="auto"/>
              </w:rPr>
              <w:t>$ Change</w:t>
            </w:r>
          </w:p>
        </w:tc>
        <w:tc>
          <w:tcPr>
            <w:tcW w:w="200" w:type="dxa"/>
            <w:vAlign w:val="bottom"/>
            <w:tcBorders>
              <w:bottom w:val="single" w:sz="8" w:color="CFF0FC"/>
            </w:tcBorders>
          </w:tcPr>
          <w:p>
            <w:pPr>
              <w:spacing w:after="0"/>
              <w:rPr>
                <w:sz w:val="8"/>
                <w:szCs w:val="8"/>
                <w:color w:val="auto"/>
              </w:rPr>
            </w:pPr>
          </w:p>
        </w:tc>
        <w:tc>
          <w:tcPr>
            <w:tcW w:w="920" w:type="dxa"/>
            <w:vAlign w:val="bottom"/>
            <w:tcBorders>
              <w:bottom w:val="single" w:sz="8" w:color="auto"/>
            </w:tcBorders>
          </w:tcPr>
          <w:p>
            <w:pPr>
              <w:ind w:left="220"/>
              <w:spacing w:after="0" w:line="97" w:lineRule="exact"/>
              <w:rPr>
                <w:sz w:val="20"/>
                <w:szCs w:val="20"/>
                <w:color w:val="auto"/>
              </w:rPr>
            </w:pPr>
            <w:r>
              <w:rPr>
                <w:rFonts w:ascii="Arial" w:cs="Arial" w:eastAsia="Arial" w:hAnsi="Arial"/>
                <w:sz w:val="10"/>
                <w:szCs w:val="10"/>
                <w:b w:val="1"/>
                <w:bCs w:val="1"/>
                <w:color w:val="auto"/>
              </w:rPr>
              <w:t>% Change</w:t>
            </w:r>
          </w:p>
        </w:tc>
        <w:tc>
          <w:tcPr>
            <w:tcW w:w="16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rPr>
                <w:sz w:val="20"/>
                <w:szCs w:val="20"/>
                <w:color w:val="auto"/>
              </w:rPr>
            </w:pPr>
            <w:r>
              <w:rPr>
                <w:rFonts w:ascii="Arial" w:cs="Arial" w:eastAsia="Arial" w:hAnsi="Arial"/>
                <w:sz w:val="12"/>
                <w:szCs w:val="12"/>
                <w:color w:val="auto"/>
              </w:rPr>
              <w:t>Change in fair value of warrant liability</w:t>
            </w:r>
          </w:p>
        </w:tc>
        <w:tc>
          <w:tcPr>
            <w:tcW w:w="1800" w:type="dxa"/>
            <w:vAlign w:val="bottom"/>
            <w:gridSpan w:val="2"/>
            <w:shd w:val="clear" w:color="auto" w:fill="CFF0FC"/>
          </w:tcPr>
          <w:p>
            <w:pPr>
              <w:jc w:val="right"/>
              <w:ind w:right="492"/>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5,488</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5,369</w:t>
            </w:r>
          </w:p>
        </w:tc>
        <w:tc>
          <w:tcPr>
            <w:tcW w:w="1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w:t>
            </w: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Interest income</w:t>
            </w: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293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208</w:t>
            </w:r>
          </w:p>
        </w:tc>
        <w:tc>
          <w:tcPr>
            <w:tcW w:w="20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53"/>
        </w:trPr>
        <w:tc>
          <w:tcPr>
            <w:tcW w:w="352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on notes</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4"/>
              </w:rPr>
              <w:t>(9,494)</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(15,576)</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6,082</w:t>
            </w:r>
          </w:p>
        </w:tc>
        <w:tc>
          <w:tcPr>
            <w:tcW w:w="2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Interest expense on note payable to related party</w:t>
            </w: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4"/>
              </w:rPr>
              <w:t>(3,782)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(2,901)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(881)</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3"/>
        </w:trPr>
        <w:tc>
          <w:tcPr>
            <w:tcW w:w="3520" w:type="dxa"/>
            <w:vAlign w:val="bottom"/>
            <w:shd w:val="clear" w:color="auto" w:fill="CFF0FC"/>
          </w:tcPr>
          <w:p>
            <w:pPr>
              <w:spacing w:after="0"/>
              <w:rPr>
                <w:sz w:val="20"/>
                <w:szCs w:val="20"/>
                <w:color w:val="auto"/>
              </w:rPr>
            </w:pPr>
            <w:r>
              <w:rPr>
                <w:rFonts w:ascii="Arial" w:cs="Arial" w:eastAsia="Arial" w:hAnsi="Arial"/>
                <w:sz w:val="12"/>
                <w:szCs w:val="12"/>
                <w:color w:val="auto"/>
              </w:rPr>
              <w:t>(Loss) gain on extinguishment of debt</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4"/>
              </w:rPr>
              <w:t>(1,611)</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72,024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(73,635)</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Other (expense) income</w:t>
            </w: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(597)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610</w:t>
            </w:r>
          </w:p>
        </w:tc>
        <w:tc>
          <w:tcPr>
            <w:tcW w:w="20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FF0FC"/>
          </w:tcPr>
          <w:p>
            <w:pPr>
              <w:ind w:left="320"/>
              <w:spacing w:after="0"/>
              <w:rPr>
                <w:sz w:val="20"/>
                <w:szCs w:val="20"/>
                <w:color w:val="auto"/>
              </w:rPr>
            </w:pPr>
            <w:r>
              <w:rPr>
                <w:rFonts w:ascii="Arial" w:cs="Arial" w:eastAsia="Arial" w:hAnsi="Arial"/>
                <w:sz w:val="12"/>
                <w:szCs w:val="12"/>
                <w:color w:val="auto"/>
              </w:rPr>
              <w:t>Total other income (expense)</w:t>
            </w:r>
          </w:p>
        </w:tc>
        <w:tc>
          <w:tcPr>
            <w:tcW w:w="1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vMerge w:val="continue"/>
            <w:shd w:val="clear" w:color="auto" w:fill="CFF0FC"/>
          </w:tcPr>
          <w:p>
            <w:pPr>
              <w:spacing w:after="0"/>
              <w:rPr>
                <w:sz w:val="12"/>
                <w:szCs w:val="12"/>
                <w:color w:val="auto"/>
              </w:rPr>
            </w:pPr>
          </w:p>
        </w:tc>
        <w:tc>
          <w:tcPr>
            <w:tcW w:w="1800" w:type="dxa"/>
            <w:vAlign w:val="bottom"/>
            <w:gridSpan w:val="2"/>
            <w:shd w:val="clear" w:color="auto" w:fill="CFF0FC"/>
          </w:tcPr>
          <w:p>
            <w:pPr>
              <w:jc w:val="right"/>
              <w:ind w:right="492"/>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4"/>
              </w:rPr>
              <w:t>(9,093)</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58,404</w:t>
            </w:r>
          </w:p>
        </w:tc>
        <w:tc>
          <w:tcPr>
            <w:tcW w:w="1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(67,497)</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7"/>
        </w:trPr>
        <w:tc>
          <w:tcPr>
            <w:tcW w:w="352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firstLine="488"/>
        <w:spacing w:after="0" w:line="298" w:lineRule="auto"/>
        <w:rPr>
          <w:sz w:val="20"/>
          <w:szCs w:val="20"/>
          <w:color w:val="auto"/>
        </w:rPr>
      </w:pPr>
      <w:r>
        <w:rPr>
          <w:rFonts w:ascii="Arial" w:cs="Arial" w:eastAsia="Arial" w:hAnsi="Arial"/>
          <w:sz w:val="11"/>
          <w:szCs w:val="11"/>
          <w:color w:val="auto"/>
        </w:rPr>
        <w:t>During the year ended December 31, 2017 we recorded a $5.5 million change in the fair value of the warrant liability from the beginning of the year through the date the Series A Common Stock Purchase Warrants (“A Warrants”) and Series B Common Stock Purchase Warrants (“B Warrants”) were exchanged, compared to $5.4 million for the prior year due to the volatility in our stock price. On September 29, 2017, we entered into exchange agreements with the four holders of all outstanding A and B Warrants, pursuant to which we agreed to issue to such holders an aggregate of 1,292,510 shares of our common stock in exchange for such warrants.</w:t>
      </w:r>
    </w:p>
    <w:p>
      <w:pPr>
        <w:spacing w:after="0" w:line="105" w:lineRule="exact"/>
        <w:rPr>
          <w:sz w:val="20"/>
          <w:szCs w:val="20"/>
          <w:color w:val="auto"/>
        </w:rPr>
      </w:pPr>
    </w:p>
    <w:p>
      <w:pPr>
        <w:ind w:firstLine="488"/>
        <w:spacing w:after="0" w:line="276" w:lineRule="auto"/>
        <w:rPr>
          <w:sz w:val="20"/>
          <w:szCs w:val="20"/>
          <w:color w:val="auto"/>
        </w:rPr>
      </w:pPr>
      <w:r>
        <w:rPr>
          <w:rFonts w:ascii="Arial" w:cs="Arial" w:eastAsia="Arial" w:hAnsi="Arial"/>
          <w:sz w:val="12"/>
          <w:szCs w:val="12"/>
          <w:color w:val="auto"/>
        </w:rPr>
        <w:t>The decrease of $6.1 million in the interest expense on notes for the year ended December 31, 2017 compared to the same period in the prior year was primarily due to the extinguishment of debt under the Sanofi Loan Facility in the fourth quarter of 2016 as a result of the settlement agreement with Sanofi entered into in November 2016 (the “Settlement Agreement”).</w:t>
      </w:r>
    </w:p>
    <w:p>
      <w:pPr>
        <w:spacing w:after="0" w:line="115" w:lineRule="exact"/>
        <w:rPr>
          <w:sz w:val="20"/>
          <w:szCs w:val="20"/>
          <w:color w:val="auto"/>
        </w:rPr>
      </w:pPr>
    </w:p>
    <w:p>
      <w:pPr>
        <w:ind w:right="260" w:firstLine="488"/>
        <w:spacing w:after="0" w:line="276" w:lineRule="auto"/>
        <w:rPr>
          <w:sz w:val="20"/>
          <w:szCs w:val="20"/>
          <w:color w:val="auto"/>
        </w:rPr>
      </w:pPr>
      <w:r>
        <w:rPr>
          <w:rFonts w:ascii="Arial" w:cs="Arial" w:eastAsia="Arial" w:hAnsi="Arial"/>
          <w:sz w:val="12"/>
          <w:szCs w:val="12"/>
          <w:color w:val="auto"/>
        </w:rPr>
        <w:t>The increase of $0.9 million in the interest expense on note payable to the The Mann Group for the year ended December 31, 2017 compared to the prior year was primarily due to additional borrowings and capitalization of interest under The Mann Group Loan Arrangement in the second quarter of 2017.</w:t>
      </w:r>
    </w:p>
    <w:p>
      <w:pPr>
        <w:spacing w:after="0" w:line="115" w:lineRule="exact"/>
        <w:rPr>
          <w:sz w:val="20"/>
          <w:szCs w:val="20"/>
          <w:color w:val="auto"/>
        </w:rPr>
      </w:pPr>
    </w:p>
    <w:p>
      <w:pPr>
        <w:ind w:right="300" w:firstLine="488"/>
        <w:spacing w:after="0" w:line="276" w:lineRule="auto"/>
        <w:rPr>
          <w:sz w:val="20"/>
          <w:szCs w:val="20"/>
          <w:color w:val="auto"/>
        </w:rPr>
      </w:pPr>
      <w:r>
        <w:rPr>
          <w:rFonts w:ascii="Arial" w:cs="Arial" w:eastAsia="Arial" w:hAnsi="Arial"/>
          <w:sz w:val="12"/>
          <w:szCs w:val="12"/>
          <w:color w:val="auto"/>
        </w:rPr>
        <w:t>(Loss) gain on extinguishment of debt decreased by $73.6 million. This was due to the $72.0 million gain from extinguishment of debt in 2016 as a result of the Settlement Agreement with Sanofi and forgiveness of the full outstanding loan balance of the Sanofi Loan Facility and $1.6 million of losses on conversions of convertible notes into common stock during 2017.</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right="20" w:firstLine="488"/>
        <w:spacing w:after="0" w:line="263" w:lineRule="auto"/>
        <w:rPr>
          <w:sz w:val="20"/>
          <w:szCs w:val="20"/>
          <w:color w:val="auto"/>
        </w:rPr>
      </w:pPr>
      <w:r>
        <w:rPr>
          <w:rFonts w:ascii="Arial" w:cs="Arial" w:eastAsia="Arial" w:hAnsi="Arial"/>
          <w:sz w:val="12"/>
          <w:szCs w:val="12"/>
          <w:color w:val="auto"/>
        </w:rPr>
        <w:t>To date, we have funded our operations through the sale of equity securities and convertible debt securities, borrowings under The Mann Group Loan Arrangement, under which we can no longer borrow as we have used all amounts available for borrowing, borrowings under the Facility Agreement with Deerfield, receipt of upfront, and milestone payments under the Sanofi License Agreement, and borrowings under the Sanofi Loan Facility which terminated in 2016.</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December 31, 2018, we had $101.7 million principal amount of outstanding debt, consisting of:</w:t>
      </w:r>
    </w:p>
    <w:p>
      <w:pPr>
        <w:spacing w:after="0" w:line="78" w:lineRule="exact"/>
        <w:rPr>
          <w:sz w:val="20"/>
          <w:szCs w:val="20"/>
          <w:color w:val="auto"/>
        </w:rPr>
      </w:pPr>
    </w:p>
    <w:p>
      <w:pPr>
        <w:ind w:left="960" w:hanging="482"/>
        <w:spacing w:after="0"/>
        <w:tabs>
          <w:tab w:leader="none" w:pos="9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$18.7 million principal amount of senior convertible notes bearing interest at 5.75% per annum and maturing on October 23, 2021, all of which is convertible;</w:t>
      </w:r>
    </w:p>
    <w:p>
      <w:pPr>
        <w:spacing w:after="0" w:line="78" w:lineRule="exact"/>
        <w:rPr>
          <w:rFonts w:ascii="Arial" w:cs="Arial" w:eastAsia="Arial" w:hAnsi="Arial"/>
          <w:sz w:val="12"/>
          <w:szCs w:val="12"/>
          <w:color w:val="auto"/>
        </w:rPr>
      </w:pPr>
    </w:p>
    <w:p>
      <w:pPr>
        <w:ind w:left="960" w:hanging="482"/>
        <w:spacing w:after="0"/>
        <w:tabs>
          <w:tab w:leader="none" w:pos="9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following amounts under the Facility Financing Obligation with Deerfield which are partially convertible as further described below:</w:t>
      </w:r>
    </w:p>
    <w:p>
      <w:pPr>
        <w:spacing w:after="0" w:line="78" w:lineRule="exact"/>
        <w:rPr>
          <w:sz w:val="20"/>
          <w:szCs w:val="20"/>
          <w:color w:val="auto"/>
        </w:rPr>
      </w:pPr>
    </w:p>
    <w:p>
      <w:pPr>
        <w:ind w:left="2040" w:right="380" w:hanging="490"/>
        <w:spacing w:after="0" w:line="258" w:lineRule="auto"/>
        <w:tabs>
          <w:tab w:leader="none" w:pos="2040" w:val="left"/>
        </w:tabs>
        <w:numPr>
          <w:ilvl w:val="1"/>
          <w:numId w:val="22"/>
        </w:numPr>
        <w:rPr>
          <w:rFonts w:ascii="Courier New" w:cs="Courier New" w:eastAsia="Courier New" w:hAnsi="Courier New"/>
          <w:sz w:val="12"/>
          <w:szCs w:val="12"/>
          <w:color w:val="auto"/>
        </w:rPr>
      </w:pPr>
      <w:r>
        <w:rPr>
          <w:rFonts w:ascii="Arial" w:cs="Arial" w:eastAsia="Arial" w:hAnsi="Arial"/>
          <w:sz w:val="12"/>
          <w:szCs w:val="12"/>
          <w:color w:val="auto"/>
        </w:rPr>
        <w:t>$9.0 million principal amount due and payable in July 2019 and bearing interest at 9.75% per annum. Interest is payable in cash quarterly in arrears on the last business day of March, June, September and December of each year;</w:t>
      </w:r>
    </w:p>
    <w:p>
      <w:pPr>
        <w:spacing w:after="0" w:line="52" w:lineRule="exact"/>
        <w:rPr>
          <w:rFonts w:ascii="Courier New" w:cs="Courier New" w:eastAsia="Courier New" w:hAnsi="Courier New"/>
          <w:sz w:val="12"/>
          <w:szCs w:val="12"/>
          <w:color w:val="auto"/>
        </w:rPr>
      </w:pPr>
    </w:p>
    <w:p>
      <w:pPr>
        <w:ind w:left="2040" w:right="360" w:hanging="490"/>
        <w:spacing w:after="0" w:line="258" w:lineRule="auto"/>
        <w:tabs>
          <w:tab w:leader="none" w:pos="2040" w:val="left"/>
        </w:tabs>
        <w:numPr>
          <w:ilvl w:val="1"/>
          <w:numId w:val="22"/>
        </w:numPr>
        <w:rPr>
          <w:rFonts w:ascii="Courier New" w:cs="Courier New" w:eastAsia="Courier New" w:hAnsi="Courier New"/>
          <w:sz w:val="12"/>
          <w:szCs w:val="12"/>
          <w:color w:val="auto"/>
        </w:rPr>
      </w:pPr>
      <w:r>
        <w:rPr>
          <w:rFonts w:ascii="Arial" w:cs="Arial" w:eastAsia="Arial" w:hAnsi="Arial"/>
          <w:sz w:val="12"/>
          <w:szCs w:val="12"/>
          <w:color w:val="auto"/>
        </w:rPr>
        <w:t>$2.5 million principal amount due and payable in May 2019 and bearing interest at 8.75% per annum. Interest is payable in cash quarterly in arrears on the last business day of March, June, September and December of each year; and</w:t>
      </w:r>
    </w:p>
    <w:p>
      <w:pPr>
        <w:spacing w:after="0" w:line="52" w:lineRule="exact"/>
        <w:rPr>
          <w:rFonts w:ascii="Courier New" w:cs="Courier New" w:eastAsia="Courier New" w:hAnsi="Courier New"/>
          <w:sz w:val="12"/>
          <w:szCs w:val="12"/>
          <w:color w:val="auto"/>
        </w:rPr>
      </w:pPr>
    </w:p>
    <w:p>
      <w:pPr>
        <w:ind w:left="960" w:right="100" w:hanging="482"/>
        <w:spacing w:after="0" w:line="263" w:lineRule="auto"/>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$71.5 million principal amount of indebtedness under The Mann Group Loan Arrangement bearing interest at a fixed rate of 5.84% per annum compounded quarterly beginning April 1, 2018 and maturing on July 1, 2021, all of which is convertible at a conversion price per share of $4.00. Interest is due and payable quarterly in arrears on the first day of each calendar quarter for the preceding quarter, except that interest payments are subject to deferral under a subordination agreement with Deerfield until our payment obligations to Deerfield have been satisfied in full.</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91" w:right="239" w:bottom="1440" w:gutter="0" w:footer="0" w:header="0"/>
        </w:sectPr>
      </w:pPr>
    </w:p>
    <w:bookmarkStart w:id="49" w:name="page50"/>
    <w:bookmarkEnd w:id="49"/>
    <w:p>
      <w:pPr>
        <w:ind w:right="500" w:firstLine="488"/>
        <w:spacing w:after="0" w:line="276" w:lineRule="auto"/>
        <w:rPr>
          <w:sz w:val="20"/>
          <w:szCs w:val="20"/>
          <w:color w:val="auto"/>
        </w:rPr>
      </w:pPr>
      <w:r>
        <w:rPr>
          <w:rFonts w:ascii="Arial" w:cs="Arial" w:eastAsia="Arial" w:hAnsi="Arial"/>
          <w:sz w:val="12"/>
          <w:szCs w:val="12"/>
          <w:color w:val="auto"/>
        </w:rPr>
        <w:t>We have entered into certain transactions related to these borrowings during 2017 and 2018 that are more fully described in Note 6– Related-Party Arrangements, Note 7 – Borrowings, Note 10 – Fair Value of Financial Instruments, Note 14 – Commitments and Contingencies.</w:t>
      </w:r>
    </w:p>
    <w:p>
      <w:pPr>
        <w:spacing w:after="0" w:line="115" w:lineRule="exact"/>
        <w:rPr>
          <w:sz w:val="20"/>
          <w:szCs w:val="20"/>
          <w:color w:val="auto"/>
        </w:rPr>
      </w:pPr>
    </w:p>
    <w:p>
      <w:pPr>
        <w:ind w:right="60" w:firstLine="488"/>
        <w:spacing w:after="0" w:line="259" w:lineRule="auto"/>
        <w:rPr>
          <w:sz w:val="20"/>
          <w:szCs w:val="20"/>
          <w:color w:val="auto"/>
        </w:rPr>
      </w:pPr>
      <w:r>
        <w:rPr>
          <w:rFonts w:ascii="Arial" w:cs="Arial" w:eastAsia="Arial" w:hAnsi="Arial"/>
          <w:sz w:val="12"/>
          <w:szCs w:val="12"/>
          <w:color w:val="auto"/>
        </w:rPr>
        <w:t>On October 10, 2017, we entered into securities purchase agreements with certain institutional investors and a charitable foundation. Pursuant to the terms of the purchase agreements, we sold to the purchasers in a registered offering an aggregate of 10,166,600 shares of our common stock at a purchase price of $6.00 per share. Included in this offering was 166,600 shares issued to a charitable foundation associated with the Chairman of our board of directors. The net proceeds from the offering were approximately $57.7 million, after deducting placement agent fees equal to 5.0% of the aggregate gross proceeds from the offering (except for the proceeds received from the sale of 166,600 shares issued to the charitable foundation) and offering expenses payable by us. The offering closed on October 13, 2017.</w:t>
      </w:r>
    </w:p>
    <w:p>
      <w:pPr>
        <w:spacing w:after="0" w:line="125" w:lineRule="exact"/>
        <w:rPr>
          <w:sz w:val="20"/>
          <w:szCs w:val="20"/>
          <w:color w:val="auto"/>
        </w:rPr>
      </w:pPr>
    </w:p>
    <w:p>
      <w:pPr>
        <w:ind w:right="160" w:firstLine="488"/>
        <w:spacing w:after="0" w:line="323" w:lineRule="auto"/>
        <w:rPr>
          <w:sz w:val="20"/>
          <w:szCs w:val="20"/>
          <w:color w:val="auto"/>
        </w:rPr>
      </w:pPr>
      <w:r>
        <w:rPr>
          <w:rFonts w:ascii="Arial" w:cs="Arial" w:eastAsia="Arial" w:hAnsi="Arial"/>
          <w:sz w:val="11"/>
          <w:szCs w:val="11"/>
          <w:color w:val="auto"/>
        </w:rPr>
        <w:t>In November 2017, we sold an aggregate of 173,327 shares of our common stock for aggregate gross proceeds of approximately $0.5 million pursuant to our At Market Issuance Sales Agreement with B. Riley FBR, Inc. (f/k/a FBR Capital Markets &amp; Co.), dated as of April 26, 2016 (the “FBR Agreement”). On February 27, 2018, we terminated the FBR Agreement and no further sales were made under such agreement.</w:t>
      </w:r>
    </w:p>
    <w:p>
      <w:pPr>
        <w:spacing w:after="0" w:line="92"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On February 27, 2018 we entered into a Controlled Equity OfferingSM Sales Agreement (the “Sales Agreement”) with Cantor Fitzgerald &amp; Co. (“Cantor Fitzgerald”), as sales agent, pursuant to which we may offer and sell, from time to time, through Cantor Fitzgerald, shares of our common stock having an aggregate offering price of up to $50.0 million or such other amount as may be permitted by the Sales Agreement. Under the Sales Agreement, Cantor Fitzgerald may sell shares by any method deemed to be an “at the market offering” as defined in Rule 415 under the Securities Act of 1933, as amended. For the year ended December 31, 2018, we sold an aggregate of 1,028,432 shares of our common stock for aggregate gross proceeds of approximately $2.0 million pursuant to our Sales Agreement with Cantor Fitzgerald.</w:t>
      </w:r>
    </w:p>
    <w:p>
      <w:pPr>
        <w:spacing w:after="0" w:line="125"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On April 5, 2018, we entered into securities purchase agreements with certain institutional investors. Pursuant to the terms of the purchase agreements, we sold to the purchasers in a registered offering an aggregate of 14,000,000 shares of our common stock and warrants to purchase up to an aggregate of 14,000,000 shares of our common stock at a combined purchase price of $2.00 per share and accompanying warrant. The shares of common stock and the warrants were immediately separable. The warrants became exercisable at a price of $2.38 per share beginning on October 9, 2018 and will expire April 9, 2019. The net proceeds from the offering were approximately $26.4 million. The offering closed on April 9, 2018.</w:t>
      </w:r>
    </w:p>
    <w:p>
      <w:pPr>
        <w:spacing w:after="0" w:line="125" w:lineRule="exact"/>
        <w:rPr>
          <w:sz w:val="20"/>
          <w:szCs w:val="20"/>
          <w:color w:val="auto"/>
        </w:rPr>
      </w:pPr>
    </w:p>
    <w:p>
      <w:pPr>
        <w:ind w:right="40" w:firstLine="488"/>
        <w:spacing w:after="0" w:line="298" w:lineRule="auto"/>
        <w:rPr>
          <w:sz w:val="20"/>
          <w:szCs w:val="20"/>
          <w:color w:val="auto"/>
        </w:rPr>
      </w:pPr>
      <w:r>
        <w:rPr>
          <w:rFonts w:ascii="Arial" w:cs="Arial" w:eastAsia="Arial" w:hAnsi="Arial"/>
          <w:sz w:val="11"/>
          <w:szCs w:val="11"/>
          <w:color w:val="auto"/>
        </w:rPr>
        <w:t>On December 19, 2018, we entered into an underwriting agreement with Leerink Partners LLC relating to the issuance and sale in a public offering of 26,666,667 shares of our common stock and warrants to purchase up to an aggregate of 26,666,667 shares of our common stock at a combined purchase price of $1.50 per share and accompanying warrant. The shares of common stock and the warrants were immediately separable. The warrants were immediately exercisable at issuance at a price of $1.60 per share and will expire on December 26, 2019. The net proceeds to us from the offering were approximately $37.5 million. The offering closed on December 26, 2018.</w:t>
      </w:r>
    </w:p>
    <w:p>
      <w:pPr>
        <w:spacing w:after="0" w:line="105" w:lineRule="exact"/>
        <w:rPr>
          <w:sz w:val="20"/>
          <w:szCs w:val="20"/>
          <w:color w:val="auto"/>
        </w:rPr>
      </w:pPr>
    </w:p>
    <w:p>
      <w:pPr>
        <w:ind w:right="80" w:firstLine="488"/>
        <w:spacing w:after="0" w:line="257" w:lineRule="auto"/>
        <w:rPr>
          <w:sz w:val="20"/>
          <w:szCs w:val="20"/>
          <w:color w:val="auto"/>
        </w:rPr>
      </w:pPr>
      <w:r>
        <w:rPr>
          <w:rFonts w:ascii="Arial" w:cs="Arial" w:eastAsia="Arial" w:hAnsi="Arial"/>
          <w:sz w:val="12"/>
          <w:szCs w:val="12"/>
          <w:color w:val="auto"/>
        </w:rPr>
        <w:t>In connection with the execution of the Facility Agreement, on July 1, 2013, we issued Milestone Rights to the Milestone Purchasers. The Milestone Rights provide the Milestone Purchasers certain rights to receive payments of up to $90.0 million, of which $75.0 million remain payable as of December 31, 2018, upon the occurrence of specified strategic and sales milestones, including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to be at least $20.0 million as of December 31, 2018 and $25.0 million as of the end of each fiscal quarter after December 31, 2018. We have met the required conditions as of the specified dates. See Note 14 — Commitments and Contingencies and Note 7 — Borrowings, for further information related to the Facility Agreement.</w:t>
      </w:r>
    </w:p>
    <w:p>
      <w:pPr>
        <w:spacing w:after="0" w:line="126" w:lineRule="exact"/>
        <w:rPr>
          <w:sz w:val="20"/>
          <w:szCs w:val="20"/>
          <w:color w:val="auto"/>
        </w:rPr>
      </w:pPr>
    </w:p>
    <w:p>
      <w:pPr>
        <w:ind w:right="40" w:firstLine="488"/>
        <w:spacing w:after="0" w:line="276" w:lineRule="auto"/>
        <w:rPr>
          <w:sz w:val="20"/>
          <w:szCs w:val="20"/>
          <w:color w:val="auto"/>
        </w:rPr>
      </w:pPr>
      <w:r>
        <w:rPr>
          <w:rFonts w:ascii="Arial" w:cs="Arial" w:eastAsia="Arial" w:hAnsi="Arial"/>
          <w:sz w:val="12"/>
          <w:szCs w:val="12"/>
          <w:color w:val="auto"/>
        </w:rPr>
        <w:t>On July 31, 2014, we entered into the Insulin Supply Agreement, pursuant to which we agreed to purchase certain annual minimum quantities of insulin. See Note 14 — Commitments and Contingencies for further information related to the Insulin Supply Agreement.</w:t>
      </w:r>
    </w:p>
    <w:p>
      <w:pPr>
        <w:spacing w:after="0" w:line="115" w:lineRule="exact"/>
        <w:rPr>
          <w:sz w:val="20"/>
          <w:szCs w:val="20"/>
          <w:color w:val="auto"/>
        </w:rPr>
      </w:pPr>
    </w:p>
    <w:p>
      <w:pPr>
        <w:ind w:right="240" w:firstLine="488"/>
        <w:spacing w:after="0" w:line="257" w:lineRule="auto"/>
        <w:rPr>
          <w:sz w:val="20"/>
          <w:szCs w:val="20"/>
          <w:color w:val="auto"/>
        </w:rPr>
      </w:pPr>
      <w:r>
        <w:rPr>
          <w:rFonts w:ascii="Arial" w:cs="Arial" w:eastAsia="Arial" w:hAnsi="Arial"/>
          <w:sz w:val="12"/>
          <w:szCs w:val="12"/>
          <w:color w:val="auto"/>
        </w:rPr>
        <w:t>There can be no assurance that we will have sufficient resources to make any required repayments of principal under the senior convertible notes, Facility Financing Obligation, or The Mann Group Loan Arrangement when required. Further, if we undergo a fundamental change, as that term is defined in the indentures governing the terms of the senior convertible notes, or certain Major Transactions as defined in the Facility Agreement in respect of the Facility Financing Obligation, the holders of the respective debt securities will have the option to require us to repurchase all or any portion of such debt securities at a repurchase price of 100% of the principal amount of such debt securities to be repurchased plus accrued and unpaid interest, if any. The senior convertible notes are partially convertible and the Mann Group Loan Arrangement is fully convertible at any time prior to maturity, as further disclosed in Note 6 – Related-Party Arrangements and Note 7 – Borrowings.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50" w:name="page51"/>
    <w:bookmarkEnd w:id="50"/>
    <w:p>
      <w:pPr>
        <w:ind w:right="140" w:firstLine="488"/>
        <w:spacing w:after="0" w:line="259" w:lineRule="auto"/>
        <w:rPr>
          <w:sz w:val="20"/>
          <w:szCs w:val="20"/>
          <w:color w:val="auto"/>
        </w:rPr>
      </w:pPr>
      <w:r>
        <w:rPr>
          <w:rFonts w:ascii="Arial" w:cs="Arial" w:eastAsia="Arial" w:hAnsi="Arial"/>
          <w:sz w:val="12"/>
          <w:szCs w:val="12"/>
          <w:color w:val="auto"/>
        </w:rPr>
        <w:t>While we have been able to timely make our required interest payments to date, we cannot guarantee that we will be able to do so in the future. If we fail to pay interest on the senior convertible notes and the Facility Financing Obligation, or if we fail to repay or repurchase the senior convertible notes, Facility Financing Obligation,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25"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These factors raise substantial doubt about our ability to continue as a going concern. Our financial statements and related notes thereto included elsewhere in this Annual Report on Form 10-K, do not include adjustments that might result from the outcome of this uncertainty.</w:t>
      </w:r>
    </w:p>
    <w:p>
      <w:pPr>
        <w:spacing w:after="0" w:line="115" w:lineRule="exact"/>
        <w:rPr>
          <w:sz w:val="20"/>
          <w:szCs w:val="20"/>
          <w:color w:val="auto"/>
        </w:rPr>
      </w:pPr>
    </w:p>
    <w:p>
      <w:pPr>
        <w:ind w:right="60" w:firstLine="488"/>
        <w:spacing w:after="0" w:line="276" w:lineRule="auto"/>
        <w:rPr>
          <w:sz w:val="20"/>
          <w:szCs w:val="20"/>
          <w:color w:val="auto"/>
        </w:rPr>
      </w:pPr>
      <w:r>
        <w:rPr>
          <w:rFonts w:ascii="Arial" w:cs="Arial" w:eastAsia="Arial" w:hAnsi="Arial"/>
          <w:sz w:val="12"/>
          <w:szCs w:val="12"/>
          <w:color w:val="auto"/>
        </w:rPr>
        <w:t>Net cash used in operating activities, which consists of net loss adjusted for the various non-cash items, changes in working capital and changes in other balance sheet accounts, totaled $37.7 million for the year ended December 31, 2018. Net cash used in operating activities totaled $64.8 million and $78.1 million for the year ended December 31, 2017 and December 31, 2016, respectively.</w:t>
      </w:r>
    </w:p>
    <w:p>
      <w:pPr>
        <w:spacing w:after="0" w:line="115" w:lineRule="exact"/>
        <w:rPr>
          <w:sz w:val="20"/>
          <w:szCs w:val="20"/>
          <w:color w:val="auto"/>
        </w:rPr>
      </w:pPr>
    </w:p>
    <w:p>
      <w:pPr>
        <w:ind w:right="60" w:firstLine="488"/>
        <w:spacing w:after="0" w:line="286" w:lineRule="auto"/>
        <w:rPr>
          <w:sz w:val="20"/>
          <w:szCs w:val="20"/>
          <w:color w:val="auto"/>
        </w:rPr>
      </w:pPr>
      <w:r>
        <w:rPr>
          <w:rFonts w:ascii="Arial" w:cs="Arial" w:eastAsia="Arial" w:hAnsi="Arial"/>
          <w:sz w:val="11"/>
          <w:szCs w:val="11"/>
          <w:color w:val="auto"/>
        </w:rPr>
        <w:t>During the year ended December 31, 2018, we used $37.7 million of cash for our operating activities as a result of our net loss of $87.0 million, offset by a net decrease in operating assets and liabilities of $36.7 million and non-cash charges of $12.6 million. The net decrease in operating assets and liabilities was primarily attributable to our receipt of $57.2 million in cash from collaboration agreements (revenue recognition of $46.8 million was deferred to future periods – see Note 8 – Collaboration and Licensing Arrangements). The net decreases in operating assets and liabilities was partially offset by an increase in inventory of $3.2 million, a decrease of accrued expenses of $2.2 million and an increase in accounts receivable of $1.3 million, offset by decreases in purchase commitment of $7.0 million and accounts payable of $1.6 million. The non-cash items included $6.9 million of stock-based compensation, $2.9 million of depreciation, amortization and accretion and an $0.8 million loss on extinguishment of debt, offset by $4.5 million of gain on foreign currency translation, and inventory write-offs of $2.2 million.</w:t>
      </w:r>
    </w:p>
    <w:p>
      <w:pPr>
        <w:spacing w:after="0" w:line="111" w:lineRule="exact"/>
        <w:rPr>
          <w:sz w:val="20"/>
          <w:szCs w:val="20"/>
          <w:color w:val="auto"/>
        </w:rPr>
      </w:pPr>
    </w:p>
    <w:p>
      <w:pPr>
        <w:ind w:firstLine="488"/>
        <w:spacing w:after="0" w:line="283" w:lineRule="auto"/>
        <w:rPr>
          <w:sz w:val="20"/>
          <w:szCs w:val="20"/>
          <w:color w:val="auto"/>
        </w:rPr>
      </w:pPr>
      <w:r>
        <w:rPr>
          <w:rFonts w:ascii="Arial" w:cs="Arial" w:eastAsia="Arial" w:hAnsi="Arial"/>
          <w:sz w:val="11"/>
          <w:szCs w:val="11"/>
          <w:color w:val="auto"/>
        </w:rPr>
        <w:t>During the year ended December 31, 2017, we used $64.8 million of cash for our operating activities as a result of our net loss of $117.3 million, offset by a net decrease in operating assets and liabilities of $27.6 million and non-cash charges of $25.0 million. The net decrease in operating assets and liabilities was primarily a result of the receipt of $30.6 million from Sanofi pursuant to the insulin put option in January 2017. The net decrease in operating assets and liabilities was partially offset by an increase in accounts payable of $3.8 million and accrued expenses and other current liabilities of $2.9 million, offset by decreases in deferred revenue of $0.4 million and purchase commitments of $4.7 million. In addition, there were increases in accounts receivable of $2.5 million, inventory of $3.3 million, and deferred costs from commercial product sales of $0.1 million, offset by a decrease in prepaid expenses of $1.4 million. The non-cash items included $5.5 million of a gain in the fair value of the warrant liability, offset by $13.6 million loss on foreign currency exchange, $4.8 million of stock-based compensation, $3.5 million of depreciation, amortization and accretion, $3.8 million of interest accrued through note payable to The Mann Group, $3.0 million of inventory write-offs and $1.6 million of loss on extinguishment of debt.</w:t>
      </w:r>
    </w:p>
    <w:p>
      <w:pPr>
        <w:spacing w:after="0" w:line="114" w:lineRule="exact"/>
        <w:rPr>
          <w:sz w:val="20"/>
          <w:szCs w:val="20"/>
          <w:color w:val="auto"/>
        </w:rPr>
      </w:pPr>
    </w:p>
    <w:p>
      <w:pPr>
        <w:ind w:right="20" w:firstLine="488"/>
        <w:spacing w:after="0" w:line="255" w:lineRule="auto"/>
        <w:rPr>
          <w:sz w:val="20"/>
          <w:szCs w:val="20"/>
          <w:color w:val="auto"/>
        </w:rPr>
      </w:pPr>
      <w:r>
        <w:rPr>
          <w:rFonts w:ascii="Arial" w:cs="Arial" w:eastAsia="Arial" w:hAnsi="Arial"/>
          <w:sz w:val="12"/>
          <w:szCs w:val="12"/>
          <w:color w:val="auto"/>
        </w:rPr>
        <w:t>During the year ended December 31, 2016, we used $78.1 million of cash for our operating activities as a result of a net decrease in operating assets and liabilities of $139.3 million offset by our net income of $125.7 million, adjusted by non-cash charges of $64.5 million. The changes in operating assets and liabilities were due to increases in accounts receivable from Sanofi of $30.5 million, inventory of $2.3 million, and decreases in accounts payable of $12.1 million, deferred revenue of $17.5 million, deferred payments from collaboration of $134.1 million, offset by a decrease in deferred costs from collaboration of $13.5 million and increases in recognized loss on purchase commitment of $40.6 million and deferred revenue of $3.4 million. The non-cash charges included a $72.0 million gain on extinguishment of debt, $4.2 million of depreciation and accretion, $5.1 million of stock-based compensation, $2.9 million of interest accrued on borrowings under the Mann Group Loan Arrangement, and $4.5 million of interest accrued on borrowings under the Sanofi Loan Facility offset by a $5.4 million non-cash gain from a change in the fair value of warrants, a $3.4 million gain on foreign currency translation exchange, and $2.3 million gain on purchase commitments.</w:t>
      </w:r>
    </w:p>
    <w:p>
      <w:pPr>
        <w:spacing w:after="0" w:line="129"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Cash used in investing activities was $0.2 million for the year ended December 31, 2018 compared to cash provided by investing activities of $16.7 million for the year ended December 31, 2017. The difference was primarily due to $16.7 million of net proceeds from the sale of certain parcels of real estate owned by the Company in Valencia, California in 2017.</w:t>
      </w:r>
    </w:p>
    <w:p>
      <w:pPr>
        <w:spacing w:after="0" w:line="115" w:lineRule="exact"/>
        <w:rPr>
          <w:sz w:val="20"/>
          <w:szCs w:val="20"/>
          <w:color w:val="auto"/>
        </w:rPr>
      </w:pPr>
    </w:p>
    <w:p>
      <w:pPr>
        <w:ind w:firstLine="488"/>
        <w:spacing w:after="0" w:line="263" w:lineRule="auto"/>
        <w:rPr>
          <w:sz w:val="20"/>
          <w:szCs w:val="20"/>
          <w:color w:val="auto"/>
        </w:rPr>
      </w:pPr>
      <w:r>
        <w:rPr>
          <w:rFonts w:ascii="Arial" w:cs="Arial" w:eastAsia="Arial" w:hAnsi="Arial"/>
          <w:sz w:val="12"/>
          <w:szCs w:val="12"/>
          <w:color w:val="auto"/>
        </w:rPr>
        <w:t>Cash provided from investing activities was $16.7 million for the year ended December 31, 2017 compared to cash used in investing activities of $1.1 million for the year ended December 31, 2016. The difference was primarily related to net proceeds received during the year ended December 31, 2017 for the sale of certain parcels of real estate owned by the Company in Valencia, California and certain related improvements, personal property, equipment, supplies and fixtures for $16.7 million.</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Cash used in investing activities in 2016 was primarily comprised of purchases of property and equipment of $1.1 million.</w:t>
      </w:r>
    </w:p>
    <w:p>
      <w:pPr>
        <w:spacing w:after="0" w:line="150" w:lineRule="exact"/>
        <w:rPr>
          <w:sz w:val="20"/>
          <w:szCs w:val="20"/>
          <w:color w:val="auto"/>
        </w:rPr>
      </w:pPr>
    </w:p>
    <w:p>
      <w:pPr>
        <w:ind w:right="340" w:firstLine="488"/>
        <w:spacing w:after="0" w:line="323" w:lineRule="auto"/>
        <w:rPr>
          <w:sz w:val="20"/>
          <w:szCs w:val="20"/>
          <w:color w:val="auto"/>
        </w:rPr>
      </w:pPr>
      <w:r>
        <w:rPr>
          <w:rFonts w:ascii="Arial" w:cs="Arial" w:eastAsia="Arial" w:hAnsi="Arial"/>
          <w:sz w:val="11"/>
          <w:szCs w:val="11"/>
          <w:color w:val="auto"/>
        </w:rPr>
        <w:t>Cash provided from financing activities was $61.3 million for the year ended December 31, 2018 primarily related to an aggregate proceeds of $68.0 million in an offering and a direct placement of common stock and $2.0 million in at-the-market issuance of common stock offset by $5.0 million of principal payment on Facility Financing Obligation and $4.1 million costs associated with the offering and direct placement of common stock.</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51" w:name="page52"/>
    <w:bookmarkEnd w:id="51"/>
    <w:p>
      <w:pPr>
        <w:ind w:left="8" w:right="180" w:firstLine="488"/>
        <w:spacing w:after="0" w:line="276" w:lineRule="auto"/>
        <w:rPr>
          <w:sz w:val="20"/>
          <w:szCs w:val="20"/>
          <w:color w:val="auto"/>
        </w:rPr>
      </w:pPr>
      <w:r>
        <w:rPr>
          <w:rFonts w:ascii="Arial" w:cs="Arial" w:eastAsia="Arial" w:hAnsi="Arial"/>
          <w:sz w:val="12"/>
          <w:szCs w:val="12"/>
          <w:color w:val="auto"/>
        </w:rPr>
        <w:t>Cash provided by financing activities of $73.6 million for the year ended December 31, 2017 was primarily related to $57.7 million in net proceeds from a registered direct offering of common stock and $19.4 million received from borrowings on the note payable under the Mann Group Loan Arrangement offset by a principal payment of $4.0 million on the Facility Financing Obligation.</w:t>
      </w:r>
    </w:p>
    <w:p>
      <w:pPr>
        <w:spacing w:after="0" w:line="115" w:lineRule="exact"/>
        <w:rPr>
          <w:sz w:val="20"/>
          <w:szCs w:val="20"/>
          <w:color w:val="auto"/>
        </w:rPr>
      </w:pPr>
    </w:p>
    <w:p>
      <w:pPr>
        <w:ind w:left="8" w:right="80" w:firstLine="488"/>
        <w:spacing w:after="0" w:line="255" w:lineRule="auto"/>
        <w:rPr>
          <w:sz w:val="20"/>
          <w:szCs w:val="20"/>
          <w:color w:val="auto"/>
        </w:rPr>
      </w:pPr>
      <w:r>
        <w:rPr>
          <w:rFonts w:ascii="Arial" w:cs="Arial" w:eastAsia="Arial" w:hAnsi="Arial"/>
          <w:sz w:val="12"/>
          <w:szCs w:val="12"/>
          <w:color w:val="auto"/>
        </w:rPr>
        <w:t xml:space="preserve">Cash provided by financing activities of $43.0 million for the year ended December 31, 2016 was primarily related to $47.3 in net proceeds received from the sale of stock and warrants and a payment on the Facility Financing Obligation of $5.0 million during the year ended December 31, 2016. </w:t>
      </w:r>
      <w:r>
        <w:rPr>
          <w:rFonts w:ascii="Arial" w:cs="Arial" w:eastAsia="Arial" w:hAnsi="Arial"/>
          <w:sz w:val="12"/>
          <w:szCs w:val="12"/>
          <w:i w:val="1"/>
          <w:iCs w:val="1"/>
          <w:color w:val="auto"/>
        </w:rPr>
        <w:t>Future Liquidity Needs</w:t>
      </w:r>
      <w:r>
        <w:rPr>
          <w:rFonts w:ascii="Arial" w:cs="Arial" w:eastAsia="Arial" w:hAnsi="Arial"/>
          <w:sz w:val="12"/>
          <w:szCs w:val="12"/>
          <w:color w:val="auto"/>
        </w:rPr>
        <w:t>. As of December 31, 2018, we had $71.7 million in cash and cash equivalents and restricted cash. Our cash position, together with our short-term debt obligations and anticipated operating expenses, raises substantial doubt about our ability to continue as a going concern. We expect to expend our capital resources for the manufacturing, sales and marketing of Afrezza and to develop our product pipeline candidates. We also intend to use our capital resources for general corporate purposes. We will need to raise additional capital before we exhaust our current cash resources in order to continue to fund our research and development, support continued product growth and commercialization efforts, and to fund operations, generally. We will seek to raise additional funds through various potential sources, such as equity and debt financings, or other arrangements.</w:t>
      </w:r>
    </w:p>
    <w:p>
      <w:pPr>
        <w:spacing w:after="0" w:line="129" w:lineRule="exact"/>
        <w:rPr>
          <w:sz w:val="20"/>
          <w:szCs w:val="20"/>
          <w:color w:val="auto"/>
        </w:rPr>
      </w:pPr>
    </w:p>
    <w:p>
      <w:pPr>
        <w:ind w:left="8" w:right="180" w:firstLine="488"/>
        <w:spacing w:after="0" w:line="320" w:lineRule="auto"/>
        <w:rPr>
          <w:sz w:val="20"/>
          <w:szCs w:val="20"/>
          <w:color w:val="auto"/>
        </w:rPr>
      </w:pPr>
      <w:r>
        <w:rPr>
          <w:rFonts w:ascii="Arial" w:cs="Arial" w:eastAsia="Arial" w:hAnsi="Arial"/>
          <w:sz w:val="10"/>
          <w:szCs w:val="10"/>
          <w:color w:val="auto"/>
        </w:rPr>
        <w:t>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collaboration, license, sale of securities or sale or license of assets will be available to us on a timely basis or on acceptable terms, or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98" w:lineRule="exact"/>
        <w:rPr>
          <w:sz w:val="20"/>
          <w:szCs w:val="20"/>
          <w:color w:val="auto"/>
        </w:rPr>
      </w:pPr>
    </w:p>
    <w:p>
      <w:pPr>
        <w:ind w:left="8" w:right="160" w:firstLine="488"/>
        <w:spacing w:after="0" w:line="263" w:lineRule="auto"/>
        <w:rPr>
          <w:sz w:val="20"/>
          <w:szCs w:val="20"/>
          <w:color w:val="auto"/>
        </w:rPr>
      </w:pPr>
      <w:r>
        <w:rPr>
          <w:rFonts w:ascii="Arial" w:cs="Arial" w:eastAsia="Arial" w:hAnsi="Arial"/>
          <w:sz w:val="12"/>
          <w:szCs w:val="12"/>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when needed,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488"/>
        <w:spacing w:after="0"/>
        <w:rPr>
          <w:sz w:val="20"/>
          <w:szCs w:val="20"/>
          <w:color w:val="auto"/>
        </w:rPr>
      </w:pPr>
      <w:r>
        <w:rPr>
          <w:rFonts w:ascii="Arial" w:cs="Arial" w:eastAsia="Arial" w:hAnsi="Arial"/>
          <w:sz w:val="12"/>
          <w:szCs w:val="12"/>
          <w:color w:val="auto"/>
        </w:rPr>
        <w:t>As of December 31, 2018 and 2017, we did not have any off-balance sheet arrangements.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Contractual Obligations</w:t>
      </w:r>
    </w:p>
    <w:p>
      <w:pPr>
        <w:spacing w:after="0" w:line="82" w:lineRule="exact"/>
        <w:rPr>
          <w:sz w:val="20"/>
          <w:szCs w:val="20"/>
          <w:color w:val="auto"/>
        </w:rPr>
      </w:pPr>
    </w:p>
    <w:p>
      <w:pPr>
        <w:ind w:left="8" w:right="60" w:firstLine="488"/>
        <w:spacing w:after="0" w:line="298" w:lineRule="auto"/>
        <w:rPr>
          <w:sz w:val="20"/>
          <w:szCs w:val="20"/>
          <w:color w:val="auto"/>
        </w:rPr>
      </w:pPr>
      <w:r>
        <w:rPr>
          <w:rFonts w:ascii="Arial" w:cs="Arial" w:eastAsia="Arial" w:hAnsi="Arial"/>
          <w:sz w:val="11"/>
          <w:szCs w:val="11"/>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(excluding payments in respect of the Milestone Rights) below are estimated based on current information. These contractual obligations consisted of the following at December 31, 2018 (in thousands):</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91"/>
              </w:rPr>
              <w:t>Payments Due in</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98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tcPr>
          <w:p>
            <w:pPr>
              <w:jc w:val="center"/>
              <w:ind w:right="400"/>
              <w:spacing w:after="0" w:line="83" w:lineRule="exact"/>
              <w:rPr>
                <w:sz w:val="20"/>
                <w:szCs w:val="20"/>
                <w:color w:val="auto"/>
              </w:rPr>
            </w:pPr>
            <w:r>
              <w:rPr>
                <w:rFonts w:ascii="Arial" w:cs="Arial" w:eastAsia="Arial" w:hAnsi="Arial"/>
                <w:sz w:val="8"/>
                <w:szCs w:val="8"/>
                <w:b w:val="1"/>
                <w:bCs w:val="1"/>
                <w:color w:val="auto"/>
              </w:rPr>
              <w:t>Less Than</w:t>
            </w: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jc w:val="right"/>
              <w:ind w:right="243"/>
              <w:spacing w:after="0" w:line="83" w:lineRule="exact"/>
              <w:rPr>
                <w:sz w:val="20"/>
                <w:szCs w:val="20"/>
                <w:color w:val="auto"/>
              </w:rPr>
            </w:pPr>
            <w:r>
              <w:rPr>
                <w:rFonts w:ascii="Arial" w:cs="Arial" w:eastAsia="Arial" w:hAnsi="Arial"/>
                <w:sz w:val="8"/>
                <w:szCs w:val="8"/>
                <w:b w:val="1"/>
                <w:bCs w:val="1"/>
                <w:color w:val="auto"/>
              </w:rPr>
              <w:t>More Than</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5"/>
        </w:trPr>
        <w:tc>
          <w:tcPr>
            <w:tcW w:w="53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Contractual Obligations</w:t>
            </w:r>
          </w:p>
        </w:tc>
        <w:tc>
          <w:tcPr>
            <w:tcW w:w="180" w:type="dxa"/>
            <w:vAlign w:val="bottom"/>
          </w:tcPr>
          <w:p>
            <w:pPr>
              <w:spacing w:after="0"/>
              <w:rPr>
                <w:sz w:val="9"/>
                <w:szCs w:val="9"/>
                <w:color w:val="auto"/>
              </w:rPr>
            </w:pPr>
          </w:p>
        </w:tc>
        <w:tc>
          <w:tcPr>
            <w:tcW w:w="108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90"/>
              </w:rPr>
              <w:t>One Year</w:t>
            </w:r>
          </w:p>
        </w:tc>
        <w:tc>
          <w:tcPr>
            <w:tcW w:w="180" w:type="dxa"/>
            <w:vAlign w:val="bottom"/>
          </w:tcPr>
          <w:p>
            <w:pPr>
              <w:spacing w:after="0"/>
              <w:rPr>
                <w:sz w:val="9"/>
                <w:szCs w:val="9"/>
                <w:color w:val="auto"/>
              </w:rPr>
            </w:pPr>
          </w:p>
        </w:tc>
        <w:tc>
          <w:tcPr>
            <w:tcW w:w="1080" w:type="dxa"/>
            <w:vAlign w:val="bottom"/>
            <w:gridSpan w:val="2"/>
          </w:tcPr>
          <w:p>
            <w:pPr>
              <w:ind w:left="140"/>
              <w:spacing w:after="0" w:line="105" w:lineRule="exact"/>
              <w:rPr>
                <w:sz w:val="20"/>
                <w:szCs w:val="20"/>
                <w:color w:val="auto"/>
              </w:rPr>
            </w:pPr>
            <w:r>
              <w:rPr>
                <w:rFonts w:ascii="Arial" w:cs="Arial" w:eastAsia="Arial" w:hAnsi="Arial"/>
                <w:sz w:val="10"/>
                <w:szCs w:val="10"/>
                <w:b w:val="1"/>
                <w:bCs w:val="1"/>
                <w:color w:val="auto"/>
              </w:rPr>
              <w:t>1-3 Years</w:t>
            </w:r>
          </w:p>
        </w:tc>
        <w:tc>
          <w:tcPr>
            <w:tcW w:w="100" w:type="dxa"/>
            <w:vAlign w:val="bottom"/>
          </w:tcPr>
          <w:p>
            <w:pPr>
              <w:spacing w:after="0"/>
              <w:rPr>
                <w:sz w:val="9"/>
                <w:szCs w:val="9"/>
                <w:color w:val="auto"/>
              </w:rPr>
            </w:pPr>
          </w:p>
        </w:tc>
        <w:tc>
          <w:tcPr>
            <w:tcW w:w="920" w:type="dxa"/>
            <w:vAlign w:val="bottom"/>
          </w:tcPr>
          <w:p>
            <w:pPr>
              <w:jc w:val="right"/>
              <w:ind w:right="263"/>
              <w:spacing w:after="0" w:line="105" w:lineRule="exact"/>
              <w:rPr>
                <w:sz w:val="20"/>
                <w:szCs w:val="20"/>
                <w:color w:val="auto"/>
              </w:rPr>
            </w:pPr>
            <w:r>
              <w:rPr>
                <w:rFonts w:ascii="Arial" w:cs="Arial" w:eastAsia="Arial" w:hAnsi="Arial"/>
                <w:sz w:val="10"/>
                <w:szCs w:val="10"/>
                <w:b w:val="1"/>
                <w:bCs w:val="1"/>
                <w:color w:val="auto"/>
              </w:rPr>
              <w:t>4-5 Years</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jc w:val="right"/>
              <w:ind w:right="323"/>
              <w:spacing w:after="0" w:line="105" w:lineRule="exact"/>
              <w:rPr>
                <w:sz w:val="20"/>
                <w:szCs w:val="20"/>
                <w:color w:val="auto"/>
              </w:rPr>
            </w:pPr>
            <w:r>
              <w:rPr>
                <w:rFonts w:ascii="Arial" w:cs="Arial" w:eastAsia="Arial" w:hAnsi="Arial"/>
                <w:sz w:val="10"/>
                <w:szCs w:val="10"/>
                <w:b w:val="1"/>
                <w:bCs w:val="1"/>
                <w:color w:val="auto"/>
              </w:rPr>
              <w:t>5 Years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tcPr>
          <w:p>
            <w:pPr>
              <w:ind w:left="160"/>
              <w:spacing w:after="0" w:line="105" w:lineRule="exact"/>
              <w:rPr>
                <w:sz w:val="20"/>
                <w:szCs w:val="20"/>
                <w:color w:val="auto"/>
              </w:rPr>
            </w:pPr>
            <w:r>
              <w:rPr>
                <w:rFonts w:ascii="Arial" w:cs="Arial" w:eastAsia="Arial" w:hAnsi="Arial"/>
                <w:sz w:val="10"/>
                <w:szCs w:val="10"/>
                <w:b w:val="1"/>
                <w:bCs w:val="1"/>
                <w:color w:val="auto"/>
              </w:rPr>
              <w:t>Total</w:t>
            </w:r>
          </w:p>
        </w:tc>
      </w:tr>
      <w:tr>
        <w:trPr>
          <w:trHeight w:val="20"/>
        </w:trPr>
        <w:tc>
          <w:tcPr>
            <w:tcW w:w="980" w:type="dxa"/>
            <w:vAlign w:val="bottom"/>
            <w:tcBorders>
              <w:bottom w:val="single" w:sz="8" w:color="CFF0FC"/>
            </w:tcBorders>
            <w:shd w:val="clear" w:color="auto" w:fill="000000"/>
          </w:tcPr>
          <w:p>
            <w:pPr>
              <w:spacing w:after="0" w:line="20" w:lineRule="exact"/>
              <w:rPr>
                <w:sz w:val="1"/>
                <w:szCs w:val="1"/>
                <w:color w:val="auto"/>
              </w:rPr>
            </w:pPr>
          </w:p>
        </w:tc>
        <w:tc>
          <w:tcPr>
            <w:tcW w:w="43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1"/>
        </w:trPr>
        <w:tc>
          <w:tcPr>
            <w:tcW w:w="530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Open purchase order and commitments (1)</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11,045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365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FF0FC"/>
          </w:tcPr>
          <w:p>
            <w:pPr>
              <w:jc w:val="right"/>
              <w:ind w:right="70"/>
              <w:spacing w:after="0" w:line="132" w:lineRule="exact"/>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FF0FC"/>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11,410</w:t>
            </w:r>
          </w:p>
        </w:tc>
        <w:tc>
          <w:tcPr>
            <w:tcW w:w="120" w:type="dxa"/>
            <w:vAlign w:val="bottom"/>
            <w:shd w:val="clear" w:color="auto" w:fill="CFF0FC"/>
          </w:tcPr>
          <w:p>
            <w:pPr>
              <w:spacing w:after="0"/>
              <w:rPr>
                <w:sz w:val="11"/>
                <w:szCs w:val="11"/>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Senior convertible notes — long term (2)</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21,042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22,117</w:t>
            </w:r>
          </w:p>
        </w:tc>
        <w:tc>
          <w:tcPr>
            <w:tcW w:w="1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Note payable to The Mann Group (3)</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90,638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90,638</w:t>
            </w:r>
          </w:p>
        </w:tc>
        <w:tc>
          <w:tcPr>
            <w:tcW w:w="120" w:type="dxa"/>
            <w:vAlign w:val="bottom"/>
            <w:shd w:val="clear" w:color="auto" w:fill="CFF0FC"/>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Facility Financing Obligation (4)</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12,026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12,026</w:t>
            </w:r>
          </w:p>
        </w:tc>
        <w:tc>
          <w:tcPr>
            <w:tcW w:w="1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Insulin supply agreement (5)</w:t>
            </w: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6,657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59,024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32,618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98,299</w:t>
            </w:r>
          </w:p>
        </w:tc>
        <w:tc>
          <w:tcPr>
            <w:tcW w:w="120" w:type="dxa"/>
            <w:vAlign w:val="bottom"/>
            <w:shd w:val="clear" w:color="auto" w:fill="CFF0FC"/>
          </w:tcPr>
          <w:p>
            <w:pPr>
              <w:spacing w:after="0"/>
              <w:rPr>
                <w:sz w:val="13"/>
                <w:szCs w:val="13"/>
                <w:color w:val="auto"/>
              </w:rPr>
            </w:pPr>
          </w:p>
        </w:tc>
      </w:tr>
      <w:tr>
        <w:trPr>
          <w:trHeight w:val="153"/>
        </w:trPr>
        <w:tc>
          <w:tcPr>
            <w:tcW w:w="53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Operating lease obligations (6)</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947</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3,015</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4,050</w:t>
            </w:r>
          </w:p>
        </w:tc>
        <w:tc>
          <w:tcPr>
            <w:tcW w:w="120" w:type="dxa"/>
            <w:vAlign w:val="bottom"/>
            <w:tcBorders>
              <w:bottom w:val="single" w:sz="8" w:color="CFF0FC"/>
            </w:tcBorders>
          </w:tcPr>
          <w:p>
            <w:pPr>
              <w:spacing w:after="0"/>
              <w:rPr>
                <w:sz w:val="13"/>
                <w:szCs w:val="13"/>
                <w:color w:val="auto"/>
              </w:rPr>
            </w:pPr>
          </w:p>
        </w:tc>
      </w:tr>
      <w:tr>
        <w:trPr>
          <w:trHeight w:val="142"/>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contractual obligations</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31,750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174,084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32,706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238,540</w:t>
            </w:r>
          </w:p>
        </w:tc>
        <w:tc>
          <w:tcPr>
            <w:tcW w:w="120" w:type="dxa"/>
            <w:vAlign w:val="bottom"/>
            <w:shd w:val="clear" w:color="auto" w:fill="CFF0FC"/>
          </w:tcPr>
          <w:p>
            <w:pPr>
              <w:spacing w:after="0"/>
              <w:rPr>
                <w:sz w:val="12"/>
                <w:szCs w:val="12"/>
                <w:color w:val="auto"/>
              </w:rPr>
            </w:pPr>
          </w:p>
        </w:tc>
      </w:tr>
      <w:tr>
        <w:trPr>
          <w:trHeight w:val="27"/>
        </w:trPr>
        <w:tc>
          <w:tcPr>
            <w:tcW w:w="980" w:type="dxa"/>
            <w:vAlign w:val="bottom"/>
            <w:shd w:val="clear" w:color="auto" w:fill="CFF0FC"/>
          </w:tcPr>
          <w:p>
            <w:pPr>
              <w:spacing w:after="0"/>
              <w:rPr>
                <w:sz w:val="2"/>
                <w:szCs w:val="2"/>
                <w:color w:val="auto"/>
              </w:rPr>
            </w:pPr>
          </w:p>
        </w:tc>
        <w:tc>
          <w:tcPr>
            <w:tcW w:w="43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97294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72945" cy="5715"/>
                    </a:xfrm>
                    <a:prstGeom prst="rect">
                      <a:avLst/>
                    </a:prstGeom>
                    <a:noFill/>
                  </pic:spPr>
                </pic:pic>
              </a:graphicData>
            </a:graphic>
          </wp:anchor>
        </w:drawing>
      </w:r>
    </w:p>
    <w:p>
      <w:pPr>
        <w:spacing w:after="0" w:line="133" w:lineRule="exact"/>
        <w:rPr>
          <w:sz w:val="20"/>
          <w:szCs w:val="20"/>
          <w:color w:val="auto"/>
        </w:rPr>
      </w:pPr>
    </w:p>
    <w:p>
      <w:pPr>
        <w:ind w:left="488" w:right="440" w:hanging="488"/>
        <w:spacing w:after="0" w:line="258" w:lineRule="auto"/>
        <w:tabs>
          <w:tab w:leader="none" w:pos="48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commercial operations or sales and marketing efforts.</w:t>
      </w:r>
    </w:p>
    <w:p>
      <w:pPr>
        <w:ind w:left="488" w:hanging="488"/>
        <w:spacing w:after="0"/>
        <w:tabs>
          <w:tab w:leader="none" w:pos="48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amounts include future interest payments at fixed rates of 5.75% and payment of the notes in full upon maturity in 2021.</w:t>
      </w:r>
    </w:p>
    <w:p>
      <w:pPr>
        <w:spacing w:after="0" w:line="30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7329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419" w:right="199" w:bottom="1440" w:gutter="0" w:footer="0" w:header="0"/>
        </w:sectPr>
      </w:pPr>
    </w:p>
    <w:bookmarkStart w:id="52" w:name="page53"/>
    <w:bookmarkEnd w:id="52"/>
    <w:p>
      <w:pPr>
        <w:ind w:left="488" w:right="20" w:hanging="488"/>
        <w:spacing w:after="0" w:line="255" w:lineRule="auto"/>
        <w:tabs>
          <w:tab w:leader="none" w:pos="48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obligation for the note payable to The Mann Group includes future principal and interest payments related to the $71.5 million of borrowings as of December 31, 2018. Interest is accrued based on a fixed rate of 5.84% compound quarterly beginning April 1, 2018 and the outstanding principal amount and all accrued interest thereon will be due on July 1, 2021, subject to deferral under a subordination agreement with Deerfield until our payment obligations to Deerfield have been satisfied in full.</w:t>
      </w:r>
    </w:p>
    <w:p>
      <w:pPr>
        <w:spacing w:after="0" w:line="1" w:lineRule="exact"/>
        <w:rPr>
          <w:rFonts w:ascii="Arial" w:cs="Arial" w:eastAsia="Arial" w:hAnsi="Arial"/>
          <w:sz w:val="12"/>
          <w:szCs w:val="12"/>
          <w:color w:val="auto"/>
        </w:rPr>
      </w:pPr>
    </w:p>
    <w:p>
      <w:pPr>
        <w:ind w:left="488" w:right="480" w:hanging="488"/>
        <w:spacing w:after="0" w:line="273" w:lineRule="auto"/>
        <w:tabs>
          <w:tab w:leader="none" w:pos="488"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Facility Financing Obligation includes future principal and interest payments on $9.0 million aggregate principal amount of 2019 notes and on $2.5 million aggregate principal amount of Tranche B notes, payable in accordance with the provisions of the Facility Agreement, as amended. Interest accrues on the 2019 notes at a fixed rate of 9.75% per annum and on the Tranche B notes at a fixed rate of 8.75% per annum.</w:t>
      </w:r>
    </w:p>
    <w:p>
      <w:pPr>
        <w:ind w:left="488" w:right="220" w:hanging="488"/>
        <w:spacing w:after="0" w:line="300" w:lineRule="auto"/>
        <w:tabs>
          <w:tab w:leader="none" w:pos="488" w:val="left"/>
        </w:tabs>
        <w:numPr>
          <w:ilvl w:val="0"/>
          <w:numId w:val="24"/>
        </w:numPr>
        <w:rPr>
          <w:rFonts w:ascii="Arial" w:cs="Arial" w:eastAsia="Arial" w:hAnsi="Arial"/>
          <w:sz w:val="10"/>
          <w:szCs w:val="10"/>
          <w:color w:val="auto"/>
        </w:rPr>
      </w:pPr>
      <w:r>
        <w:rPr>
          <w:rFonts w:ascii="Arial" w:cs="Arial" w:eastAsia="Arial" w:hAnsi="Arial"/>
          <w:sz w:val="10"/>
          <w:szCs w:val="10"/>
          <w:color w:val="auto"/>
        </w:rPr>
        <w:t>On July 31, 2014, we entered into the Insulin Supply Agreement, pursuant to which we originally agreed to purchase certain annual minimum quantities of insulin for calendar years 2015 through 2019 for an aggregate total purchase price of approximately €120.1 million The Insulin Supply Agreement specifies that Amphastar will be deemed to have satisfied its obligations with respect to quantity, if the actual quantity supplied is within plus or minus ten percent (+/- 10%) of the quantity set forth in the applicable purchase order. On December 26, 2018, we amended the Insulin Supply Agreement to extend the annual minimum quantities purchased of insulin through 2024. As of December 31, 2018, the aggregate total remaining purchase amount is €85.8 million. Future payments due were estimated by converting U.S. dollars using December 31, 2018 Euro to dollar exchange rate.</w:t>
      </w:r>
    </w:p>
    <w:p>
      <w:pPr>
        <w:spacing w:after="0" w:line="1" w:lineRule="exact"/>
        <w:rPr>
          <w:rFonts w:ascii="Arial" w:cs="Arial" w:eastAsia="Arial" w:hAnsi="Arial"/>
          <w:sz w:val="10"/>
          <w:szCs w:val="10"/>
          <w:color w:val="auto"/>
        </w:rPr>
      </w:pPr>
    </w:p>
    <w:p>
      <w:pPr>
        <w:ind w:left="488" w:hanging="488"/>
        <w:spacing w:after="0"/>
        <w:tabs>
          <w:tab w:leader="none" w:pos="488"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Consists of our Westlake Village, California office lease and our lease agreement with Enterprise for the lease of vehicles for our field sales personnel.</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Related Party Transactions</w:t>
      </w:r>
    </w:p>
    <w:p>
      <w:pPr>
        <w:spacing w:after="0" w:line="82" w:lineRule="exact"/>
        <w:rPr>
          <w:sz w:val="20"/>
          <w:szCs w:val="20"/>
          <w:color w:val="auto"/>
        </w:rPr>
      </w:pPr>
    </w:p>
    <w:p>
      <w:pPr>
        <w:ind w:left="488"/>
        <w:spacing w:after="0"/>
        <w:rPr>
          <w:sz w:val="20"/>
          <w:szCs w:val="20"/>
          <w:color w:val="auto"/>
        </w:rPr>
      </w:pPr>
      <w:r>
        <w:rPr>
          <w:rFonts w:ascii="Arial" w:cs="Arial" w:eastAsia="Arial" w:hAnsi="Arial"/>
          <w:sz w:val="11"/>
          <w:szCs w:val="11"/>
          <w:color w:val="auto"/>
        </w:rPr>
        <w:t>For a description of our related party transactions see Note 6 — Related-Party Arrangements of the Notes to Consolidated Financial Statements included in “Part II, Item 8 — Financial Statements and Supplementary Data.</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ind w:left="8" w:right="140" w:firstLine="488"/>
        <w:spacing w:after="0" w:line="276" w:lineRule="auto"/>
        <w:rPr>
          <w:sz w:val="20"/>
          <w:szCs w:val="20"/>
          <w:color w:val="auto"/>
        </w:rPr>
      </w:pPr>
      <w:r>
        <w:rPr>
          <w:rFonts w:ascii="Arial" w:cs="Arial" w:eastAsia="Arial" w:hAnsi="Arial"/>
          <w:sz w:val="12"/>
          <w:szCs w:val="12"/>
          <w:color w:val="auto"/>
        </w:rPr>
        <w:t>See Note 2 — Summary of Significant Accounting Policies of the Notes to Consolidated Financial Statements included in Part II, Item 8 — Financial Statements and Supplementary Data”, for information regarding accounting standards we adopted in 2018 and other new accounting standards that have been issued by the FASB but are not effective until after December 31, 2018.</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7A. </w:t>
      </w:r>
      <w:r>
        <w:rPr>
          <w:rFonts w:ascii="Arial" w:cs="Arial" w:eastAsia="Arial" w:hAnsi="Arial"/>
          <w:sz w:val="12"/>
          <w:szCs w:val="12"/>
          <w:b w:val="1"/>
          <w:bCs w:val="1"/>
          <w:i w:val="1"/>
          <w:iCs w:val="1"/>
          <w:color w:val="auto"/>
        </w:rPr>
        <w:t>Quantitative and Qualitative Disclosures about Market Risk</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Interest Rate Risk</w:t>
      </w:r>
    </w:p>
    <w:p>
      <w:pPr>
        <w:spacing w:after="0" w:line="91" w:lineRule="exact"/>
        <w:rPr>
          <w:sz w:val="20"/>
          <w:szCs w:val="20"/>
          <w:color w:val="auto"/>
        </w:rPr>
      </w:pPr>
    </w:p>
    <w:p>
      <w:pPr>
        <w:ind w:left="8" w:right="80" w:firstLine="488"/>
        <w:spacing w:after="0" w:line="276" w:lineRule="auto"/>
        <w:rPr>
          <w:sz w:val="20"/>
          <w:szCs w:val="20"/>
          <w:color w:val="auto"/>
        </w:rPr>
      </w:pPr>
      <w:r>
        <w:rPr>
          <w:rFonts w:ascii="Arial" w:cs="Arial" w:eastAsia="Arial" w:hAnsi="Arial"/>
          <w:sz w:val="12"/>
          <w:szCs w:val="12"/>
          <w:color w:val="auto"/>
        </w:rPr>
        <w:t>Due to the fixed interest rates of our debt, we currently do not have an exposure to changes in our interest expense as a result of changes in interest rates. See Note 6 – Related Party Arrangements and, Note 7– Borrowings in the Notes to Consolidated Financial Statements included in Part II, Item 8 — Financial Statements and Supplementary Data for information about the principal amount of outstanding debt.</w:t>
      </w:r>
    </w:p>
    <w:p>
      <w:pPr>
        <w:spacing w:after="0" w:line="115" w:lineRule="exact"/>
        <w:rPr>
          <w:sz w:val="20"/>
          <w:szCs w:val="20"/>
          <w:color w:val="auto"/>
        </w:rPr>
      </w:pPr>
    </w:p>
    <w:p>
      <w:pPr>
        <w:ind w:left="8" w:right="40" w:firstLine="488"/>
        <w:spacing w:after="0" w:line="276" w:lineRule="auto"/>
        <w:rPr>
          <w:sz w:val="20"/>
          <w:szCs w:val="20"/>
          <w:color w:val="auto"/>
        </w:rPr>
      </w:pPr>
      <w:r>
        <w:rPr>
          <w:rFonts w:ascii="Arial" w:cs="Arial" w:eastAsia="Arial" w:hAnsi="Arial"/>
          <w:sz w:val="12"/>
          <w:szCs w:val="12"/>
          <w:color w:val="auto"/>
        </w:rPr>
        <w:t>The interest rate on amounts borrowed under The Mann Group Loan Arrangement is fixed at 5.84%. As of December 31, 2018, we also had debt related to the senior convertible notes at a fixed interest rate of 5.75%, debt related to the 2019 notes at a fixed interest rate of 9.75% and debt related to the Tranche B notes at a fixed interest rate of 8.75%.</w:t>
      </w:r>
    </w:p>
    <w:p>
      <w:pPr>
        <w:spacing w:after="0" w:line="115" w:lineRule="exact"/>
        <w:rPr>
          <w:sz w:val="20"/>
          <w:szCs w:val="20"/>
          <w:color w:val="auto"/>
        </w:rPr>
      </w:pPr>
    </w:p>
    <w:p>
      <w:pPr>
        <w:ind w:left="8" w:right="580" w:firstLine="488"/>
        <w:spacing w:after="0" w:line="276" w:lineRule="auto"/>
        <w:rPr>
          <w:sz w:val="20"/>
          <w:szCs w:val="20"/>
          <w:color w:val="auto"/>
        </w:rPr>
      </w:pPr>
      <w:r>
        <w:rPr>
          <w:rFonts w:ascii="Arial" w:cs="Arial" w:eastAsia="Arial" w:hAnsi="Arial"/>
          <w:sz w:val="12"/>
          <w:szCs w:val="12"/>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15" w:lineRule="exact"/>
        <w:rPr>
          <w:sz w:val="20"/>
          <w:szCs w:val="20"/>
          <w:color w:val="auto"/>
        </w:rPr>
      </w:pPr>
    </w:p>
    <w:p>
      <w:pPr>
        <w:ind w:left="488"/>
        <w:spacing w:after="0"/>
        <w:rPr>
          <w:sz w:val="20"/>
          <w:szCs w:val="20"/>
          <w:color w:val="auto"/>
        </w:rPr>
      </w:pPr>
      <w:r>
        <w:rPr>
          <w:rFonts w:ascii="Arial" w:cs="Arial" w:eastAsia="Arial" w:hAnsi="Arial"/>
          <w:sz w:val="11"/>
          <w:szCs w:val="11"/>
          <w:color w:val="auto"/>
        </w:rPr>
        <w:t>If a change in interest rates equal to 10% of the interest rates on December 31, 2018 were to have occurred, this change would not have had a material effect on the value of our short-term investment portfolio.</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Foreign Currency Exchange Risk</w:t>
      </w:r>
    </w:p>
    <w:p>
      <w:pPr>
        <w:spacing w:after="0" w:line="82" w:lineRule="exact"/>
        <w:rPr>
          <w:sz w:val="20"/>
          <w:szCs w:val="20"/>
          <w:color w:val="auto"/>
        </w:rPr>
      </w:pPr>
    </w:p>
    <w:p>
      <w:pPr>
        <w:ind w:left="8" w:firstLine="488"/>
        <w:spacing w:after="0" w:line="255" w:lineRule="auto"/>
        <w:rPr>
          <w:sz w:val="20"/>
          <w:szCs w:val="20"/>
          <w:color w:val="auto"/>
        </w:rPr>
      </w:pPr>
      <w:r>
        <w:rPr>
          <w:rFonts w:ascii="Arial" w:cs="Arial" w:eastAsia="Arial" w:hAnsi="Arial"/>
          <w:sz w:val="12"/>
          <w:szCs w:val="12"/>
          <w:color w:val="auto"/>
        </w:rPr>
        <w:t>We incur and will continue to incur significant expenditures for insulin supply obligations under our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foreign currencies. On April 2, 2018, we entered into a foreign currency short-term (90 days) hedging transactions to mitigate our currency exposure risks to foreign currency exchange risks. In 2018, we realized a currency loss of approximately $0.7 million. This amount was recorded in other income and expense. The hedging agreement ended as of December 31, 2018. Exchange rate fluctuations may adversely affect our expenses, results of operations, financial position and cash flows. If a change in the U.S. dollar to Euro exchange rate equal to 10% of the U.S. dollar to Euro exchange rate on December 31, 2018 were to occur, this change would have resulted in a foreign currency impact to our pre-tax income (losses) of approximately $9.8 million.</w:t>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73291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5" w:right="19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 xml:space="preserve">Item 8. </w:t>
      </w:r>
      <w:r>
        <w:rPr>
          <w:rFonts w:ascii="Arial" w:cs="Arial" w:eastAsia="Arial" w:hAnsi="Arial"/>
          <w:sz w:val="12"/>
          <w:szCs w:val="12"/>
          <w:b w:val="1"/>
          <w:bCs w:val="1"/>
          <w:i w:val="1"/>
          <w:iCs w:val="1"/>
          <w:color w:val="auto"/>
        </w:rPr>
        <w:t>Financial Statements and Supplementary Data</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information required by this Item is included in Items 15(a) (1) and (2) of Part IV of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 </w:t>
      </w:r>
      <w:r>
        <w:rPr>
          <w:rFonts w:ascii="Arial" w:cs="Arial" w:eastAsia="Arial" w:hAnsi="Arial"/>
          <w:sz w:val="12"/>
          <w:szCs w:val="12"/>
          <w:b w:val="1"/>
          <w:bCs w:val="1"/>
          <w:i w:val="1"/>
          <w:iCs w:val="1"/>
          <w:color w:val="auto"/>
        </w:rPr>
        <w:t>Changes in and Disagreements with Accountants on Accounting and Financial Disclosure</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9A. </w:t>
      </w:r>
      <w:r>
        <w:rPr>
          <w:rFonts w:ascii="Arial" w:cs="Arial" w:eastAsia="Arial" w:hAnsi="Arial"/>
          <w:sz w:val="12"/>
          <w:szCs w:val="12"/>
          <w:b w:val="1"/>
          <w:bCs w:val="1"/>
          <w:i w:val="1"/>
          <w:iCs w:val="1"/>
          <w:color w:val="auto"/>
        </w:rPr>
        <w:t>Controls and Procedures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91" w:lineRule="exact"/>
        <w:rPr>
          <w:sz w:val="20"/>
          <w:szCs w:val="20"/>
          <w:color w:val="auto"/>
        </w:rPr>
      </w:pPr>
    </w:p>
    <w:p>
      <w:pPr>
        <w:ind w:firstLine="488"/>
        <w:spacing w:after="0" w:line="320" w:lineRule="auto"/>
        <w:rPr>
          <w:sz w:val="20"/>
          <w:szCs w:val="20"/>
          <w:color w:val="auto"/>
        </w:rPr>
      </w:pPr>
      <w:r>
        <w:rPr>
          <w:rFonts w:ascii="Arial" w:cs="Arial" w:eastAsia="Arial" w:hAnsi="Arial"/>
          <w:sz w:val="10"/>
          <w:szCs w:val="10"/>
          <w:color w:val="auto"/>
        </w:rPr>
        <w:t>We maintain disclosure controls and procedures that are designed to ensure that information required to be disclosed in our periodic and current reports that we file with the Securities and Exchange Commission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spacing w:after="0" w:line="125"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our disclosure controls and procedures as of December 31, 2018.</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Based upon this evaluation, our Chief Executive Officer and Chief Financial Officer concluded that our disclosure controls and procedures were effective as of December 31, 2018.</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82" w:lineRule="exact"/>
        <w:rPr>
          <w:sz w:val="20"/>
          <w:szCs w:val="20"/>
          <w:color w:val="auto"/>
        </w:rPr>
      </w:pPr>
    </w:p>
    <w:p>
      <w:pPr>
        <w:ind w:right="60" w:firstLine="488"/>
        <w:spacing w:after="0" w:line="257"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2018. In making this assessment, our management used the criteria set forth by the Committee of Sponsoring Organizations of the Treadway Commission (COSO) in the Internal Control-Integrated Framework (2013 Framework).</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Based on this assessment, our management concluded that, as of December 31, 2018, our internal control over financial reporting was effective based on those criteria.</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1"/>
          <w:szCs w:val="11"/>
          <w:color w:val="auto"/>
        </w:rPr>
        <w:t>The effectiveness of our internal control over financial reporting as of December 31, 2018 has been audited by Deloitte &amp; Touche LLP, an independent registered public accounting firm, as stated in its report, which is included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herein.</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82" w:lineRule="exact"/>
        <w:rPr>
          <w:sz w:val="20"/>
          <w:szCs w:val="20"/>
          <w:color w:val="auto"/>
        </w:rPr>
      </w:pPr>
    </w:p>
    <w:p>
      <w:pPr>
        <w:ind w:right="20" w:firstLine="488"/>
        <w:spacing w:after="0" w:line="298" w:lineRule="auto"/>
        <w:rPr>
          <w:sz w:val="20"/>
          <w:szCs w:val="20"/>
          <w:color w:val="auto"/>
        </w:rPr>
      </w:pPr>
      <w:r>
        <w:rPr>
          <w:rFonts w:ascii="Arial" w:cs="Arial" w:eastAsia="Arial" w:hAnsi="Arial"/>
          <w:sz w:val="11"/>
          <w:szCs w:val="11"/>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87" w:right="19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To the Board of Directors and Stockholders of MannKind Corporation</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82" w:lineRule="exact"/>
        <w:rPr>
          <w:sz w:val="20"/>
          <w:szCs w:val="20"/>
          <w:color w:val="auto"/>
        </w:rPr>
      </w:pPr>
    </w:p>
    <w:p>
      <w:pPr>
        <w:ind w:right="120" w:firstLine="488"/>
        <w:spacing w:after="0" w:line="263" w:lineRule="auto"/>
        <w:rPr>
          <w:sz w:val="20"/>
          <w:szCs w:val="20"/>
          <w:color w:val="auto"/>
        </w:rPr>
      </w:pPr>
      <w:r>
        <w:rPr>
          <w:rFonts w:ascii="Arial" w:cs="Arial" w:eastAsia="Arial" w:hAnsi="Arial"/>
          <w:sz w:val="12"/>
          <w:szCs w:val="12"/>
          <w:color w:val="auto"/>
        </w:rPr>
        <w:t xml:space="preserve">We have audited the internal control over financial reporting of MannKind Corporation and subsidiaries (the “Company”) as of December 31, 2018,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(2013) </w:t>
      </w:r>
      <w:r>
        <w:rPr>
          <w:rFonts w:ascii="Arial" w:cs="Arial" w:eastAsia="Arial" w:hAnsi="Arial"/>
          <w:sz w:val="12"/>
          <w:szCs w:val="12"/>
          <w:color w:val="auto"/>
        </w:rPr>
        <w:t>issued by the Committee of Sponsoring Organizations of the Treadway Commission (COSO). In our opinion, the Company maintained, in all material respects, effective internal control over financial reporting as of December 31,</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COSO.</w:t>
      </w:r>
    </w:p>
    <w:p>
      <w:pPr>
        <w:spacing w:after="0" w:line="123" w:lineRule="exact"/>
        <w:rPr>
          <w:sz w:val="20"/>
          <w:szCs w:val="20"/>
          <w:color w:val="auto"/>
        </w:rPr>
      </w:pPr>
    </w:p>
    <w:p>
      <w:pPr>
        <w:ind w:firstLine="488"/>
        <w:spacing w:after="0" w:line="323" w:lineRule="auto"/>
        <w:rPr>
          <w:sz w:val="20"/>
          <w:szCs w:val="20"/>
          <w:color w:val="auto"/>
        </w:rPr>
      </w:pPr>
      <w:r>
        <w:rPr>
          <w:rFonts w:ascii="Arial" w:cs="Arial" w:eastAsia="Arial" w:hAnsi="Arial"/>
          <w:sz w:val="11"/>
          <w:szCs w:val="11"/>
          <w:color w:val="auto"/>
        </w:rPr>
        <w:t>We have also audited, in accordance with the standards of the Public Company Accounting Oversight Board (United States) (PCAOB), the consolidated financial statements as of and for the year ended December 31, 2018, of the Company and our report dated February 26, 2018, expressed an unqualified opinion on those financial statements and includes an explanatory paragraph relating to the Company’s ability to continue as a going concern.</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82" w:lineRule="exact"/>
        <w:rPr>
          <w:sz w:val="20"/>
          <w:szCs w:val="20"/>
          <w:color w:val="auto"/>
        </w:rPr>
      </w:pPr>
    </w:p>
    <w:p>
      <w:pPr>
        <w:ind w:firstLine="488"/>
        <w:spacing w:after="0" w:line="298"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ind w:right="40" w:firstLine="488"/>
        <w:spacing w:after="0" w:line="298"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82" w:lineRule="exact"/>
        <w:rPr>
          <w:sz w:val="20"/>
          <w:szCs w:val="20"/>
          <w:color w:val="auto"/>
        </w:rPr>
      </w:pPr>
    </w:p>
    <w:p>
      <w:pPr>
        <w:ind w:right="40" w:firstLine="488"/>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140" w:firstLine="488"/>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26, 2019</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9B. </w:t>
      </w:r>
      <w:r>
        <w:rPr>
          <w:rFonts w:ascii="Arial" w:cs="Arial" w:eastAsia="Arial" w:hAnsi="Arial"/>
          <w:sz w:val="12"/>
          <w:szCs w:val="12"/>
          <w:b w:val="1"/>
          <w:bCs w:val="1"/>
          <w:i w:val="1"/>
          <w:iCs w:val="1"/>
          <w:color w:val="auto"/>
        </w:rPr>
        <w:t>Other Information.</w:t>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None.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10. </w:t>
      </w:r>
      <w:r>
        <w:rPr>
          <w:rFonts w:ascii="Arial" w:cs="Arial" w:eastAsia="Arial" w:hAnsi="Arial"/>
          <w:sz w:val="12"/>
          <w:szCs w:val="12"/>
          <w:b w:val="1"/>
          <w:bCs w:val="1"/>
          <w:i w:val="1"/>
          <w:iCs w:val="1"/>
          <w:color w:val="auto"/>
        </w:rPr>
        <w:t>Directors, Executive Officers and Corporate Governance.</w:t>
      </w:r>
    </w:p>
    <w:p>
      <w:pPr>
        <w:spacing w:after="0" w:line="82" w:lineRule="exact"/>
        <w:rPr>
          <w:sz w:val="20"/>
          <w:szCs w:val="20"/>
          <w:color w:val="auto"/>
        </w:rPr>
      </w:pPr>
    </w:p>
    <w:p>
      <w:pPr>
        <w:ind w:left="640" w:hanging="160"/>
        <w:spacing w:after="0"/>
        <w:tabs>
          <w:tab w:leader="none" w:pos="640" w:val="left"/>
        </w:tabs>
        <w:numPr>
          <w:ilvl w:val="0"/>
          <w:numId w:val="25"/>
        </w:numPr>
        <w:rPr>
          <w:rFonts w:ascii="Arial" w:cs="Arial" w:eastAsia="Arial" w:hAnsi="Arial"/>
          <w:sz w:val="11"/>
          <w:szCs w:val="11"/>
          <w:color w:val="auto"/>
        </w:rPr>
      </w:pPr>
      <w:r>
        <w:rPr>
          <w:rFonts w:ascii="Arial" w:cs="Arial" w:eastAsia="Arial" w:hAnsi="Arial"/>
          <w:sz w:val="11"/>
          <w:szCs w:val="11"/>
          <w:i w:val="1"/>
          <w:iCs w:val="1"/>
          <w:color w:val="auto"/>
        </w:rPr>
        <w:t xml:space="preserve">Executive Officers — </w:t>
      </w:r>
      <w:r>
        <w:rPr>
          <w:rFonts w:ascii="Arial" w:cs="Arial" w:eastAsia="Arial" w:hAnsi="Arial"/>
          <w:sz w:val="11"/>
          <w:szCs w:val="11"/>
          <w:color w:val="auto"/>
        </w:rPr>
        <w:t>For information regarding the identification and business experience of our executive officers, see “Executive Officers of the Registrant” in Part I, Item 1 of this Annual Report on Form 10-K.</w:t>
      </w:r>
    </w:p>
    <w:p>
      <w:pPr>
        <w:spacing w:after="0" w:line="161" w:lineRule="exact"/>
        <w:rPr>
          <w:rFonts w:ascii="Arial" w:cs="Arial" w:eastAsia="Arial" w:hAnsi="Arial"/>
          <w:sz w:val="11"/>
          <w:szCs w:val="11"/>
          <w:color w:val="auto"/>
        </w:rPr>
      </w:pPr>
    </w:p>
    <w:p>
      <w:pPr>
        <w:ind w:firstLine="480"/>
        <w:spacing w:after="0" w:line="263" w:lineRule="auto"/>
        <w:tabs>
          <w:tab w:leader="none" w:pos="658"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Directors — </w:t>
      </w:r>
      <w:r>
        <w:rPr>
          <w:rFonts w:ascii="Arial" w:cs="Arial" w:eastAsia="Arial" w:hAnsi="Arial"/>
          <w:sz w:val="12"/>
          <w:szCs w:val="12"/>
          <w:color w:val="auto"/>
        </w:rPr>
        <w:t>The information required by this Item regarding the identification and business experience of our directors and corporate governance matters will be contained in the section entitled “Proposal 1 — Election of</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and “Corporate Governance Principles and Board and Committee Matters” in our definitive proxy statement for our 2019 Annual Meeting of Stockholders (the “Proxy Statement”), to be filed with the SEC on or before April 30, 2019, and is incorporated herein by reference.</w:t>
      </w:r>
    </w:p>
    <w:p>
      <w:pPr>
        <w:spacing w:after="0" w:line="122" w:lineRule="exact"/>
        <w:rPr>
          <w:rFonts w:ascii="Arial" w:cs="Arial" w:eastAsia="Arial" w:hAnsi="Arial"/>
          <w:sz w:val="12"/>
          <w:szCs w:val="12"/>
          <w:color w:val="auto"/>
        </w:rPr>
      </w:pPr>
    </w:p>
    <w:p>
      <w:pPr>
        <w:ind w:right="120" w:firstLine="480"/>
        <w:spacing w:after="0" w:line="263" w:lineRule="auto"/>
        <w:tabs>
          <w:tab w:leader="none" w:pos="651"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Section 16(a) Beneficial Ownership Reporting Compliance — </w:t>
      </w:r>
      <w:r>
        <w:rPr>
          <w:rFonts w:ascii="Arial" w:cs="Arial" w:eastAsia="Arial" w:hAnsi="Arial"/>
          <w:sz w:val="12"/>
          <w:szCs w:val="12"/>
          <w:color w:val="auto"/>
        </w:rPr>
        <w:t>Section 16(a) of the Exchange Act requires our directors, executive officers and any persons beneficially holding more than 10% of our common stock to report</w:t>
      </w:r>
      <w:r>
        <w:rPr>
          <w:rFonts w:ascii="Arial" w:cs="Arial" w:eastAsia="Arial" w:hAnsi="Arial"/>
          <w:sz w:val="12"/>
          <w:szCs w:val="12"/>
          <w:i w:val="1"/>
          <w:iCs w:val="1"/>
          <w:color w:val="auto"/>
        </w:rPr>
        <w:t xml:space="preserve"> </w:t>
      </w:r>
      <w:r>
        <w:rPr>
          <w:rFonts w:ascii="Arial" w:cs="Arial" w:eastAsia="Arial" w:hAnsi="Arial"/>
          <w:sz w:val="12"/>
          <w:szCs w:val="12"/>
          <w:color w:val="auto"/>
        </w:rPr>
        <w:t>their initial ownership of our common stock and any subsequent changes in that ownership to the SEC. Our executive officers, directors and greater than 10% stockholders are required by SEC regulation to furnish us with copies of all Section 16(a) forms they file.</w:t>
      </w:r>
    </w:p>
    <w:p>
      <w:pPr>
        <w:spacing w:after="0" w:line="123"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We have adopted a Code of Business Conduct and Ethics Policy that applies to our directors and employees and have posted the text of the policy on our website (</w:t>
      </w:r>
      <w:r>
        <w:rPr>
          <w:rFonts w:ascii="Arial" w:cs="Arial" w:eastAsia="Arial" w:hAnsi="Arial"/>
          <w:sz w:val="12"/>
          <w:szCs w:val="12"/>
          <w:i w:val="1"/>
          <w:iCs w:val="1"/>
          <w:color w:val="auto"/>
        </w:rPr>
        <w:t>www.mannkindcorp.com</w:t>
      </w:r>
      <w:r>
        <w:rPr>
          <w:rFonts w:ascii="Arial" w:cs="Arial" w:eastAsia="Arial" w:hAnsi="Arial"/>
          <w:sz w:val="12"/>
          <w:szCs w:val="12"/>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11. </w:t>
      </w:r>
      <w:r>
        <w:rPr>
          <w:rFonts w:ascii="Arial" w:cs="Arial" w:eastAsia="Arial" w:hAnsi="Arial"/>
          <w:sz w:val="12"/>
          <w:szCs w:val="12"/>
          <w:b w:val="1"/>
          <w:bCs w:val="1"/>
          <w:i w:val="1"/>
          <w:iCs w:val="1"/>
          <w:color w:val="auto"/>
        </w:rPr>
        <w:t>Executive Compensation</w:t>
      </w:r>
    </w:p>
    <w:p>
      <w:pPr>
        <w:spacing w:after="0" w:line="82" w:lineRule="exact"/>
        <w:rPr>
          <w:sz w:val="20"/>
          <w:szCs w:val="20"/>
          <w:color w:val="auto"/>
        </w:rPr>
      </w:pPr>
    </w:p>
    <w:p>
      <w:pPr>
        <w:ind w:firstLine="488"/>
        <w:spacing w:after="0" w:line="276" w:lineRule="auto"/>
        <w:rPr>
          <w:sz w:val="20"/>
          <w:szCs w:val="20"/>
          <w:color w:val="auto"/>
        </w:rPr>
      </w:pPr>
      <w:r>
        <w:rPr>
          <w:rFonts w:ascii="Arial" w:cs="Arial" w:eastAsia="Arial" w:hAnsi="Arial"/>
          <w:sz w:val="12"/>
          <w:szCs w:val="12"/>
          <w:color w:val="auto"/>
        </w:rPr>
        <w:t>The information required by this Item will be set forth under the caption “Executive Compensation,” “Compensation of Directors,” “Compensation Committee Interlocks and Insider Participation” and “Compensation Committee Report” in the Proxy Statement,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12. </w:t>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82" w:lineRule="exact"/>
        <w:rPr>
          <w:sz w:val="20"/>
          <w:szCs w:val="20"/>
          <w:color w:val="auto"/>
        </w:rPr>
      </w:pPr>
    </w:p>
    <w:p>
      <w:pPr>
        <w:ind w:right="80" w:firstLine="488"/>
        <w:spacing w:after="0" w:line="276" w:lineRule="auto"/>
        <w:rPr>
          <w:sz w:val="20"/>
          <w:szCs w:val="20"/>
          <w:color w:val="auto"/>
        </w:rPr>
      </w:pPr>
      <w:r>
        <w:rPr>
          <w:rFonts w:ascii="Arial" w:cs="Arial" w:eastAsia="Arial" w:hAnsi="Arial"/>
          <w:sz w:val="12"/>
          <w:szCs w:val="12"/>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13. </w:t>
      </w:r>
      <w:r>
        <w:rPr>
          <w:rFonts w:ascii="Arial" w:cs="Arial" w:eastAsia="Arial" w:hAnsi="Arial"/>
          <w:sz w:val="12"/>
          <w:szCs w:val="12"/>
          <w:b w:val="1"/>
          <w:bCs w:val="1"/>
          <w:i w:val="1"/>
          <w:iCs w:val="1"/>
          <w:color w:val="auto"/>
        </w:rPr>
        <w:t>Certain Relationships, Related Transactions and Director Independence</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information under the caption “Certain Transactions” and “Corporate Governance Principles and Board and Committee Matters” in the Proxy Statement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14. </w:t>
      </w:r>
      <w:r>
        <w:rPr>
          <w:rFonts w:ascii="Arial" w:cs="Arial" w:eastAsia="Arial" w:hAnsi="Arial"/>
          <w:sz w:val="12"/>
          <w:szCs w:val="12"/>
          <w:b w:val="1"/>
          <w:bCs w:val="1"/>
          <w:i w:val="1"/>
          <w:iCs w:val="1"/>
          <w:color w:val="auto"/>
        </w:rPr>
        <w:t>Principal Accounting Fees and Services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The information required by this Item will be set forth under the caption “Principal Accounting Fees and Services” and “Pre-Approval Policies and Procedures” in the Proxy Statement and is incorporated herein by reference.</w:t>
      </w:r>
    </w:p>
    <w:p>
      <w:pPr>
        <w:spacing w:after="0" w:line="162" w:lineRule="exact"/>
        <w:rPr>
          <w:sz w:val="20"/>
          <w:szCs w:val="20"/>
          <w:color w:val="auto"/>
        </w:rPr>
      </w:pPr>
    </w:p>
    <w:p>
      <w:pPr>
        <w:ind w:right="260" w:firstLine="488"/>
        <w:spacing w:after="0" w:line="276" w:lineRule="auto"/>
        <w:rPr>
          <w:sz w:val="20"/>
          <w:szCs w:val="20"/>
          <w:color w:val="auto"/>
        </w:rPr>
      </w:pPr>
      <w:r>
        <w:rPr>
          <w:rFonts w:ascii="Arial" w:cs="Arial" w:eastAsia="Arial" w:hAnsi="Arial"/>
          <w:sz w:val="12"/>
          <w:szCs w:val="12"/>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87" w:right="2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15. </w:t>
      </w:r>
      <w:r>
        <w:rPr>
          <w:rFonts w:ascii="Arial" w:cs="Arial" w:eastAsia="Arial" w:hAnsi="Arial"/>
          <w:sz w:val="12"/>
          <w:szCs w:val="12"/>
          <w:b w:val="1"/>
          <w:bCs w:val="1"/>
          <w:i w:val="1"/>
          <w:iCs w:val="1"/>
          <w:color w:val="auto"/>
        </w:rPr>
        <w:t>Exhibits, Financial Statement Schedules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 The following documents are filed as part of, or incorporated by reference into, this Annual Report on Form 10-K:</w:t>
      </w:r>
    </w:p>
    <w:p>
      <w:pPr>
        <w:spacing w:after="0" w:line="78" w:lineRule="exact"/>
        <w:rPr>
          <w:sz w:val="20"/>
          <w:szCs w:val="20"/>
          <w:color w:val="auto"/>
        </w:rPr>
      </w:pPr>
    </w:p>
    <w:p>
      <w:pPr>
        <w:ind w:left="480" w:right="140" w:firstLine="467"/>
        <w:spacing w:after="0" w:line="276" w:lineRule="auto"/>
        <w:rPr>
          <w:sz w:val="20"/>
          <w:szCs w:val="20"/>
          <w:color w:val="auto"/>
        </w:rPr>
      </w:pPr>
      <w:r>
        <w:rPr>
          <w:rFonts w:ascii="Arial" w:cs="Arial" w:eastAsia="Arial" w:hAnsi="Arial"/>
          <w:sz w:val="12"/>
          <w:szCs w:val="12"/>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80" w:type="dxa"/>
            <w:vAlign w:val="bottom"/>
            <w:gridSpan w:val="8"/>
          </w:tcPr>
          <w:p>
            <w:pPr>
              <w:spacing w:after="0"/>
              <w:rPr>
                <w:rFonts w:ascii="Arial" w:cs="Arial" w:eastAsia="Arial" w:hAnsi="Arial"/>
                <w:sz w:val="12"/>
                <w:szCs w:val="12"/>
                <w:color w:val="0000EE"/>
              </w:rPr>
            </w:pPr>
            <w:hyperlink w:anchor="page65">
              <w:r>
                <w:rPr>
                  <w:rFonts w:ascii="Arial" w:cs="Arial" w:eastAsia="Arial" w:hAnsi="Arial"/>
                  <w:sz w:val="12"/>
                  <w:szCs w:val="12"/>
                  <w:color w:val="0000EE"/>
                </w:rPr>
                <w:t>Report of Independent Registered Public Accounting Firm</w:t>
              </w:r>
            </w:hyperlink>
          </w:p>
        </w:tc>
        <w:tc>
          <w:tcPr>
            <w:tcW w:w="44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24"/>
        </w:trPr>
        <w:tc>
          <w:tcPr>
            <w:tcW w:w="280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Consolidated Balance Sheets</w:t>
              </w:r>
            </w:hyperlink>
          </w:p>
        </w:tc>
        <w:tc>
          <w:tcPr>
            <w:tcW w:w="4280" w:type="dxa"/>
            <w:vAlign w:val="bottom"/>
            <w:gridSpan w:val="2"/>
          </w:tcPr>
          <w:p>
            <w:pPr>
              <w:spacing w:after="0"/>
              <w:rPr>
                <w:sz w:val="10"/>
                <w:szCs w:val="10"/>
                <w:color w:val="auto"/>
              </w:rPr>
            </w:pPr>
          </w:p>
        </w:tc>
        <w:tc>
          <w:tcPr>
            <w:tcW w:w="4400" w:type="dxa"/>
            <w:vAlign w:val="bottom"/>
          </w:tcPr>
          <w:p>
            <w:pPr>
              <w:jc w:val="right"/>
              <w:spacing w:after="0" w:line="124" w:lineRule="exact"/>
              <w:rPr>
                <w:sz w:val="20"/>
                <w:szCs w:val="20"/>
                <w:color w:val="auto"/>
              </w:rPr>
            </w:pPr>
            <w:r>
              <w:rPr>
                <w:rFonts w:ascii="Arial" w:cs="Arial" w:eastAsia="Arial" w:hAnsi="Arial"/>
                <w:sz w:val="12"/>
                <w:szCs w:val="12"/>
                <w:color w:val="auto"/>
              </w:rPr>
              <w:t>63</w:t>
            </w:r>
          </w:p>
        </w:tc>
      </w:tr>
      <w:tr>
        <w:trPr>
          <w:trHeight w:val="20"/>
        </w:trPr>
        <w:tc>
          <w:tcPr>
            <w:tcW w:w="1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24"/>
        </w:trPr>
        <w:tc>
          <w:tcPr>
            <w:tcW w:w="7080" w:type="dxa"/>
            <w:vAlign w:val="bottom"/>
            <w:gridSpan w:val="8"/>
          </w:tcPr>
          <w:p>
            <w:pPr>
              <w:spacing w:after="0" w:line="124" w:lineRule="exact"/>
              <w:rPr>
                <w:rFonts w:ascii="Arial" w:cs="Arial" w:eastAsia="Arial" w:hAnsi="Arial"/>
                <w:sz w:val="12"/>
                <w:szCs w:val="12"/>
                <w:color w:val="0000EE"/>
              </w:rPr>
            </w:pPr>
            <w:hyperlink w:anchor="page67">
              <w:r>
                <w:rPr>
                  <w:rFonts w:ascii="Arial" w:cs="Arial" w:eastAsia="Arial" w:hAnsi="Arial"/>
                  <w:sz w:val="12"/>
                  <w:szCs w:val="12"/>
                  <w:color w:val="0000EE"/>
                </w:rPr>
                <w:t>Consolidated Statements of Operations</w:t>
              </w:r>
            </w:hyperlink>
          </w:p>
        </w:tc>
        <w:tc>
          <w:tcPr>
            <w:tcW w:w="4400" w:type="dxa"/>
            <w:vAlign w:val="bottom"/>
          </w:tcPr>
          <w:p>
            <w:pPr>
              <w:jc w:val="right"/>
              <w:spacing w:after="0" w:line="124" w:lineRule="exact"/>
              <w:rPr>
                <w:sz w:val="20"/>
                <w:szCs w:val="20"/>
                <w:color w:val="auto"/>
              </w:rPr>
            </w:pPr>
            <w:r>
              <w:rPr>
                <w:rFonts w:ascii="Arial" w:cs="Arial" w:eastAsia="Arial" w:hAnsi="Arial"/>
                <w:sz w:val="12"/>
                <w:szCs w:val="12"/>
                <w:color w:val="auto"/>
              </w:rPr>
              <w:t>64</w:t>
            </w:r>
          </w:p>
        </w:tc>
      </w:tr>
      <w:tr>
        <w:trPr>
          <w:trHeight w:val="20"/>
        </w:trPr>
        <w:tc>
          <w:tcPr>
            <w:tcW w:w="18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24"/>
        </w:trPr>
        <w:tc>
          <w:tcPr>
            <w:tcW w:w="7080" w:type="dxa"/>
            <w:vAlign w:val="bottom"/>
            <w:gridSpan w:val="8"/>
          </w:tcPr>
          <w:p>
            <w:pPr>
              <w:spacing w:after="0" w:line="124" w:lineRule="exact"/>
              <w:rPr>
                <w:rFonts w:ascii="Arial" w:cs="Arial" w:eastAsia="Arial" w:hAnsi="Arial"/>
                <w:sz w:val="12"/>
                <w:szCs w:val="12"/>
                <w:color w:val="0000EE"/>
              </w:rPr>
            </w:pPr>
            <w:hyperlink w:anchor="page68">
              <w:r>
                <w:rPr>
                  <w:rFonts w:ascii="Arial" w:cs="Arial" w:eastAsia="Arial" w:hAnsi="Arial"/>
                  <w:sz w:val="12"/>
                  <w:szCs w:val="12"/>
                  <w:color w:val="0000EE"/>
                </w:rPr>
                <w:t>Consolidated Statements of Comprehensive Income (Loss)</w:t>
              </w:r>
            </w:hyperlink>
          </w:p>
        </w:tc>
        <w:tc>
          <w:tcPr>
            <w:tcW w:w="4400" w:type="dxa"/>
            <w:vAlign w:val="bottom"/>
          </w:tcPr>
          <w:p>
            <w:pPr>
              <w:jc w:val="right"/>
              <w:spacing w:after="0" w:line="124" w:lineRule="exact"/>
              <w:rPr>
                <w:sz w:val="20"/>
                <w:szCs w:val="20"/>
                <w:color w:val="auto"/>
              </w:rPr>
            </w:pPr>
            <w:r>
              <w:rPr>
                <w:rFonts w:ascii="Arial" w:cs="Arial" w:eastAsia="Arial" w:hAnsi="Arial"/>
                <w:sz w:val="12"/>
                <w:szCs w:val="12"/>
                <w:color w:val="auto"/>
              </w:rPr>
              <w:t>65</w:t>
            </w:r>
          </w:p>
        </w:tc>
      </w:tr>
      <w:tr>
        <w:trPr>
          <w:trHeight w:val="124"/>
        </w:trPr>
        <w:tc>
          <w:tcPr>
            <w:tcW w:w="238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90"/>
              </w:rPr>
            </w:pPr>
            <w:hyperlink w:anchor="page69">
              <w:r>
                <w:rPr>
                  <w:rFonts w:ascii="Arial" w:cs="Arial" w:eastAsia="Arial" w:hAnsi="Arial"/>
                  <w:sz w:val="12"/>
                  <w:szCs w:val="12"/>
                  <w:color w:val="0000EE"/>
                  <w:w w:val="90"/>
                </w:rPr>
                <w:t>Consolidated Statements of Stockholders’ Deficit</w:t>
              </w:r>
            </w:hyperlink>
          </w:p>
        </w:tc>
        <w:tc>
          <w:tcPr>
            <w:tcW w:w="440" w:type="dxa"/>
            <w:vAlign w:val="bottom"/>
            <w:tcBorders>
              <w:top w:val="single" w:sz="8" w:color="0000EE"/>
            </w:tcBorders>
            <w:gridSpan w:val="2"/>
          </w:tcPr>
          <w:p>
            <w:pPr>
              <w:spacing w:after="0"/>
              <w:rPr>
                <w:sz w:val="10"/>
                <w:szCs w:val="10"/>
                <w:color w:val="auto"/>
              </w:rPr>
            </w:pPr>
          </w:p>
        </w:tc>
        <w:tc>
          <w:tcPr>
            <w:tcW w:w="4260" w:type="dxa"/>
            <w:vAlign w:val="bottom"/>
          </w:tcPr>
          <w:p>
            <w:pPr>
              <w:spacing w:after="0"/>
              <w:rPr>
                <w:sz w:val="10"/>
                <w:szCs w:val="10"/>
                <w:color w:val="auto"/>
              </w:rPr>
            </w:pPr>
          </w:p>
        </w:tc>
        <w:tc>
          <w:tcPr>
            <w:tcW w:w="440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r>
      <w:tr>
        <w:trPr>
          <w:trHeight w:val="124"/>
        </w:trPr>
        <w:tc>
          <w:tcPr>
            <w:tcW w:w="7080" w:type="dxa"/>
            <w:vAlign w:val="bottom"/>
            <w:gridSpan w:val="8"/>
          </w:tcPr>
          <w:p>
            <w:pPr>
              <w:spacing w:after="0" w:line="124" w:lineRule="exact"/>
              <w:rPr>
                <w:rFonts w:ascii="Arial" w:cs="Arial" w:eastAsia="Arial" w:hAnsi="Arial"/>
                <w:sz w:val="12"/>
                <w:szCs w:val="12"/>
                <w:color w:val="0000EE"/>
              </w:rPr>
            </w:pPr>
            <w:hyperlink w:anchor="page70">
              <w:r>
                <w:rPr>
                  <w:rFonts w:ascii="Arial" w:cs="Arial" w:eastAsia="Arial" w:hAnsi="Arial"/>
                  <w:sz w:val="12"/>
                  <w:szCs w:val="12"/>
                  <w:color w:val="0000EE"/>
                </w:rPr>
                <w:t>Consolidated Statements of Cash Flows</w:t>
              </w:r>
            </w:hyperlink>
          </w:p>
        </w:tc>
        <w:tc>
          <w:tcPr>
            <w:tcW w:w="440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24"/>
        </w:trPr>
        <w:tc>
          <w:tcPr>
            <w:tcW w:w="2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71">
              <w:r>
                <w:rPr>
                  <w:rFonts w:ascii="Arial" w:cs="Arial" w:eastAsia="Arial" w:hAnsi="Arial"/>
                  <w:sz w:val="12"/>
                  <w:szCs w:val="12"/>
                  <w:color w:val="0000EE"/>
                  <w:w w:val="89"/>
                </w:rPr>
                <w:t>Notes to Consolidated Financial Statements</w:t>
              </w:r>
            </w:hyperlink>
          </w:p>
        </w:tc>
        <w:tc>
          <w:tcPr>
            <w:tcW w:w="4980" w:type="dxa"/>
            <w:vAlign w:val="bottom"/>
            <w:gridSpan w:val="4"/>
          </w:tcPr>
          <w:p>
            <w:pPr>
              <w:spacing w:after="0"/>
              <w:rPr>
                <w:sz w:val="10"/>
                <w:szCs w:val="10"/>
                <w:color w:val="auto"/>
              </w:rPr>
            </w:pPr>
          </w:p>
        </w:tc>
        <w:tc>
          <w:tcPr>
            <w:tcW w:w="4400" w:type="dxa"/>
            <w:vAlign w:val="bottom"/>
          </w:tcPr>
          <w:p>
            <w:pPr>
              <w:jc w:val="right"/>
              <w:spacing w:after="0" w:line="124" w:lineRule="exact"/>
              <w:rPr>
                <w:sz w:val="20"/>
                <w:szCs w:val="20"/>
                <w:color w:val="auto"/>
              </w:rPr>
            </w:pPr>
            <w:r>
              <w:rPr>
                <w:rFonts w:ascii="Arial" w:cs="Arial" w:eastAsia="Arial" w:hAnsi="Arial"/>
                <w:sz w:val="12"/>
                <w:szCs w:val="12"/>
                <w:color w:val="auto"/>
              </w:rPr>
              <w:t>68</w:t>
            </w:r>
          </w:p>
        </w:tc>
      </w:tr>
    </w:tbl>
    <w:p>
      <w:pPr>
        <w:spacing w:after="0" w:line="153" w:lineRule="exact"/>
        <w:rPr>
          <w:sz w:val="20"/>
          <w:szCs w:val="20"/>
          <w:color w:val="auto"/>
        </w:rPr>
      </w:pPr>
    </w:p>
    <w:p>
      <w:pPr>
        <w:ind w:right="80" w:firstLine="488"/>
        <w:spacing w:after="0" w:line="276" w:lineRule="auto"/>
        <w:rPr>
          <w:sz w:val="20"/>
          <w:szCs w:val="20"/>
          <w:color w:val="auto"/>
        </w:rPr>
      </w:pPr>
      <w:r>
        <w:rPr>
          <w:rFonts w:ascii="Arial" w:cs="Arial" w:eastAsia="Arial" w:hAnsi="Arial"/>
          <w:sz w:val="12"/>
          <w:szCs w:val="12"/>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43" w:lineRule="exact"/>
        <w:rPr>
          <w:sz w:val="20"/>
          <w:szCs w:val="20"/>
          <w:color w:val="auto"/>
        </w:rPr>
      </w:pPr>
    </w:p>
    <w:p>
      <w:pPr>
        <w:ind w:left="480" w:right="60" w:firstLine="467"/>
        <w:spacing w:after="0" w:line="276" w:lineRule="auto"/>
        <w:tabs>
          <w:tab w:leader="none" w:pos="1117" w:val="left"/>
        </w:tabs>
        <w:numPr>
          <w:ilvl w:val="1"/>
          <w:numId w:val="26"/>
        </w:numPr>
        <w:rPr>
          <w:rFonts w:ascii="Arial" w:cs="Arial" w:eastAsia="Arial" w:hAnsi="Arial"/>
          <w:sz w:val="12"/>
          <w:szCs w:val="12"/>
          <w:color w:val="auto"/>
        </w:rPr>
      </w:pPr>
      <w:r>
        <w:rPr>
          <w:rFonts w:ascii="Arial" w:cs="Arial" w:eastAsia="Arial" w:hAnsi="Arial"/>
          <w:sz w:val="12"/>
          <w:szCs w:val="12"/>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14" w:lineRule="exact"/>
        <w:rPr>
          <w:rFonts w:ascii="Arial" w:cs="Arial" w:eastAsia="Arial" w:hAnsi="Arial"/>
          <w:sz w:val="12"/>
          <w:szCs w:val="12"/>
          <w:color w:val="auto"/>
        </w:rPr>
      </w:pPr>
    </w:p>
    <w:p>
      <w:pPr>
        <w:ind w:left="660" w:hanging="180"/>
        <w:spacing w:after="0"/>
        <w:tabs>
          <w:tab w:leader="none" w:pos="6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Exhibits. The following exhibits are filed or furnished as part of, or incorporated by reference into, this Annual Report on Form 10-K: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4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2"/>
        </w:trPr>
        <w:tc>
          <w:tcPr>
            <w:tcW w:w="940" w:type="dxa"/>
            <w:vAlign w:val="bottom"/>
            <w:gridSpan w:val="2"/>
          </w:tcPr>
          <w:p>
            <w:pPr>
              <w:spacing w:after="0" w:line="112" w:lineRule="exact"/>
              <w:rPr>
                <w:sz w:val="20"/>
                <w:szCs w:val="20"/>
                <w:color w:val="auto"/>
              </w:rPr>
            </w:pPr>
            <w:r>
              <w:rPr>
                <w:rFonts w:ascii="Arial" w:cs="Arial" w:eastAsia="Arial" w:hAnsi="Arial"/>
                <w:sz w:val="10"/>
                <w:szCs w:val="10"/>
                <w:color w:val="auto"/>
              </w:rPr>
              <w:t>Number</w:t>
            </w: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140" w:type="dxa"/>
            <w:vAlign w:val="bottom"/>
            <w:gridSpan w:val="12"/>
          </w:tcPr>
          <w:p>
            <w:pPr>
              <w:ind w:left="2400"/>
              <w:spacing w:after="0" w:line="112" w:lineRule="exact"/>
              <w:rPr>
                <w:sz w:val="20"/>
                <w:szCs w:val="20"/>
                <w:color w:val="auto"/>
              </w:rPr>
            </w:pPr>
            <w:r>
              <w:rPr>
                <w:rFonts w:ascii="Arial" w:cs="Arial" w:eastAsia="Arial" w:hAnsi="Arial"/>
                <w:sz w:val="10"/>
                <w:szCs w:val="10"/>
                <w:color w:val="auto"/>
              </w:rPr>
              <w:t>Description of Document</w:t>
            </w:r>
          </w:p>
        </w:tc>
        <w:tc>
          <w:tcPr>
            <w:tcW w:w="20" w:type="dxa"/>
            <w:vAlign w:val="bottom"/>
          </w:tcPr>
          <w:p>
            <w:pPr>
              <w:spacing w:after="0"/>
              <w:rPr>
                <w:sz w:val="9"/>
                <w:szCs w:val="9"/>
                <w:color w:val="auto"/>
              </w:rPr>
            </w:pPr>
          </w:p>
        </w:tc>
      </w:tr>
      <w:tr>
        <w:trPr>
          <w:trHeight w:val="187"/>
        </w:trPr>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6"/>
                <w:szCs w:val="16"/>
                <w:color w:val="auto"/>
              </w:rPr>
            </w:pPr>
          </w:p>
        </w:tc>
        <w:tc>
          <w:tcPr>
            <w:tcW w:w="9740" w:type="dxa"/>
            <w:vAlign w:val="bottom"/>
            <w:tcBorders>
              <w:top w:val="single" w:sz="8" w:color="auto"/>
              <w:bottom w:val="single" w:sz="8" w:color="0000EE"/>
            </w:tcBorders>
            <w:gridSpan w:val="17"/>
          </w:tcPr>
          <w:p>
            <w:pPr>
              <w:spacing w:after="0"/>
              <w:rPr>
                <w:rFonts w:ascii="Arial" w:cs="Arial" w:eastAsia="Arial" w:hAnsi="Arial"/>
                <w:sz w:val="12"/>
                <w:szCs w:val="12"/>
                <w:color w:val="0000EE"/>
                <w:w w:val="91"/>
              </w:rPr>
            </w:pPr>
            <w:hyperlink r:id="rId78">
              <w:r>
                <w:rPr>
                  <w:rFonts w:ascii="Arial" w:cs="Arial" w:eastAsia="Arial" w:hAnsi="Arial"/>
                  <w:sz w:val="12"/>
                  <w:szCs w:val="12"/>
                  <w:color w:val="0000EE"/>
                  <w:w w:val="91"/>
                </w:rPr>
                <w:t>Amended and Restated Certificate of Incorporation (incorporated by reference to Exhibit 3.1 to MannKind’s Quarterly Report on Form 10-Q (File No. 000-50865), filed with the SEC on August 9, 2016).</w:t>
              </w:r>
            </w:hyperlink>
          </w:p>
        </w:tc>
        <w:tc>
          <w:tcPr>
            <w:tcW w:w="800" w:type="dxa"/>
            <w:vAlign w:val="bottom"/>
            <w:tcBorders>
              <w:top w:val="single" w:sz="8" w:color="auto"/>
            </w:tcBorders>
            <w:gridSpan w:val="6"/>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3.2</w:t>
            </w:r>
          </w:p>
        </w:tc>
        <w:tc>
          <w:tcPr>
            <w:tcW w:w="140" w:type="dxa"/>
            <w:vAlign w:val="bottom"/>
          </w:tcPr>
          <w:p>
            <w:pPr>
              <w:spacing w:after="0"/>
              <w:rPr>
                <w:sz w:val="17"/>
                <w:szCs w:val="17"/>
                <w:color w:val="auto"/>
              </w:rPr>
            </w:pPr>
          </w:p>
        </w:tc>
        <w:tc>
          <w:tcPr>
            <w:tcW w:w="10400" w:type="dxa"/>
            <w:vAlign w:val="bottom"/>
            <w:tcBorders>
              <w:bottom w:val="single" w:sz="8" w:color="0000EE"/>
            </w:tcBorders>
            <w:gridSpan w:val="21"/>
          </w:tcPr>
          <w:p>
            <w:pPr>
              <w:spacing w:after="0"/>
              <w:rPr>
                <w:rFonts w:ascii="Arial" w:cs="Arial" w:eastAsia="Arial" w:hAnsi="Arial"/>
                <w:sz w:val="12"/>
                <w:szCs w:val="12"/>
                <w:color w:val="0000EE"/>
                <w:w w:val="92"/>
              </w:rPr>
            </w:pPr>
            <w:hyperlink r:id="rId79">
              <w:r>
                <w:rPr>
                  <w:rFonts w:ascii="Arial" w:cs="Arial" w:eastAsia="Arial" w:hAnsi="Arial"/>
                  <w:sz w:val="12"/>
                  <w:szCs w:val="12"/>
                  <w:color w:val="0000EE"/>
                  <w:w w:val="92"/>
                </w:rPr>
                <w:t>Certificate of Amendment of Amended and Restated Certificate of Incorporation of MannKind Corporation (incorporated by reference to Exhibit 3.1 to MannKind’s Current Report on Form 8-K (File No. 000-50865),</w:t>
              </w:r>
            </w:hyperlink>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Borders>
              <w:bottom w:val="single" w:sz="8" w:color="0000EE"/>
            </w:tcBorders>
            <w:gridSpan w:val="6"/>
          </w:tcPr>
          <w:p>
            <w:pPr>
              <w:spacing w:after="0" w:line="124" w:lineRule="exact"/>
              <w:rPr>
                <w:rFonts w:ascii="Arial" w:cs="Arial" w:eastAsia="Arial" w:hAnsi="Arial"/>
                <w:sz w:val="12"/>
                <w:szCs w:val="12"/>
                <w:color w:val="0000EE"/>
                <w:w w:val="90"/>
              </w:rPr>
            </w:pPr>
            <w:hyperlink r:id="rId79">
              <w:r>
                <w:rPr>
                  <w:rFonts w:ascii="Arial" w:cs="Arial" w:eastAsia="Arial" w:hAnsi="Arial"/>
                  <w:sz w:val="12"/>
                  <w:szCs w:val="12"/>
                  <w:color w:val="0000EE"/>
                  <w:w w:val="90"/>
                </w:rPr>
                <w:t>filed with the SEC on March 2, 2017).</w:t>
              </w:r>
            </w:hyperlink>
          </w:p>
        </w:tc>
        <w:tc>
          <w:tcPr>
            <w:tcW w:w="872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3.3</w:t>
            </w:r>
          </w:p>
        </w:tc>
        <w:tc>
          <w:tcPr>
            <w:tcW w:w="140" w:type="dxa"/>
            <w:vAlign w:val="bottom"/>
          </w:tcPr>
          <w:p>
            <w:pPr>
              <w:spacing w:after="0"/>
              <w:rPr>
                <w:sz w:val="17"/>
                <w:szCs w:val="17"/>
                <w:color w:val="auto"/>
              </w:rPr>
            </w:pPr>
          </w:p>
        </w:tc>
        <w:tc>
          <w:tcPr>
            <w:tcW w:w="10400" w:type="dxa"/>
            <w:vAlign w:val="bottom"/>
            <w:tcBorders>
              <w:bottom w:val="single" w:sz="8" w:color="0000EE"/>
            </w:tcBorders>
            <w:gridSpan w:val="21"/>
          </w:tcPr>
          <w:p>
            <w:pPr>
              <w:spacing w:after="0"/>
              <w:rPr>
                <w:rFonts w:ascii="Arial" w:cs="Arial" w:eastAsia="Arial" w:hAnsi="Arial"/>
                <w:sz w:val="12"/>
                <w:szCs w:val="12"/>
                <w:color w:val="0000EE"/>
                <w:w w:val="92"/>
              </w:rPr>
            </w:pPr>
            <w:hyperlink r:id="rId80">
              <w:r>
                <w:rPr>
                  <w:rFonts w:ascii="Arial" w:cs="Arial" w:eastAsia="Arial" w:hAnsi="Arial"/>
                  <w:sz w:val="12"/>
                  <w:szCs w:val="12"/>
                  <w:color w:val="0000EE"/>
                  <w:w w:val="92"/>
                </w:rPr>
                <w:t>Certificate of Amendment of Amended and Restated Certificate of Incorporation of MannKind Corporation (incorporated by reference to Exhibit 3.1 to MannKind’s Current Report on Form 8-K (File No. 000-50865),</w:t>
              </w:r>
            </w:hyperlink>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tcBorders>
              <w:bottom w:val="single" w:sz="8" w:color="0000EE"/>
            </w:tcBorders>
            <w:gridSpan w:val="9"/>
          </w:tcPr>
          <w:p>
            <w:pPr>
              <w:spacing w:after="0" w:line="124" w:lineRule="exact"/>
              <w:rPr>
                <w:rFonts w:ascii="Arial" w:cs="Arial" w:eastAsia="Arial" w:hAnsi="Arial"/>
                <w:sz w:val="12"/>
                <w:szCs w:val="12"/>
                <w:color w:val="0000EE"/>
                <w:w w:val="89"/>
              </w:rPr>
            </w:pPr>
            <w:hyperlink r:id="rId80">
              <w:r>
                <w:rPr>
                  <w:rFonts w:ascii="Arial" w:cs="Arial" w:eastAsia="Arial" w:hAnsi="Arial"/>
                  <w:sz w:val="12"/>
                  <w:szCs w:val="12"/>
                  <w:color w:val="0000EE"/>
                  <w:w w:val="89"/>
                </w:rPr>
                <w:t>filed with the SEC on December 13, 2017).</w:t>
              </w:r>
            </w:hyperlink>
          </w:p>
        </w:tc>
        <w:tc>
          <w:tcPr>
            <w:tcW w:w="8480" w:type="dxa"/>
            <w:vAlign w:val="bottom"/>
            <w:gridSpan w:val="14"/>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3.4</w:t>
            </w:r>
          </w:p>
        </w:tc>
        <w:tc>
          <w:tcPr>
            <w:tcW w:w="140" w:type="dxa"/>
            <w:vAlign w:val="bottom"/>
          </w:tcPr>
          <w:p>
            <w:pPr>
              <w:spacing w:after="0"/>
              <w:rPr>
                <w:sz w:val="17"/>
                <w:szCs w:val="17"/>
                <w:color w:val="auto"/>
              </w:rPr>
            </w:pPr>
          </w:p>
        </w:tc>
        <w:tc>
          <w:tcPr>
            <w:tcW w:w="8160" w:type="dxa"/>
            <w:vAlign w:val="bottom"/>
            <w:tcBorders>
              <w:bottom w:val="single" w:sz="8" w:color="0000EE"/>
            </w:tcBorders>
            <w:gridSpan w:val="14"/>
          </w:tcPr>
          <w:p>
            <w:pPr>
              <w:spacing w:after="0"/>
              <w:rPr>
                <w:rFonts w:ascii="Arial" w:cs="Arial" w:eastAsia="Arial" w:hAnsi="Arial"/>
                <w:sz w:val="12"/>
                <w:szCs w:val="12"/>
                <w:color w:val="0000EE"/>
                <w:w w:val="91"/>
              </w:rPr>
            </w:pPr>
            <w:hyperlink r:id="rId81">
              <w:r>
                <w:rPr>
                  <w:rFonts w:ascii="Arial" w:cs="Arial" w:eastAsia="Arial" w:hAnsi="Arial"/>
                  <w:sz w:val="12"/>
                  <w:szCs w:val="12"/>
                  <w:color w:val="0000EE"/>
                  <w:w w:val="91"/>
                </w:rPr>
                <w:t>Amended and Restated Bylaws (incorporated by reference to MannKind’s Current Report on Form 8-K (File No. 000-50865), filed with the SEC on November 19, 2007).</w:t>
              </w:r>
            </w:hyperlink>
          </w:p>
        </w:tc>
        <w:tc>
          <w:tcPr>
            <w:tcW w:w="23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7"/>
                <w:szCs w:val="17"/>
                <w:color w:val="auto"/>
              </w:rPr>
            </w:pPr>
          </w:p>
        </w:tc>
        <w:tc>
          <w:tcPr>
            <w:tcW w:w="10540" w:type="dxa"/>
            <w:vAlign w:val="bottom"/>
            <w:gridSpan w:val="23"/>
          </w:tcPr>
          <w:p>
            <w:pPr>
              <w:spacing w:after="0"/>
              <w:rPr>
                <w:rFonts w:ascii="Arial" w:cs="Arial" w:eastAsia="Arial" w:hAnsi="Arial"/>
                <w:sz w:val="12"/>
                <w:szCs w:val="12"/>
                <w:color w:val="auto"/>
              </w:rPr>
            </w:pPr>
            <w:r>
              <w:rPr>
                <w:rFonts w:ascii="Arial" w:cs="Arial" w:eastAsia="Arial" w:hAnsi="Arial"/>
                <w:sz w:val="12"/>
                <w:szCs w:val="12"/>
                <w:color w:val="auto"/>
              </w:rPr>
              <w:t xml:space="preserve">Reference is made to Exhibits </w:t>
            </w:r>
            <w:hyperlink r:id="rId78">
              <w:r>
                <w:rPr>
                  <w:rFonts w:ascii="Arial" w:cs="Arial" w:eastAsia="Arial" w:hAnsi="Arial"/>
                  <w:sz w:val="12"/>
                  <w:szCs w:val="12"/>
                  <w:color w:val="0000EE"/>
                </w:rPr>
                <w:t>3.1</w:t>
              </w:r>
            </w:hyperlink>
            <w:r>
              <w:rPr>
                <w:rFonts w:ascii="Arial" w:cs="Arial" w:eastAsia="Arial" w:hAnsi="Arial"/>
                <w:sz w:val="12"/>
                <w:szCs w:val="12"/>
                <w:color w:val="auto"/>
              </w:rPr>
              <w:t xml:space="preserve">, </w:t>
            </w:r>
            <w:hyperlink r:id="rId79">
              <w:r>
                <w:rPr>
                  <w:rFonts w:ascii="Arial" w:cs="Arial" w:eastAsia="Arial" w:hAnsi="Arial"/>
                  <w:sz w:val="12"/>
                  <w:szCs w:val="12"/>
                  <w:color w:val="0000EE"/>
                </w:rPr>
                <w:t>3.2</w:t>
              </w:r>
            </w:hyperlink>
            <w:r>
              <w:rPr>
                <w:rFonts w:ascii="Arial" w:cs="Arial" w:eastAsia="Arial" w:hAnsi="Arial"/>
                <w:sz w:val="12"/>
                <w:szCs w:val="12"/>
                <w:color w:val="auto"/>
              </w:rPr>
              <w:t xml:space="preserve">, </w:t>
            </w:r>
            <w:hyperlink r:id="rId80">
              <w:r>
                <w:rPr>
                  <w:rFonts w:ascii="Arial" w:cs="Arial" w:eastAsia="Arial" w:hAnsi="Arial"/>
                  <w:sz w:val="12"/>
                  <w:szCs w:val="12"/>
                  <w:color w:val="0000EE"/>
                </w:rPr>
                <w:t>3.3</w:t>
              </w:r>
              <w:r>
                <w:rPr>
                  <w:rFonts w:ascii="Arial" w:cs="Arial" w:eastAsia="Arial" w:hAnsi="Arial"/>
                  <w:sz w:val="12"/>
                  <w:szCs w:val="12"/>
                  <w:color w:val="auto"/>
                </w:rPr>
                <w:t xml:space="preserve"> </w:t>
              </w:r>
            </w:hyperlink>
            <w:r>
              <w:rPr>
                <w:rFonts w:ascii="Arial" w:cs="Arial" w:eastAsia="Arial" w:hAnsi="Arial"/>
                <w:sz w:val="12"/>
                <w:szCs w:val="12"/>
                <w:color w:val="auto"/>
              </w:rPr>
              <w:t xml:space="preserve">and </w:t>
            </w:r>
            <w:hyperlink r:id="rId81">
              <w:r>
                <w:rPr>
                  <w:rFonts w:ascii="Arial" w:cs="Arial" w:eastAsia="Arial" w:hAnsi="Arial"/>
                  <w:sz w:val="12"/>
                  <w:szCs w:val="12"/>
                  <w:color w:val="0000EE"/>
                </w:rPr>
                <w:t>3.4</w:t>
              </w:r>
            </w:hyperlink>
            <w:r>
              <w:rPr>
                <w:rFonts w:ascii="Arial" w:cs="Arial" w:eastAsia="Arial" w:hAnsi="Arial"/>
                <w:sz w:val="12"/>
                <w:szCs w:val="12"/>
                <w:color w:val="auto"/>
              </w:rPr>
              <w:t>.</w:t>
            </w:r>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4.2</w:t>
            </w:r>
          </w:p>
        </w:tc>
        <w:tc>
          <w:tcPr>
            <w:tcW w:w="140" w:type="dxa"/>
            <w:vAlign w:val="bottom"/>
          </w:tcPr>
          <w:p>
            <w:pPr>
              <w:spacing w:after="0"/>
              <w:rPr>
                <w:sz w:val="17"/>
                <w:szCs w:val="17"/>
                <w:color w:val="auto"/>
              </w:rPr>
            </w:pPr>
          </w:p>
        </w:tc>
        <w:tc>
          <w:tcPr>
            <w:tcW w:w="10540" w:type="dxa"/>
            <w:vAlign w:val="bottom"/>
            <w:gridSpan w:val="23"/>
          </w:tcPr>
          <w:p>
            <w:pPr>
              <w:spacing w:after="0"/>
              <w:rPr>
                <w:rFonts w:ascii="Arial" w:cs="Arial" w:eastAsia="Arial" w:hAnsi="Arial"/>
                <w:sz w:val="12"/>
                <w:szCs w:val="12"/>
                <w:color w:val="0000EE"/>
              </w:rPr>
            </w:pPr>
            <w:hyperlink r:id="rId82">
              <w:r>
                <w:rPr>
                  <w:rFonts w:ascii="Arial" w:cs="Arial" w:eastAsia="Arial" w:hAnsi="Arial"/>
                  <w:sz w:val="12"/>
                  <w:szCs w:val="12"/>
                  <w:color w:val="0000EE"/>
                </w:rPr>
                <w:t>Form of common stock certificate (incorporated by reference to Exhibit 4.2 to MannKind’s Annual Report on Form 10-K (File No. 000-50865), filed with the SEC on March 16, 2017).</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700" w:type="dxa"/>
            <w:vAlign w:val="bottom"/>
            <w:gridSpan w:val="11"/>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4.3</w:t>
            </w:r>
          </w:p>
        </w:tc>
        <w:tc>
          <w:tcPr>
            <w:tcW w:w="140" w:type="dxa"/>
            <w:vAlign w:val="bottom"/>
          </w:tcPr>
          <w:p>
            <w:pPr>
              <w:spacing w:after="0"/>
              <w:rPr>
                <w:sz w:val="17"/>
                <w:szCs w:val="17"/>
                <w:color w:val="auto"/>
              </w:rPr>
            </w:pPr>
          </w:p>
        </w:tc>
        <w:tc>
          <w:tcPr>
            <w:tcW w:w="10540" w:type="dxa"/>
            <w:vAlign w:val="bottom"/>
            <w:gridSpan w:val="23"/>
          </w:tcPr>
          <w:p>
            <w:pPr>
              <w:spacing w:after="0"/>
              <w:rPr>
                <w:rFonts w:ascii="Arial" w:cs="Arial" w:eastAsia="Arial" w:hAnsi="Arial"/>
                <w:sz w:val="12"/>
                <w:szCs w:val="12"/>
                <w:color w:val="0000EE"/>
                <w:w w:val="93"/>
              </w:rPr>
            </w:pPr>
            <w:hyperlink r:id="rId83">
              <w:r>
                <w:rPr>
                  <w:rFonts w:ascii="Arial" w:cs="Arial" w:eastAsia="Arial" w:hAnsi="Arial"/>
                  <w:sz w:val="12"/>
                  <w:szCs w:val="12"/>
                  <w:color w:val="0000EE"/>
                  <w:w w:val="93"/>
                </w:rPr>
                <w:t>Form of 9.75% Senior Secured Convertible Promissory Note due 2019 (incorporated by reference Exhibit 99.2 to MannKind’s Current Report on Form 8-K (File No. 000-50865), filed with the SEC on July 1, 2013).</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700" w:type="dxa"/>
            <w:vAlign w:val="bottom"/>
            <w:gridSpan w:val="11"/>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4.4</w:t>
            </w:r>
          </w:p>
        </w:tc>
        <w:tc>
          <w:tcPr>
            <w:tcW w:w="140" w:type="dxa"/>
            <w:vAlign w:val="bottom"/>
          </w:tcPr>
          <w:p>
            <w:pPr>
              <w:spacing w:after="0"/>
              <w:rPr>
                <w:sz w:val="17"/>
                <w:szCs w:val="17"/>
                <w:color w:val="auto"/>
              </w:rPr>
            </w:pPr>
          </w:p>
        </w:tc>
        <w:tc>
          <w:tcPr>
            <w:tcW w:w="10540" w:type="dxa"/>
            <w:vAlign w:val="bottom"/>
            <w:gridSpan w:val="23"/>
          </w:tcPr>
          <w:p>
            <w:pPr>
              <w:spacing w:after="0"/>
              <w:rPr>
                <w:rFonts w:ascii="Arial" w:cs="Arial" w:eastAsia="Arial" w:hAnsi="Arial"/>
                <w:sz w:val="12"/>
                <w:szCs w:val="12"/>
                <w:color w:val="0000EE"/>
                <w:w w:val="92"/>
              </w:rPr>
            </w:pPr>
            <w:hyperlink r:id="rId84">
              <w:r>
                <w:rPr>
                  <w:rFonts w:ascii="Arial" w:cs="Arial" w:eastAsia="Arial" w:hAnsi="Arial"/>
                  <w:sz w:val="12"/>
                  <w:szCs w:val="12"/>
                  <w:color w:val="0000EE"/>
                  <w:w w:val="92"/>
                </w:rPr>
                <w:t>Form of Amended and Restated 9.75% Senior Secured Convertible Promissory Note due 2019 (incorporated by reference to Exhibit 4.7 to MannKind’s Annual Report on Form 10-K (File No. 000-50865), filed with the</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60" w:type="dxa"/>
            <w:vAlign w:val="bottom"/>
            <w:tcBorders>
              <w:top w:val="single" w:sz="8" w:color="0000EE"/>
            </w:tcBorders>
            <w:gridSpan w:val="22"/>
          </w:tcPr>
          <w:p>
            <w:pPr>
              <w:spacing w:after="0" w:line="124" w:lineRule="exact"/>
              <w:rPr>
                <w:rFonts w:ascii="Arial" w:cs="Arial" w:eastAsia="Arial" w:hAnsi="Arial"/>
                <w:sz w:val="12"/>
                <w:szCs w:val="12"/>
                <w:color w:val="0000EE"/>
              </w:rPr>
            </w:pPr>
            <w:hyperlink r:id="rId84">
              <w:r>
                <w:rPr>
                  <w:rFonts w:ascii="Arial" w:cs="Arial" w:eastAsia="Arial" w:hAnsi="Arial"/>
                  <w:sz w:val="12"/>
                  <w:szCs w:val="12"/>
                  <w:color w:val="0000EE"/>
                </w:rPr>
                <w:t>SEC on March 3, 2014).</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4.5</w:t>
            </w:r>
          </w:p>
        </w:tc>
        <w:tc>
          <w:tcPr>
            <w:tcW w:w="140" w:type="dxa"/>
            <w:vAlign w:val="bottom"/>
          </w:tcPr>
          <w:p>
            <w:pPr>
              <w:spacing w:after="0"/>
              <w:rPr>
                <w:sz w:val="17"/>
                <w:szCs w:val="17"/>
                <w:color w:val="auto"/>
              </w:rPr>
            </w:pPr>
          </w:p>
        </w:tc>
        <w:tc>
          <w:tcPr>
            <w:tcW w:w="9620" w:type="dxa"/>
            <w:vAlign w:val="bottom"/>
            <w:tcBorders>
              <w:bottom w:val="single" w:sz="8" w:color="0000EE"/>
            </w:tcBorders>
            <w:gridSpan w:val="16"/>
          </w:tcPr>
          <w:p>
            <w:pPr>
              <w:spacing w:after="0"/>
              <w:rPr>
                <w:rFonts w:ascii="Arial" w:cs="Arial" w:eastAsia="Arial" w:hAnsi="Arial"/>
                <w:sz w:val="12"/>
                <w:szCs w:val="12"/>
                <w:color w:val="0000EE"/>
                <w:w w:val="91"/>
              </w:rPr>
            </w:pPr>
            <w:hyperlink r:id="rId85">
              <w:r>
                <w:rPr>
                  <w:rFonts w:ascii="Arial" w:cs="Arial" w:eastAsia="Arial" w:hAnsi="Arial"/>
                  <w:sz w:val="12"/>
                  <w:szCs w:val="12"/>
                  <w:color w:val="0000EE"/>
                  <w:w w:val="91"/>
                </w:rPr>
                <w:t>Form of Tranche B Senior Secured Note due 2019 (incorporated by reference to Exhibit 4.8 to MannKind’s Quarterly Report on Form 10-Q (File No. 000-50856), filed with the SEC on May 12, 2014).</w:t>
              </w:r>
            </w:hyperlink>
          </w:p>
        </w:tc>
        <w:tc>
          <w:tcPr>
            <w:tcW w:w="9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4.6</w:t>
            </w:r>
          </w:p>
        </w:tc>
        <w:tc>
          <w:tcPr>
            <w:tcW w:w="140" w:type="dxa"/>
            <w:vAlign w:val="bottom"/>
          </w:tcPr>
          <w:p>
            <w:pPr>
              <w:spacing w:after="0"/>
              <w:rPr>
                <w:sz w:val="17"/>
                <w:szCs w:val="17"/>
                <w:color w:val="auto"/>
              </w:rPr>
            </w:pPr>
          </w:p>
        </w:tc>
        <w:tc>
          <w:tcPr>
            <w:tcW w:w="10540" w:type="dxa"/>
            <w:vAlign w:val="bottom"/>
            <w:gridSpan w:val="23"/>
          </w:tcPr>
          <w:p>
            <w:pPr>
              <w:spacing w:after="0"/>
              <w:rPr>
                <w:rFonts w:ascii="Arial" w:cs="Arial" w:eastAsia="Arial" w:hAnsi="Arial"/>
                <w:sz w:val="12"/>
                <w:szCs w:val="12"/>
                <w:color w:val="0000EE"/>
                <w:w w:val="96"/>
              </w:rPr>
            </w:pPr>
            <w:hyperlink r:id="rId86">
              <w:r>
                <w:rPr>
                  <w:rFonts w:ascii="Arial" w:cs="Arial" w:eastAsia="Arial" w:hAnsi="Arial"/>
                  <w:sz w:val="12"/>
                  <w:szCs w:val="12"/>
                  <w:color w:val="0000EE"/>
                  <w:w w:val="96"/>
                </w:rPr>
                <w:t>Milestone Rights Purchase Agreement, dated as of July 1, 2013, by and among MannKind, Deerfield Private Design Fund II, L.P. and Horizon Santé FLML SÁRL (incorporated by reference to Exhibit 99.3 to</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r:id="rId86">
              <w:r>
                <w:rPr>
                  <w:rFonts w:ascii="Arial" w:cs="Arial" w:eastAsia="Arial" w:hAnsi="Arial"/>
                  <w:sz w:val="12"/>
                  <w:szCs w:val="12"/>
                  <w:color w:val="0000EE"/>
                </w:rPr>
                <w:t>MannKind’s Current Report on Form 8-K (File No. 000-50865), filed with the SEC on July 1, 2013).</w:t>
              </w:r>
            </w:hyperlink>
          </w:p>
        </w:tc>
        <w:tc>
          <w:tcPr>
            <w:tcW w:w="5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gridSpan w:val="1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4.7</w:t>
            </w:r>
          </w:p>
        </w:tc>
        <w:tc>
          <w:tcPr>
            <w:tcW w:w="140" w:type="dxa"/>
            <w:vAlign w:val="bottom"/>
          </w:tcPr>
          <w:p>
            <w:pPr>
              <w:spacing w:after="0"/>
              <w:rPr>
                <w:sz w:val="17"/>
                <w:szCs w:val="17"/>
                <w:color w:val="auto"/>
              </w:rPr>
            </w:pPr>
          </w:p>
        </w:tc>
        <w:tc>
          <w:tcPr>
            <w:tcW w:w="10380" w:type="dxa"/>
            <w:vAlign w:val="bottom"/>
            <w:tcBorders>
              <w:bottom w:val="single" w:sz="8" w:color="0000EE"/>
            </w:tcBorders>
            <w:gridSpan w:val="20"/>
          </w:tcPr>
          <w:p>
            <w:pPr>
              <w:spacing w:after="0"/>
              <w:rPr>
                <w:rFonts w:ascii="Arial" w:cs="Arial" w:eastAsia="Arial" w:hAnsi="Arial"/>
                <w:sz w:val="12"/>
                <w:szCs w:val="12"/>
                <w:color w:val="0000EE"/>
                <w:w w:val="91"/>
              </w:rPr>
            </w:pPr>
            <w:hyperlink r:id="rId87">
              <w:r>
                <w:rPr>
                  <w:rFonts w:ascii="Arial" w:cs="Arial" w:eastAsia="Arial" w:hAnsi="Arial"/>
                  <w:sz w:val="12"/>
                  <w:szCs w:val="12"/>
                  <w:color w:val="0000EE"/>
                  <w:w w:val="91"/>
                </w:rPr>
                <w:t>Guaranty and Security Agreement, dated as of July 1, 2013, by and among MannKind, MannKind LLC, Deerfield Private Design Fund II, L.P., Deerfield Private Design International II, L.P. and Horizon Santé FLML</w:t>
              </w:r>
            </w:hyperlink>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360" w:type="dxa"/>
            <w:vAlign w:val="bottom"/>
            <w:tcBorders>
              <w:bottom w:val="single" w:sz="8" w:color="0000EE"/>
            </w:tcBorders>
            <w:gridSpan w:val="13"/>
          </w:tcPr>
          <w:p>
            <w:pPr>
              <w:spacing w:after="0" w:line="124" w:lineRule="exact"/>
              <w:rPr>
                <w:rFonts w:ascii="Arial" w:cs="Arial" w:eastAsia="Arial" w:hAnsi="Arial"/>
                <w:sz w:val="12"/>
                <w:szCs w:val="12"/>
                <w:color w:val="0000EE"/>
                <w:w w:val="92"/>
              </w:rPr>
            </w:pPr>
            <w:hyperlink r:id="rId87">
              <w:r>
                <w:rPr>
                  <w:rFonts w:ascii="Arial" w:cs="Arial" w:eastAsia="Arial" w:hAnsi="Arial"/>
                  <w:sz w:val="12"/>
                  <w:szCs w:val="12"/>
                  <w:color w:val="0000EE"/>
                  <w:w w:val="92"/>
                </w:rPr>
                <w:t>SÁRL (incorporated by reference to Exhibit 99.4 to MannKind’s Current Report on Form 8-K (File No. 000-50865), filed with the SEC on July 1, 2013).</w:t>
              </w:r>
            </w:hyperlink>
          </w:p>
        </w:tc>
        <w:tc>
          <w:tcPr>
            <w:tcW w:w="318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r>
      <w:tr>
        <w:trPr>
          <w:trHeight w:val="457"/>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gridSpan w:val="13"/>
          </w:tcPr>
          <w:p>
            <w:pPr>
              <w:ind w:left="4740"/>
              <w:spacing w:after="0"/>
              <w:rPr>
                <w:sz w:val="20"/>
                <w:szCs w:val="20"/>
                <w:color w:val="auto"/>
              </w:rPr>
            </w:pPr>
            <w:r>
              <w:rPr>
                <w:rFonts w:ascii="Arial" w:cs="Arial" w:eastAsia="Arial" w:hAnsi="Arial"/>
                <w:sz w:val="12"/>
                <w:szCs w:val="12"/>
                <w:color w:val="auto"/>
              </w:rPr>
              <w:t>54</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8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440" w:type="dxa"/>
            <w:vAlign w:val="bottom"/>
            <w:tcBorders>
              <w:bottom w:val="single" w:sz="8" w:color="9A9A9A"/>
            </w:tcBorders>
          </w:tcPr>
          <w:p>
            <w:pPr>
              <w:spacing w:after="0"/>
              <w:rPr>
                <w:sz w:val="19"/>
                <w:szCs w:val="19"/>
                <w:color w:val="auto"/>
              </w:rPr>
            </w:pPr>
          </w:p>
        </w:tc>
        <w:tc>
          <w:tcPr>
            <w:tcW w:w="25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15"/>
        </w:trPr>
        <w:tc>
          <w:tcPr>
            <w:tcW w:w="92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2"/>
        </w:trPr>
        <w:tc>
          <w:tcPr>
            <w:tcW w:w="920" w:type="dxa"/>
            <w:vAlign w:val="bottom"/>
            <w:gridSpan w:val="2"/>
          </w:tcPr>
          <w:p>
            <w:pPr>
              <w:spacing w:after="0" w:line="112" w:lineRule="exact"/>
              <w:rPr>
                <w:sz w:val="20"/>
                <w:szCs w:val="20"/>
                <w:color w:val="auto"/>
              </w:rPr>
            </w:pPr>
            <w:r>
              <w:rPr>
                <w:rFonts w:ascii="Arial" w:cs="Arial" w:eastAsia="Arial" w:hAnsi="Arial"/>
                <w:sz w:val="10"/>
                <w:szCs w:val="10"/>
                <w:color w:val="auto"/>
              </w:rPr>
              <w:t>Number</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40" w:type="dxa"/>
            <w:vAlign w:val="bottom"/>
            <w:gridSpan w:val="24"/>
          </w:tcPr>
          <w:p>
            <w:pPr>
              <w:ind w:left="2300"/>
              <w:spacing w:after="0" w:line="112" w:lineRule="exact"/>
              <w:rPr>
                <w:sz w:val="20"/>
                <w:szCs w:val="20"/>
                <w:color w:val="auto"/>
              </w:rPr>
            </w:pPr>
            <w:r>
              <w:rPr>
                <w:rFonts w:ascii="Arial" w:cs="Arial" w:eastAsia="Arial" w:hAnsi="Arial"/>
                <w:sz w:val="10"/>
                <w:szCs w:val="10"/>
                <w:color w:val="auto"/>
              </w:rPr>
              <w:t>Description of Document</w:t>
            </w:r>
          </w:p>
        </w:tc>
        <w:tc>
          <w:tcPr>
            <w:tcW w:w="20" w:type="dxa"/>
            <w:vAlign w:val="bottom"/>
          </w:tcPr>
          <w:p>
            <w:pPr>
              <w:spacing w:after="0"/>
              <w:rPr>
                <w:sz w:val="9"/>
                <w:szCs w:val="9"/>
                <w:color w:val="auto"/>
              </w:rPr>
            </w:pPr>
          </w:p>
        </w:tc>
      </w:tr>
      <w:tr>
        <w:trPr>
          <w:trHeight w:val="187"/>
        </w:trPr>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400" w:type="dxa"/>
            <w:vAlign w:val="bottom"/>
            <w:tcBorders>
              <w:top w:val="single" w:sz="8" w:color="auto"/>
              <w:bottom w:val="single" w:sz="8" w:color="0000EE"/>
            </w:tcBorders>
            <w:gridSpan w:val="23"/>
          </w:tcPr>
          <w:p>
            <w:pPr>
              <w:spacing w:after="0"/>
              <w:rPr>
                <w:rFonts w:ascii="Arial" w:cs="Arial" w:eastAsia="Arial" w:hAnsi="Arial"/>
                <w:sz w:val="12"/>
                <w:szCs w:val="12"/>
                <w:color w:val="0000EE"/>
                <w:w w:val="91"/>
              </w:rPr>
            </w:pPr>
            <w:hyperlink r:id="rId90">
              <w:r>
                <w:rPr>
                  <w:rFonts w:ascii="Arial" w:cs="Arial" w:eastAsia="Arial" w:hAnsi="Arial"/>
                  <w:sz w:val="12"/>
                  <w:szCs w:val="12"/>
                  <w:color w:val="0000EE"/>
                  <w:w w:val="91"/>
                </w:rPr>
                <w:t>Facility Agreement, dated as of July 1, 2013, by and among MannKind Corporation, Deerfield Private Design Fund II, L.P. and Deerfield Private Design International II, L.P. (incorporated by reference to Exhibit 99.1</w:t>
              </w:r>
            </w:hyperlink>
          </w:p>
        </w:tc>
        <w:tc>
          <w:tcPr>
            <w:tcW w:w="140" w:type="dxa"/>
            <w:vAlign w:val="bottom"/>
            <w:tcBorders>
              <w:top w:val="single" w:sz="8" w:color="auto"/>
            </w:tcBorders>
            <w:gridSpan w:val="6"/>
          </w:tcPr>
          <w:p>
            <w:pPr>
              <w:spacing w:after="0"/>
              <w:rPr>
                <w:sz w:val="16"/>
                <w:szCs w:val="16"/>
                <w:color w:val="auto"/>
              </w:rPr>
            </w:pPr>
          </w:p>
        </w:tc>
        <w:tc>
          <w:tcPr>
            <w:tcW w:w="20" w:type="dxa"/>
            <w:vAlign w:val="bottom"/>
          </w:tcPr>
          <w:p>
            <w:pPr>
              <w:spacing w:after="0"/>
              <w:rPr>
                <w:sz w:val="16"/>
                <w:szCs w:val="16"/>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540" w:type="dxa"/>
            <w:vAlign w:val="bottom"/>
            <w:gridSpan w:val="29"/>
          </w:tcPr>
          <w:p>
            <w:pPr>
              <w:spacing w:after="0" w:line="124" w:lineRule="exact"/>
              <w:rPr>
                <w:rFonts w:ascii="Arial" w:cs="Arial" w:eastAsia="Arial" w:hAnsi="Arial"/>
                <w:sz w:val="12"/>
                <w:szCs w:val="12"/>
                <w:color w:val="0000EE"/>
              </w:rPr>
            </w:pPr>
            <w:hyperlink r:id="rId90">
              <w:r>
                <w:rPr>
                  <w:rFonts w:ascii="Arial" w:cs="Arial" w:eastAsia="Arial" w:hAnsi="Arial"/>
                  <w:sz w:val="12"/>
                  <w:szCs w:val="12"/>
                  <w:color w:val="0000EE"/>
                </w:rPr>
                <w:t>MannKind’s Current Report on Form 8-K (File No. 000-50865), filed with the SEC on July 1, 2013).</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tcBorders>
              <w:bottom w:val="single" w:sz="8" w:color="0000EE"/>
            </w:tcBorders>
            <w:gridSpan w:val="29"/>
          </w:tcPr>
          <w:p>
            <w:pPr>
              <w:spacing w:after="0"/>
              <w:rPr>
                <w:rFonts w:ascii="Arial" w:cs="Arial" w:eastAsia="Arial" w:hAnsi="Arial"/>
                <w:sz w:val="12"/>
                <w:szCs w:val="12"/>
                <w:color w:val="0000EE"/>
                <w:w w:val="91"/>
              </w:rPr>
            </w:pPr>
            <w:hyperlink r:id="rId91">
              <w:r>
                <w:rPr>
                  <w:rFonts w:ascii="Arial" w:cs="Arial" w:eastAsia="Arial" w:hAnsi="Arial"/>
                  <w:sz w:val="12"/>
                  <w:szCs w:val="12"/>
                  <w:color w:val="0000EE"/>
                  <w:w w:val="91"/>
                </w:rPr>
                <w:t>First Amendment to Facility Agreement and Registration Rights Agreement, dated as of February 28, 2014, by and among MannKind, Deerfield Private Design Fund II, L.P. and Deerfield Private Design International II,</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60" w:type="dxa"/>
            <w:vAlign w:val="bottom"/>
            <w:tcBorders>
              <w:bottom w:val="single" w:sz="8" w:color="0000EE"/>
            </w:tcBorders>
            <w:gridSpan w:val="13"/>
          </w:tcPr>
          <w:p>
            <w:pPr>
              <w:spacing w:after="0" w:line="124" w:lineRule="exact"/>
              <w:rPr>
                <w:rFonts w:ascii="Arial" w:cs="Arial" w:eastAsia="Arial" w:hAnsi="Arial"/>
                <w:sz w:val="12"/>
                <w:szCs w:val="12"/>
                <w:color w:val="0000EE"/>
                <w:w w:val="92"/>
              </w:rPr>
            </w:pPr>
            <w:hyperlink r:id="rId91">
              <w:r>
                <w:rPr>
                  <w:rFonts w:ascii="Arial" w:cs="Arial" w:eastAsia="Arial" w:hAnsi="Arial"/>
                  <w:sz w:val="12"/>
                  <w:szCs w:val="12"/>
                  <w:color w:val="0000EE"/>
                  <w:w w:val="92"/>
                </w:rPr>
                <w:t>L.P. (incorporated by reference to Exhibit 10.39 to MannKind’s Annual Report on Form 10-K (File No. 000-50865), filed with the SEC on March 3, 2014).</w:t>
              </w:r>
            </w:hyperlink>
          </w:p>
        </w:tc>
        <w:tc>
          <w:tcPr>
            <w:tcW w:w="3080" w:type="dxa"/>
            <w:vAlign w:val="bottom"/>
            <w:gridSpan w:val="16"/>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gridSpan w:val="29"/>
          </w:tcPr>
          <w:p>
            <w:pPr>
              <w:spacing w:after="0"/>
              <w:rPr>
                <w:rFonts w:ascii="Arial" w:cs="Arial" w:eastAsia="Arial" w:hAnsi="Arial"/>
                <w:sz w:val="12"/>
                <w:szCs w:val="12"/>
                <w:color w:val="0000EE"/>
                <w:w w:val="92"/>
              </w:rPr>
            </w:pPr>
            <w:hyperlink r:id="rId92">
              <w:r>
                <w:rPr>
                  <w:rFonts w:ascii="Arial" w:cs="Arial" w:eastAsia="Arial" w:hAnsi="Arial"/>
                  <w:sz w:val="12"/>
                  <w:szCs w:val="12"/>
                  <w:color w:val="0000EE"/>
                  <w:w w:val="92"/>
                </w:rPr>
                <w:t>Second Amendment to Facility Agreement and Registration Rights Agreement, dated as of August 11, 2014, by and among MannKind, Deerfield Private Design Fund II, L.P. and Deerfield Private Design International</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900" w:type="dxa"/>
            <w:vAlign w:val="bottom"/>
            <w:tcBorders>
              <w:top w:val="single" w:sz="8" w:color="0000EE"/>
              <w:bottom w:val="single" w:sz="8" w:color="0000EE"/>
            </w:tcBorders>
            <w:gridSpan w:val="14"/>
          </w:tcPr>
          <w:p>
            <w:pPr>
              <w:spacing w:after="0" w:line="124" w:lineRule="exact"/>
              <w:rPr>
                <w:rFonts w:ascii="Arial" w:cs="Arial" w:eastAsia="Arial" w:hAnsi="Arial"/>
                <w:sz w:val="12"/>
                <w:szCs w:val="12"/>
                <w:color w:val="0000EE"/>
                <w:w w:val="92"/>
              </w:rPr>
            </w:pPr>
            <w:hyperlink r:id="rId92">
              <w:r>
                <w:rPr>
                  <w:rFonts w:ascii="Arial" w:cs="Arial" w:eastAsia="Arial" w:hAnsi="Arial"/>
                  <w:sz w:val="12"/>
                  <w:szCs w:val="12"/>
                  <w:color w:val="0000EE"/>
                  <w:w w:val="92"/>
                </w:rPr>
                <w:t>II, L.P. (incorporated by reference to Exhibit 4.14 to MannKind’s Quarterly Report on Form 10-Q (File No. 000-50865), filed with the SEC on November 10, 2014).</w:t>
              </w:r>
            </w:hyperlink>
          </w:p>
        </w:tc>
        <w:tc>
          <w:tcPr>
            <w:tcW w:w="2520" w:type="dxa"/>
            <w:vAlign w:val="bottom"/>
            <w:tcBorders>
              <w:top w:val="single" w:sz="8" w:color="0000EE"/>
            </w:tcBorders>
            <w:gridSpan w:val="10"/>
          </w:tcPr>
          <w:p>
            <w:pPr>
              <w:spacing w:after="0"/>
              <w:rPr>
                <w:sz w:val="10"/>
                <w:szCs w:val="10"/>
                <w:color w:val="auto"/>
              </w:rPr>
            </w:pPr>
          </w:p>
        </w:tc>
        <w:tc>
          <w:tcPr>
            <w:tcW w:w="12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gridSpan w:val="29"/>
          </w:tcPr>
          <w:p>
            <w:pPr>
              <w:spacing w:after="0"/>
              <w:rPr>
                <w:rFonts w:ascii="Arial" w:cs="Arial" w:eastAsia="Arial" w:hAnsi="Arial"/>
                <w:sz w:val="12"/>
                <w:szCs w:val="12"/>
                <w:color w:val="0000EE"/>
                <w:w w:val="95"/>
              </w:rPr>
            </w:pPr>
            <w:hyperlink r:id="rId93">
              <w:r>
                <w:rPr>
                  <w:rFonts w:ascii="Arial" w:cs="Arial" w:eastAsia="Arial" w:hAnsi="Arial"/>
                  <w:sz w:val="12"/>
                  <w:szCs w:val="12"/>
                  <w:color w:val="0000EE"/>
                  <w:w w:val="95"/>
                </w:rPr>
                <w:t>Exchange and Third Amendment to Facility Agreement, dated June 29, 2017 by and among MannKind, MannKind LLC, Deerfield Private Design Fund II, L.P. and Deerfield Private Design International II, L.P.</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0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r:id="rId93">
              <w:r>
                <w:rPr>
                  <w:rFonts w:ascii="Arial" w:cs="Arial" w:eastAsia="Arial" w:hAnsi="Arial"/>
                  <w:sz w:val="12"/>
                  <w:szCs w:val="12"/>
                  <w:color w:val="0000EE"/>
                </w:rPr>
                <w:t>(incorporated by reference to Exhibit 99.2 to MannKind’s Current Report on Form 8-K (File No. 000-50865), filed with the SEC on June 29, 2017).</w:t>
              </w:r>
            </w:hyperlink>
          </w:p>
        </w:tc>
        <w:tc>
          <w:tcPr>
            <w:tcW w:w="44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gridSpan w:val="29"/>
          </w:tcPr>
          <w:p>
            <w:pPr>
              <w:spacing w:after="0"/>
              <w:rPr>
                <w:rFonts w:ascii="Arial" w:cs="Arial" w:eastAsia="Arial" w:hAnsi="Arial"/>
                <w:sz w:val="12"/>
                <w:szCs w:val="12"/>
                <w:color w:val="0000EE"/>
                <w:w w:val="92"/>
              </w:rPr>
            </w:pPr>
            <w:hyperlink r:id="rId94">
              <w:r>
                <w:rPr>
                  <w:rFonts w:ascii="Arial" w:cs="Arial" w:eastAsia="Arial" w:hAnsi="Arial"/>
                  <w:sz w:val="12"/>
                  <w:szCs w:val="12"/>
                  <w:color w:val="0000EE"/>
                  <w:w w:val="92"/>
                </w:rPr>
                <w:t>Fourth Amendment to Facility Agreement, dated October 23, 2017 by and among MannKind, MannKind LLC, Deerfield Private Design Fund II, L.P. and Deerfield Private Design International II, L.P. (incorporated by</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40" w:type="dxa"/>
            <w:vAlign w:val="bottom"/>
            <w:tcBorders>
              <w:top w:val="single" w:sz="8" w:color="0000EE"/>
            </w:tcBorders>
            <w:gridSpan w:val="25"/>
          </w:tcPr>
          <w:p>
            <w:pPr>
              <w:spacing w:after="0" w:line="124" w:lineRule="exact"/>
              <w:rPr>
                <w:rFonts w:ascii="Arial" w:cs="Arial" w:eastAsia="Arial" w:hAnsi="Arial"/>
                <w:sz w:val="12"/>
                <w:szCs w:val="12"/>
                <w:color w:val="0000EE"/>
              </w:rPr>
            </w:pPr>
            <w:hyperlink r:id="rId94">
              <w:r>
                <w:rPr>
                  <w:rFonts w:ascii="Arial" w:cs="Arial" w:eastAsia="Arial" w:hAnsi="Arial"/>
                  <w:sz w:val="12"/>
                  <w:szCs w:val="12"/>
                  <w:color w:val="0000EE"/>
                </w:rPr>
                <w:t>reference to Exhibit 99.1 to MannKind’s Current Report on Form 8-K (File No. 000-50865), filed with the SEC on October 23, 2017).</w:t>
              </w:r>
            </w:hyperlink>
          </w:p>
        </w:tc>
        <w:tc>
          <w:tcPr>
            <w:tcW w:w="1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00" w:type="dxa"/>
            <w:vAlign w:val="bottom"/>
          </w:tcPr>
          <w:p>
            <w:pPr>
              <w:spacing w:after="0"/>
              <w:rPr>
                <w:sz w:val="20"/>
                <w:szCs w:val="20"/>
                <w:color w:val="auto"/>
              </w:rPr>
            </w:pPr>
            <w:r>
              <w:rPr>
                <w:rFonts w:ascii="Arial" w:cs="Arial" w:eastAsia="Arial" w:hAnsi="Arial"/>
                <w:sz w:val="12"/>
                <w:szCs w:val="12"/>
                <w:color w:val="auto"/>
              </w:rPr>
              <w:t>4.13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80" w:type="dxa"/>
            <w:vAlign w:val="bottom"/>
            <w:tcBorders>
              <w:bottom w:val="single" w:sz="8" w:color="0000EE"/>
            </w:tcBorders>
            <w:gridSpan w:val="22"/>
          </w:tcPr>
          <w:p>
            <w:pPr>
              <w:spacing w:after="0"/>
              <w:rPr>
                <w:rFonts w:ascii="Arial" w:cs="Arial" w:eastAsia="Arial" w:hAnsi="Arial"/>
                <w:sz w:val="12"/>
                <w:szCs w:val="12"/>
                <w:color w:val="0000EE"/>
                <w:w w:val="92"/>
              </w:rPr>
            </w:pPr>
            <w:hyperlink r:id="rId95">
              <w:r>
                <w:rPr>
                  <w:rFonts w:ascii="Arial" w:cs="Arial" w:eastAsia="Arial" w:hAnsi="Arial"/>
                  <w:sz w:val="12"/>
                  <w:szCs w:val="12"/>
                  <w:color w:val="0000EE"/>
                  <w:w w:val="92"/>
                </w:rPr>
                <w:t>Fifth Amendment to Facility Agreement, dated January 15, 2018 by and among MannKind, MannKind LLC, Deerfield Private Design Fund II, L.P., and Deerfield Private Design International II, L.P. (incorporated by</w:t>
              </w:r>
            </w:hyperlink>
          </w:p>
        </w:tc>
        <w:tc>
          <w:tcPr>
            <w:tcW w:w="16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540" w:type="dxa"/>
            <w:vAlign w:val="bottom"/>
            <w:gridSpan w:val="29"/>
          </w:tcPr>
          <w:p>
            <w:pPr>
              <w:spacing w:after="0" w:line="124" w:lineRule="exact"/>
              <w:rPr>
                <w:rFonts w:ascii="Arial" w:cs="Arial" w:eastAsia="Arial" w:hAnsi="Arial"/>
                <w:sz w:val="12"/>
                <w:szCs w:val="12"/>
                <w:color w:val="0000EE"/>
              </w:rPr>
            </w:pPr>
            <w:hyperlink r:id="rId95">
              <w:r>
                <w:rPr>
                  <w:rFonts w:ascii="Arial" w:cs="Arial" w:eastAsia="Arial" w:hAnsi="Arial"/>
                  <w:sz w:val="12"/>
                  <w:szCs w:val="12"/>
                  <w:color w:val="0000EE"/>
                </w:rPr>
                <w:t>reference to Exhibit 99.1 to MannKind’s Current Report on Form 8-K (File No. 000-50865), filed with the SEC on January 19, 2018).</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4.14</w:t>
            </w:r>
          </w:p>
        </w:tc>
        <w:tc>
          <w:tcPr>
            <w:tcW w:w="120" w:type="dxa"/>
            <w:vAlign w:val="bottom"/>
          </w:tcPr>
          <w:p>
            <w:pPr>
              <w:spacing w:after="0"/>
              <w:rPr>
                <w:sz w:val="17"/>
                <w:szCs w:val="17"/>
                <w:color w:val="auto"/>
              </w:rPr>
            </w:pPr>
          </w:p>
        </w:tc>
        <w:tc>
          <w:tcPr>
            <w:tcW w:w="10280" w:type="dxa"/>
            <w:vAlign w:val="bottom"/>
            <w:tcBorders>
              <w:bottom w:val="single" w:sz="8" w:color="0000EE"/>
            </w:tcBorders>
            <w:gridSpan w:val="20"/>
          </w:tcPr>
          <w:p>
            <w:pPr>
              <w:spacing w:after="0"/>
              <w:rPr>
                <w:rFonts w:ascii="Arial" w:cs="Arial" w:eastAsia="Arial" w:hAnsi="Arial"/>
                <w:sz w:val="12"/>
                <w:szCs w:val="12"/>
                <w:color w:val="0000EE"/>
                <w:w w:val="91"/>
              </w:rPr>
            </w:pPr>
            <w:hyperlink r:id="rId96">
              <w:r>
                <w:rPr>
                  <w:rFonts w:ascii="Arial" w:cs="Arial" w:eastAsia="Arial" w:hAnsi="Arial"/>
                  <w:sz w:val="12"/>
                  <w:szCs w:val="12"/>
                  <w:color w:val="0000EE"/>
                  <w:w w:val="91"/>
                </w:rPr>
                <w:t>Exchange and Sixth Amendment to Facility Agreement, dated January 18, 2018 by and among MannKind, MannKind LLC, Deerfield Private Design Fund II, L.P., and Deerfield Private Design International II, L.P.</w:t>
              </w:r>
            </w:hyperlink>
          </w:p>
        </w:tc>
        <w:tc>
          <w:tcPr>
            <w:tcW w:w="2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6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96">
              <w:r>
                <w:rPr>
                  <w:rFonts w:ascii="Arial" w:cs="Arial" w:eastAsia="Arial" w:hAnsi="Arial"/>
                  <w:sz w:val="12"/>
                  <w:szCs w:val="12"/>
                  <w:color w:val="0000EE"/>
                  <w:w w:val="91"/>
                </w:rPr>
                <w:t>(incorporated by reference to Exhibit 99.2 to MannKind’s Current Report on Form 8-K (File No. 000-50865), filed with the SEC on January 19, 2018).</w:t>
              </w:r>
            </w:hyperlink>
          </w:p>
        </w:tc>
        <w:tc>
          <w:tcPr>
            <w:tcW w:w="330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4.15</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5"/>
              </w:rPr>
            </w:pPr>
            <w:hyperlink r:id="rId97">
              <w:r>
                <w:rPr>
                  <w:rFonts w:ascii="Arial" w:cs="Arial" w:eastAsia="Arial" w:hAnsi="Arial"/>
                  <w:sz w:val="12"/>
                  <w:szCs w:val="12"/>
                  <w:color w:val="0000EE"/>
                  <w:w w:val="95"/>
                </w:rPr>
                <w:t>Exchange and Seventh Amendment to Facility Agreement, dated June 8, 2018 by and among MannKind, MannKind LLC, Deerfield Private Design Fund II, L.P. and Deerfield Private Design International II, L.P.</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20" w:type="dxa"/>
            <w:vAlign w:val="bottom"/>
            <w:tcBorders>
              <w:top w:val="single" w:sz="8" w:color="0000EE"/>
              <w:bottom w:val="single" w:sz="8" w:color="0000EE"/>
            </w:tcBorders>
            <w:gridSpan w:val="12"/>
          </w:tcPr>
          <w:p>
            <w:pPr>
              <w:spacing w:after="0" w:line="124" w:lineRule="exact"/>
              <w:rPr>
                <w:rFonts w:ascii="Arial" w:cs="Arial" w:eastAsia="Arial" w:hAnsi="Arial"/>
                <w:sz w:val="12"/>
                <w:szCs w:val="12"/>
                <w:color w:val="0000EE"/>
                <w:w w:val="91"/>
              </w:rPr>
            </w:pPr>
            <w:hyperlink r:id="rId97">
              <w:r>
                <w:rPr>
                  <w:rFonts w:ascii="Arial" w:cs="Arial" w:eastAsia="Arial" w:hAnsi="Arial"/>
                  <w:sz w:val="12"/>
                  <w:szCs w:val="12"/>
                  <w:color w:val="0000EE"/>
                  <w:w w:val="91"/>
                </w:rPr>
                <w:t>(incorporated by reference to Exhibit 99.1 to MannKind’s Current Report on Form 8-K (File No. 000-50865), filed with the SEC on June 11, 2018).</w:t>
              </w:r>
            </w:hyperlink>
          </w:p>
        </w:tc>
        <w:tc>
          <w:tcPr>
            <w:tcW w:w="3040" w:type="dxa"/>
            <w:vAlign w:val="bottom"/>
            <w:tcBorders>
              <w:top w:val="single" w:sz="8" w:color="0000EE"/>
            </w:tcBorders>
            <w:gridSpan w:val="7"/>
          </w:tcPr>
          <w:p>
            <w:pPr>
              <w:spacing w:after="0"/>
              <w:rPr>
                <w:sz w:val="10"/>
                <w:szCs w:val="10"/>
                <w:color w:val="auto"/>
              </w:rPr>
            </w:pPr>
          </w:p>
        </w:tc>
        <w:tc>
          <w:tcPr>
            <w:tcW w:w="40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rPr>
                <w:rFonts w:ascii="Arial" w:cs="Arial" w:eastAsia="Arial" w:hAnsi="Arial"/>
                <w:sz w:val="12"/>
                <w:szCs w:val="12"/>
                <w:color w:val="0000EE"/>
                <w:w w:val="91"/>
              </w:rPr>
            </w:pPr>
            <w:hyperlink r:id="rId98">
              <w:r>
                <w:rPr>
                  <w:rFonts w:ascii="Arial" w:cs="Arial" w:eastAsia="Arial" w:hAnsi="Arial"/>
                  <w:sz w:val="12"/>
                  <w:szCs w:val="12"/>
                  <w:color w:val="0000EE"/>
                  <w:w w:val="91"/>
                </w:rPr>
                <w:t>Exchange and Eighth Amendment to Facility Agreement, dated July 12, 2018 by and among MannKind, MannKind LLC, Deerfield Private Design Fund II, L.P. and Deerfield Private Design International II, L.P.</w:t>
              </w:r>
            </w:hyperlink>
          </w:p>
        </w:tc>
        <w:tc>
          <w:tcPr>
            <w:tcW w:w="4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80" w:type="dxa"/>
            <w:vAlign w:val="bottom"/>
            <w:tcBorders>
              <w:bottom w:val="single" w:sz="8" w:color="0000EE"/>
            </w:tcBorders>
            <w:gridSpan w:val="11"/>
          </w:tcPr>
          <w:p>
            <w:pPr>
              <w:spacing w:after="0" w:line="124" w:lineRule="exact"/>
              <w:rPr>
                <w:rFonts w:ascii="Arial" w:cs="Arial" w:eastAsia="Arial" w:hAnsi="Arial"/>
                <w:sz w:val="12"/>
                <w:szCs w:val="12"/>
                <w:color w:val="0000EE"/>
                <w:w w:val="92"/>
              </w:rPr>
            </w:pPr>
            <w:hyperlink r:id="rId98">
              <w:r>
                <w:rPr>
                  <w:rFonts w:ascii="Arial" w:cs="Arial" w:eastAsia="Arial" w:hAnsi="Arial"/>
                  <w:sz w:val="12"/>
                  <w:szCs w:val="12"/>
                  <w:color w:val="0000EE"/>
                  <w:w w:val="92"/>
                </w:rPr>
                <w:t>(incorporated by reference to Exhibit 99.1 to MannKind’s Current Report on Form 8-K (File No. 000-50865), filed with the SEC on July 13, 2018).</w:t>
              </w:r>
            </w:hyperlink>
          </w:p>
        </w:tc>
        <w:tc>
          <w:tcPr>
            <w:tcW w:w="3480" w:type="dxa"/>
            <w:vAlign w:val="bottom"/>
            <w:gridSpan w:val="19"/>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4.17</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2"/>
              </w:rPr>
            </w:pPr>
            <w:hyperlink r:id="rId99">
              <w:r>
                <w:rPr>
                  <w:rFonts w:ascii="Arial" w:cs="Arial" w:eastAsia="Arial" w:hAnsi="Arial"/>
                  <w:sz w:val="12"/>
                  <w:szCs w:val="12"/>
                  <w:color w:val="0000EE"/>
                  <w:w w:val="92"/>
                </w:rPr>
                <w:t>Ninth Amendment to Facility Agreement, dated September 5, 2018 by and among MannKind, MannKind LLC, Deerfield Private Design Fund II, L.P. and Deerfield Private Design International II, L.P. (incorporated by</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60" w:type="dxa"/>
            <w:vAlign w:val="bottom"/>
            <w:tcBorders>
              <w:top w:val="single" w:sz="8" w:color="0000EE"/>
            </w:tcBorders>
            <w:gridSpan w:val="26"/>
          </w:tcPr>
          <w:p>
            <w:pPr>
              <w:spacing w:after="0" w:line="124" w:lineRule="exact"/>
              <w:rPr>
                <w:rFonts w:ascii="Arial" w:cs="Arial" w:eastAsia="Arial" w:hAnsi="Arial"/>
                <w:sz w:val="12"/>
                <w:szCs w:val="12"/>
                <w:color w:val="0000EE"/>
              </w:rPr>
            </w:pPr>
            <w:hyperlink r:id="rId99">
              <w:r>
                <w:rPr>
                  <w:rFonts w:ascii="Arial" w:cs="Arial" w:eastAsia="Arial" w:hAnsi="Arial"/>
                  <w:sz w:val="12"/>
                  <w:szCs w:val="12"/>
                  <w:color w:val="0000EE"/>
                </w:rPr>
                <w:t>reference to Exhibit 99.1 to MannKind’s Current Report on Form 8-K (File No. 000-50865), filed with the SEC on September 5, 2018).</w:t>
              </w:r>
            </w:hyperlink>
          </w:p>
        </w:tc>
        <w:tc>
          <w:tcPr>
            <w:tcW w:w="1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4.18</w:t>
            </w:r>
          </w:p>
        </w:tc>
        <w:tc>
          <w:tcPr>
            <w:tcW w:w="120" w:type="dxa"/>
            <w:vAlign w:val="bottom"/>
          </w:tcPr>
          <w:p>
            <w:pPr>
              <w:spacing w:after="0"/>
              <w:rPr>
                <w:sz w:val="17"/>
                <w:szCs w:val="17"/>
                <w:color w:val="auto"/>
              </w:rPr>
            </w:pPr>
          </w:p>
        </w:tc>
        <w:tc>
          <w:tcPr>
            <w:tcW w:w="10540" w:type="dxa"/>
            <w:vAlign w:val="bottom"/>
            <w:tcBorders>
              <w:bottom w:val="single" w:sz="8" w:color="0000EE"/>
            </w:tcBorders>
            <w:gridSpan w:val="29"/>
          </w:tcPr>
          <w:p>
            <w:pPr>
              <w:spacing w:after="0"/>
              <w:rPr>
                <w:rFonts w:ascii="Arial" w:cs="Arial" w:eastAsia="Arial" w:hAnsi="Arial"/>
                <w:sz w:val="12"/>
                <w:szCs w:val="12"/>
                <w:color w:val="0000EE"/>
                <w:w w:val="91"/>
              </w:rPr>
            </w:pPr>
            <w:hyperlink r:id="rId100">
              <w:r>
                <w:rPr>
                  <w:rFonts w:ascii="Arial" w:cs="Arial" w:eastAsia="Arial" w:hAnsi="Arial"/>
                  <w:sz w:val="12"/>
                  <w:szCs w:val="12"/>
                  <w:color w:val="0000EE"/>
                  <w:w w:val="91"/>
                </w:rPr>
                <w:t>Tenth Amendment to Facility Agreement, dated September 26, 2018 by and among MannKind, MannKind LLC, Deerfield Private Design Fund II, L.P. and Deerfield Private Design International II, L.P. (incorporated by</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30"/>
          </w:tcPr>
          <w:p>
            <w:pPr>
              <w:spacing w:after="0" w:line="124" w:lineRule="exact"/>
              <w:rPr>
                <w:rFonts w:ascii="Arial" w:cs="Arial" w:eastAsia="Arial" w:hAnsi="Arial"/>
                <w:sz w:val="12"/>
                <w:szCs w:val="12"/>
                <w:color w:val="0000EE"/>
              </w:rPr>
            </w:pPr>
            <w:hyperlink r:id="rId100">
              <w:r>
                <w:rPr>
                  <w:rFonts w:ascii="Arial" w:cs="Arial" w:eastAsia="Arial" w:hAnsi="Arial"/>
                  <w:sz w:val="12"/>
                  <w:szCs w:val="12"/>
                  <w:color w:val="0000EE"/>
                </w:rPr>
                <w:t>reference to Exhibit 99.1 to MannKind’s Current Report on Form 8-K (File No. 000-50865), filed with the SEC on September 27, 2018).</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4.19</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2"/>
              </w:rPr>
            </w:pPr>
            <w:hyperlink r:id="rId101">
              <w:r>
                <w:rPr>
                  <w:rFonts w:ascii="Arial" w:cs="Arial" w:eastAsia="Arial" w:hAnsi="Arial"/>
                  <w:sz w:val="12"/>
                  <w:szCs w:val="12"/>
                  <w:color w:val="0000EE"/>
                  <w:w w:val="92"/>
                </w:rPr>
                <w:t>Indenture, by and between MannKind and U.S. Bank (dated October 30, 2017 (incorporated by reference to Exhibit 4.1 to MannKind’s Current Report on Form 8-K (File No. 000-50865), filed with the SEC on October</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5"/>
              </w:rPr>
            </w:pPr>
            <w:hyperlink r:id="rId101">
              <w:r>
                <w:rPr>
                  <w:rFonts w:ascii="Arial" w:cs="Arial" w:eastAsia="Arial" w:hAnsi="Arial"/>
                  <w:sz w:val="12"/>
                  <w:szCs w:val="12"/>
                  <w:color w:val="0000EE"/>
                  <w:w w:val="85"/>
                </w:rPr>
                <w:t>30, 2017).</w:t>
              </w:r>
            </w:hyperlink>
          </w:p>
        </w:tc>
        <w:tc>
          <w:tcPr>
            <w:tcW w:w="4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400" w:type="dxa"/>
            <w:vAlign w:val="bottom"/>
            <w:tcBorders>
              <w:top w:val="single" w:sz="8" w:color="0000EE"/>
            </w:tcBorders>
          </w:tcPr>
          <w:p>
            <w:pPr>
              <w:spacing w:after="0"/>
              <w:rPr>
                <w:sz w:val="10"/>
                <w:szCs w:val="10"/>
                <w:color w:val="auto"/>
              </w:rPr>
            </w:pPr>
          </w:p>
        </w:tc>
        <w:tc>
          <w:tcPr>
            <w:tcW w:w="2340" w:type="dxa"/>
            <w:vAlign w:val="bottom"/>
            <w:tcBorders>
              <w:top w:val="single" w:sz="8" w:color="0000EE"/>
            </w:tcBorders>
          </w:tcPr>
          <w:p>
            <w:pPr>
              <w:spacing w:after="0"/>
              <w:rPr>
                <w:sz w:val="10"/>
                <w:szCs w:val="10"/>
                <w:color w:val="auto"/>
              </w:rPr>
            </w:pPr>
          </w:p>
        </w:tc>
        <w:tc>
          <w:tcPr>
            <w:tcW w:w="15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2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4.20</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2"/>
              </w:rPr>
            </w:pPr>
            <w:hyperlink r:id="rId101">
              <w:r>
                <w:rPr>
                  <w:rFonts w:ascii="Arial" w:cs="Arial" w:eastAsia="Arial" w:hAnsi="Arial"/>
                  <w:sz w:val="12"/>
                  <w:szCs w:val="12"/>
                  <w:color w:val="0000EE"/>
                  <w:w w:val="92"/>
                </w:rPr>
                <w:t>Form of 5.75% Convertible Senior Subordinated Exchange Note due 2021 (incorporated by reference to Exhibit A of Exhibit 4.1 to MannKind’s Current Report on Form 8-K (File No. 000-50865), filed with the SEC on</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7"/>
              </w:rPr>
            </w:pPr>
            <w:hyperlink r:id="rId101">
              <w:r>
                <w:rPr>
                  <w:rFonts w:ascii="Arial" w:cs="Arial" w:eastAsia="Arial" w:hAnsi="Arial"/>
                  <w:sz w:val="12"/>
                  <w:szCs w:val="12"/>
                  <w:color w:val="0000EE"/>
                  <w:w w:val="87"/>
                </w:rPr>
                <w:t>October 30, 2017).</w:t>
              </w:r>
            </w:hyperlink>
          </w:p>
        </w:tc>
        <w:tc>
          <w:tcPr>
            <w:tcW w:w="9600" w:type="dxa"/>
            <w:vAlign w:val="bottom"/>
            <w:tcBorders>
              <w:top w:val="single" w:sz="8" w:color="0000EE"/>
            </w:tcBorders>
            <w:gridSpan w:val="2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4.21</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2"/>
              </w:rPr>
            </w:pPr>
            <w:hyperlink r:id="rId102">
              <w:r>
                <w:rPr>
                  <w:rFonts w:ascii="Arial" w:cs="Arial" w:eastAsia="Arial" w:hAnsi="Arial"/>
                  <w:sz w:val="12"/>
                  <w:szCs w:val="12"/>
                  <w:color w:val="0000EE"/>
                  <w:w w:val="92"/>
                </w:rPr>
                <w:t>Form of Warrant to Purchase Common Stock issued November 16, 2015 (incorporated by reference to Exhibit 4.17 to MannKind’s Annual Report on Form 10-K (File No. 000-50865), filed with the SEC on March 15,</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2"/>
              </w:rPr>
            </w:pPr>
            <w:hyperlink r:id="rId102">
              <w:r>
                <w:rPr>
                  <w:rFonts w:ascii="Arial" w:cs="Arial" w:eastAsia="Arial" w:hAnsi="Arial"/>
                  <w:sz w:val="12"/>
                  <w:szCs w:val="12"/>
                  <w:color w:val="0000EE"/>
                  <w:w w:val="82"/>
                </w:rPr>
                <w:t>2016).</w:t>
              </w:r>
            </w:hyperlink>
          </w:p>
        </w:tc>
        <w:tc>
          <w:tcPr>
            <w:tcW w:w="18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400" w:type="dxa"/>
            <w:vAlign w:val="bottom"/>
            <w:tcBorders>
              <w:top w:val="single" w:sz="8" w:color="0000EE"/>
            </w:tcBorders>
          </w:tcPr>
          <w:p>
            <w:pPr>
              <w:spacing w:after="0"/>
              <w:rPr>
                <w:sz w:val="10"/>
                <w:szCs w:val="10"/>
                <w:color w:val="auto"/>
              </w:rPr>
            </w:pPr>
          </w:p>
        </w:tc>
        <w:tc>
          <w:tcPr>
            <w:tcW w:w="2340" w:type="dxa"/>
            <w:vAlign w:val="bottom"/>
            <w:tcBorders>
              <w:top w:val="single" w:sz="8" w:color="0000EE"/>
            </w:tcBorders>
          </w:tcPr>
          <w:p>
            <w:pPr>
              <w:spacing w:after="0"/>
              <w:rPr>
                <w:sz w:val="10"/>
                <w:szCs w:val="10"/>
                <w:color w:val="auto"/>
              </w:rPr>
            </w:pPr>
          </w:p>
        </w:tc>
        <w:tc>
          <w:tcPr>
            <w:tcW w:w="15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2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4.22</w:t>
            </w:r>
          </w:p>
        </w:tc>
        <w:tc>
          <w:tcPr>
            <w:tcW w:w="120" w:type="dxa"/>
            <w:vAlign w:val="bottom"/>
          </w:tcPr>
          <w:p>
            <w:pPr>
              <w:spacing w:after="0"/>
              <w:rPr>
                <w:sz w:val="17"/>
                <w:szCs w:val="17"/>
                <w:color w:val="auto"/>
              </w:rPr>
            </w:pPr>
          </w:p>
        </w:tc>
        <w:tc>
          <w:tcPr>
            <w:tcW w:w="10380" w:type="dxa"/>
            <w:vAlign w:val="bottom"/>
            <w:tcBorders>
              <w:bottom w:val="single" w:sz="8" w:color="0000EE"/>
            </w:tcBorders>
            <w:gridSpan w:val="22"/>
          </w:tcPr>
          <w:p>
            <w:pPr>
              <w:spacing w:after="0"/>
              <w:rPr>
                <w:rFonts w:ascii="Arial" w:cs="Arial" w:eastAsia="Arial" w:hAnsi="Arial"/>
                <w:sz w:val="12"/>
                <w:szCs w:val="12"/>
                <w:color w:val="0000EE"/>
                <w:w w:val="91"/>
              </w:rPr>
            </w:pPr>
            <w:hyperlink r:id="rId103">
              <w:r>
                <w:rPr>
                  <w:rFonts w:ascii="Arial" w:cs="Arial" w:eastAsia="Arial" w:hAnsi="Arial"/>
                  <w:sz w:val="12"/>
                  <w:szCs w:val="12"/>
                  <w:color w:val="0000EE"/>
                  <w:w w:val="91"/>
                </w:rPr>
                <w:t>Amended and Restated Promissory Note made by MannKind in favor of The Mann Group LLC, dated March 11, 2018 (incorporated by reference to Exhibit 99.1 to MannKind’s Current Report on Form 8-K (File No.</w:t>
              </w:r>
            </w:hyperlink>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Borders>
              <w:bottom w:val="single" w:sz="8" w:color="0000EE"/>
            </w:tcBorders>
            <w:gridSpan w:val="6"/>
          </w:tcPr>
          <w:p>
            <w:pPr>
              <w:spacing w:after="0" w:line="124" w:lineRule="exact"/>
              <w:rPr>
                <w:rFonts w:ascii="Arial" w:cs="Arial" w:eastAsia="Arial" w:hAnsi="Arial"/>
                <w:sz w:val="12"/>
                <w:szCs w:val="12"/>
                <w:color w:val="0000EE"/>
                <w:w w:val="91"/>
              </w:rPr>
            </w:pPr>
            <w:hyperlink r:id="rId103">
              <w:r>
                <w:rPr>
                  <w:rFonts w:ascii="Arial" w:cs="Arial" w:eastAsia="Arial" w:hAnsi="Arial"/>
                  <w:sz w:val="12"/>
                  <w:szCs w:val="12"/>
                  <w:color w:val="0000EE"/>
                  <w:w w:val="91"/>
                </w:rPr>
                <w:t>000-50865), filed with the SEC on March 12, 2018).</w:t>
              </w:r>
            </w:hyperlink>
          </w:p>
        </w:tc>
        <w:tc>
          <w:tcPr>
            <w:tcW w:w="8040" w:type="dxa"/>
            <w:vAlign w:val="bottom"/>
            <w:gridSpan w:val="24"/>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4.23</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6"/>
          </w:tcPr>
          <w:p>
            <w:pPr>
              <w:spacing w:after="0"/>
              <w:rPr>
                <w:rFonts w:ascii="Arial" w:cs="Arial" w:eastAsia="Arial" w:hAnsi="Arial"/>
                <w:sz w:val="12"/>
                <w:szCs w:val="12"/>
                <w:color w:val="0000EE"/>
                <w:w w:val="92"/>
              </w:rPr>
            </w:pPr>
            <w:hyperlink r:id="rId104">
              <w:r>
                <w:rPr>
                  <w:rFonts w:ascii="Arial" w:cs="Arial" w:eastAsia="Arial" w:hAnsi="Arial"/>
                  <w:sz w:val="12"/>
                  <w:szCs w:val="12"/>
                  <w:color w:val="0000EE"/>
                  <w:w w:val="92"/>
                </w:rPr>
                <w:t>Form of Common Stock Purchase Warrant issued April 9, 2018 (incorporated by reference to Exhibit 4.1 to MannKind’s Current Report on Form 8-K (File No. 000-50865), filed with the SEC on April 6, 2018).</w:t>
              </w:r>
            </w:hyperlink>
          </w:p>
        </w:tc>
        <w:tc>
          <w:tcPr>
            <w:tcW w:w="4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4.24</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3"/>
              </w:rPr>
            </w:pPr>
            <w:hyperlink r:id="rId104">
              <w:r>
                <w:rPr>
                  <w:rFonts w:ascii="Arial" w:cs="Arial" w:eastAsia="Arial" w:hAnsi="Arial"/>
                  <w:sz w:val="12"/>
                  <w:szCs w:val="12"/>
                  <w:color w:val="0000EE"/>
                  <w:w w:val="93"/>
                </w:rPr>
                <w:t>Form of Common Stock Purchase Warrant issued December 26, 2018 (incorporated by reference to Exhibit 4.1 to MannKind’s Current Report on Form 8-K (File No. 000-50865), filed with the SEC on December 21,</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2"/>
              </w:rPr>
            </w:pPr>
            <w:hyperlink r:id="rId104">
              <w:r>
                <w:rPr>
                  <w:rFonts w:ascii="Arial" w:cs="Arial" w:eastAsia="Arial" w:hAnsi="Arial"/>
                  <w:sz w:val="12"/>
                  <w:szCs w:val="12"/>
                  <w:color w:val="0000EE"/>
                  <w:w w:val="82"/>
                </w:rPr>
                <w:t>2018).</w:t>
              </w:r>
            </w:hyperlink>
          </w:p>
        </w:tc>
        <w:tc>
          <w:tcPr>
            <w:tcW w:w="18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400" w:type="dxa"/>
            <w:vAlign w:val="bottom"/>
            <w:tcBorders>
              <w:top w:val="single" w:sz="8" w:color="0000EE"/>
            </w:tcBorders>
          </w:tcPr>
          <w:p>
            <w:pPr>
              <w:spacing w:after="0"/>
              <w:rPr>
                <w:sz w:val="10"/>
                <w:szCs w:val="10"/>
                <w:color w:val="auto"/>
              </w:rPr>
            </w:pPr>
          </w:p>
        </w:tc>
        <w:tc>
          <w:tcPr>
            <w:tcW w:w="2340" w:type="dxa"/>
            <w:vAlign w:val="bottom"/>
            <w:tcBorders>
              <w:top w:val="single" w:sz="8" w:color="0000EE"/>
            </w:tcBorders>
          </w:tcPr>
          <w:p>
            <w:pPr>
              <w:spacing w:after="0"/>
              <w:rPr>
                <w:sz w:val="10"/>
                <w:szCs w:val="10"/>
                <w:color w:val="auto"/>
              </w:rPr>
            </w:pPr>
          </w:p>
        </w:tc>
        <w:tc>
          <w:tcPr>
            <w:tcW w:w="15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2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7"/>
                <w:szCs w:val="17"/>
                <w:color w:val="auto"/>
              </w:rPr>
            </w:pPr>
          </w:p>
        </w:tc>
        <w:tc>
          <w:tcPr>
            <w:tcW w:w="10520" w:type="dxa"/>
            <w:vAlign w:val="bottom"/>
            <w:tcBorders>
              <w:bottom w:val="single" w:sz="8" w:color="0000EE"/>
            </w:tcBorders>
            <w:gridSpan w:val="28"/>
          </w:tcPr>
          <w:p>
            <w:pPr>
              <w:spacing w:after="0"/>
              <w:rPr>
                <w:rFonts w:ascii="Arial" w:cs="Arial" w:eastAsia="Arial" w:hAnsi="Arial"/>
                <w:sz w:val="12"/>
                <w:szCs w:val="12"/>
                <w:color w:val="0000EE"/>
                <w:w w:val="91"/>
              </w:rPr>
            </w:pPr>
            <w:hyperlink r:id="rId105">
              <w:r>
                <w:rPr>
                  <w:rFonts w:ascii="Arial" w:cs="Arial" w:eastAsia="Arial" w:hAnsi="Arial"/>
                  <w:sz w:val="12"/>
                  <w:szCs w:val="12"/>
                  <w:color w:val="0000EE"/>
                  <w:w w:val="91"/>
                </w:rPr>
                <w:t>Offer Letter Agreement, dated July 12, 2017, by and between MannKind and Steven B. Binder (incorporated by reference to Exhibit 99.1 to MannKind’s Current Report on Form 8-K (File No. 000-50865), filed with the</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0000EE"/>
            </w:tcBorders>
            <w:gridSpan w:val="5"/>
          </w:tcPr>
          <w:p>
            <w:pPr>
              <w:spacing w:after="0" w:line="124" w:lineRule="exact"/>
              <w:rPr>
                <w:rFonts w:ascii="Arial" w:cs="Arial" w:eastAsia="Arial" w:hAnsi="Arial"/>
                <w:sz w:val="12"/>
                <w:szCs w:val="12"/>
                <w:color w:val="0000EE"/>
                <w:w w:val="89"/>
              </w:rPr>
            </w:pPr>
            <w:hyperlink r:id="rId105">
              <w:r>
                <w:rPr>
                  <w:rFonts w:ascii="Arial" w:cs="Arial" w:eastAsia="Arial" w:hAnsi="Arial"/>
                  <w:sz w:val="12"/>
                  <w:szCs w:val="12"/>
                  <w:color w:val="0000EE"/>
                  <w:w w:val="89"/>
                </w:rPr>
                <w:t>SEC on July 17, 2017).</w:t>
              </w:r>
            </w:hyperlink>
          </w:p>
        </w:tc>
        <w:tc>
          <w:tcPr>
            <w:tcW w:w="9440" w:type="dxa"/>
            <w:vAlign w:val="bottom"/>
            <w:gridSpan w:val="25"/>
          </w:tcPr>
          <w:p>
            <w:pPr>
              <w:spacing w:after="0"/>
              <w:rPr>
                <w:sz w:val="10"/>
                <w:szCs w:val="10"/>
                <w:color w:val="auto"/>
              </w:rPr>
            </w:pPr>
          </w:p>
        </w:tc>
        <w:tc>
          <w:tcPr>
            <w:tcW w:w="20" w:type="dxa"/>
            <w:vAlign w:val="bottom"/>
          </w:tcPr>
          <w:p>
            <w:pPr>
              <w:spacing w:after="0"/>
              <w:rPr>
                <w:sz w:val="10"/>
                <w:szCs w:val="10"/>
                <w:color w:val="auto"/>
              </w:rPr>
            </w:pPr>
          </w:p>
        </w:tc>
      </w:tr>
      <w:tr>
        <w:trPr>
          <w:trHeight w:val="457"/>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40" w:type="dxa"/>
            <w:vAlign w:val="bottom"/>
            <w:gridSpan w:val="8"/>
          </w:tcPr>
          <w:p>
            <w:pPr>
              <w:ind w:left="476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234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1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55" w:right="1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15"/>
        </w:trPr>
        <w:tc>
          <w:tcPr>
            <w:tcW w:w="92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2"/>
        </w:trPr>
        <w:tc>
          <w:tcPr>
            <w:tcW w:w="920" w:type="dxa"/>
            <w:vAlign w:val="bottom"/>
            <w:gridSpan w:val="2"/>
          </w:tcPr>
          <w:p>
            <w:pPr>
              <w:spacing w:after="0" w:line="112" w:lineRule="exact"/>
              <w:rPr>
                <w:sz w:val="20"/>
                <w:szCs w:val="20"/>
                <w:color w:val="auto"/>
              </w:rPr>
            </w:pPr>
            <w:r>
              <w:rPr>
                <w:rFonts w:ascii="Arial" w:cs="Arial" w:eastAsia="Arial" w:hAnsi="Arial"/>
                <w:sz w:val="10"/>
                <w:szCs w:val="10"/>
                <w:color w:val="auto"/>
              </w:rPr>
              <w:t>Number</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920" w:type="dxa"/>
            <w:vAlign w:val="bottom"/>
            <w:gridSpan w:val="14"/>
          </w:tcPr>
          <w:p>
            <w:pPr>
              <w:ind w:left="1180"/>
              <w:spacing w:after="0" w:line="112" w:lineRule="exact"/>
              <w:rPr>
                <w:sz w:val="20"/>
                <w:szCs w:val="20"/>
                <w:color w:val="auto"/>
              </w:rPr>
            </w:pPr>
            <w:r>
              <w:rPr>
                <w:rFonts w:ascii="Arial" w:cs="Arial" w:eastAsia="Arial" w:hAnsi="Arial"/>
                <w:sz w:val="10"/>
                <w:szCs w:val="10"/>
                <w:color w:val="auto"/>
              </w:rPr>
              <w:t>Description of Document</w:t>
            </w:r>
          </w:p>
        </w:tc>
        <w:tc>
          <w:tcPr>
            <w:tcW w:w="20" w:type="dxa"/>
            <w:vAlign w:val="bottom"/>
          </w:tcPr>
          <w:p>
            <w:pPr>
              <w:spacing w:after="0"/>
              <w:rPr>
                <w:sz w:val="9"/>
                <w:szCs w:val="9"/>
                <w:color w:val="auto"/>
              </w:rPr>
            </w:pPr>
          </w:p>
        </w:tc>
      </w:tr>
      <w:tr>
        <w:trPr>
          <w:trHeight w:val="187"/>
        </w:trPr>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6"/>
                <w:szCs w:val="16"/>
                <w:color w:val="auto"/>
              </w:rPr>
            </w:pPr>
          </w:p>
        </w:tc>
        <w:tc>
          <w:tcPr>
            <w:tcW w:w="10540" w:type="dxa"/>
            <w:vAlign w:val="bottom"/>
            <w:tcBorders>
              <w:top w:val="single" w:sz="8" w:color="auto"/>
              <w:bottom w:val="single" w:sz="8" w:color="0000EE"/>
            </w:tcBorders>
            <w:gridSpan w:val="28"/>
          </w:tcPr>
          <w:p>
            <w:pPr>
              <w:spacing w:after="0"/>
              <w:rPr>
                <w:rFonts w:ascii="Arial" w:cs="Arial" w:eastAsia="Arial" w:hAnsi="Arial"/>
                <w:sz w:val="12"/>
                <w:szCs w:val="12"/>
                <w:color w:val="0000EE"/>
                <w:w w:val="91"/>
              </w:rPr>
            </w:pPr>
            <w:hyperlink r:id="rId108">
              <w:r>
                <w:rPr>
                  <w:rFonts w:ascii="Arial" w:cs="Arial" w:eastAsia="Arial" w:hAnsi="Arial"/>
                  <w:sz w:val="12"/>
                  <w:szCs w:val="12"/>
                  <w:color w:val="0000EE"/>
                  <w:w w:val="91"/>
                </w:rPr>
                <w:t>Offer Letter, dated March 9, 2016, by and between MannKind and Michael E. Castagna (incorporated by reference to Exhibit 10.38 to MannKind’s Annual Report on Form 10-K (File No. 000-50865), filed with the SEC</w:t>
              </w:r>
            </w:hyperlink>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r:id="rId108">
              <w:r>
                <w:rPr>
                  <w:rFonts w:ascii="Arial" w:cs="Arial" w:eastAsia="Arial" w:hAnsi="Arial"/>
                  <w:sz w:val="12"/>
                  <w:szCs w:val="12"/>
                  <w:color w:val="0000EE"/>
                  <w:w w:val="89"/>
                </w:rPr>
                <w:t>on March 15, 2016).</w:t>
              </w:r>
            </w:hyperlink>
          </w:p>
        </w:tc>
        <w:tc>
          <w:tcPr>
            <w:tcW w:w="9580" w:type="dxa"/>
            <w:vAlign w:val="bottom"/>
            <w:gridSpan w:val="25"/>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w:t>
            </w:r>
          </w:p>
        </w:tc>
        <w:tc>
          <w:tcPr>
            <w:tcW w:w="120" w:type="dxa"/>
            <w:vAlign w:val="bottom"/>
          </w:tcPr>
          <w:p>
            <w:pPr>
              <w:spacing w:after="0"/>
              <w:rPr>
                <w:sz w:val="17"/>
                <w:szCs w:val="17"/>
                <w:color w:val="auto"/>
              </w:rPr>
            </w:pPr>
          </w:p>
        </w:tc>
        <w:tc>
          <w:tcPr>
            <w:tcW w:w="10480" w:type="dxa"/>
            <w:vAlign w:val="bottom"/>
            <w:tcBorders>
              <w:bottom w:val="single" w:sz="8" w:color="0000EE"/>
            </w:tcBorders>
            <w:gridSpan w:val="26"/>
          </w:tcPr>
          <w:p>
            <w:pPr>
              <w:spacing w:after="0"/>
              <w:rPr>
                <w:rFonts w:ascii="Arial" w:cs="Arial" w:eastAsia="Arial" w:hAnsi="Arial"/>
                <w:sz w:val="12"/>
                <w:szCs w:val="12"/>
                <w:color w:val="0000EE"/>
                <w:w w:val="91"/>
              </w:rPr>
            </w:pPr>
            <w:hyperlink r:id="rId109">
              <w:r>
                <w:rPr>
                  <w:rFonts w:ascii="Arial" w:cs="Arial" w:eastAsia="Arial" w:hAnsi="Arial"/>
                  <w:sz w:val="12"/>
                  <w:szCs w:val="12"/>
                  <w:color w:val="0000EE"/>
                  <w:w w:val="91"/>
                </w:rPr>
                <w:t>Offer Letter dated December 22, 2016, by and between MannKind and Stuart Tross (incorporated by reference to Exhibit 10.36 to MannKind’s Annual Report on Form 10-K (File No. 000-50865), filed with the SEC on</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09">
              <w:r>
                <w:rPr>
                  <w:rFonts w:ascii="Arial" w:cs="Arial" w:eastAsia="Arial" w:hAnsi="Arial"/>
                  <w:sz w:val="12"/>
                  <w:szCs w:val="12"/>
                  <w:color w:val="0000EE"/>
                </w:rPr>
                <w:t>March 16, 2017).</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w:t>
            </w:r>
          </w:p>
        </w:tc>
        <w:tc>
          <w:tcPr>
            <w:tcW w:w="120" w:type="dxa"/>
            <w:vAlign w:val="bottom"/>
          </w:tcPr>
          <w:p>
            <w:pPr>
              <w:spacing w:after="0"/>
              <w:rPr>
                <w:sz w:val="17"/>
                <w:szCs w:val="17"/>
                <w:color w:val="auto"/>
              </w:rPr>
            </w:pPr>
          </w:p>
        </w:tc>
        <w:tc>
          <w:tcPr>
            <w:tcW w:w="10440" w:type="dxa"/>
            <w:vAlign w:val="bottom"/>
            <w:tcBorders>
              <w:bottom w:val="single" w:sz="8" w:color="0000EE"/>
            </w:tcBorders>
            <w:gridSpan w:val="25"/>
          </w:tcPr>
          <w:p>
            <w:pPr>
              <w:spacing w:after="0"/>
              <w:rPr>
                <w:rFonts w:ascii="Arial" w:cs="Arial" w:eastAsia="Arial" w:hAnsi="Arial"/>
                <w:sz w:val="12"/>
                <w:szCs w:val="12"/>
                <w:color w:val="0000EE"/>
                <w:w w:val="91"/>
              </w:rPr>
            </w:pPr>
            <w:hyperlink r:id="rId110">
              <w:r>
                <w:rPr>
                  <w:rFonts w:ascii="Arial" w:cs="Arial" w:eastAsia="Arial" w:hAnsi="Arial"/>
                  <w:sz w:val="12"/>
                  <w:szCs w:val="12"/>
                  <w:color w:val="0000EE"/>
                  <w:w w:val="91"/>
                </w:rPr>
                <w:t>Offer Letter dated February 17, 2017, by and between MannKind and Courtney Barton (incorporated by reference to Exhibit 10.4 to MannKind’s Annual Report on Form 10-K (File No. 000-50865), filed with the SEC</w:t>
              </w:r>
            </w:hyperlink>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bottom w:val="single" w:sz="8" w:color="0000EE"/>
            </w:tcBorders>
            <w:gridSpan w:val="6"/>
          </w:tcPr>
          <w:p>
            <w:pPr>
              <w:spacing w:after="0" w:line="124" w:lineRule="exact"/>
              <w:rPr>
                <w:rFonts w:ascii="Arial" w:cs="Arial" w:eastAsia="Arial" w:hAnsi="Arial"/>
                <w:sz w:val="12"/>
                <w:szCs w:val="12"/>
                <w:color w:val="0000EE"/>
                <w:w w:val="88"/>
              </w:rPr>
            </w:pPr>
            <w:hyperlink r:id="rId110">
              <w:r>
                <w:rPr>
                  <w:rFonts w:ascii="Arial" w:cs="Arial" w:eastAsia="Arial" w:hAnsi="Arial"/>
                  <w:sz w:val="12"/>
                  <w:szCs w:val="12"/>
                  <w:color w:val="0000EE"/>
                  <w:w w:val="88"/>
                </w:rPr>
                <w:t>on February 27, 2018).</w:t>
              </w:r>
            </w:hyperlink>
          </w:p>
        </w:tc>
        <w:tc>
          <w:tcPr>
            <w:tcW w:w="9460" w:type="dxa"/>
            <w:vAlign w:val="bottom"/>
            <w:gridSpan w:val="23"/>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7"/>
                <w:szCs w:val="17"/>
                <w:color w:val="auto"/>
              </w:rPr>
            </w:pPr>
          </w:p>
        </w:tc>
        <w:tc>
          <w:tcPr>
            <w:tcW w:w="10440" w:type="dxa"/>
            <w:vAlign w:val="bottom"/>
            <w:tcBorders>
              <w:bottom w:val="single" w:sz="8" w:color="0000EE"/>
            </w:tcBorders>
            <w:gridSpan w:val="25"/>
          </w:tcPr>
          <w:p>
            <w:pPr>
              <w:spacing w:after="0"/>
              <w:rPr>
                <w:rFonts w:ascii="Arial" w:cs="Arial" w:eastAsia="Arial" w:hAnsi="Arial"/>
                <w:sz w:val="12"/>
                <w:szCs w:val="12"/>
                <w:color w:val="0000EE"/>
                <w:w w:val="91"/>
              </w:rPr>
            </w:pPr>
            <w:hyperlink r:id="rId111">
              <w:r>
                <w:rPr>
                  <w:rFonts w:ascii="Arial" w:cs="Arial" w:eastAsia="Arial" w:hAnsi="Arial"/>
                  <w:sz w:val="12"/>
                  <w:szCs w:val="12"/>
                  <w:color w:val="0000EE"/>
                  <w:w w:val="91"/>
                </w:rPr>
                <w:t>Offer Letter dated June 28, 2017, by and between MannKind and Patrick McCauley (incorporated by reference to Exhibit 10.5 to MannKind’s Annual Report on Form 10-K (File No. 000-50865), filed with the SEC on</w:t>
              </w:r>
            </w:hyperlink>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11">
              <w:r>
                <w:rPr>
                  <w:rFonts w:ascii="Arial" w:cs="Arial" w:eastAsia="Arial" w:hAnsi="Arial"/>
                  <w:sz w:val="12"/>
                  <w:szCs w:val="12"/>
                  <w:color w:val="0000EE"/>
                </w:rPr>
                <w:t>February 27, 2018).</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3"/>
              </w:rPr>
            </w:pPr>
            <w:hyperlink r:id="rId112">
              <w:r>
                <w:rPr>
                  <w:rFonts w:ascii="Arial" w:cs="Arial" w:eastAsia="Arial" w:hAnsi="Arial"/>
                  <w:sz w:val="12"/>
                  <w:szCs w:val="12"/>
                  <w:color w:val="0000EE"/>
                  <w:w w:val="93"/>
                </w:rPr>
                <w:t>Offer Letter dated February 2, 2018, by and between MannKind and David Kendall (incorporated by reference to Exhibit 10.6 to MannKind’s Annual Report on Form 10-K (File No. 000-50865), filed with the SEC on</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20" w:type="dxa"/>
            <w:vAlign w:val="bottom"/>
            <w:tcBorders>
              <w:top w:val="single" w:sz="8" w:color="0000EE"/>
            </w:tcBorders>
            <w:gridSpan w:val="24"/>
          </w:tcPr>
          <w:p>
            <w:pPr>
              <w:spacing w:after="0" w:line="124" w:lineRule="exact"/>
              <w:rPr>
                <w:rFonts w:ascii="Arial" w:cs="Arial" w:eastAsia="Arial" w:hAnsi="Arial"/>
                <w:sz w:val="12"/>
                <w:szCs w:val="12"/>
                <w:color w:val="0000EE"/>
              </w:rPr>
            </w:pPr>
            <w:hyperlink r:id="rId112">
              <w:r>
                <w:rPr>
                  <w:rFonts w:ascii="Arial" w:cs="Arial" w:eastAsia="Arial" w:hAnsi="Arial"/>
                  <w:sz w:val="12"/>
                  <w:szCs w:val="12"/>
                  <w:color w:val="0000EE"/>
                </w:rPr>
                <w:t>February 27, 2018).</w:t>
              </w:r>
            </w:hyperlink>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rPr>
                <w:rFonts w:ascii="Arial" w:cs="Arial" w:eastAsia="Arial" w:hAnsi="Arial"/>
                <w:sz w:val="12"/>
                <w:szCs w:val="12"/>
                <w:color w:val="0000EE"/>
                <w:w w:val="91"/>
              </w:rPr>
            </w:pPr>
            <w:hyperlink r:id="rId113">
              <w:r>
                <w:rPr>
                  <w:rFonts w:ascii="Arial" w:cs="Arial" w:eastAsia="Arial" w:hAnsi="Arial"/>
                  <w:sz w:val="12"/>
                  <w:szCs w:val="12"/>
                  <w:color w:val="0000EE"/>
                  <w:w w:val="91"/>
                </w:rPr>
                <w:t>Executive Severance Agreement, dated October 10, 2007, between MannKind and David Thomson (incorporated by reference to Exhibit 99.1 to MannKind’s Current Report on Form 8-K (File No. 000-50865), as</w:t>
              </w:r>
            </w:hyperlink>
          </w:p>
        </w:tc>
        <w:tc>
          <w:tcPr>
            <w:tcW w:w="3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13">
              <w:r>
                <w:rPr>
                  <w:rFonts w:ascii="Arial" w:cs="Arial" w:eastAsia="Arial" w:hAnsi="Arial"/>
                  <w:sz w:val="12"/>
                  <w:szCs w:val="12"/>
                  <w:color w:val="0000EE"/>
                </w:rPr>
                <w:t>amended, filed with the SEC on October 17, 2007).</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10.8*</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5"/>
              </w:rPr>
            </w:pPr>
            <w:hyperlink r:id="rId114">
              <w:r>
                <w:rPr>
                  <w:rFonts w:ascii="Arial" w:cs="Arial" w:eastAsia="Arial" w:hAnsi="Arial"/>
                  <w:sz w:val="12"/>
                  <w:szCs w:val="12"/>
                  <w:color w:val="0000EE"/>
                  <w:w w:val="95"/>
                </w:rPr>
                <w:t>Form of Indemnity Agreement entered into between MannKind and each of its directors and officers (incorporated by reference to Exhibit 10.1 to MannKind’s Registration Statement on Form S-1 (File No. 333-</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10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r:id="rId114">
              <w:r>
                <w:rPr>
                  <w:rFonts w:ascii="Arial" w:cs="Arial" w:eastAsia="Arial" w:hAnsi="Arial"/>
                  <w:sz w:val="12"/>
                  <w:szCs w:val="12"/>
                  <w:color w:val="0000EE"/>
                </w:rPr>
                <w:t>115020)</w:t>
              </w:r>
              <w:r>
                <w:rPr>
                  <w:rFonts w:ascii="Arial" w:cs="Arial" w:eastAsia="Arial" w:hAnsi="Arial"/>
                  <w:sz w:val="12"/>
                  <w:szCs w:val="12"/>
                  <w:u w:val="single" w:color="auto"/>
                  <w:color w:val="0000EE"/>
                </w:rPr>
                <w:t>,filed</w:t>
              </w:r>
              <w:r>
                <w:rPr>
                  <w:rFonts w:ascii="Arial" w:cs="Arial" w:eastAsia="Arial" w:hAnsi="Arial"/>
                  <w:sz w:val="12"/>
                  <w:szCs w:val="12"/>
                  <w:color w:val="0000EE"/>
                </w:rPr>
                <w:t xml:space="preserve"> with the SEC on April 30, 2004, as amended).</w:t>
              </w:r>
            </w:hyperlink>
          </w:p>
        </w:tc>
        <w:tc>
          <w:tcPr>
            <w:tcW w:w="46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17"/>
                <w:szCs w:val="17"/>
                <w:color w:val="auto"/>
              </w:rPr>
            </w:pPr>
          </w:p>
        </w:tc>
        <w:tc>
          <w:tcPr>
            <w:tcW w:w="8980" w:type="dxa"/>
            <w:vAlign w:val="bottom"/>
            <w:tcBorders>
              <w:bottom w:val="single" w:sz="8" w:color="0000EE"/>
            </w:tcBorders>
            <w:gridSpan w:val="16"/>
          </w:tcPr>
          <w:p>
            <w:pPr>
              <w:spacing w:after="0"/>
              <w:rPr>
                <w:rFonts w:ascii="Arial" w:cs="Arial" w:eastAsia="Arial" w:hAnsi="Arial"/>
                <w:sz w:val="12"/>
                <w:szCs w:val="12"/>
                <w:color w:val="0000EE"/>
                <w:w w:val="92"/>
              </w:rPr>
            </w:pPr>
            <w:hyperlink r:id="rId115">
              <w:r>
                <w:rPr>
                  <w:rFonts w:ascii="Arial" w:cs="Arial" w:eastAsia="Arial" w:hAnsi="Arial"/>
                  <w:sz w:val="12"/>
                  <w:szCs w:val="12"/>
                  <w:color w:val="0000EE"/>
                  <w:w w:val="92"/>
                </w:rPr>
                <w:t>Form of Change of Control Agreement (incorporated by reference to Exhibit 99.1 to MannKind’s Current Report on Form 8-K (File No. 000-50865), filed with the SEC on April 7, 2017).</w:t>
              </w:r>
            </w:hyperlink>
          </w:p>
        </w:tc>
        <w:tc>
          <w:tcPr>
            <w:tcW w:w="158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10.10*</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rPr>
            </w:pPr>
            <w:hyperlink r:id="rId116">
              <w:r>
                <w:rPr>
                  <w:rFonts w:ascii="Arial" w:cs="Arial" w:eastAsia="Arial" w:hAnsi="Arial"/>
                  <w:sz w:val="12"/>
                  <w:szCs w:val="12"/>
                  <w:color w:val="0000EE"/>
                </w:rPr>
                <w:t>Description of Officers’ Incentive Program (incorporated by reference to Exhibit 10.5 to MannKind’s Annual Report on Form 10-K (File No. 000-50865), filed with the SEC on March 16, 2006).</w:t>
              </w:r>
            </w:hyperlink>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10.11*</w:t>
            </w:r>
          </w:p>
        </w:tc>
        <w:tc>
          <w:tcPr>
            <w:tcW w:w="1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7"/>
          </w:tcPr>
          <w:p>
            <w:pPr>
              <w:spacing w:after="0"/>
              <w:rPr>
                <w:rFonts w:ascii="Arial" w:cs="Arial" w:eastAsia="Arial" w:hAnsi="Arial"/>
                <w:sz w:val="12"/>
                <w:szCs w:val="12"/>
                <w:color w:val="0000EE"/>
                <w:w w:val="91"/>
              </w:rPr>
            </w:pPr>
            <w:hyperlink r:id="rId117">
              <w:r>
                <w:rPr>
                  <w:rFonts w:ascii="Arial" w:cs="Arial" w:eastAsia="Arial" w:hAnsi="Arial"/>
                  <w:sz w:val="12"/>
                  <w:szCs w:val="12"/>
                  <w:color w:val="0000EE"/>
                  <w:w w:val="91"/>
                </w:rPr>
                <w:t>2004 Equity Incentive Plan, as amended (incorporated by reference to Appendix A to MannKind’s proxy statement on Schedule 14A (File No. 000-50865), filed with the SEC on April 6, 2012).</w:t>
              </w:r>
            </w:hyperlink>
          </w:p>
        </w:tc>
        <w:tc>
          <w:tcPr>
            <w:tcW w:w="60" w:type="dxa"/>
            <w:vAlign w:val="bottom"/>
            <w:tcBorders>
              <w:top w:val="single" w:sz="8" w:color="0000EE"/>
            </w:tcBorders>
          </w:tcPr>
          <w:p>
            <w:pPr>
              <w:spacing w:after="0"/>
              <w:rPr>
                <w:sz w:val="17"/>
                <w:szCs w:val="17"/>
                <w:color w:val="auto"/>
              </w:rPr>
            </w:pPr>
          </w:p>
        </w:tc>
        <w:tc>
          <w:tcPr>
            <w:tcW w:w="12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10.12*</w:t>
            </w:r>
          </w:p>
        </w:tc>
        <w:tc>
          <w:tcPr>
            <w:tcW w:w="120" w:type="dxa"/>
            <w:vAlign w:val="bottom"/>
          </w:tcPr>
          <w:p>
            <w:pPr>
              <w:spacing w:after="0"/>
              <w:rPr>
                <w:sz w:val="17"/>
                <w:szCs w:val="17"/>
                <w:color w:val="auto"/>
              </w:rPr>
            </w:pPr>
          </w:p>
        </w:tc>
        <w:tc>
          <w:tcPr>
            <w:tcW w:w="10440" w:type="dxa"/>
            <w:vAlign w:val="bottom"/>
            <w:tcBorders>
              <w:bottom w:val="single" w:sz="8" w:color="0000EE"/>
            </w:tcBorders>
            <w:gridSpan w:val="25"/>
          </w:tcPr>
          <w:p>
            <w:pPr>
              <w:spacing w:after="0"/>
              <w:rPr>
                <w:rFonts w:ascii="Arial" w:cs="Arial" w:eastAsia="Arial" w:hAnsi="Arial"/>
                <w:sz w:val="12"/>
                <w:szCs w:val="12"/>
                <w:color w:val="0000EE"/>
                <w:w w:val="92"/>
              </w:rPr>
            </w:pPr>
            <w:hyperlink r:id="rId118">
              <w:r>
                <w:rPr>
                  <w:rFonts w:ascii="Arial" w:cs="Arial" w:eastAsia="Arial" w:hAnsi="Arial"/>
                  <w:sz w:val="12"/>
                  <w:szCs w:val="12"/>
                  <w:color w:val="0000EE"/>
                  <w:w w:val="92"/>
                </w:rPr>
                <w:t>Form of Stock Option Agreement under the 2004 Equity Incentive Plan (incorporated by reference to Exhibit 10.2 MannKind’s Registration Statement on Form S-1 (File No. 333-115020), originally filed with the SEC</w:t>
              </w:r>
            </w:hyperlink>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Borders>
              <w:bottom w:val="single" w:sz="8" w:color="0000EE"/>
            </w:tcBorders>
            <w:gridSpan w:val="7"/>
          </w:tcPr>
          <w:p>
            <w:pPr>
              <w:spacing w:after="0" w:line="124" w:lineRule="exact"/>
              <w:rPr>
                <w:rFonts w:ascii="Arial" w:cs="Arial" w:eastAsia="Arial" w:hAnsi="Arial"/>
                <w:sz w:val="12"/>
                <w:szCs w:val="12"/>
                <w:color w:val="0000EE"/>
                <w:w w:val="88"/>
              </w:rPr>
            </w:pPr>
            <w:hyperlink r:id="rId118">
              <w:r>
                <w:rPr>
                  <w:rFonts w:ascii="Arial" w:cs="Arial" w:eastAsia="Arial" w:hAnsi="Arial"/>
                  <w:sz w:val="12"/>
                  <w:szCs w:val="12"/>
                  <w:color w:val="0000EE"/>
                  <w:w w:val="88"/>
                </w:rPr>
                <w:t>on April 30, 2004, as amended).</w:t>
              </w:r>
            </w:hyperlink>
          </w:p>
        </w:tc>
        <w:tc>
          <w:tcPr>
            <w:tcW w:w="9020" w:type="dxa"/>
            <w:vAlign w:val="bottom"/>
            <w:gridSpan w:val="22"/>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10.13*</w:t>
            </w:r>
          </w:p>
        </w:tc>
        <w:tc>
          <w:tcPr>
            <w:tcW w:w="120" w:type="dxa"/>
            <w:vAlign w:val="bottom"/>
          </w:tcPr>
          <w:p>
            <w:pPr>
              <w:spacing w:after="0"/>
              <w:rPr>
                <w:sz w:val="17"/>
                <w:szCs w:val="17"/>
                <w:color w:val="auto"/>
              </w:rPr>
            </w:pPr>
          </w:p>
        </w:tc>
        <w:tc>
          <w:tcPr>
            <w:tcW w:w="10240" w:type="dxa"/>
            <w:vAlign w:val="bottom"/>
            <w:tcBorders>
              <w:bottom w:val="single" w:sz="8" w:color="0000EE"/>
            </w:tcBorders>
            <w:gridSpan w:val="22"/>
          </w:tcPr>
          <w:p>
            <w:pPr>
              <w:spacing w:after="0"/>
              <w:rPr>
                <w:rFonts w:ascii="Arial" w:cs="Arial" w:eastAsia="Arial" w:hAnsi="Arial"/>
                <w:sz w:val="12"/>
                <w:szCs w:val="12"/>
                <w:color w:val="0000EE"/>
                <w:w w:val="91"/>
              </w:rPr>
            </w:pPr>
            <w:hyperlink r:id="rId119">
              <w:r>
                <w:rPr>
                  <w:rFonts w:ascii="Arial" w:cs="Arial" w:eastAsia="Arial" w:hAnsi="Arial"/>
                  <w:sz w:val="12"/>
                  <w:szCs w:val="12"/>
                  <w:color w:val="0000EE"/>
                  <w:w w:val="91"/>
                </w:rPr>
                <w:t>Form of Phantom Stock Award Agreement under the 2004 Equity Incentive Plan (incorporated by reference to Exhibit 99.1 to MannKind’s Current Report on Form 8-K (File No. 000-50865), filed with the SEC on</w:t>
              </w:r>
            </w:hyperlink>
          </w:p>
        </w:tc>
        <w:tc>
          <w:tcPr>
            <w:tcW w:w="3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19">
              <w:r>
                <w:rPr>
                  <w:rFonts w:ascii="Arial" w:cs="Arial" w:eastAsia="Arial" w:hAnsi="Arial"/>
                  <w:sz w:val="12"/>
                  <w:szCs w:val="12"/>
                  <w:color w:val="0000EE"/>
                </w:rPr>
                <w:t>December 14, 2005).</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10.14*</w:t>
            </w:r>
          </w:p>
        </w:tc>
        <w:tc>
          <w:tcPr>
            <w:tcW w:w="120" w:type="dxa"/>
            <w:vAlign w:val="bottom"/>
          </w:tcPr>
          <w:p>
            <w:pPr>
              <w:spacing w:after="0"/>
              <w:rPr>
                <w:sz w:val="17"/>
                <w:szCs w:val="17"/>
                <w:color w:val="auto"/>
              </w:rPr>
            </w:pPr>
          </w:p>
        </w:tc>
        <w:tc>
          <w:tcPr>
            <w:tcW w:w="10400" w:type="dxa"/>
            <w:vAlign w:val="bottom"/>
            <w:tcBorders>
              <w:bottom w:val="single" w:sz="8" w:color="0000EE"/>
            </w:tcBorders>
            <w:gridSpan w:val="23"/>
          </w:tcPr>
          <w:p>
            <w:pPr>
              <w:spacing w:after="0"/>
              <w:rPr>
                <w:rFonts w:ascii="Arial" w:cs="Arial" w:eastAsia="Arial" w:hAnsi="Arial"/>
                <w:sz w:val="12"/>
                <w:szCs w:val="12"/>
                <w:color w:val="0000EE"/>
                <w:w w:val="92"/>
              </w:rPr>
            </w:pPr>
            <w:hyperlink r:id="rId120">
              <w:r>
                <w:rPr>
                  <w:rFonts w:ascii="Arial" w:cs="Arial" w:eastAsia="Arial" w:hAnsi="Arial"/>
                  <w:sz w:val="12"/>
                  <w:szCs w:val="12"/>
                  <w:color w:val="0000EE"/>
                  <w:w w:val="92"/>
                </w:rPr>
                <w:t>2004 Non-Employee Directors’ Stock Option Plan and form of stock option agreement there under (incorporated by reference to Exhibit 10.20 to MannKind’s Annual Report on Form 10-K (File No. 000-50865), filed</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20">
              <w:r>
                <w:rPr>
                  <w:rFonts w:ascii="Arial" w:cs="Arial" w:eastAsia="Arial" w:hAnsi="Arial"/>
                  <w:sz w:val="12"/>
                  <w:szCs w:val="12"/>
                  <w:color w:val="0000EE"/>
                </w:rPr>
                <w:t>with the SEC on March 16, 2006).</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10.15*</w:t>
            </w:r>
          </w:p>
        </w:tc>
        <w:tc>
          <w:tcPr>
            <w:tcW w:w="120" w:type="dxa"/>
            <w:vAlign w:val="bottom"/>
          </w:tcPr>
          <w:p>
            <w:pPr>
              <w:spacing w:after="0"/>
              <w:rPr>
                <w:sz w:val="17"/>
                <w:szCs w:val="17"/>
                <w:color w:val="auto"/>
              </w:rPr>
            </w:pPr>
          </w:p>
        </w:tc>
        <w:tc>
          <w:tcPr>
            <w:tcW w:w="2360" w:type="dxa"/>
            <w:vAlign w:val="bottom"/>
            <w:tcBorders>
              <w:bottom w:val="single" w:sz="8" w:color="0000EE"/>
            </w:tcBorders>
            <w:gridSpan w:val="9"/>
          </w:tcPr>
          <w:p>
            <w:pPr>
              <w:spacing w:after="0"/>
              <w:rPr>
                <w:rFonts w:ascii="Arial" w:cs="Arial" w:eastAsia="Arial" w:hAnsi="Arial"/>
                <w:sz w:val="12"/>
                <w:szCs w:val="12"/>
                <w:color w:val="0000EE"/>
                <w:w w:val="90"/>
              </w:rPr>
            </w:pPr>
            <w:hyperlink w:anchor="page103">
              <w:r>
                <w:rPr>
                  <w:rFonts w:ascii="Arial" w:cs="Arial" w:eastAsia="Arial" w:hAnsi="Arial"/>
                  <w:sz w:val="12"/>
                  <w:szCs w:val="12"/>
                  <w:color w:val="0000EE"/>
                  <w:w w:val="90"/>
                </w:rPr>
                <w:t>Non-Employee Director Compensation Program.</w:t>
              </w:r>
            </w:hyperlink>
          </w:p>
        </w:tc>
        <w:tc>
          <w:tcPr>
            <w:tcW w:w="820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10.16*</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2"/>
              </w:rPr>
            </w:pPr>
            <w:hyperlink r:id="rId121">
              <w:r>
                <w:rPr>
                  <w:rFonts w:ascii="Arial" w:cs="Arial" w:eastAsia="Arial" w:hAnsi="Arial"/>
                  <w:sz w:val="12"/>
                  <w:szCs w:val="12"/>
                  <w:color w:val="0000EE"/>
                  <w:w w:val="92"/>
                </w:rPr>
                <w:t>MannKind Corporation 2013 Equity Incentive Plan, as amended (incorporated by reference to Exhibit 10.1 to MannKind’s Quarterly Report on Form 10-Q (File No. 000-50865), filed with the SEC on August 9, 2016).</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80" w:type="dxa"/>
            <w:vAlign w:val="bottom"/>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20" w:type="dxa"/>
            <w:vAlign w:val="bottom"/>
            <w:gridSpan w:val="4"/>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10.17*</w:t>
            </w:r>
          </w:p>
        </w:tc>
        <w:tc>
          <w:tcPr>
            <w:tcW w:w="120" w:type="dxa"/>
            <w:vAlign w:val="bottom"/>
          </w:tcPr>
          <w:p>
            <w:pPr>
              <w:spacing w:after="0"/>
              <w:rPr>
                <w:sz w:val="17"/>
                <w:szCs w:val="17"/>
                <w:color w:val="auto"/>
              </w:rPr>
            </w:pPr>
          </w:p>
        </w:tc>
        <w:tc>
          <w:tcPr>
            <w:tcW w:w="10480" w:type="dxa"/>
            <w:vAlign w:val="bottom"/>
            <w:tcBorders>
              <w:bottom w:val="single" w:sz="8" w:color="0000EE"/>
            </w:tcBorders>
            <w:gridSpan w:val="26"/>
          </w:tcPr>
          <w:p>
            <w:pPr>
              <w:spacing w:after="0"/>
              <w:rPr>
                <w:rFonts w:ascii="Arial" w:cs="Arial" w:eastAsia="Arial" w:hAnsi="Arial"/>
                <w:sz w:val="12"/>
                <w:szCs w:val="12"/>
                <w:color w:val="0000EE"/>
                <w:w w:val="91"/>
              </w:rPr>
            </w:pPr>
            <w:hyperlink r:id="rId122">
              <w:r>
                <w:rPr>
                  <w:rFonts w:ascii="Arial" w:cs="Arial" w:eastAsia="Arial" w:hAnsi="Arial"/>
                  <w:sz w:val="12"/>
                  <w:szCs w:val="12"/>
                  <w:color w:val="0000EE"/>
                  <w:w w:val="91"/>
                </w:rPr>
                <w:t>Form of Stock Option Grant Notice, Stock Option Agreement and Notice of Exercise under the MannKind 2013 Equity Incentive Plan (incorporated by reference to Exhibit 99.2 to MannKind’s registration statement on</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22">
              <w:r>
                <w:rPr>
                  <w:rFonts w:ascii="Arial" w:cs="Arial" w:eastAsia="Arial" w:hAnsi="Arial"/>
                  <w:sz w:val="12"/>
                  <w:szCs w:val="12"/>
                  <w:color w:val="0000EE"/>
                </w:rPr>
                <w:t>Form S-8(File No. 000-188790), filed with the SEC on May 23, 2013).</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80" w:type="dxa"/>
            <w:vAlign w:val="bottom"/>
            <w:gridSpan w:val="11"/>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10.18*</w:t>
            </w:r>
          </w:p>
        </w:tc>
        <w:tc>
          <w:tcPr>
            <w:tcW w:w="120" w:type="dxa"/>
            <w:vAlign w:val="bottom"/>
          </w:tcPr>
          <w:p>
            <w:pPr>
              <w:spacing w:after="0"/>
              <w:rPr>
                <w:sz w:val="17"/>
                <w:szCs w:val="17"/>
                <w:color w:val="auto"/>
              </w:rPr>
            </w:pPr>
          </w:p>
        </w:tc>
        <w:tc>
          <w:tcPr>
            <w:tcW w:w="10520" w:type="dxa"/>
            <w:vAlign w:val="bottom"/>
            <w:tcBorders>
              <w:bottom w:val="single" w:sz="8" w:color="0000EE"/>
            </w:tcBorders>
            <w:gridSpan w:val="27"/>
          </w:tcPr>
          <w:p>
            <w:pPr>
              <w:spacing w:after="0"/>
              <w:rPr>
                <w:rFonts w:ascii="Arial" w:cs="Arial" w:eastAsia="Arial" w:hAnsi="Arial"/>
                <w:sz w:val="12"/>
                <w:szCs w:val="12"/>
                <w:color w:val="0000EE"/>
                <w:w w:val="91"/>
              </w:rPr>
            </w:pPr>
            <w:hyperlink r:id="rId123">
              <w:r>
                <w:rPr>
                  <w:rFonts w:ascii="Arial" w:cs="Arial" w:eastAsia="Arial" w:hAnsi="Arial"/>
                  <w:sz w:val="12"/>
                  <w:szCs w:val="12"/>
                  <w:color w:val="0000EE"/>
                  <w:w w:val="91"/>
                </w:rPr>
                <w:t>Form of Restricted Stock Unit Grant Notice and Restricted Stock Unit Award Agreement under the MannKind 2013 Equity Incentive Plan (incorporated by reference to Exhibit 99.3 to MannKind’s registration statement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23">
              <w:r>
                <w:rPr>
                  <w:rFonts w:ascii="Arial" w:cs="Arial" w:eastAsia="Arial" w:hAnsi="Arial"/>
                  <w:sz w:val="12"/>
                  <w:szCs w:val="12"/>
                  <w:color w:val="0000EE"/>
                </w:rPr>
                <w:t>on Form S-8 (File No. 000-188790), filed with the SEC on May 23, 2013).</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80" w:type="dxa"/>
            <w:vAlign w:val="bottom"/>
            <w:gridSpan w:val="1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10.19*</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8"/>
              </w:rPr>
            </w:pPr>
            <w:hyperlink r:id="rId124">
              <w:r>
                <w:rPr>
                  <w:rFonts w:ascii="Arial" w:cs="Arial" w:eastAsia="Arial" w:hAnsi="Arial"/>
                  <w:sz w:val="12"/>
                  <w:szCs w:val="12"/>
                  <w:color w:val="0000EE"/>
                  <w:w w:val="98"/>
                </w:rPr>
                <w:t>MannKind Corporation 2018 Equity Incentive Plan (incorporated by reference to Exhibit 99.1 to MannKind’s registration statement Form S-8 (File No. 333-226648), filed with the SEC on August 7, 2018).</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80" w:type="dxa"/>
            <w:vAlign w:val="bottom"/>
            <w:gridSpan w:val="1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20" w:type="dxa"/>
            <w:vAlign w:val="bottom"/>
            <w:gridSpan w:val="4"/>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10.20*</w:t>
            </w:r>
          </w:p>
        </w:tc>
        <w:tc>
          <w:tcPr>
            <w:tcW w:w="120" w:type="dxa"/>
            <w:vAlign w:val="bottom"/>
          </w:tcPr>
          <w:p>
            <w:pPr>
              <w:spacing w:after="0"/>
              <w:rPr>
                <w:sz w:val="17"/>
                <w:szCs w:val="17"/>
                <w:color w:val="auto"/>
              </w:rPr>
            </w:pPr>
          </w:p>
        </w:tc>
        <w:tc>
          <w:tcPr>
            <w:tcW w:w="10480" w:type="dxa"/>
            <w:vAlign w:val="bottom"/>
            <w:tcBorders>
              <w:bottom w:val="single" w:sz="8" w:color="0000EE"/>
            </w:tcBorders>
            <w:gridSpan w:val="26"/>
          </w:tcPr>
          <w:p>
            <w:pPr>
              <w:spacing w:after="0"/>
              <w:rPr>
                <w:rFonts w:ascii="Arial" w:cs="Arial" w:eastAsia="Arial" w:hAnsi="Arial"/>
                <w:sz w:val="12"/>
                <w:szCs w:val="12"/>
                <w:color w:val="0000EE"/>
                <w:w w:val="91"/>
              </w:rPr>
            </w:pPr>
            <w:hyperlink r:id="rId125">
              <w:r>
                <w:rPr>
                  <w:rFonts w:ascii="Arial" w:cs="Arial" w:eastAsia="Arial" w:hAnsi="Arial"/>
                  <w:sz w:val="12"/>
                  <w:szCs w:val="12"/>
                  <w:color w:val="0000EE"/>
                  <w:w w:val="91"/>
                </w:rPr>
                <w:t>Form of Stock Option Grant Notice, Stock Option Agreement and Notice of Exercise under the MannKind 2018 Equity Incentive Plan (incorporated by reference to Exhibit 99.2 to MannKind’s registration statement on</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125">
              <w:r>
                <w:rPr>
                  <w:rFonts w:ascii="Arial" w:cs="Arial" w:eastAsia="Arial" w:hAnsi="Arial"/>
                  <w:sz w:val="12"/>
                  <w:szCs w:val="12"/>
                  <w:color w:val="0000EE"/>
                  <w:w w:val="91"/>
                </w:rPr>
                <w:t>Form S-8 (File No. 333-226648), filed with the SEC on August 7, 2018).</w:t>
              </w:r>
            </w:hyperlink>
          </w:p>
        </w:tc>
        <w:tc>
          <w:tcPr>
            <w:tcW w:w="7060" w:type="dxa"/>
            <w:vAlign w:val="bottom"/>
            <w:gridSpan w:val="16"/>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10.21*</w:t>
            </w:r>
          </w:p>
        </w:tc>
        <w:tc>
          <w:tcPr>
            <w:tcW w:w="120" w:type="dxa"/>
            <w:vAlign w:val="bottom"/>
          </w:tcPr>
          <w:p>
            <w:pPr>
              <w:spacing w:after="0"/>
              <w:rPr>
                <w:sz w:val="17"/>
                <w:szCs w:val="17"/>
                <w:color w:val="auto"/>
              </w:rPr>
            </w:pPr>
          </w:p>
        </w:tc>
        <w:tc>
          <w:tcPr>
            <w:tcW w:w="10520" w:type="dxa"/>
            <w:vAlign w:val="bottom"/>
            <w:tcBorders>
              <w:bottom w:val="single" w:sz="8" w:color="0000EE"/>
            </w:tcBorders>
            <w:gridSpan w:val="27"/>
          </w:tcPr>
          <w:p>
            <w:pPr>
              <w:spacing w:after="0"/>
              <w:rPr>
                <w:rFonts w:ascii="Arial" w:cs="Arial" w:eastAsia="Arial" w:hAnsi="Arial"/>
                <w:sz w:val="12"/>
                <w:szCs w:val="12"/>
                <w:color w:val="0000EE"/>
                <w:w w:val="91"/>
              </w:rPr>
            </w:pPr>
            <w:hyperlink r:id="rId126">
              <w:r>
                <w:rPr>
                  <w:rFonts w:ascii="Arial" w:cs="Arial" w:eastAsia="Arial" w:hAnsi="Arial"/>
                  <w:sz w:val="12"/>
                  <w:szCs w:val="12"/>
                  <w:color w:val="0000EE"/>
                  <w:w w:val="91"/>
                </w:rPr>
                <w:t>Form of Restricted Stock Unit Grant Notice and Restricted Stock Unit Award Agreement under the MannKind 2018 Equity Incentive Plan (incorporated by reference to Exhibit 99.3 to MannKind’s registration statement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26">
              <w:r>
                <w:rPr>
                  <w:rFonts w:ascii="Arial" w:cs="Arial" w:eastAsia="Arial" w:hAnsi="Arial"/>
                  <w:sz w:val="12"/>
                  <w:szCs w:val="12"/>
                  <w:color w:val="0000EE"/>
                </w:rPr>
                <w:t>on Form S-8 (File No. 333-226648), filed with the SEC on August 7, 2018).</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20" w:type="dxa"/>
            <w:vAlign w:val="bottom"/>
            <w:gridSpan w:val="14"/>
            <w:shd w:val="clear" w:color="auto" w:fill="0000EE"/>
          </w:tcPr>
          <w:p>
            <w:pPr>
              <w:spacing w:after="0" w:line="20" w:lineRule="exact"/>
              <w:rPr>
                <w:sz w:val="1"/>
                <w:szCs w:val="1"/>
                <w:color w:val="auto"/>
              </w:rPr>
            </w:pPr>
          </w:p>
        </w:tc>
        <w:tc>
          <w:tcPr>
            <w:tcW w:w="684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10.22*</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1"/>
              </w:rPr>
            </w:pPr>
            <w:hyperlink r:id="rId124">
              <w:r>
                <w:rPr>
                  <w:rFonts w:ascii="Arial" w:cs="Arial" w:eastAsia="Arial" w:hAnsi="Arial"/>
                  <w:sz w:val="12"/>
                  <w:szCs w:val="12"/>
                  <w:color w:val="0000EE"/>
                  <w:w w:val="91"/>
                </w:rPr>
                <w:t>MannKind Corporation 2004 Employee Stock Purchase Plan, as amended (incorporated by reference to Exhibit 99.4 to MannKind’s registration statement Form S-8 (File No. 333-226648), filed with the SEC on August</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4"/>
              </w:rPr>
            </w:pPr>
            <w:hyperlink r:id="rId124">
              <w:r>
                <w:rPr>
                  <w:rFonts w:ascii="Arial" w:cs="Arial" w:eastAsia="Arial" w:hAnsi="Arial"/>
                  <w:sz w:val="12"/>
                  <w:szCs w:val="12"/>
                  <w:color w:val="0000EE"/>
                  <w:w w:val="84"/>
                </w:rPr>
                <w:t>7, 2018).</w:t>
              </w:r>
            </w:hyperlink>
          </w:p>
        </w:tc>
        <w:tc>
          <w:tcPr>
            <w:tcW w:w="4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3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457"/>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gridSpan w:val="16"/>
          </w:tcPr>
          <w:p>
            <w:pPr>
              <w:ind w:left="4760"/>
              <w:spacing w:after="0"/>
              <w:rPr>
                <w:sz w:val="20"/>
                <w:szCs w:val="20"/>
                <w:color w:val="auto"/>
              </w:rPr>
            </w:pPr>
            <w:r>
              <w:rPr>
                <w:rFonts w:ascii="Arial" w:cs="Arial" w:eastAsia="Arial" w:hAnsi="Arial"/>
                <w:sz w:val="12"/>
                <w:szCs w:val="12"/>
                <w:color w:val="auto"/>
              </w:rPr>
              <w:t>56</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53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55" w:right="1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15"/>
        </w:trPr>
        <w:tc>
          <w:tcPr>
            <w:tcW w:w="92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1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2"/>
        </w:trPr>
        <w:tc>
          <w:tcPr>
            <w:tcW w:w="920" w:type="dxa"/>
            <w:vAlign w:val="bottom"/>
            <w:gridSpan w:val="2"/>
          </w:tcPr>
          <w:p>
            <w:pPr>
              <w:spacing w:after="0" w:line="112" w:lineRule="exact"/>
              <w:rPr>
                <w:sz w:val="20"/>
                <w:szCs w:val="20"/>
                <w:color w:val="auto"/>
              </w:rPr>
            </w:pPr>
            <w:r>
              <w:rPr>
                <w:rFonts w:ascii="Arial" w:cs="Arial" w:eastAsia="Arial" w:hAnsi="Arial"/>
                <w:sz w:val="10"/>
                <w:szCs w:val="10"/>
                <w:color w:val="auto"/>
              </w:rPr>
              <w:t>Number</w:t>
            </w:r>
          </w:p>
        </w:tc>
        <w:tc>
          <w:tcPr>
            <w:tcW w:w="1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340" w:type="dxa"/>
            <w:vAlign w:val="bottom"/>
            <w:gridSpan w:val="26"/>
          </w:tcPr>
          <w:p>
            <w:pPr>
              <w:ind w:left="600"/>
              <w:spacing w:after="0" w:line="112" w:lineRule="exact"/>
              <w:rPr>
                <w:sz w:val="20"/>
                <w:szCs w:val="20"/>
                <w:color w:val="auto"/>
              </w:rPr>
            </w:pPr>
            <w:r>
              <w:rPr>
                <w:rFonts w:ascii="Arial" w:cs="Arial" w:eastAsia="Arial" w:hAnsi="Arial"/>
                <w:sz w:val="10"/>
                <w:szCs w:val="10"/>
                <w:color w:val="auto"/>
              </w:rPr>
              <w:t>Description of Document</w:t>
            </w:r>
          </w:p>
        </w:tc>
        <w:tc>
          <w:tcPr>
            <w:tcW w:w="20" w:type="dxa"/>
            <w:vAlign w:val="bottom"/>
          </w:tcPr>
          <w:p>
            <w:pPr>
              <w:spacing w:after="0"/>
              <w:rPr>
                <w:sz w:val="9"/>
                <w:szCs w:val="9"/>
                <w:color w:val="auto"/>
              </w:rPr>
            </w:pPr>
          </w:p>
        </w:tc>
      </w:tr>
      <w:tr>
        <w:trPr>
          <w:trHeight w:val="187"/>
        </w:trPr>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10.23*</w:t>
            </w:r>
          </w:p>
        </w:tc>
        <w:tc>
          <w:tcPr>
            <w:tcW w:w="120" w:type="dxa"/>
            <w:vAlign w:val="bottom"/>
          </w:tcPr>
          <w:p>
            <w:pPr>
              <w:spacing w:after="0"/>
              <w:rPr>
                <w:sz w:val="16"/>
                <w:szCs w:val="16"/>
                <w:color w:val="auto"/>
              </w:rPr>
            </w:pPr>
          </w:p>
        </w:tc>
        <w:tc>
          <w:tcPr>
            <w:tcW w:w="10560" w:type="dxa"/>
            <w:vAlign w:val="bottom"/>
            <w:tcBorders>
              <w:top w:val="single" w:sz="8" w:color="auto"/>
            </w:tcBorders>
            <w:gridSpan w:val="29"/>
          </w:tcPr>
          <w:p>
            <w:pPr>
              <w:spacing w:after="0"/>
              <w:rPr>
                <w:rFonts w:ascii="Arial" w:cs="Arial" w:eastAsia="Arial" w:hAnsi="Arial"/>
                <w:sz w:val="12"/>
                <w:szCs w:val="12"/>
                <w:color w:val="0000EE"/>
                <w:w w:val="95"/>
              </w:rPr>
            </w:pPr>
            <w:hyperlink r:id="rId124">
              <w:r>
                <w:rPr>
                  <w:rFonts w:ascii="Arial" w:cs="Arial" w:eastAsia="Arial" w:hAnsi="Arial"/>
                  <w:sz w:val="12"/>
                  <w:szCs w:val="12"/>
                  <w:color w:val="0000EE"/>
                  <w:w w:val="95"/>
                </w:rPr>
                <w:t>MannKind Corporation Market Price Stock Purchase Plan (incorporated by reference to Exhibit 99.1 to MannKind’s registration statement Form S-8 (File No. 333-225428), filed with the SEC on June 5, 2018).</w:t>
              </w:r>
            </w:hyperlink>
          </w:p>
        </w:tc>
        <w:tc>
          <w:tcPr>
            <w:tcW w:w="20" w:type="dxa"/>
            <w:vAlign w:val="bottom"/>
          </w:tcPr>
          <w:p>
            <w:pPr>
              <w:spacing w:after="0"/>
              <w:rPr>
                <w:sz w:val="16"/>
                <w:szCs w:val="16"/>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10.24</w:t>
            </w:r>
          </w:p>
        </w:tc>
        <w:tc>
          <w:tcPr>
            <w:tcW w:w="12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4"/>
          </w:tcPr>
          <w:p>
            <w:pPr>
              <w:spacing w:after="0"/>
              <w:rPr>
                <w:rFonts w:ascii="Arial" w:cs="Arial" w:eastAsia="Arial" w:hAnsi="Arial"/>
                <w:sz w:val="12"/>
                <w:szCs w:val="12"/>
                <w:color w:val="0000EE"/>
                <w:w w:val="91"/>
              </w:rPr>
            </w:pPr>
            <w:hyperlink r:id="rId129">
              <w:r>
                <w:rPr>
                  <w:rFonts w:ascii="Arial" w:cs="Arial" w:eastAsia="Arial" w:hAnsi="Arial"/>
                  <w:sz w:val="12"/>
                  <w:szCs w:val="12"/>
                  <w:color w:val="0000EE"/>
                  <w:w w:val="91"/>
                </w:rPr>
                <w:t>Form of Exchange Agreement (incorporated by reference to Exhibit 99.1 to MannKind’s Current Report on Form 8-K (File No. 000-50865), filed with the SEC on October 2, 2017).</w:t>
              </w:r>
            </w:hyperlink>
          </w:p>
        </w:tc>
        <w:tc>
          <w:tcPr>
            <w:tcW w:w="1360" w:type="dxa"/>
            <w:vAlign w:val="bottom"/>
            <w:tcBorders>
              <w:top w:val="single" w:sz="8" w:color="0000EE"/>
            </w:tcBorders>
            <w:gridSpan w:val="2"/>
          </w:tcPr>
          <w:p>
            <w:pPr>
              <w:spacing w:after="0"/>
              <w:rPr>
                <w:sz w:val="17"/>
                <w:szCs w:val="17"/>
                <w:color w:val="auto"/>
              </w:rPr>
            </w:pPr>
          </w:p>
        </w:tc>
        <w:tc>
          <w:tcPr>
            <w:tcW w:w="50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10.25</w:t>
            </w:r>
          </w:p>
        </w:tc>
        <w:tc>
          <w:tcPr>
            <w:tcW w:w="120" w:type="dxa"/>
            <w:vAlign w:val="bottom"/>
          </w:tcPr>
          <w:p>
            <w:pPr>
              <w:spacing w:after="0"/>
              <w:rPr>
                <w:sz w:val="17"/>
                <w:szCs w:val="17"/>
                <w:color w:val="auto"/>
              </w:rPr>
            </w:pPr>
          </w:p>
        </w:tc>
        <w:tc>
          <w:tcPr>
            <w:tcW w:w="10420" w:type="dxa"/>
            <w:vAlign w:val="bottom"/>
            <w:tcBorders>
              <w:bottom w:val="single" w:sz="8" w:color="0000EE"/>
            </w:tcBorders>
            <w:gridSpan w:val="24"/>
          </w:tcPr>
          <w:p>
            <w:pPr>
              <w:spacing w:after="0"/>
              <w:rPr>
                <w:rFonts w:ascii="Arial" w:cs="Arial" w:eastAsia="Arial" w:hAnsi="Arial"/>
                <w:sz w:val="12"/>
                <w:szCs w:val="12"/>
                <w:color w:val="0000EE"/>
                <w:w w:val="91"/>
              </w:rPr>
            </w:pPr>
            <w:hyperlink r:id="rId130">
              <w:r>
                <w:rPr>
                  <w:rFonts w:ascii="Arial" w:cs="Arial" w:eastAsia="Arial" w:hAnsi="Arial"/>
                  <w:sz w:val="12"/>
                  <w:szCs w:val="12"/>
                  <w:color w:val="0000EE"/>
                  <w:w w:val="91"/>
                </w:rPr>
                <w:t>Form of Securities Purchase Agreement, dated October 10, 2017 (incorporated by reference to Exhibit 99.1 to MannKind’s Current Report on Form 8-K (File No. 000-50865), filed with the SEC on October 11, 2017).</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10.26</w:t>
            </w:r>
          </w:p>
        </w:tc>
        <w:tc>
          <w:tcPr>
            <w:tcW w:w="120" w:type="dxa"/>
            <w:vAlign w:val="bottom"/>
          </w:tcPr>
          <w:p>
            <w:pPr>
              <w:spacing w:after="0"/>
              <w:rPr>
                <w:sz w:val="17"/>
                <w:szCs w:val="17"/>
                <w:color w:val="auto"/>
              </w:rPr>
            </w:pPr>
          </w:p>
        </w:tc>
        <w:tc>
          <w:tcPr>
            <w:tcW w:w="10020" w:type="dxa"/>
            <w:vAlign w:val="bottom"/>
            <w:tcBorders>
              <w:bottom w:val="single" w:sz="8" w:color="0000EE"/>
            </w:tcBorders>
            <w:gridSpan w:val="15"/>
          </w:tcPr>
          <w:p>
            <w:pPr>
              <w:spacing w:after="0"/>
              <w:rPr>
                <w:rFonts w:ascii="Arial" w:cs="Arial" w:eastAsia="Arial" w:hAnsi="Arial"/>
                <w:sz w:val="12"/>
                <w:szCs w:val="12"/>
                <w:color w:val="0000EE"/>
                <w:w w:val="92"/>
              </w:rPr>
            </w:pPr>
            <w:hyperlink r:id="rId131">
              <w:r>
                <w:rPr>
                  <w:rFonts w:ascii="Arial" w:cs="Arial" w:eastAsia="Arial" w:hAnsi="Arial"/>
                  <w:sz w:val="12"/>
                  <w:szCs w:val="12"/>
                  <w:color w:val="0000EE"/>
                  <w:w w:val="92"/>
                </w:rPr>
                <w:t>Form of Securities Purchase Agreement, dated April 5, 2018 (incorporated by reference to Exhibit 99.1 to MannKind’s Current Report on Form 8-K (File No. 000-50865), filed with the SEC on April 6, 2018).</w:t>
              </w:r>
            </w:hyperlink>
          </w:p>
        </w:tc>
        <w:tc>
          <w:tcPr>
            <w:tcW w:w="5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10.27</w:t>
            </w:r>
          </w:p>
        </w:tc>
        <w:tc>
          <w:tcPr>
            <w:tcW w:w="120" w:type="dxa"/>
            <w:vAlign w:val="bottom"/>
          </w:tcPr>
          <w:p>
            <w:pPr>
              <w:spacing w:after="0"/>
              <w:rPr>
                <w:sz w:val="17"/>
                <w:szCs w:val="17"/>
                <w:color w:val="auto"/>
              </w:rPr>
            </w:pPr>
          </w:p>
        </w:tc>
        <w:tc>
          <w:tcPr>
            <w:tcW w:w="10400" w:type="dxa"/>
            <w:vAlign w:val="bottom"/>
            <w:tcBorders>
              <w:bottom w:val="single" w:sz="8" w:color="0000EE"/>
            </w:tcBorders>
            <w:gridSpan w:val="23"/>
          </w:tcPr>
          <w:p>
            <w:pPr>
              <w:spacing w:after="0"/>
              <w:rPr>
                <w:rFonts w:ascii="Arial" w:cs="Arial" w:eastAsia="Arial" w:hAnsi="Arial"/>
                <w:sz w:val="12"/>
                <w:szCs w:val="12"/>
                <w:color w:val="0000EE"/>
                <w:w w:val="92"/>
              </w:rPr>
            </w:pPr>
            <w:hyperlink r:id="rId132">
              <w:r>
                <w:rPr>
                  <w:rFonts w:ascii="Arial" w:cs="Arial" w:eastAsia="Arial" w:hAnsi="Arial"/>
                  <w:sz w:val="12"/>
                  <w:szCs w:val="12"/>
                  <w:color w:val="0000EE"/>
                  <w:w w:val="92"/>
                </w:rPr>
                <w:t>Engagement Letter, dated October 10, 2017, by and between MannKind and H.C. Wainwright &amp; Co. LLC (incorporated by reference to Exhibit 99.2 to MannKind’s Current Report on Form 8-K (File No. 000-50865),</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32">
              <w:r>
                <w:rPr>
                  <w:rFonts w:ascii="Arial" w:cs="Arial" w:eastAsia="Arial" w:hAnsi="Arial"/>
                  <w:sz w:val="12"/>
                  <w:szCs w:val="12"/>
                  <w:color w:val="0000EE"/>
                </w:rPr>
                <w:t>filed with the SEC on October 11, 2017).</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10.28</w:t>
            </w:r>
          </w:p>
        </w:tc>
        <w:tc>
          <w:tcPr>
            <w:tcW w:w="120" w:type="dxa"/>
            <w:vAlign w:val="bottom"/>
          </w:tcPr>
          <w:p>
            <w:pPr>
              <w:spacing w:after="0"/>
              <w:rPr>
                <w:sz w:val="17"/>
                <w:szCs w:val="17"/>
                <w:color w:val="auto"/>
              </w:rPr>
            </w:pPr>
          </w:p>
        </w:tc>
        <w:tc>
          <w:tcPr>
            <w:tcW w:w="10380" w:type="dxa"/>
            <w:vAlign w:val="bottom"/>
            <w:tcBorders>
              <w:bottom w:val="single" w:sz="8" w:color="0000EE"/>
            </w:tcBorders>
            <w:gridSpan w:val="22"/>
          </w:tcPr>
          <w:p>
            <w:pPr>
              <w:spacing w:after="0"/>
              <w:rPr>
                <w:rFonts w:ascii="Arial" w:cs="Arial" w:eastAsia="Arial" w:hAnsi="Arial"/>
                <w:sz w:val="12"/>
                <w:szCs w:val="12"/>
                <w:color w:val="0000EE"/>
                <w:w w:val="91"/>
              </w:rPr>
            </w:pPr>
            <w:hyperlink r:id="rId103">
              <w:r>
                <w:rPr>
                  <w:rFonts w:ascii="Arial" w:cs="Arial" w:eastAsia="Arial" w:hAnsi="Arial"/>
                  <w:sz w:val="12"/>
                  <w:szCs w:val="12"/>
                  <w:color w:val="0000EE"/>
                  <w:w w:val="91"/>
                </w:rPr>
                <w:t>Amended and Restated Promissory Note made by MannKind in favor of The Mann Group LLC, dated March 11, 2018 (incorporated by reference to Exhibit 99.1 to MannKind’s Current Report on Form 8-K (File No.</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29"/>
          </w:tcPr>
          <w:p>
            <w:pPr>
              <w:spacing w:after="0" w:line="124" w:lineRule="exact"/>
              <w:rPr>
                <w:rFonts w:ascii="Arial" w:cs="Arial" w:eastAsia="Arial" w:hAnsi="Arial"/>
                <w:sz w:val="12"/>
                <w:szCs w:val="12"/>
                <w:color w:val="0000EE"/>
              </w:rPr>
            </w:pPr>
            <w:hyperlink r:id="rId103">
              <w:r>
                <w:rPr>
                  <w:rFonts w:ascii="Arial" w:cs="Arial" w:eastAsia="Arial" w:hAnsi="Arial"/>
                  <w:sz w:val="12"/>
                  <w:szCs w:val="12"/>
                  <w:color w:val="0000EE"/>
                </w:rPr>
                <w:t>000-50865), filed with the SEC on March 12, 2018)</w:t>
              </w:r>
            </w:hyperlink>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10.29</w:t>
            </w:r>
          </w:p>
        </w:tc>
        <w:tc>
          <w:tcPr>
            <w:tcW w:w="120" w:type="dxa"/>
            <w:vAlign w:val="bottom"/>
          </w:tcPr>
          <w:p>
            <w:pPr>
              <w:spacing w:after="0"/>
              <w:rPr>
                <w:sz w:val="17"/>
                <w:szCs w:val="17"/>
                <w:color w:val="auto"/>
              </w:rPr>
            </w:pPr>
          </w:p>
        </w:tc>
        <w:tc>
          <w:tcPr>
            <w:tcW w:w="10540" w:type="dxa"/>
            <w:vAlign w:val="bottom"/>
            <w:tcBorders>
              <w:bottom w:val="single" w:sz="8" w:color="0000EE"/>
            </w:tcBorders>
            <w:gridSpan w:val="28"/>
          </w:tcPr>
          <w:p>
            <w:pPr>
              <w:spacing w:after="0"/>
              <w:rPr>
                <w:rFonts w:ascii="Arial" w:cs="Arial" w:eastAsia="Arial" w:hAnsi="Arial"/>
                <w:sz w:val="12"/>
                <w:szCs w:val="12"/>
                <w:color w:val="0000EE"/>
                <w:w w:val="91"/>
              </w:rPr>
            </w:pPr>
            <w:hyperlink r:id="rId90">
              <w:r>
                <w:rPr>
                  <w:rFonts w:ascii="Arial" w:cs="Arial" w:eastAsia="Arial" w:hAnsi="Arial"/>
                  <w:sz w:val="12"/>
                  <w:szCs w:val="12"/>
                  <w:color w:val="0000EE"/>
                  <w:w w:val="91"/>
                </w:rPr>
                <w:t>Facility Agreement, dated as of July 1, 2013, by and among MannKind, Deerfield Private Design Fund II, L.P. and Deerfield Private Design International II, L.P. (incorporated by reference to Exhibit 99.1 to MannKind’s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2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r:id="rId90">
              <w:r>
                <w:rPr>
                  <w:rFonts w:ascii="Arial" w:cs="Arial" w:eastAsia="Arial" w:hAnsi="Arial"/>
                  <w:sz w:val="12"/>
                  <w:szCs w:val="12"/>
                  <w:color w:val="0000EE"/>
                  <w:w w:val="92"/>
                </w:rPr>
                <w:t>Current Report on Form 8-K (File No. 000-50865), filed with the SEC on July 1, 2013).</w:t>
              </w:r>
            </w:hyperlink>
          </w:p>
        </w:tc>
        <w:tc>
          <w:tcPr>
            <w:tcW w:w="6340" w:type="dxa"/>
            <w:vAlign w:val="bottom"/>
            <w:gridSpan w:val="26"/>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10.30</w:t>
            </w:r>
          </w:p>
        </w:tc>
        <w:tc>
          <w:tcPr>
            <w:tcW w:w="120" w:type="dxa"/>
            <w:vAlign w:val="bottom"/>
          </w:tcPr>
          <w:p>
            <w:pPr>
              <w:spacing w:after="0"/>
              <w:rPr>
                <w:sz w:val="17"/>
                <w:szCs w:val="17"/>
                <w:color w:val="auto"/>
              </w:rPr>
            </w:pPr>
          </w:p>
        </w:tc>
        <w:tc>
          <w:tcPr>
            <w:tcW w:w="10560" w:type="dxa"/>
            <w:vAlign w:val="bottom"/>
            <w:tcBorders>
              <w:bottom w:val="single" w:sz="8" w:color="0000EE"/>
            </w:tcBorders>
            <w:gridSpan w:val="29"/>
          </w:tcPr>
          <w:p>
            <w:pPr>
              <w:spacing w:after="0"/>
              <w:rPr>
                <w:rFonts w:ascii="Arial" w:cs="Arial" w:eastAsia="Arial" w:hAnsi="Arial"/>
                <w:sz w:val="12"/>
                <w:szCs w:val="12"/>
                <w:color w:val="0000EE"/>
                <w:w w:val="91"/>
              </w:rPr>
            </w:pPr>
            <w:hyperlink r:id="rId91">
              <w:r>
                <w:rPr>
                  <w:rFonts w:ascii="Arial" w:cs="Arial" w:eastAsia="Arial" w:hAnsi="Arial"/>
                  <w:sz w:val="12"/>
                  <w:szCs w:val="12"/>
                  <w:color w:val="0000EE"/>
                  <w:w w:val="91"/>
                </w:rPr>
                <w:t>First Amendment to Facility Agreement and Registration Rights Agreement, dated as of February 28, 2014, by and among MannKind, Deerfield Private Design Fund II, L.P., and Deerfield Private Design International II,</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60" w:type="dxa"/>
            <w:vAlign w:val="bottom"/>
            <w:tcBorders>
              <w:bottom w:val="single" w:sz="8" w:color="0000EE"/>
            </w:tcBorders>
            <w:gridSpan w:val="12"/>
          </w:tcPr>
          <w:p>
            <w:pPr>
              <w:spacing w:after="0" w:line="124" w:lineRule="exact"/>
              <w:rPr>
                <w:rFonts w:ascii="Arial" w:cs="Arial" w:eastAsia="Arial" w:hAnsi="Arial"/>
                <w:sz w:val="12"/>
                <w:szCs w:val="12"/>
                <w:color w:val="0000EE"/>
                <w:w w:val="92"/>
              </w:rPr>
            </w:pPr>
            <w:hyperlink r:id="rId91">
              <w:r>
                <w:rPr>
                  <w:rFonts w:ascii="Arial" w:cs="Arial" w:eastAsia="Arial" w:hAnsi="Arial"/>
                  <w:sz w:val="12"/>
                  <w:szCs w:val="12"/>
                  <w:color w:val="0000EE"/>
                  <w:w w:val="92"/>
                </w:rPr>
                <w:t>L.P. (incorporated by reference to Exhibit 10.39 to MannKind’s Annual Report on Form 10-K (File No. 000-50865), filed with the SEC on March 3, 2014).</w:t>
              </w:r>
            </w:hyperlink>
          </w:p>
        </w:tc>
        <w:tc>
          <w:tcPr>
            <w:tcW w:w="310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10.31</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2"/>
              </w:rPr>
            </w:pPr>
            <w:hyperlink r:id="rId92">
              <w:r>
                <w:rPr>
                  <w:rFonts w:ascii="Arial" w:cs="Arial" w:eastAsia="Arial" w:hAnsi="Arial"/>
                  <w:sz w:val="12"/>
                  <w:szCs w:val="12"/>
                  <w:color w:val="0000EE"/>
                  <w:w w:val="92"/>
                </w:rPr>
                <w:t>Second Amendment to Facility Agreement and Registration Rights Agreement, dated as of August 11, 2014, by and among MannKind, Deerfield Private Design Fund II, L.P. and Deerfield Private Design International</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900" w:type="dxa"/>
            <w:vAlign w:val="bottom"/>
            <w:tcBorders>
              <w:top w:val="single" w:sz="8" w:color="0000EE"/>
              <w:bottom w:val="single" w:sz="8" w:color="0000EE"/>
            </w:tcBorders>
            <w:gridSpan w:val="13"/>
          </w:tcPr>
          <w:p>
            <w:pPr>
              <w:spacing w:after="0" w:line="124" w:lineRule="exact"/>
              <w:rPr>
                <w:rFonts w:ascii="Arial" w:cs="Arial" w:eastAsia="Arial" w:hAnsi="Arial"/>
                <w:sz w:val="12"/>
                <w:szCs w:val="12"/>
                <w:color w:val="0000EE"/>
                <w:w w:val="92"/>
              </w:rPr>
            </w:pPr>
            <w:hyperlink r:id="rId92">
              <w:r>
                <w:rPr>
                  <w:rFonts w:ascii="Arial" w:cs="Arial" w:eastAsia="Arial" w:hAnsi="Arial"/>
                  <w:sz w:val="12"/>
                  <w:szCs w:val="12"/>
                  <w:color w:val="0000EE"/>
                  <w:w w:val="92"/>
                </w:rPr>
                <w:t>II, L.P. (incorporated by reference to Exhibit 4.14 to MannKind’s Quarterly Report on Form 10-Q (File No. 000-50865), filed with the SEC on November 10, 2014).</w:t>
              </w:r>
            </w:hyperlink>
          </w:p>
        </w:tc>
        <w:tc>
          <w:tcPr>
            <w:tcW w:w="2520" w:type="dxa"/>
            <w:vAlign w:val="bottom"/>
            <w:tcBorders>
              <w:top w:val="single" w:sz="8" w:color="0000EE"/>
            </w:tcBorders>
            <w:gridSpan w:val="11"/>
          </w:tcPr>
          <w:p>
            <w:pPr>
              <w:spacing w:after="0"/>
              <w:rPr>
                <w:sz w:val="10"/>
                <w:szCs w:val="10"/>
                <w:color w:val="auto"/>
              </w:rPr>
            </w:pPr>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10.32</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5"/>
              </w:rPr>
            </w:pPr>
            <w:hyperlink r:id="rId93">
              <w:r>
                <w:rPr>
                  <w:rFonts w:ascii="Arial" w:cs="Arial" w:eastAsia="Arial" w:hAnsi="Arial"/>
                  <w:sz w:val="12"/>
                  <w:szCs w:val="12"/>
                  <w:color w:val="0000EE"/>
                  <w:w w:val="95"/>
                </w:rPr>
                <w:t>Exchange and Third Amendment to Facility Agreement, dated June 29, 2017 by and among MannKind, MannKind LLC, Deerfield Private Design Fund II, L.P. and Deerfield Private Design International II, L.P.</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2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2"/>
              </w:rPr>
            </w:pPr>
            <w:hyperlink r:id="rId93">
              <w:r>
                <w:rPr>
                  <w:rFonts w:ascii="Arial" w:cs="Arial" w:eastAsia="Arial" w:hAnsi="Arial"/>
                  <w:sz w:val="12"/>
                  <w:szCs w:val="12"/>
                  <w:color w:val="0000EE"/>
                  <w:w w:val="92"/>
                </w:rPr>
                <w:t>(incorporated by reference to Exhibit 99.2 to MannKind’s Current Report on Form 8-K (File No. 000-50865), filed with the SEC on June 29, 2017).</w:t>
              </w:r>
            </w:hyperlink>
          </w:p>
        </w:tc>
        <w:tc>
          <w:tcPr>
            <w:tcW w:w="2980" w:type="dxa"/>
            <w:vAlign w:val="bottom"/>
            <w:tcBorders>
              <w:top w:val="single" w:sz="8" w:color="0000EE"/>
            </w:tcBorders>
            <w:gridSpan w:val="7"/>
          </w:tcPr>
          <w:p>
            <w:pPr>
              <w:spacing w:after="0"/>
              <w:rPr>
                <w:sz w:val="10"/>
                <w:szCs w:val="10"/>
                <w:color w:val="auto"/>
              </w:rPr>
            </w:pPr>
          </w:p>
        </w:tc>
        <w:tc>
          <w:tcPr>
            <w:tcW w:w="460" w:type="dxa"/>
            <w:vAlign w:val="bottom"/>
            <w:gridSpan w:val="12"/>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10.33</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3"/>
              </w:rPr>
            </w:pPr>
            <w:hyperlink r:id="rId133">
              <w:r>
                <w:rPr>
                  <w:rFonts w:ascii="Arial" w:cs="Arial" w:eastAsia="Arial" w:hAnsi="Arial"/>
                  <w:sz w:val="12"/>
                  <w:szCs w:val="12"/>
                  <w:color w:val="0000EE"/>
                  <w:w w:val="93"/>
                </w:rPr>
                <w:t>Fourth Amendment to Facility Agreement, dated October 23, 2017 by and among MannKind, MannKind LLC, Deerfield Private Design Fund II, L.P. and Deerfield Private Design International II, L.P. (incorporated by</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4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92"/>
              </w:rPr>
            </w:pPr>
            <w:hyperlink r:id="rId133">
              <w:r>
                <w:rPr>
                  <w:rFonts w:ascii="Arial" w:cs="Arial" w:eastAsia="Arial" w:hAnsi="Arial"/>
                  <w:sz w:val="12"/>
                  <w:szCs w:val="12"/>
                  <w:color w:val="0000EE"/>
                  <w:w w:val="92"/>
                </w:rPr>
                <w:t>reference to Exhibit 99.2 to MannKind’s Current Report on Form 8-K (File No. 000-50865), filed with the SEC on October 23, 2017).</w:t>
              </w:r>
            </w:hyperlink>
          </w:p>
        </w:tc>
        <w:tc>
          <w:tcPr>
            <w:tcW w:w="4000" w:type="dxa"/>
            <w:vAlign w:val="bottom"/>
            <w:tcBorders>
              <w:top w:val="single" w:sz="8" w:color="0000EE"/>
            </w:tcBorders>
            <w:gridSpan w:val="20"/>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10.34</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4"/>
              </w:rPr>
            </w:pPr>
            <w:hyperlink r:id="rId95">
              <w:r>
                <w:rPr>
                  <w:rFonts w:ascii="Arial" w:cs="Arial" w:eastAsia="Arial" w:hAnsi="Arial"/>
                  <w:sz w:val="12"/>
                  <w:szCs w:val="12"/>
                  <w:color w:val="0000EE"/>
                  <w:w w:val="94"/>
                </w:rPr>
                <w:t>Fifth Amendment to Facility Agreement, dated January 15, 2018 by and among MannKind, MannKind LLC, Deerfield Private Design Fund II, L.P. and Deerfield Private Design International II, L.P. (incorporated by</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34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r:id="rId95">
              <w:r>
                <w:rPr>
                  <w:rFonts w:ascii="Arial" w:cs="Arial" w:eastAsia="Arial" w:hAnsi="Arial"/>
                  <w:sz w:val="12"/>
                  <w:szCs w:val="12"/>
                  <w:color w:val="0000EE"/>
                </w:rPr>
                <w:t>reference to Exhibit 99.1 to MannKind’s Current Report on Form 8-K (File No. 000-50865), filed with the SEC on January 19, 2018).</w:t>
              </w:r>
            </w:hyperlink>
          </w:p>
        </w:tc>
        <w:tc>
          <w:tcPr>
            <w:tcW w:w="22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10.35</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4"/>
              </w:rPr>
            </w:pPr>
            <w:hyperlink r:id="rId96">
              <w:r>
                <w:rPr>
                  <w:rFonts w:ascii="Arial" w:cs="Arial" w:eastAsia="Arial" w:hAnsi="Arial"/>
                  <w:sz w:val="12"/>
                  <w:szCs w:val="12"/>
                  <w:color w:val="0000EE"/>
                  <w:w w:val="94"/>
                </w:rPr>
                <w:t>Exchange and Sixth Amendment to Facility Agreement, dated January 18, 2018 by and among MannKind, MannKind LLC, Deerfield Private Design Fund II, L.P. and Deerfield Private Design International II, L.P.</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60" w:type="dxa"/>
            <w:vAlign w:val="bottom"/>
            <w:tcBorders>
              <w:top w:val="single" w:sz="8" w:color="0000EE"/>
              <w:bottom w:val="single" w:sz="8" w:color="0000EE"/>
            </w:tcBorders>
            <w:gridSpan w:val="11"/>
          </w:tcPr>
          <w:p>
            <w:pPr>
              <w:spacing w:after="0" w:line="124" w:lineRule="exact"/>
              <w:rPr>
                <w:rFonts w:ascii="Arial" w:cs="Arial" w:eastAsia="Arial" w:hAnsi="Arial"/>
                <w:sz w:val="12"/>
                <w:szCs w:val="12"/>
                <w:color w:val="0000EE"/>
                <w:w w:val="91"/>
              </w:rPr>
            </w:pPr>
            <w:hyperlink r:id="rId96">
              <w:r>
                <w:rPr>
                  <w:rFonts w:ascii="Arial" w:cs="Arial" w:eastAsia="Arial" w:hAnsi="Arial"/>
                  <w:sz w:val="12"/>
                  <w:szCs w:val="12"/>
                  <w:color w:val="0000EE"/>
                  <w:w w:val="91"/>
                </w:rPr>
                <w:t>(incorporated by reference to Exhibit 99.2 to MannKind’s Current Report on Form 8-K (File No. 000-50865), filed with the SEC on January 19, 2018).</w:t>
              </w:r>
            </w:hyperlink>
          </w:p>
        </w:tc>
        <w:tc>
          <w:tcPr>
            <w:tcW w:w="2980" w:type="dxa"/>
            <w:vAlign w:val="bottom"/>
            <w:tcBorders>
              <w:top w:val="single" w:sz="8" w:color="0000EE"/>
            </w:tcBorders>
            <w:gridSpan w:val="9"/>
          </w:tcPr>
          <w:p>
            <w:pPr>
              <w:spacing w:after="0"/>
              <w:rPr>
                <w:sz w:val="10"/>
                <w:szCs w:val="10"/>
                <w:color w:val="auto"/>
              </w:rPr>
            </w:pPr>
          </w:p>
        </w:tc>
        <w:tc>
          <w:tcPr>
            <w:tcW w:w="32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10.36</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5"/>
              </w:rPr>
            </w:pPr>
            <w:hyperlink r:id="rId97">
              <w:r>
                <w:rPr>
                  <w:rFonts w:ascii="Arial" w:cs="Arial" w:eastAsia="Arial" w:hAnsi="Arial"/>
                  <w:sz w:val="12"/>
                  <w:szCs w:val="12"/>
                  <w:color w:val="0000EE"/>
                  <w:w w:val="95"/>
                </w:rPr>
                <w:t>Exchange and Seventh Amendment to Facility Agreement, dated June 8, 2018 by and among MannKind, MannKind LLC, Deerfield Private Design Fund II, L.P. and Deerfield Private Design International II, L.P.</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0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1"/>
              </w:rPr>
            </w:pPr>
            <w:hyperlink r:id="rId97">
              <w:r>
                <w:rPr>
                  <w:rFonts w:ascii="Arial" w:cs="Arial" w:eastAsia="Arial" w:hAnsi="Arial"/>
                  <w:sz w:val="12"/>
                  <w:szCs w:val="12"/>
                  <w:color w:val="0000EE"/>
                  <w:w w:val="91"/>
                </w:rPr>
                <w:t>(incorporated by reference to Exhibit 99.1 to MannKind’s Current Report on Form 8-K (File No. 000-50865), filed with the SEC on June 11, 2018).</w:t>
              </w:r>
            </w:hyperlink>
          </w:p>
        </w:tc>
        <w:tc>
          <w:tcPr>
            <w:tcW w:w="3060" w:type="dxa"/>
            <w:vAlign w:val="bottom"/>
            <w:tcBorders>
              <w:top w:val="single" w:sz="8" w:color="0000EE"/>
            </w:tcBorders>
            <w:gridSpan w:val="10"/>
          </w:tcPr>
          <w:p>
            <w:pPr>
              <w:spacing w:after="0"/>
              <w:rPr>
                <w:sz w:val="10"/>
                <w:szCs w:val="10"/>
                <w:color w:val="auto"/>
              </w:rPr>
            </w:pPr>
          </w:p>
        </w:tc>
        <w:tc>
          <w:tcPr>
            <w:tcW w:w="40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rPr>
                <w:rFonts w:ascii="Arial" w:cs="Arial" w:eastAsia="Arial" w:hAnsi="Arial"/>
                <w:sz w:val="12"/>
                <w:szCs w:val="12"/>
                <w:color w:val="0000EE"/>
                <w:w w:val="91"/>
              </w:rPr>
            </w:pPr>
            <w:hyperlink r:id="rId98">
              <w:r>
                <w:rPr>
                  <w:rFonts w:ascii="Arial" w:cs="Arial" w:eastAsia="Arial" w:hAnsi="Arial"/>
                  <w:sz w:val="12"/>
                  <w:szCs w:val="12"/>
                  <w:color w:val="0000EE"/>
                  <w:w w:val="91"/>
                </w:rPr>
                <w:t>Exchange and Eighth Amendment to Facility Agreement, dated July 12, 2018 by and among MannKind, MannKind LLC, Deerfield Private Design Fund II, L.P. and Deerfield Private Design International II, L.P.</w:t>
              </w:r>
            </w:hyperlink>
          </w:p>
        </w:tc>
        <w:tc>
          <w:tcPr>
            <w:tcW w:w="4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80" w:type="dxa"/>
            <w:vAlign w:val="bottom"/>
            <w:tcBorders>
              <w:bottom w:val="single" w:sz="8" w:color="0000EE"/>
            </w:tcBorders>
            <w:gridSpan w:val="8"/>
          </w:tcPr>
          <w:p>
            <w:pPr>
              <w:spacing w:after="0" w:line="124" w:lineRule="exact"/>
              <w:rPr>
                <w:rFonts w:ascii="Arial" w:cs="Arial" w:eastAsia="Arial" w:hAnsi="Arial"/>
                <w:sz w:val="12"/>
                <w:szCs w:val="12"/>
                <w:color w:val="0000EE"/>
                <w:w w:val="92"/>
              </w:rPr>
            </w:pPr>
            <w:hyperlink r:id="rId98">
              <w:r>
                <w:rPr>
                  <w:rFonts w:ascii="Arial" w:cs="Arial" w:eastAsia="Arial" w:hAnsi="Arial"/>
                  <w:sz w:val="12"/>
                  <w:szCs w:val="12"/>
                  <w:color w:val="0000EE"/>
                  <w:w w:val="92"/>
                </w:rPr>
                <w:t>(incorporated by reference to Exhibit 99.1 to MannKind’s Current Report on Form 8-K (File No. 000-50865), filed with the SEC on July 13, 2018).</w:t>
              </w:r>
            </w:hyperlink>
          </w:p>
        </w:tc>
        <w:tc>
          <w:tcPr>
            <w:tcW w:w="3480" w:type="dxa"/>
            <w:vAlign w:val="bottom"/>
            <w:gridSpan w:val="21"/>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10.38</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2"/>
              </w:rPr>
            </w:pPr>
            <w:hyperlink r:id="rId99">
              <w:r>
                <w:rPr>
                  <w:rFonts w:ascii="Arial" w:cs="Arial" w:eastAsia="Arial" w:hAnsi="Arial"/>
                  <w:sz w:val="12"/>
                  <w:szCs w:val="12"/>
                  <w:color w:val="0000EE"/>
                  <w:w w:val="92"/>
                </w:rPr>
                <w:t>Ninth Amendment to Facility Agreement, dated September 5, 2018 by and among MannKind, MannKind LLC, Deerfield Private Design Fund II, L.P. and Deerfield Private Design International II, L.P. (incorporated by</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60" w:type="dxa"/>
            <w:vAlign w:val="bottom"/>
            <w:tcBorders>
              <w:top w:val="single" w:sz="8" w:color="0000EE"/>
            </w:tcBorders>
            <w:gridSpan w:val="26"/>
          </w:tcPr>
          <w:p>
            <w:pPr>
              <w:spacing w:after="0" w:line="124" w:lineRule="exact"/>
              <w:rPr>
                <w:rFonts w:ascii="Arial" w:cs="Arial" w:eastAsia="Arial" w:hAnsi="Arial"/>
                <w:sz w:val="12"/>
                <w:szCs w:val="12"/>
                <w:color w:val="0000EE"/>
              </w:rPr>
            </w:pPr>
            <w:hyperlink r:id="rId99">
              <w:r>
                <w:rPr>
                  <w:rFonts w:ascii="Arial" w:cs="Arial" w:eastAsia="Arial" w:hAnsi="Arial"/>
                  <w:sz w:val="12"/>
                  <w:szCs w:val="12"/>
                  <w:color w:val="0000EE"/>
                </w:rPr>
                <w:t>reference to Exhibit 99.1 to MannKind’s Current Report on Form 8-K (File No. 000-50865), filed with the SEC on September 5, 2018).</w:t>
              </w:r>
            </w:hyperlink>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6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10.39</w:t>
            </w:r>
          </w:p>
        </w:tc>
        <w:tc>
          <w:tcPr>
            <w:tcW w:w="120" w:type="dxa"/>
            <w:vAlign w:val="bottom"/>
          </w:tcPr>
          <w:p>
            <w:pPr>
              <w:spacing w:after="0"/>
              <w:rPr>
                <w:sz w:val="17"/>
                <w:szCs w:val="17"/>
                <w:color w:val="auto"/>
              </w:rPr>
            </w:pPr>
          </w:p>
        </w:tc>
        <w:tc>
          <w:tcPr>
            <w:tcW w:w="10560" w:type="dxa"/>
            <w:vAlign w:val="bottom"/>
            <w:gridSpan w:val="29"/>
          </w:tcPr>
          <w:p>
            <w:pPr>
              <w:spacing w:after="0"/>
              <w:rPr>
                <w:rFonts w:ascii="Arial" w:cs="Arial" w:eastAsia="Arial" w:hAnsi="Arial"/>
                <w:sz w:val="12"/>
                <w:szCs w:val="12"/>
                <w:color w:val="0000EE"/>
                <w:w w:val="92"/>
              </w:rPr>
            </w:pPr>
            <w:hyperlink r:id="rId100">
              <w:r>
                <w:rPr>
                  <w:rFonts w:ascii="Arial" w:cs="Arial" w:eastAsia="Arial" w:hAnsi="Arial"/>
                  <w:sz w:val="12"/>
                  <w:szCs w:val="12"/>
                  <w:color w:val="0000EE"/>
                  <w:w w:val="92"/>
                </w:rPr>
                <w:t>Tenth Amendment to Facility Agreement, dated September 26, 2018 by and among MannKind, MannKind LLC, Deerfield Private Design Fund II, L.P. and Deerfield Private Design International II, L.P. (incorporated by</w:t>
              </w:r>
            </w:hyperlink>
          </w:p>
        </w:tc>
        <w:tc>
          <w:tcPr>
            <w:tcW w:w="2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20" w:type="dxa"/>
            <w:vAlign w:val="bottom"/>
            <w:tcBorders>
              <w:top w:val="single" w:sz="8" w:color="0000EE"/>
            </w:tcBorders>
            <w:gridSpan w:val="27"/>
          </w:tcPr>
          <w:p>
            <w:pPr>
              <w:spacing w:after="0" w:line="124" w:lineRule="exact"/>
              <w:rPr>
                <w:rFonts w:ascii="Arial" w:cs="Arial" w:eastAsia="Arial" w:hAnsi="Arial"/>
                <w:sz w:val="12"/>
                <w:szCs w:val="12"/>
                <w:color w:val="0000EE"/>
              </w:rPr>
            </w:pPr>
            <w:hyperlink r:id="rId100">
              <w:r>
                <w:rPr>
                  <w:rFonts w:ascii="Arial" w:cs="Arial" w:eastAsia="Arial" w:hAnsi="Arial"/>
                  <w:sz w:val="12"/>
                  <w:szCs w:val="12"/>
                  <w:color w:val="0000EE"/>
                </w:rPr>
                <w:t>reference to Exhibit 99.1 to MannKind’s Current Report on Form 8-K (File No. 000-50865), filed with the SEC on September 27, 2018).</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457"/>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tcBorders>
              <w:top w:val="single" w:sz="8" w:color="0000EE"/>
            </w:tcBorders>
            <w:gridSpan w:val="4"/>
          </w:tcPr>
          <w:p>
            <w:pPr>
              <w:ind w:left="4760"/>
              <w:spacing w:after="0"/>
              <w:rPr>
                <w:sz w:val="20"/>
                <w:szCs w:val="20"/>
                <w:color w:val="auto"/>
              </w:rPr>
            </w:pPr>
            <w:r>
              <w:rPr>
                <w:rFonts w:ascii="Arial" w:cs="Arial" w:eastAsia="Arial" w:hAnsi="Arial"/>
                <w:sz w:val="12"/>
                <w:szCs w:val="12"/>
                <w:color w:val="auto"/>
              </w:rPr>
              <w:t>57</w:t>
            </w: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9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2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55" w:right="1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15"/>
        </w:trPr>
        <w:tc>
          <w:tcPr>
            <w:tcW w:w="92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920" w:type="dxa"/>
            <w:vAlign w:val="bottom"/>
            <w:gridSpan w:val="2"/>
          </w:tcPr>
          <w:p>
            <w:pPr>
              <w:spacing w:after="0" w:line="112" w:lineRule="exact"/>
              <w:rPr>
                <w:sz w:val="20"/>
                <w:szCs w:val="20"/>
                <w:color w:val="auto"/>
              </w:rPr>
            </w:pPr>
            <w:r>
              <w:rPr>
                <w:rFonts w:ascii="Arial" w:cs="Arial" w:eastAsia="Arial" w:hAnsi="Arial"/>
                <w:sz w:val="10"/>
                <w:szCs w:val="10"/>
                <w:color w:val="auto"/>
              </w:rPr>
              <w:t>Number</w:t>
            </w: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500" w:type="dxa"/>
            <w:vAlign w:val="bottom"/>
            <w:gridSpan w:val="16"/>
          </w:tcPr>
          <w:p>
            <w:pPr>
              <w:ind w:left="760"/>
              <w:spacing w:after="0" w:line="112" w:lineRule="exact"/>
              <w:rPr>
                <w:sz w:val="20"/>
                <w:szCs w:val="20"/>
                <w:color w:val="auto"/>
              </w:rPr>
            </w:pPr>
            <w:r>
              <w:rPr>
                <w:rFonts w:ascii="Arial" w:cs="Arial" w:eastAsia="Arial" w:hAnsi="Arial"/>
                <w:sz w:val="10"/>
                <w:szCs w:val="10"/>
                <w:color w:val="auto"/>
              </w:rPr>
              <w:t>Description of Document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10.40</w:t>
            </w:r>
          </w:p>
        </w:tc>
        <w:tc>
          <w:tcPr>
            <w:tcW w:w="120" w:type="dxa"/>
            <w:vAlign w:val="bottom"/>
          </w:tcPr>
          <w:p>
            <w:pPr>
              <w:spacing w:after="0"/>
              <w:rPr>
                <w:sz w:val="16"/>
                <w:szCs w:val="16"/>
                <w:color w:val="auto"/>
              </w:rPr>
            </w:pPr>
          </w:p>
        </w:tc>
        <w:tc>
          <w:tcPr>
            <w:tcW w:w="10440" w:type="dxa"/>
            <w:vAlign w:val="bottom"/>
            <w:tcBorders>
              <w:top w:val="single" w:sz="8" w:color="auto"/>
              <w:bottom w:val="single" w:sz="8" w:color="0000EE"/>
            </w:tcBorders>
            <w:gridSpan w:val="25"/>
          </w:tcPr>
          <w:p>
            <w:pPr>
              <w:spacing w:after="0"/>
              <w:rPr>
                <w:rFonts w:ascii="Arial" w:cs="Arial" w:eastAsia="Arial" w:hAnsi="Arial"/>
                <w:sz w:val="12"/>
                <w:szCs w:val="12"/>
                <w:color w:val="0000EE"/>
                <w:w w:val="91"/>
              </w:rPr>
            </w:pPr>
            <w:hyperlink r:id="rId136">
              <w:r>
                <w:rPr>
                  <w:rFonts w:ascii="Arial" w:cs="Arial" w:eastAsia="Arial" w:hAnsi="Arial"/>
                  <w:sz w:val="12"/>
                  <w:szCs w:val="12"/>
                  <w:color w:val="0000EE"/>
                  <w:w w:val="91"/>
                </w:rPr>
                <w:t>Exchange Agreement, dated April 18, 2017, by and among MannKind Corporation, MannKind LLC, Deerfield Private Design Fund II, L.P. and Deerfield Private Design International II, L.P. (incorporated by reference</w:t>
              </w:r>
            </w:hyperlink>
          </w:p>
        </w:tc>
        <w:tc>
          <w:tcPr>
            <w:tcW w:w="120" w:type="dxa"/>
            <w:vAlign w:val="bottom"/>
            <w:tcBorders>
              <w:top w:val="single" w:sz="8" w:color="auto"/>
            </w:tcBorders>
            <w:gridSpan w:val="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30"/>
          </w:tcPr>
          <w:p>
            <w:pPr>
              <w:spacing w:after="0" w:line="124" w:lineRule="exact"/>
              <w:rPr>
                <w:rFonts w:ascii="Arial" w:cs="Arial" w:eastAsia="Arial" w:hAnsi="Arial"/>
                <w:sz w:val="12"/>
                <w:szCs w:val="12"/>
                <w:color w:val="0000EE"/>
              </w:rPr>
            </w:pPr>
            <w:hyperlink r:id="rId136">
              <w:r>
                <w:rPr>
                  <w:rFonts w:ascii="Arial" w:cs="Arial" w:eastAsia="Arial" w:hAnsi="Arial"/>
                  <w:sz w:val="12"/>
                  <w:szCs w:val="12"/>
                  <w:color w:val="0000EE"/>
                </w:rPr>
                <w:t>to Exhibit 99.1 to MannKind’s Current Report on Form 8-K (File No. 000-50865), filed with the SEC on April 19, 2017).</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10.41</w:t>
            </w:r>
          </w:p>
        </w:tc>
        <w:tc>
          <w:tcPr>
            <w:tcW w:w="120" w:type="dxa"/>
            <w:vAlign w:val="bottom"/>
          </w:tcPr>
          <w:p>
            <w:pPr>
              <w:spacing w:after="0"/>
              <w:rPr>
                <w:sz w:val="17"/>
                <w:szCs w:val="17"/>
                <w:color w:val="auto"/>
              </w:rPr>
            </w:pPr>
          </w:p>
        </w:tc>
        <w:tc>
          <w:tcPr>
            <w:tcW w:w="10500" w:type="dxa"/>
            <w:vAlign w:val="bottom"/>
            <w:tcBorders>
              <w:bottom w:val="single" w:sz="8" w:color="0000EE"/>
            </w:tcBorders>
            <w:gridSpan w:val="28"/>
          </w:tcPr>
          <w:p>
            <w:pPr>
              <w:spacing w:after="0"/>
              <w:rPr>
                <w:rFonts w:ascii="Arial" w:cs="Arial" w:eastAsia="Arial" w:hAnsi="Arial"/>
                <w:sz w:val="12"/>
                <w:szCs w:val="12"/>
                <w:color w:val="0000EE"/>
                <w:w w:val="91"/>
              </w:rPr>
            </w:pPr>
            <w:hyperlink r:id="rId137">
              <w:r>
                <w:rPr>
                  <w:rFonts w:ascii="Arial" w:cs="Arial" w:eastAsia="Arial" w:hAnsi="Arial"/>
                  <w:sz w:val="12"/>
                  <w:szCs w:val="12"/>
                  <w:color w:val="0000EE"/>
                  <w:w w:val="91"/>
                </w:rPr>
                <w:t>Exchange Agreement, dated March 12, 2018, by and among MannKind Corporation, MannKind LLC, Deerfield Private Design Fund II, L.P. and Deerfield Private Design International II, L.P. (incorporated by reference</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30"/>
          </w:tcPr>
          <w:p>
            <w:pPr>
              <w:spacing w:after="0" w:line="124" w:lineRule="exact"/>
              <w:rPr>
                <w:rFonts w:ascii="Arial" w:cs="Arial" w:eastAsia="Arial" w:hAnsi="Arial"/>
                <w:sz w:val="12"/>
                <w:szCs w:val="12"/>
                <w:color w:val="0000EE"/>
              </w:rPr>
            </w:pPr>
            <w:hyperlink r:id="rId137">
              <w:r>
                <w:rPr>
                  <w:rFonts w:ascii="Arial" w:cs="Arial" w:eastAsia="Arial" w:hAnsi="Arial"/>
                  <w:sz w:val="12"/>
                  <w:szCs w:val="12"/>
                  <w:color w:val="0000EE"/>
                </w:rPr>
                <w:t>to Exhibit 99.2 to MannKind’s Current Report on Form 8-K (File No. 000-50865), filed with the SEC on March 12, 2018).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10.42</w:t>
            </w:r>
          </w:p>
        </w:tc>
        <w:tc>
          <w:tcPr>
            <w:tcW w:w="120" w:type="dxa"/>
            <w:vAlign w:val="bottom"/>
          </w:tcPr>
          <w:p>
            <w:pPr>
              <w:spacing w:after="0"/>
              <w:rPr>
                <w:sz w:val="17"/>
                <w:szCs w:val="17"/>
                <w:color w:val="auto"/>
              </w:rPr>
            </w:pPr>
          </w:p>
        </w:tc>
        <w:tc>
          <w:tcPr>
            <w:tcW w:w="10500" w:type="dxa"/>
            <w:vAlign w:val="bottom"/>
            <w:tcBorders>
              <w:bottom w:val="single" w:sz="8" w:color="0000EE"/>
            </w:tcBorders>
            <w:gridSpan w:val="28"/>
          </w:tcPr>
          <w:p>
            <w:pPr>
              <w:spacing w:after="0"/>
              <w:rPr>
                <w:rFonts w:ascii="Arial" w:cs="Arial" w:eastAsia="Arial" w:hAnsi="Arial"/>
                <w:sz w:val="12"/>
                <w:szCs w:val="12"/>
                <w:color w:val="0000EE"/>
                <w:w w:val="91"/>
              </w:rPr>
            </w:pPr>
            <w:hyperlink r:id="rId138">
              <w:r>
                <w:rPr>
                  <w:rFonts w:ascii="Arial" w:cs="Arial" w:eastAsia="Arial" w:hAnsi="Arial"/>
                  <w:sz w:val="12"/>
                  <w:szCs w:val="12"/>
                  <w:color w:val="0000EE"/>
                  <w:w w:val="91"/>
                </w:rPr>
                <w:t>Exchange Agreement, dated May 25, 2018, by and among MannKind Corporation and certain holders of MannKind Corporation’s 5.75% Convertible Senior Notes due 2021 (incorporated by reference to Exhibit 99.1 to</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30"/>
          </w:tcPr>
          <w:p>
            <w:pPr>
              <w:spacing w:after="0" w:line="124" w:lineRule="exact"/>
              <w:rPr>
                <w:rFonts w:ascii="Arial" w:cs="Arial" w:eastAsia="Arial" w:hAnsi="Arial"/>
                <w:sz w:val="12"/>
                <w:szCs w:val="12"/>
                <w:color w:val="0000EE"/>
              </w:rPr>
            </w:pPr>
            <w:hyperlink r:id="rId138">
              <w:r>
                <w:rPr>
                  <w:rFonts w:ascii="Arial" w:cs="Arial" w:eastAsia="Arial" w:hAnsi="Arial"/>
                  <w:sz w:val="12"/>
                  <w:szCs w:val="12"/>
                  <w:color w:val="0000EE"/>
                </w:rPr>
                <w:t>MannKind’s Current Report on Form 8-K (File No. 000-50865), filed with the SEC on May 25, 2018).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10.43</w:t>
            </w:r>
          </w:p>
        </w:tc>
        <w:tc>
          <w:tcPr>
            <w:tcW w:w="120" w:type="dxa"/>
            <w:vAlign w:val="bottom"/>
          </w:tcPr>
          <w:p>
            <w:pPr>
              <w:spacing w:after="0"/>
              <w:rPr>
                <w:sz w:val="17"/>
                <w:szCs w:val="17"/>
                <w:color w:val="auto"/>
              </w:rPr>
            </w:pPr>
          </w:p>
        </w:tc>
        <w:tc>
          <w:tcPr>
            <w:tcW w:w="10400" w:type="dxa"/>
            <w:vAlign w:val="bottom"/>
            <w:tcBorders>
              <w:bottom w:val="single" w:sz="8" w:color="0000EE"/>
            </w:tcBorders>
            <w:gridSpan w:val="23"/>
          </w:tcPr>
          <w:p>
            <w:pPr>
              <w:spacing w:after="0"/>
              <w:rPr>
                <w:rFonts w:ascii="Arial" w:cs="Arial" w:eastAsia="Arial" w:hAnsi="Arial"/>
                <w:sz w:val="12"/>
                <w:szCs w:val="12"/>
                <w:color w:val="0000EE"/>
                <w:w w:val="90"/>
              </w:rPr>
            </w:pPr>
            <w:hyperlink r:id="rId139">
              <w:r>
                <w:rPr>
                  <w:rFonts w:ascii="Arial" w:cs="Arial" w:eastAsia="Arial" w:hAnsi="Arial"/>
                  <w:sz w:val="12"/>
                  <w:szCs w:val="12"/>
                  <w:color w:val="0000EE"/>
                  <w:w w:val="90"/>
                </w:rPr>
                <w:t>Agreement of Purchase and Sale and Joint Escrow Instructions, dated January 6, 2017, by and between MannKind and Rexford Industrial Realty, L.P. (incorporated by reference to Exhibit 99.1 to MannKind’s Current</w:t>
              </w:r>
            </w:hyperlink>
          </w:p>
        </w:tc>
        <w:tc>
          <w:tcPr>
            <w:tcW w:w="1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60" w:type="dxa"/>
            <w:vAlign w:val="bottom"/>
            <w:tcBorders>
              <w:bottom w:val="single" w:sz="8" w:color="0000EE"/>
            </w:tcBorders>
            <w:gridSpan w:val="14"/>
          </w:tcPr>
          <w:p>
            <w:pPr>
              <w:spacing w:after="0" w:line="124" w:lineRule="exact"/>
              <w:rPr>
                <w:rFonts w:ascii="Arial" w:cs="Arial" w:eastAsia="Arial" w:hAnsi="Arial"/>
                <w:sz w:val="12"/>
                <w:szCs w:val="12"/>
                <w:color w:val="0000EE"/>
                <w:w w:val="91"/>
              </w:rPr>
            </w:pPr>
            <w:hyperlink r:id="rId139">
              <w:r>
                <w:rPr>
                  <w:rFonts w:ascii="Arial" w:cs="Arial" w:eastAsia="Arial" w:hAnsi="Arial"/>
                  <w:sz w:val="12"/>
                  <w:szCs w:val="12"/>
                  <w:color w:val="0000EE"/>
                  <w:w w:val="91"/>
                </w:rPr>
                <w:t>Report on Form 8-K (File No. 000-50865), filed with the SEC on January 12, 2017).</w:t>
              </w:r>
            </w:hyperlink>
          </w:p>
        </w:tc>
        <w:tc>
          <w:tcPr>
            <w:tcW w:w="6500" w:type="dxa"/>
            <w:vAlign w:val="bottom"/>
            <w:gridSpan w:val="1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10.44</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1"/>
              </w:rPr>
            </w:pPr>
            <w:hyperlink r:id="rId140">
              <w:r>
                <w:rPr>
                  <w:rFonts w:ascii="Arial" w:cs="Arial" w:eastAsia="Arial" w:hAnsi="Arial"/>
                  <w:sz w:val="12"/>
                  <w:szCs w:val="12"/>
                  <w:color w:val="0000EE"/>
                  <w:w w:val="91"/>
                </w:rPr>
                <w:t>First, Second and Third Amendments to Agreement of Purchase and Sale and Joint Escrow Instructions, dated February 7, 2017, February 10, 2017 and February 15, 2017, respectively, by and between MannKind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0" w:type="dxa"/>
            <w:vAlign w:val="bottom"/>
            <w:tcBorders>
              <w:top w:val="single" w:sz="8" w:color="0000EE"/>
              <w:bottom w:val="single" w:sz="8" w:color="0000EE"/>
            </w:tcBorders>
            <w:gridSpan w:val="20"/>
          </w:tcPr>
          <w:p>
            <w:pPr>
              <w:spacing w:after="0" w:line="124" w:lineRule="exact"/>
              <w:rPr>
                <w:rFonts w:ascii="Arial" w:cs="Arial" w:eastAsia="Arial" w:hAnsi="Arial"/>
                <w:sz w:val="12"/>
                <w:szCs w:val="12"/>
                <w:color w:val="0000EE"/>
                <w:w w:val="92"/>
              </w:rPr>
            </w:pPr>
            <w:hyperlink r:id="rId140">
              <w:r>
                <w:rPr>
                  <w:rFonts w:ascii="Arial" w:cs="Arial" w:eastAsia="Arial" w:hAnsi="Arial"/>
                  <w:sz w:val="12"/>
                  <w:szCs w:val="12"/>
                  <w:color w:val="0000EE"/>
                  <w:w w:val="92"/>
                </w:rPr>
                <w:t>Rexford Industrial Realty, L.P. (incorporated by reference to Exhibit 10.35 to MannKind’s Annual Report on Form 10-K (File No. 000-50865), filed with the SEC on March 16, 2017).</w:t>
              </w:r>
            </w:hyperlink>
          </w:p>
        </w:tc>
        <w:tc>
          <w:tcPr>
            <w:tcW w:w="1600" w:type="dxa"/>
            <w:vAlign w:val="bottom"/>
            <w:tcBorders>
              <w:top w:val="single" w:sz="8" w:color="0000EE"/>
            </w:tcBorders>
            <w:gridSpan w:val="3"/>
          </w:tcPr>
          <w:p>
            <w:pPr>
              <w:spacing w:after="0"/>
              <w:rPr>
                <w:sz w:val="10"/>
                <w:szCs w:val="10"/>
                <w:color w:val="auto"/>
              </w:rPr>
            </w:pPr>
          </w:p>
        </w:tc>
        <w:tc>
          <w:tcPr>
            <w:tcW w:w="16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10.45</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2"/>
              </w:rPr>
            </w:pPr>
            <w:hyperlink r:id="rId141">
              <w:r>
                <w:rPr>
                  <w:rFonts w:ascii="Arial" w:cs="Arial" w:eastAsia="Arial" w:hAnsi="Arial"/>
                  <w:sz w:val="12"/>
                  <w:szCs w:val="12"/>
                  <w:color w:val="0000EE"/>
                  <w:w w:val="92"/>
                </w:rPr>
                <w:t>Agreement, dated June 27, 2017, by and between MannKind and The Mann Group LLC (incorporated by reference to Exhibit 99.1 to MannKind’s Current Report on Form 8-K (File No. 000-50865),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40" w:type="dxa"/>
            <w:vAlign w:val="bottom"/>
            <w:tcBorders>
              <w:top w:val="single" w:sz="8" w:color="0000EE"/>
            </w:tcBorders>
            <w:gridSpan w:val="25"/>
          </w:tcPr>
          <w:p>
            <w:pPr>
              <w:spacing w:after="0" w:line="124" w:lineRule="exact"/>
              <w:rPr>
                <w:rFonts w:ascii="Arial" w:cs="Arial" w:eastAsia="Arial" w:hAnsi="Arial"/>
                <w:sz w:val="12"/>
                <w:szCs w:val="12"/>
                <w:color w:val="0000EE"/>
              </w:rPr>
            </w:pPr>
            <w:hyperlink r:id="rId141">
              <w:r>
                <w:rPr>
                  <w:rFonts w:ascii="Arial" w:cs="Arial" w:eastAsia="Arial" w:hAnsi="Arial"/>
                  <w:sz w:val="12"/>
                  <w:szCs w:val="12"/>
                  <w:color w:val="0000EE"/>
                </w:rPr>
                <w:t>on June 29, 2017).</w:t>
              </w:r>
            </w:hyperlink>
          </w:p>
        </w:tc>
        <w:tc>
          <w:tcPr>
            <w:tcW w:w="12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800" w:type="dxa"/>
            <w:vAlign w:val="bottom"/>
          </w:tcPr>
          <w:p>
            <w:pPr>
              <w:spacing w:after="0"/>
              <w:rPr>
                <w:sz w:val="20"/>
                <w:szCs w:val="20"/>
                <w:color w:val="auto"/>
              </w:rPr>
            </w:pPr>
            <w:r>
              <w:rPr>
                <w:rFonts w:ascii="Arial" w:cs="Arial" w:eastAsia="Arial" w:hAnsi="Arial"/>
                <w:sz w:val="12"/>
                <w:szCs w:val="12"/>
                <w:color w:val="auto"/>
              </w:rPr>
              <w:t>10.46**</w:t>
            </w:r>
          </w:p>
        </w:tc>
        <w:tc>
          <w:tcPr>
            <w:tcW w:w="120" w:type="dxa"/>
            <w:vAlign w:val="bottom"/>
          </w:tcPr>
          <w:p>
            <w:pPr>
              <w:spacing w:after="0"/>
              <w:rPr>
                <w:sz w:val="24"/>
                <w:szCs w:val="24"/>
                <w:color w:val="auto"/>
              </w:rPr>
            </w:pPr>
          </w:p>
        </w:tc>
        <w:tc>
          <w:tcPr>
            <w:tcW w:w="10420" w:type="dxa"/>
            <w:vAlign w:val="bottom"/>
            <w:tcBorders>
              <w:bottom w:val="single" w:sz="8" w:color="0000EE"/>
            </w:tcBorders>
            <w:gridSpan w:val="24"/>
          </w:tcPr>
          <w:p>
            <w:pPr>
              <w:spacing w:after="0"/>
              <w:rPr>
                <w:rFonts w:ascii="Arial" w:cs="Arial" w:eastAsia="Arial" w:hAnsi="Arial"/>
                <w:sz w:val="12"/>
                <w:szCs w:val="12"/>
                <w:color w:val="0000EE"/>
                <w:w w:val="91"/>
              </w:rPr>
            </w:pPr>
            <w:hyperlink r:id="rId142">
              <w:r>
                <w:rPr>
                  <w:rFonts w:ascii="Arial" w:cs="Arial" w:eastAsia="Arial" w:hAnsi="Arial"/>
                  <w:sz w:val="12"/>
                  <w:szCs w:val="12"/>
                  <w:color w:val="0000EE"/>
                  <w:w w:val="91"/>
                </w:rPr>
                <w:t>Supply Agreement, dated as of July 31, 2014, by and between MannKind and Amphastar France Pharmaceuticals S.A.S. (incorporated by reference to Exhibit 10.3 to MannKind’s Quarterly Report on Form 10-Q (File</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r:id="rId142">
              <w:r>
                <w:rPr>
                  <w:rFonts w:ascii="Arial" w:cs="Arial" w:eastAsia="Arial" w:hAnsi="Arial"/>
                  <w:sz w:val="12"/>
                  <w:szCs w:val="12"/>
                  <w:color w:val="0000EE"/>
                  <w:w w:val="91"/>
                </w:rPr>
                <w:t>No. 000-50865), filed with the SEC on November 10, 2014).</w:t>
              </w:r>
            </w:hyperlink>
          </w:p>
        </w:tc>
        <w:tc>
          <w:tcPr>
            <w:tcW w:w="7640" w:type="dxa"/>
            <w:vAlign w:val="bottom"/>
            <w:gridSpan w:val="2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10.47</w:t>
            </w:r>
          </w:p>
        </w:tc>
        <w:tc>
          <w:tcPr>
            <w:tcW w:w="120" w:type="dxa"/>
            <w:vAlign w:val="bottom"/>
          </w:tcPr>
          <w:p>
            <w:pPr>
              <w:spacing w:after="0"/>
              <w:rPr>
                <w:sz w:val="17"/>
                <w:szCs w:val="17"/>
                <w:color w:val="auto"/>
              </w:rPr>
            </w:pPr>
          </w:p>
        </w:tc>
        <w:tc>
          <w:tcPr>
            <w:tcW w:w="10380" w:type="dxa"/>
            <w:vAlign w:val="bottom"/>
            <w:tcBorders>
              <w:bottom w:val="single" w:sz="8" w:color="0000EE"/>
            </w:tcBorders>
            <w:gridSpan w:val="22"/>
          </w:tcPr>
          <w:p>
            <w:pPr>
              <w:spacing w:after="0"/>
              <w:rPr>
                <w:rFonts w:ascii="Arial" w:cs="Arial" w:eastAsia="Arial" w:hAnsi="Arial"/>
                <w:sz w:val="12"/>
                <w:szCs w:val="12"/>
                <w:color w:val="0000EE"/>
                <w:w w:val="90"/>
              </w:rPr>
            </w:pPr>
            <w:hyperlink r:id="rId143">
              <w:r>
                <w:rPr>
                  <w:rFonts w:ascii="Arial" w:cs="Arial" w:eastAsia="Arial" w:hAnsi="Arial"/>
                  <w:sz w:val="12"/>
                  <w:szCs w:val="12"/>
                  <w:color w:val="0000EE"/>
                  <w:w w:val="90"/>
                </w:rPr>
                <w:t>First Amendment to Supply Agreement, dated October 31, 2014, by and between MannKind and Amphastar France Pharmaceuticals, S.A.S. and Amphastar Pharmaceuticals, Inc. (incorporated by reference to Exhibit</w:t>
              </w:r>
            </w:hyperlink>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30"/>
          </w:tcPr>
          <w:p>
            <w:pPr>
              <w:spacing w:after="0" w:line="124" w:lineRule="exact"/>
              <w:rPr>
                <w:rFonts w:ascii="Arial" w:cs="Arial" w:eastAsia="Arial" w:hAnsi="Arial"/>
                <w:sz w:val="12"/>
                <w:szCs w:val="12"/>
                <w:color w:val="0000EE"/>
              </w:rPr>
            </w:pPr>
            <w:hyperlink r:id="rId143">
              <w:r>
                <w:rPr>
                  <w:rFonts w:ascii="Arial" w:cs="Arial" w:eastAsia="Arial" w:hAnsi="Arial"/>
                  <w:sz w:val="12"/>
                  <w:szCs w:val="12"/>
                  <w:color w:val="0000EE"/>
                </w:rPr>
                <w:t>10.</w:t>
              </w:r>
              <w:r>
                <w:rPr>
                  <w:rFonts w:ascii="Arial" w:cs="Arial" w:eastAsia="Arial" w:hAnsi="Arial"/>
                  <w:sz w:val="12"/>
                  <w:szCs w:val="12"/>
                  <w:u w:val="single" w:color="auto"/>
                  <w:color w:val="0000EE"/>
                </w:rPr>
                <w:t>32</w:t>
              </w:r>
              <w:r>
                <w:rPr>
                  <w:rFonts w:ascii="Arial" w:cs="Arial" w:eastAsia="Arial" w:hAnsi="Arial"/>
                  <w:sz w:val="12"/>
                  <w:szCs w:val="12"/>
                  <w:color w:val="0000EE"/>
                </w:rPr>
                <w:t xml:space="preserve"> to MannKind’s Annual Report on Form 10-K (File No. 000-50865), filed with the SEC on March 16, 2017).</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10.48**</w:t>
            </w:r>
          </w:p>
        </w:tc>
        <w:tc>
          <w:tcPr>
            <w:tcW w:w="120" w:type="dxa"/>
            <w:vAlign w:val="bottom"/>
          </w:tcPr>
          <w:p>
            <w:pPr>
              <w:spacing w:after="0"/>
              <w:rPr>
                <w:sz w:val="17"/>
                <w:szCs w:val="17"/>
                <w:color w:val="auto"/>
              </w:rPr>
            </w:pPr>
          </w:p>
        </w:tc>
        <w:tc>
          <w:tcPr>
            <w:tcW w:w="10500" w:type="dxa"/>
            <w:vAlign w:val="bottom"/>
            <w:tcBorders>
              <w:bottom w:val="single" w:sz="8" w:color="0000EE"/>
            </w:tcBorders>
            <w:gridSpan w:val="28"/>
          </w:tcPr>
          <w:p>
            <w:pPr>
              <w:spacing w:after="0"/>
              <w:rPr>
                <w:rFonts w:ascii="Arial" w:cs="Arial" w:eastAsia="Arial" w:hAnsi="Arial"/>
                <w:sz w:val="12"/>
                <w:szCs w:val="12"/>
                <w:color w:val="0000EE"/>
                <w:w w:val="90"/>
              </w:rPr>
            </w:pPr>
            <w:hyperlink r:id="rId144">
              <w:r>
                <w:rPr>
                  <w:rFonts w:ascii="Arial" w:cs="Arial" w:eastAsia="Arial" w:hAnsi="Arial"/>
                  <w:sz w:val="12"/>
                  <w:szCs w:val="12"/>
                  <w:color w:val="0000EE"/>
                  <w:w w:val="90"/>
                </w:rPr>
                <w:t>Second Amendment to Supply Agreement, dated November 9, 2016, by and between MannKind and Amphastar Pharmaceuticals, Inc. (incorporated by reference to Exhibit 10.33 to MannKind’s Annual Report on Form</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tcBorders>
              <w:bottom w:val="single" w:sz="8" w:color="0000EE"/>
            </w:tcBorders>
            <w:gridSpan w:val="13"/>
          </w:tcPr>
          <w:p>
            <w:pPr>
              <w:spacing w:after="0" w:line="124" w:lineRule="exact"/>
              <w:rPr>
                <w:rFonts w:ascii="Arial" w:cs="Arial" w:eastAsia="Arial" w:hAnsi="Arial"/>
                <w:sz w:val="12"/>
                <w:szCs w:val="12"/>
                <w:color w:val="0000EE"/>
                <w:w w:val="92"/>
              </w:rPr>
            </w:pPr>
            <w:hyperlink r:id="rId144">
              <w:r>
                <w:rPr>
                  <w:rFonts w:ascii="Arial" w:cs="Arial" w:eastAsia="Arial" w:hAnsi="Arial"/>
                  <w:sz w:val="12"/>
                  <w:szCs w:val="12"/>
                  <w:color w:val="0000EE"/>
                  <w:w w:val="92"/>
                </w:rPr>
                <w:t>10-K (File No. 000-50865), filed with the SEC on March 16, 2017).</w:t>
              </w:r>
            </w:hyperlink>
          </w:p>
        </w:tc>
        <w:tc>
          <w:tcPr>
            <w:tcW w:w="730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10.49**</w:t>
            </w:r>
          </w:p>
        </w:tc>
        <w:tc>
          <w:tcPr>
            <w:tcW w:w="120" w:type="dxa"/>
            <w:vAlign w:val="bottom"/>
          </w:tcPr>
          <w:p>
            <w:pPr>
              <w:spacing w:after="0"/>
              <w:rPr>
                <w:sz w:val="17"/>
                <w:szCs w:val="17"/>
                <w:color w:val="auto"/>
              </w:rPr>
            </w:pPr>
          </w:p>
        </w:tc>
        <w:tc>
          <w:tcPr>
            <w:tcW w:w="10540" w:type="dxa"/>
            <w:vAlign w:val="bottom"/>
            <w:tcBorders>
              <w:bottom w:val="single" w:sz="8" w:color="0000EE"/>
            </w:tcBorders>
            <w:gridSpan w:val="29"/>
          </w:tcPr>
          <w:p>
            <w:pPr>
              <w:spacing w:after="0"/>
              <w:rPr>
                <w:rFonts w:ascii="Arial" w:cs="Arial" w:eastAsia="Arial" w:hAnsi="Arial"/>
                <w:sz w:val="12"/>
                <w:szCs w:val="12"/>
                <w:color w:val="0000EE"/>
                <w:w w:val="91"/>
              </w:rPr>
            </w:pPr>
            <w:hyperlink r:id="rId145">
              <w:r>
                <w:rPr>
                  <w:rFonts w:ascii="Arial" w:cs="Arial" w:eastAsia="Arial" w:hAnsi="Arial"/>
                  <w:sz w:val="12"/>
                  <w:szCs w:val="12"/>
                  <w:color w:val="0000EE"/>
                  <w:w w:val="91"/>
                </w:rPr>
                <w:t>Third Amendment to Supply Agreement, dated April 11, 2018, by and between MannKind and Amphastar Pharmaceuticals, Inc. (incorporated by reference to Exhibit 10.8 to MannKind’s Quarterly Report on Form 10-Q</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30"/>
          </w:tcPr>
          <w:p>
            <w:pPr>
              <w:spacing w:after="0" w:line="124" w:lineRule="exact"/>
              <w:rPr>
                <w:rFonts w:ascii="Arial" w:cs="Arial" w:eastAsia="Arial" w:hAnsi="Arial"/>
                <w:sz w:val="12"/>
                <w:szCs w:val="12"/>
                <w:color w:val="0000EE"/>
              </w:rPr>
            </w:pPr>
            <w:hyperlink r:id="rId145">
              <w:r>
                <w:rPr>
                  <w:rFonts w:ascii="Arial" w:cs="Arial" w:eastAsia="Arial" w:hAnsi="Arial"/>
                  <w:sz w:val="12"/>
                  <w:szCs w:val="12"/>
                  <w:color w:val="0000EE"/>
                </w:rPr>
                <w:t>(File No. 000-50865), filed with the SEC on May 9, 2018).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10.50**</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rPr>
            </w:pPr>
            <w:hyperlink w:anchor="page104">
              <w:r>
                <w:rPr>
                  <w:rFonts w:ascii="Arial" w:cs="Arial" w:eastAsia="Arial" w:hAnsi="Arial"/>
                  <w:sz w:val="12"/>
                  <w:szCs w:val="12"/>
                  <w:color w:val="0000EE"/>
                </w:rPr>
                <w:t>Fourth Amendment to Supply Agreement, dated December 24, 2018, by and between MannKind and Amphastar Pharmaceuticals,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10.51</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3"/>
              </w:rPr>
            </w:pPr>
            <w:hyperlink r:id="rId146">
              <w:r>
                <w:rPr>
                  <w:rFonts w:ascii="Arial" w:cs="Arial" w:eastAsia="Arial" w:hAnsi="Arial"/>
                  <w:sz w:val="12"/>
                  <w:szCs w:val="12"/>
                  <w:color w:val="0000EE"/>
                  <w:w w:val="93"/>
                </w:rPr>
                <w:t>Sublease Agreement, dated May 1, 2015, by and between MannKind and the Alfred Mann Foundation for Scientific Research (incorporated by reference to Exhibit 10.37 to MannKind’s Annual Report on Form 10-K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1"/>
              </w:rPr>
            </w:pPr>
            <w:hyperlink r:id="rId146">
              <w:r>
                <w:rPr>
                  <w:rFonts w:ascii="Arial" w:cs="Arial" w:eastAsia="Arial" w:hAnsi="Arial"/>
                  <w:sz w:val="12"/>
                  <w:szCs w:val="12"/>
                  <w:color w:val="0000EE"/>
                  <w:w w:val="91"/>
                </w:rPr>
                <w:t>(File No. 000-50865), filed with the SEC on March 15, 2016).</w:t>
              </w:r>
            </w:hyperlink>
          </w:p>
        </w:tc>
        <w:tc>
          <w:tcPr>
            <w:tcW w:w="7380" w:type="dxa"/>
            <w:vAlign w:val="bottom"/>
            <w:tcBorders>
              <w:top w:val="single" w:sz="8" w:color="0000EE"/>
            </w:tcBorders>
            <w:gridSpan w:val="11"/>
          </w:tcPr>
          <w:p>
            <w:pPr>
              <w:spacing w:after="0"/>
              <w:rPr>
                <w:sz w:val="10"/>
                <w:szCs w:val="10"/>
                <w:color w:val="auto"/>
              </w:rPr>
            </w:pPr>
          </w:p>
        </w:tc>
        <w:tc>
          <w:tcPr>
            <w:tcW w:w="20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10.52</w:t>
            </w:r>
          </w:p>
        </w:tc>
        <w:tc>
          <w:tcPr>
            <w:tcW w:w="120" w:type="dxa"/>
            <w:vAlign w:val="bottom"/>
          </w:tcPr>
          <w:p>
            <w:pPr>
              <w:spacing w:after="0"/>
              <w:rPr>
                <w:sz w:val="17"/>
                <w:szCs w:val="17"/>
                <w:color w:val="auto"/>
              </w:rPr>
            </w:pPr>
          </w:p>
        </w:tc>
        <w:tc>
          <w:tcPr>
            <w:tcW w:w="10420" w:type="dxa"/>
            <w:vAlign w:val="bottom"/>
            <w:tcBorders>
              <w:bottom w:val="single" w:sz="8" w:color="0000EE"/>
            </w:tcBorders>
            <w:gridSpan w:val="24"/>
          </w:tcPr>
          <w:p>
            <w:pPr>
              <w:spacing w:after="0"/>
              <w:rPr>
                <w:rFonts w:ascii="Arial" w:cs="Arial" w:eastAsia="Arial" w:hAnsi="Arial"/>
                <w:sz w:val="12"/>
                <w:szCs w:val="12"/>
                <w:color w:val="0000EE"/>
                <w:w w:val="92"/>
              </w:rPr>
            </w:pPr>
            <w:hyperlink r:id="rId147">
              <w:r>
                <w:rPr>
                  <w:rFonts w:ascii="Arial" w:cs="Arial" w:eastAsia="Arial" w:hAnsi="Arial"/>
                  <w:sz w:val="12"/>
                  <w:szCs w:val="12"/>
                  <w:color w:val="0000EE"/>
                  <w:w w:val="92"/>
                </w:rPr>
                <w:t>Office Lease, dated May 5 2017, by and between MannKind and Russell Ranch Road II LLC. (incorporated by reference to Exhibit 10.3 to MannKind’s Quarterly Report on Form 10-Q (file No. 000-50865), filed with</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147">
              <w:r>
                <w:rPr>
                  <w:rFonts w:ascii="Arial" w:cs="Arial" w:eastAsia="Arial" w:hAnsi="Arial"/>
                  <w:sz w:val="12"/>
                  <w:szCs w:val="12"/>
                  <w:color w:val="0000EE"/>
                  <w:w w:val="91"/>
                </w:rPr>
                <w:t>the SEC on August 7, 2017).</w:t>
              </w:r>
            </w:hyperlink>
          </w:p>
        </w:tc>
        <w:tc>
          <w:tcPr>
            <w:tcW w:w="9140" w:type="dxa"/>
            <w:vAlign w:val="bottom"/>
            <w:gridSpan w:val="2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00" w:type="dxa"/>
            <w:vAlign w:val="bottom"/>
            <w:vMerge w:val="restart"/>
          </w:tcPr>
          <w:p>
            <w:pPr>
              <w:spacing w:after="0"/>
              <w:rPr>
                <w:sz w:val="20"/>
                <w:szCs w:val="20"/>
                <w:color w:val="auto"/>
              </w:rPr>
            </w:pPr>
            <w:r>
              <w:rPr>
                <w:rFonts w:ascii="Arial" w:cs="Arial" w:eastAsia="Arial" w:hAnsi="Arial"/>
                <w:sz w:val="12"/>
                <w:szCs w:val="12"/>
                <w:color w:val="auto"/>
              </w:rPr>
              <w:t>10.53</w:t>
            </w:r>
          </w:p>
        </w:tc>
        <w:tc>
          <w:tcPr>
            <w:tcW w:w="120" w:type="dxa"/>
            <w:vAlign w:val="bottom"/>
          </w:tcPr>
          <w:p>
            <w:pPr>
              <w:spacing w:after="0"/>
              <w:rPr>
                <w:sz w:val="13"/>
                <w:szCs w:val="13"/>
                <w:color w:val="auto"/>
              </w:rPr>
            </w:pPr>
          </w:p>
        </w:tc>
        <w:tc>
          <w:tcPr>
            <w:tcW w:w="1300" w:type="dxa"/>
            <w:vAlign w:val="bottom"/>
            <w:gridSpan w:val="2"/>
            <w:vMerge w:val="restart"/>
          </w:tcPr>
          <w:p>
            <w:pPr>
              <w:spacing w:after="0"/>
              <w:rPr>
                <w:rFonts w:ascii="Arial" w:cs="Arial" w:eastAsia="Arial" w:hAnsi="Arial"/>
                <w:sz w:val="12"/>
                <w:szCs w:val="12"/>
                <w:color w:val="0000EE"/>
                <w:w w:val="93"/>
              </w:rPr>
            </w:pPr>
            <w:hyperlink r:id="rId148">
              <w:r>
                <w:rPr>
                  <w:rFonts w:ascii="Arial" w:cs="Arial" w:eastAsia="Arial" w:hAnsi="Arial"/>
                  <w:sz w:val="12"/>
                  <w:szCs w:val="12"/>
                  <w:color w:val="0000EE"/>
                  <w:w w:val="93"/>
                </w:rPr>
                <w:t>Controlled Equity Offering</w:t>
              </w:r>
            </w:hyperlink>
          </w:p>
        </w:tc>
        <w:tc>
          <w:tcPr>
            <w:tcW w:w="100" w:type="dxa"/>
            <w:vAlign w:val="bottom"/>
            <w:tcBorders>
              <w:bottom w:val="single" w:sz="8" w:color="0000EE"/>
            </w:tcBorders>
            <w:gridSpan w:val="2"/>
          </w:tcPr>
          <w:p>
            <w:pPr>
              <w:spacing w:after="0"/>
              <w:rPr>
                <w:sz w:val="20"/>
                <w:szCs w:val="20"/>
                <w:color w:val="auto"/>
              </w:rPr>
            </w:pPr>
            <w:r>
              <w:rPr>
                <w:rFonts w:ascii="Arial" w:cs="Arial" w:eastAsia="Arial" w:hAnsi="Arial"/>
                <w:sz w:val="7"/>
                <w:szCs w:val="7"/>
                <w:color w:val="0000EE"/>
                <w:w w:val="75"/>
              </w:rPr>
              <w:t>SM</w:t>
            </w:r>
          </w:p>
        </w:tc>
        <w:tc>
          <w:tcPr>
            <w:tcW w:w="9080" w:type="dxa"/>
            <w:vAlign w:val="bottom"/>
            <w:gridSpan w:val="23"/>
            <w:vMerge w:val="restart"/>
          </w:tcPr>
          <w:p>
            <w:pPr>
              <w:ind w:left="20"/>
              <w:spacing w:after="0"/>
              <w:rPr>
                <w:rFonts w:ascii="Arial" w:cs="Arial" w:eastAsia="Arial" w:hAnsi="Arial"/>
                <w:sz w:val="12"/>
                <w:szCs w:val="12"/>
                <w:color w:val="0000EE"/>
                <w:w w:val="91"/>
              </w:rPr>
            </w:pPr>
            <w:hyperlink r:id="rId148">
              <w:r>
                <w:rPr>
                  <w:rFonts w:ascii="Arial" w:cs="Arial" w:eastAsia="Arial" w:hAnsi="Arial"/>
                  <w:sz w:val="12"/>
                  <w:szCs w:val="12"/>
                  <w:color w:val="0000EE"/>
                  <w:w w:val="91"/>
                </w:rPr>
                <w:t>Sales Agreement, by and between MannKind and Cantor Fitzgerald &amp; Co., dated February 27, 2018 (incorporated by reference to Exhibit 10.47 to MannKind’s Annual Report on Form 10-</w:t>
              </w:r>
            </w:hyperlink>
          </w:p>
        </w:tc>
        <w:tc>
          <w:tcPr>
            <w:tcW w:w="80" w:type="dxa"/>
            <w:vAlign w:val="bottom"/>
            <w:gridSpan w:val="3"/>
            <w:vMerge w:val="restart"/>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0000EE"/>
            </w:tcBorders>
            <w:gridSpan w:val="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9080" w:type="dxa"/>
            <w:vAlign w:val="bottom"/>
            <w:tcBorders>
              <w:bottom w:val="single" w:sz="8" w:color="0000EE"/>
            </w:tcBorders>
            <w:gridSpan w:val="2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20" w:type="dxa"/>
            <w:vAlign w:val="bottom"/>
            <w:tcBorders>
              <w:bottom w:val="single" w:sz="8" w:color="0000EE"/>
            </w:tcBorders>
            <w:gridSpan w:val="12"/>
          </w:tcPr>
          <w:p>
            <w:pPr>
              <w:spacing w:after="0" w:line="124" w:lineRule="exact"/>
              <w:rPr>
                <w:rFonts w:ascii="Arial" w:cs="Arial" w:eastAsia="Arial" w:hAnsi="Arial"/>
                <w:sz w:val="12"/>
                <w:szCs w:val="12"/>
                <w:color w:val="0000EE"/>
                <w:w w:val="91"/>
              </w:rPr>
            </w:pPr>
            <w:hyperlink r:id="rId148">
              <w:r>
                <w:rPr>
                  <w:rFonts w:ascii="Arial" w:cs="Arial" w:eastAsia="Arial" w:hAnsi="Arial"/>
                  <w:sz w:val="12"/>
                  <w:szCs w:val="12"/>
                  <w:color w:val="0000EE"/>
                  <w:w w:val="91"/>
                </w:rPr>
                <w:t>K (File No. 000-50865), filed with the SEC on February 27, 2018).</w:t>
              </w:r>
            </w:hyperlink>
          </w:p>
        </w:tc>
        <w:tc>
          <w:tcPr>
            <w:tcW w:w="7340" w:type="dxa"/>
            <w:vAlign w:val="bottom"/>
            <w:gridSpan w:val="1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10.54**</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w w:val="91"/>
              </w:rPr>
            </w:pPr>
            <w:hyperlink r:id="rId149">
              <w:r>
                <w:rPr>
                  <w:rFonts w:ascii="Arial" w:cs="Arial" w:eastAsia="Arial" w:hAnsi="Arial"/>
                  <w:sz w:val="12"/>
                  <w:szCs w:val="12"/>
                  <w:color w:val="0000EE"/>
                  <w:w w:val="91"/>
                </w:rPr>
                <w:t>License and Collaboration Agreement, dated September 3, 2018 by and between MannKind and United Therapeutics Corporation (incorporated by reference to Exhibit 10.8 to MannKind’s Quarterly Report on Form 10-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00" w:type="dxa"/>
            <w:vAlign w:val="bottom"/>
            <w:tcBorders>
              <w:top w:val="single" w:sz="8" w:color="0000EE"/>
            </w:tcBorders>
            <w:gridSpan w:val="28"/>
          </w:tcPr>
          <w:p>
            <w:pPr>
              <w:spacing w:after="0" w:line="124" w:lineRule="exact"/>
              <w:rPr>
                <w:rFonts w:ascii="Arial" w:cs="Arial" w:eastAsia="Arial" w:hAnsi="Arial"/>
                <w:sz w:val="12"/>
                <w:szCs w:val="12"/>
                <w:color w:val="0000EE"/>
              </w:rPr>
            </w:pPr>
            <w:hyperlink r:id="rId149">
              <w:r>
                <w:rPr>
                  <w:rFonts w:ascii="Arial" w:cs="Arial" w:eastAsia="Arial" w:hAnsi="Arial"/>
                  <w:sz w:val="12"/>
                  <w:szCs w:val="12"/>
                  <w:color w:val="0000EE"/>
                </w:rPr>
                <w:t>Q (file No. 000-50865), filed with the SEC on November 1, 2018).</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10.55**</w:t>
            </w:r>
          </w:p>
        </w:tc>
        <w:tc>
          <w:tcPr>
            <w:tcW w:w="120" w:type="dxa"/>
            <w:vAlign w:val="bottom"/>
          </w:tcPr>
          <w:p>
            <w:pPr>
              <w:spacing w:after="0"/>
              <w:rPr>
                <w:sz w:val="17"/>
                <w:szCs w:val="17"/>
                <w:color w:val="auto"/>
              </w:rPr>
            </w:pPr>
          </w:p>
        </w:tc>
        <w:tc>
          <w:tcPr>
            <w:tcW w:w="10460" w:type="dxa"/>
            <w:vAlign w:val="bottom"/>
            <w:tcBorders>
              <w:bottom w:val="single" w:sz="8" w:color="0000EE"/>
            </w:tcBorders>
            <w:gridSpan w:val="26"/>
          </w:tcPr>
          <w:p>
            <w:pPr>
              <w:spacing w:after="0"/>
              <w:rPr>
                <w:rFonts w:ascii="Arial" w:cs="Arial" w:eastAsia="Arial" w:hAnsi="Arial"/>
                <w:sz w:val="12"/>
                <w:szCs w:val="12"/>
                <w:color w:val="0000EE"/>
                <w:w w:val="91"/>
              </w:rPr>
            </w:pPr>
            <w:hyperlink r:id="rId150">
              <w:r>
                <w:rPr>
                  <w:rFonts w:ascii="Arial" w:cs="Arial" w:eastAsia="Arial" w:hAnsi="Arial"/>
                  <w:sz w:val="12"/>
                  <w:szCs w:val="12"/>
                  <w:color w:val="0000EE"/>
                  <w:w w:val="91"/>
                </w:rPr>
                <w:t>Research Agreement, dated September 3, 2018 by and between MannKind and United Therapeutics Corporation (incorporated by reference to Exhibit 10.9 to MannKind’s Quarterly Report on Form 10-Q (file No. 000-</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560" w:type="dxa"/>
            <w:vAlign w:val="bottom"/>
            <w:gridSpan w:val="30"/>
          </w:tcPr>
          <w:p>
            <w:pPr>
              <w:spacing w:after="0" w:line="124" w:lineRule="exact"/>
              <w:rPr>
                <w:rFonts w:ascii="Arial" w:cs="Arial" w:eastAsia="Arial" w:hAnsi="Arial"/>
                <w:sz w:val="12"/>
                <w:szCs w:val="12"/>
                <w:color w:val="0000EE"/>
              </w:rPr>
            </w:pPr>
            <w:hyperlink r:id="rId150">
              <w:r>
                <w:rPr>
                  <w:rFonts w:ascii="Arial" w:cs="Arial" w:eastAsia="Arial" w:hAnsi="Arial"/>
                  <w:sz w:val="12"/>
                  <w:szCs w:val="12"/>
                  <w:color w:val="0000EE"/>
                </w:rPr>
                <w:t>50865)</w:t>
              </w:r>
              <w:r>
                <w:rPr>
                  <w:rFonts w:ascii="Arial" w:cs="Arial" w:eastAsia="Arial" w:hAnsi="Arial"/>
                  <w:sz w:val="12"/>
                  <w:szCs w:val="12"/>
                  <w:u w:val="single" w:color="auto"/>
                  <w:color w:val="0000EE"/>
                </w:rPr>
                <w:t>,</w:t>
              </w:r>
              <w:r>
                <w:rPr>
                  <w:rFonts w:ascii="Arial" w:cs="Arial" w:eastAsia="Arial" w:hAnsi="Arial"/>
                  <w:sz w:val="12"/>
                  <w:szCs w:val="12"/>
                  <w:color w:val="0000EE"/>
                </w:rPr>
                <w:t xml:space="preserve"> filed with the SEC on November 1, 2018).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6"/>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6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23.1</w:t>
            </w:r>
          </w:p>
        </w:tc>
        <w:tc>
          <w:tcPr>
            <w:tcW w:w="120" w:type="dxa"/>
            <w:vAlign w:val="bottom"/>
          </w:tcPr>
          <w:p>
            <w:pPr>
              <w:spacing w:after="0"/>
              <w:rPr>
                <w:sz w:val="17"/>
                <w:szCs w:val="17"/>
                <w:color w:val="auto"/>
              </w:rPr>
            </w:pPr>
          </w:p>
        </w:tc>
        <w:tc>
          <w:tcPr>
            <w:tcW w:w="10560" w:type="dxa"/>
            <w:vAlign w:val="bottom"/>
            <w:gridSpan w:val="30"/>
          </w:tcPr>
          <w:p>
            <w:pPr>
              <w:spacing w:after="0"/>
              <w:rPr>
                <w:rFonts w:ascii="Arial" w:cs="Arial" w:eastAsia="Arial" w:hAnsi="Arial"/>
                <w:sz w:val="12"/>
                <w:szCs w:val="12"/>
                <w:color w:val="0000EE"/>
              </w:rPr>
            </w:pPr>
            <w:hyperlink w:anchor="page107">
              <w:r>
                <w:rPr>
                  <w:rFonts w:ascii="Arial" w:cs="Arial" w:eastAsia="Arial" w:hAnsi="Arial"/>
                  <w:sz w:val="12"/>
                  <w:szCs w:val="12"/>
                  <w:color w:val="0000EE"/>
                </w:rPr>
                <w:t>Consent of Independent Registered Public Accounting Firm.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0000EE"/>
            </w:tcBorders>
            <w:gridSpan w:val="8"/>
          </w:tcPr>
          <w:p>
            <w:pPr>
              <w:spacing w:after="0"/>
              <w:rPr>
                <w:sz w:val="24"/>
                <w:szCs w:val="24"/>
                <w:color w:val="auto"/>
              </w:rPr>
            </w:pPr>
          </w:p>
        </w:tc>
        <w:tc>
          <w:tcPr>
            <w:tcW w:w="2020" w:type="dxa"/>
            <w:vAlign w:val="bottom"/>
            <w:gridSpan w:val="7"/>
          </w:tcPr>
          <w:p>
            <w:pPr>
              <w:jc w:val="right"/>
              <w:spacing w:after="0"/>
              <w:rPr>
                <w:sz w:val="20"/>
                <w:szCs w:val="20"/>
                <w:color w:val="auto"/>
              </w:rPr>
            </w:pPr>
            <w:r>
              <w:rPr>
                <w:rFonts w:ascii="Arial" w:cs="Arial" w:eastAsia="Arial" w:hAnsi="Arial"/>
                <w:sz w:val="12"/>
                <w:szCs w:val="12"/>
                <w:color w:val="auto"/>
              </w:rPr>
              <w:t>58</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34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55" w:right="179" w:bottom="1440" w:gutter="0" w:footer="0" w:header="0"/>
        </w:sectPr>
      </w:pPr>
    </w:p>
    <w:bookmarkStart w:id="61" w:name="page62"/>
    <w:bookmarkEnd w:id="61"/>
    <w:tbl>
      <w:tblPr>
        <w:tblLayout w:type="fixed"/>
        <w:tblInd w:w="8" w:type="dxa"/>
        <w:tblCellMar>
          <w:top w:w="0" w:type="dxa"/>
          <w:left w:w="0" w:type="dxa"/>
          <w:bottom w:w="0" w:type="dxa"/>
          <w:right w:w="0" w:type="dxa"/>
        </w:tblCellMar>
      </w:tblPr>
      <w:tr>
        <w:trPr>
          <w:trHeight w:val="115"/>
        </w:trPr>
        <w:tc>
          <w:tcPr>
            <w:tcW w:w="92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7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12"/>
        </w:trPr>
        <w:tc>
          <w:tcPr>
            <w:tcW w:w="920" w:type="dxa"/>
            <w:vAlign w:val="bottom"/>
            <w:gridSpan w:val="2"/>
          </w:tcPr>
          <w:p>
            <w:pPr>
              <w:spacing w:after="0" w:line="112" w:lineRule="exact"/>
              <w:rPr>
                <w:sz w:val="20"/>
                <w:szCs w:val="20"/>
                <w:color w:val="auto"/>
              </w:rPr>
            </w:pPr>
            <w:r>
              <w:rPr>
                <w:rFonts w:ascii="Arial" w:cs="Arial" w:eastAsia="Arial" w:hAnsi="Arial"/>
                <w:sz w:val="10"/>
                <w:szCs w:val="10"/>
                <w:color w:val="auto"/>
              </w:rPr>
              <w:t>Number</w:t>
            </w:r>
          </w:p>
        </w:tc>
        <w:tc>
          <w:tcPr>
            <w:tcW w:w="720" w:type="dxa"/>
            <w:vAlign w:val="bottom"/>
          </w:tcPr>
          <w:p>
            <w:pPr>
              <w:spacing w:after="0"/>
              <w:rPr>
                <w:sz w:val="9"/>
                <w:szCs w:val="9"/>
                <w:color w:val="auto"/>
              </w:rPr>
            </w:pPr>
          </w:p>
        </w:tc>
        <w:tc>
          <w:tcPr>
            <w:tcW w:w="9840" w:type="dxa"/>
            <w:vAlign w:val="bottom"/>
            <w:gridSpan w:val="5"/>
          </w:tcPr>
          <w:p>
            <w:pPr>
              <w:ind w:left="4100"/>
              <w:spacing w:after="0" w:line="112" w:lineRule="exact"/>
              <w:rPr>
                <w:sz w:val="20"/>
                <w:szCs w:val="20"/>
                <w:color w:val="auto"/>
              </w:rPr>
            </w:pPr>
            <w:r>
              <w:rPr>
                <w:rFonts w:ascii="Arial" w:cs="Arial" w:eastAsia="Arial" w:hAnsi="Arial"/>
                <w:sz w:val="10"/>
                <w:szCs w:val="10"/>
                <w:color w:val="auto"/>
              </w:rPr>
              <w:t>Description of Document</w:t>
            </w:r>
          </w:p>
        </w:tc>
      </w:tr>
      <w:tr>
        <w:trPr>
          <w:trHeight w:val="187"/>
        </w:trPr>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31.1</w:t>
            </w:r>
          </w:p>
        </w:tc>
        <w:tc>
          <w:tcPr>
            <w:tcW w:w="120" w:type="dxa"/>
            <w:vAlign w:val="bottom"/>
          </w:tcPr>
          <w:p>
            <w:pPr>
              <w:spacing w:after="0"/>
              <w:rPr>
                <w:sz w:val="16"/>
                <w:szCs w:val="16"/>
                <w:color w:val="auto"/>
              </w:rPr>
            </w:pPr>
          </w:p>
        </w:tc>
        <w:tc>
          <w:tcPr>
            <w:tcW w:w="10560" w:type="dxa"/>
            <w:vAlign w:val="bottom"/>
            <w:tcBorders>
              <w:top w:val="single" w:sz="8" w:color="auto"/>
            </w:tcBorders>
            <w:gridSpan w:val="6"/>
          </w:tcPr>
          <w:p>
            <w:pPr>
              <w:spacing w:after="0"/>
              <w:rPr>
                <w:rFonts w:ascii="Arial" w:cs="Arial" w:eastAsia="Arial" w:hAnsi="Arial"/>
                <w:sz w:val="12"/>
                <w:szCs w:val="12"/>
                <w:color w:val="0000EE"/>
              </w:rPr>
            </w:pPr>
            <w:hyperlink w:anchor="page108">
              <w:r>
                <w:rPr>
                  <w:rFonts w:ascii="Arial" w:cs="Arial" w:eastAsia="Arial" w:hAnsi="Arial"/>
                  <w:sz w:val="12"/>
                  <w:szCs w:val="12"/>
                  <w:color w:val="0000EE"/>
                </w:rPr>
                <w:t>Certification of the Chief Executive Officer pursuant to Rules 13a-14(a) and 15d-14(a) of the Securities Exchange Act of 1934, as amended.</w:t>
              </w:r>
            </w:hyperlink>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31.2</w:t>
            </w:r>
          </w:p>
        </w:tc>
        <w:tc>
          <w:tcPr>
            <w:tcW w:w="12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2"/>
          </w:tcPr>
          <w:p>
            <w:pPr>
              <w:spacing w:after="0"/>
              <w:rPr>
                <w:rFonts w:ascii="Arial" w:cs="Arial" w:eastAsia="Arial" w:hAnsi="Arial"/>
                <w:sz w:val="12"/>
                <w:szCs w:val="12"/>
                <w:color w:val="0000EE"/>
                <w:w w:val="90"/>
              </w:rPr>
            </w:pPr>
            <w:hyperlink w:anchor="page109">
              <w:r>
                <w:rPr>
                  <w:rFonts w:ascii="Arial" w:cs="Arial" w:eastAsia="Arial" w:hAnsi="Arial"/>
                  <w:sz w:val="12"/>
                  <w:szCs w:val="12"/>
                  <w:color w:val="0000EE"/>
                  <w:w w:val="90"/>
                </w:rPr>
                <w:t>Certification of the Chief Financial Officer pursuant to Rules 13a-14(a) and 15d-14(a) of the Securities Exchange Act of 1934, as amended.</w:t>
              </w:r>
            </w:hyperlink>
          </w:p>
        </w:tc>
        <w:tc>
          <w:tcPr>
            <w:tcW w:w="20" w:type="dxa"/>
            <w:vAlign w:val="bottom"/>
            <w:tcBorders>
              <w:top w:val="single" w:sz="8" w:color="0000EE"/>
            </w:tcBorders>
          </w:tcPr>
          <w:p>
            <w:pPr>
              <w:spacing w:after="0"/>
              <w:rPr>
                <w:sz w:val="17"/>
                <w:szCs w:val="17"/>
                <w:color w:val="auto"/>
              </w:rPr>
            </w:pPr>
          </w:p>
        </w:tc>
        <w:tc>
          <w:tcPr>
            <w:tcW w:w="3840" w:type="dxa"/>
            <w:vAlign w:val="bottom"/>
            <w:gridSpan w:val="3"/>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32.1</w:t>
            </w:r>
          </w:p>
        </w:tc>
        <w:tc>
          <w:tcPr>
            <w:tcW w:w="120" w:type="dxa"/>
            <w:vAlign w:val="bottom"/>
          </w:tcPr>
          <w:p>
            <w:pPr>
              <w:spacing w:after="0"/>
              <w:rPr>
                <w:sz w:val="17"/>
                <w:szCs w:val="17"/>
                <w:color w:val="auto"/>
              </w:rPr>
            </w:pPr>
          </w:p>
        </w:tc>
        <w:tc>
          <w:tcPr>
            <w:tcW w:w="10260" w:type="dxa"/>
            <w:vAlign w:val="bottom"/>
            <w:tcBorders>
              <w:bottom w:val="single" w:sz="8" w:color="0000EE"/>
            </w:tcBorders>
            <w:gridSpan w:val="5"/>
          </w:tcPr>
          <w:p>
            <w:pPr>
              <w:spacing w:after="0"/>
              <w:rPr>
                <w:rFonts w:ascii="Arial" w:cs="Arial" w:eastAsia="Arial" w:hAnsi="Arial"/>
                <w:sz w:val="12"/>
                <w:szCs w:val="12"/>
                <w:color w:val="0000EE"/>
                <w:w w:val="90"/>
              </w:rPr>
            </w:pPr>
            <w:hyperlink w:anchor="page110">
              <w:r>
                <w:rPr>
                  <w:rFonts w:ascii="Arial" w:cs="Arial" w:eastAsia="Arial" w:hAnsi="Arial"/>
                  <w:sz w:val="12"/>
                  <w:szCs w:val="12"/>
                  <w:color w:val="0000EE"/>
                  <w:w w:val="90"/>
                </w:rPr>
                <w:t>Certification of the Chief Executive Officer pursuant to Rules 13a-14(b) and 15d-14(b) of the Securities Exchange Act of 1934, as amended and Section 1350 of Chapter 63 of Title 18 of the United States Code (18</w:t>
              </w:r>
            </w:hyperlink>
          </w:p>
        </w:tc>
        <w:tc>
          <w:tcPr>
            <w:tcW w:w="300" w:type="dxa"/>
            <w:vAlign w:val="bottom"/>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0000EE"/>
            </w:tcBorders>
          </w:tcPr>
          <w:p>
            <w:pPr>
              <w:spacing w:after="0" w:line="124" w:lineRule="exact"/>
              <w:rPr>
                <w:rFonts w:ascii="Arial" w:cs="Arial" w:eastAsia="Arial" w:hAnsi="Arial"/>
                <w:sz w:val="12"/>
                <w:szCs w:val="12"/>
                <w:color w:val="0000EE"/>
                <w:w w:val="88"/>
              </w:rPr>
            </w:pPr>
            <w:hyperlink w:anchor="page110">
              <w:r>
                <w:rPr>
                  <w:rFonts w:ascii="Arial" w:cs="Arial" w:eastAsia="Arial" w:hAnsi="Arial"/>
                  <w:sz w:val="12"/>
                  <w:szCs w:val="12"/>
                  <w:color w:val="0000EE"/>
                  <w:w w:val="88"/>
                </w:rPr>
                <w:t>U.S.C. §1350).</w:t>
              </w:r>
            </w:hyperlink>
          </w:p>
        </w:tc>
        <w:tc>
          <w:tcPr>
            <w:tcW w:w="9840" w:type="dxa"/>
            <w:vAlign w:val="bottom"/>
            <w:gridSpan w:val="5"/>
          </w:tcPr>
          <w:p>
            <w:pPr>
              <w:spacing w:after="0"/>
              <w:rPr>
                <w:sz w:val="10"/>
                <w:szCs w:val="10"/>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2"/>
                <w:szCs w:val="12"/>
                <w:color w:val="auto"/>
              </w:rPr>
              <w:t>32.2</w:t>
            </w:r>
          </w:p>
        </w:tc>
        <w:tc>
          <w:tcPr>
            <w:tcW w:w="120" w:type="dxa"/>
            <w:vAlign w:val="bottom"/>
          </w:tcPr>
          <w:p>
            <w:pPr>
              <w:spacing w:after="0"/>
              <w:rPr>
                <w:sz w:val="17"/>
                <w:szCs w:val="17"/>
                <w:color w:val="auto"/>
              </w:rPr>
            </w:pPr>
          </w:p>
        </w:tc>
        <w:tc>
          <w:tcPr>
            <w:tcW w:w="10220" w:type="dxa"/>
            <w:vAlign w:val="bottom"/>
            <w:tcBorders>
              <w:bottom w:val="single" w:sz="8" w:color="0000EE"/>
            </w:tcBorders>
            <w:gridSpan w:val="4"/>
          </w:tcPr>
          <w:p>
            <w:pPr>
              <w:spacing w:after="0"/>
              <w:rPr>
                <w:rFonts w:ascii="Arial" w:cs="Arial" w:eastAsia="Arial" w:hAnsi="Arial"/>
                <w:sz w:val="12"/>
                <w:szCs w:val="12"/>
                <w:color w:val="0000EE"/>
                <w:w w:val="90"/>
              </w:rPr>
            </w:pPr>
            <w:hyperlink w:anchor="page111">
              <w:r>
                <w:rPr>
                  <w:rFonts w:ascii="Arial" w:cs="Arial" w:eastAsia="Arial" w:hAnsi="Arial"/>
                  <w:sz w:val="12"/>
                  <w:szCs w:val="12"/>
                  <w:color w:val="0000EE"/>
                  <w:w w:val="90"/>
                </w:rPr>
                <w:t>Certification of the Chief Financial Officer pursuant to Rules 13a-14(b) and 15d-14(b) of the Securities Exchange Act of 1934, as amended and Section 1350 of Chapter 63 of Title 18 of the United States Code (18</w:t>
              </w:r>
            </w:hyperlink>
          </w:p>
        </w:tc>
        <w:tc>
          <w:tcPr>
            <w:tcW w:w="340" w:type="dxa"/>
            <w:vAlign w:val="bottom"/>
            <w:gridSpan w:val="2"/>
          </w:tcPr>
          <w:p>
            <w:pPr>
              <w:spacing w:after="0"/>
              <w:rPr>
                <w:sz w:val="17"/>
                <w:szCs w:val="17"/>
                <w:color w:val="auto"/>
              </w:rPr>
            </w:pPr>
          </w:p>
        </w:tc>
      </w:tr>
      <w:tr>
        <w:trPr>
          <w:trHeight w:val="124"/>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0000EE"/>
            </w:tcBorders>
          </w:tcPr>
          <w:p>
            <w:pPr>
              <w:spacing w:after="0" w:line="124" w:lineRule="exact"/>
              <w:rPr>
                <w:rFonts w:ascii="Arial" w:cs="Arial" w:eastAsia="Arial" w:hAnsi="Arial"/>
                <w:sz w:val="12"/>
                <w:szCs w:val="12"/>
                <w:color w:val="0000EE"/>
                <w:w w:val="88"/>
              </w:rPr>
            </w:pPr>
            <w:hyperlink w:anchor="page111">
              <w:r>
                <w:rPr>
                  <w:rFonts w:ascii="Arial" w:cs="Arial" w:eastAsia="Arial" w:hAnsi="Arial"/>
                  <w:sz w:val="12"/>
                  <w:szCs w:val="12"/>
                  <w:color w:val="0000EE"/>
                  <w:w w:val="88"/>
                </w:rPr>
                <w:t>U.S.C. §1350).</w:t>
              </w:r>
            </w:hyperlink>
          </w:p>
        </w:tc>
        <w:tc>
          <w:tcPr>
            <w:tcW w:w="9840" w:type="dxa"/>
            <w:vAlign w:val="bottom"/>
            <w:gridSpan w:val="5"/>
          </w:tcPr>
          <w:p>
            <w:pPr>
              <w:spacing w:after="0"/>
              <w:rPr>
                <w:sz w:val="10"/>
                <w:szCs w:val="10"/>
                <w:color w:val="auto"/>
              </w:rPr>
            </w:pPr>
          </w:p>
        </w:tc>
      </w:tr>
      <w:tr>
        <w:trPr>
          <w:trHeight w:val="295"/>
        </w:trPr>
        <w:tc>
          <w:tcPr>
            <w:tcW w:w="800" w:type="dxa"/>
            <w:vAlign w:val="bottom"/>
          </w:tcPr>
          <w:p>
            <w:pPr>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24"/>
                <w:szCs w:val="24"/>
                <w:color w:val="auto"/>
              </w:rPr>
            </w:pPr>
          </w:p>
        </w:tc>
        <w:tc>
          <w:tcPr>
            <w:tcW w:w="10560" w:type="dxa"/>
            <w:vAlign w:val="bottom"/>
            <w:gridSpan w:val="6"/>
          </w:tcPr>
          <w:p>
            <w:pPr>
              <w:spacing w:after="0"/>
              <w:rPr>
                <w:sz w:val="20"/>
                <w:szCs w:val="20"/>
                <w:color w:val="auto"/>
              </w:rPr>
            </w:pPr>
            <w:r>
              <w:rPr>
                <w:rFonts w:ascii="Arial" w:cs="Arial" w:eastAsia="Arial" w:hAnsi="Arial"/>
                <w:sz w:val="12"/>
                <w:szCs w:val="12"/>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97294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3">
                      <a:extLst>
                        <a:ext uri="{28A0092B-C50C-407E-A947-70E740481C1C}"/>
                      </a:extLst>
                    </a:blip>
                    <a:srcRect/>
                    <a:stretch>
                      <a:fillRect/>
                    </a:stretch>
                  </pic:blipFill>
                  <pic:spPr bwMode="auto">
                    <a:xfrm>
                      <a:off x="0" y="0"/>
                      <a:ext cx="1972945" cy="5715"/>
                    </a:xfrm>
                    <a:prstGeom prst="rect">
                      <a:avLst/>
                    </a:prstGeom>
                    <a:noFill/>
                  </pic:spPr>
                </pic:pic>
              </a:graphicData>
            </a:graphic>
          </wp:anchor>
        </w:drawing>
      </w:r>
    </w:p>
    <w:p>
      <w:pPr>
        <w:spacing w:after="0" w:line="142" w:lineRule="exact"/>
        <w:rPr>
          <w:sz w:val="20"/>
          <w:szCs w:val="20"/>
          <w:color w:val="auto"/>
        </w:rPr>
      </w:pPr>
    </w:p>
    <w:p>
      <w:pPr>
        <w:ind w:left="488" w:hanging="488"/>
        <w:spacing w:after="0"/>
        <w:tabs>
          <w:tab w:leader="none" w:pos="488"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15" w:lineRule="exact"/>
        <w:rPr>
          <w:sz w:val="20"/>
          <w:szCs w:val="20"/>
          <w:color w:val="auto"/>
        </w:rPr>
      </w:pPr>
    </w:p>
    <w:p>
      <w:pPr>
        <w:ind w:left="5688" w:right="4020" w:hanging="5688"/>
        <w:spacing w:after="0" w:line="793" w:lineRule="auto"/>
        <w:tabs>
          <w:tab w:leader="none" w:pos="492"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Confidential treatment has been granted with respect to certain portions of this exhibit. Omitted portions have been filed separately with the SEC.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3291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55" w:right="19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MANNKIND CORPORATION</w:t>
      </w:r>
    </w:p>
    <w:p>
      <w:pPr>
        <w:spacing w:after="0" w:line="168" w:lineRule="exact"/>
        <w:rPr>
          <w:sz w:val="20"/>
          <w:szCs w:val="20"/>
          <w:color w:val="auto"/>
        </w:rPr>
      </w:pPr>
    </w:p>
    <w:tbl>
      <w:tblPr>
        <w:tblLayout w:type="fixed"/>
        <w:tblInd w:w="5740" w:type="dxa"/>
        <w:tblCellMar>
          <w:top w:w="0" w:type="dxa"/>
          <w:left w:w="0" w:type="dxa"/>
          <w:bottom w:w="0" w:type="dxa"/>
          <w:right w:w="0" w:type="dxa"/>
        </w:tblCellMar>
      </w:tblPr>
      <w:tr>
        <w:trPr>
          <w:trHeight w:val="153"/>
        </w:trPr>
        <w:tc>
          <w:tcPr>
            <w:tcW w:w="860" w:type="dxa"/>
            <w:vAlign w:val="bottom"/>
          </w:tcPr>
          <w:p>
            <w:pPr>
              <w:spacing w:after="0"/>
              <w:rPr>
                <w:sz w:val="20"/>
                <w:szCs w:val="20"/>
                <w:color w:val="auto"/>
              </w:rPr>
            </w:pPr>
            <w:r>
              <w:rPr>
                <w:rFonts w:ascii="Arial" w:cs="Arial" w:eastAsia="Arial" w:hAnsi="Arial"/>
                <w:sz w:val="12"/>
                <w:szCs w:val="12"/>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E. Castagna</w:t>
            </w:r>
          </w:p>
        </w:tc>
      </w:tr>
      <w:tr>
        <w:trPr>
          <w:trHeight w:val="151"/>
        </w:trPr>
        <w:tc>
          <w:tcPr>
            <w:tcW w:w="86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2"/>
                <w:szCs w:val="12"/>
                <w:color w:val="auto"/>
              </w:rPr>
              <w:t>Michael E. Castagna</w:t>
            </w:r>
          </w:p>
        </w:tc>
      </w:tr>
      <w:tr>
        <w:trPr>
          <w:trHeight w:val="162"/>
        </w:trPr>
        <w:tc>
          <w:tcPr>
            <w:tcW w:w="86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pacing w:after="0" w:line="10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Dated: February 26, 2019</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right="120" w:firstLine="488"/>
        <w:spacing w:after="0" w:line="257" w:lineRule="auto"/>
        <w:rPr>
          <w:sz w:val="20"/>
          <w:szCs w:val="20"/>
          <w:color w:val="auto"/>
        </w:rPr>
      </w:pPr>
      <w:r>
        <w:rPr>
          <w:rFonts w:ascii="Arial" w:cs="Arial" w:eastAsia="Arial" w:hAnsi="Arial"/>
          <w:sz w:val="12"/>
          <w:szCs w:val="12"/>
          <w:color w:val="auto"/>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0" w:type="dxa"/>
            <w:vAlign w:val="bottom"/>
            <w:tcBorders>
              <w:bottom w:val="single" w:sz="8" w:color="auto"/>
            </w:tcBorders>
          </w:tcPr>
          <w:p>
            <w:pPr>
              <w:ind w:left="1800"/>
              <w:spacing w:after="0"/>
              <w:rPr>
                <w:sz w:val="20"/>
                <w:szCs w:val="20"/>
                <w:color w:val="auto"/>
              </w:rPr>
            </w:pPr>
            <w:r>
              <w:rPr>
                <w:rFonts w:ascii="Arial" w:cs="Arial" w:eastAsia="Arial" w:hAnsi="Arial"/>
                <w:sz w:val="10"/>
                <w:szCs w:val="10"/>
                <w:b w:val="1"/>
                <w:bCs w:val="1"/>
                <w:color w:val="auto"/>
              </w:rPr>
              <w:t>Signature</w:t>
            </w:r>
          </w:p>
        </w:tc>
        <w:tc>
          <w:tcPr>
            <w:tcW w:w="260" w:type="dxa"/>
            <w:vAlign w:val="bottom"/>
          </w:tcPr>
          <w:p>
            <w:pPr>
              <w:spacing w:after="0"/>
              <w:rPr>
                <w:sz w:val="10"/>
                <w:szCs w:val="10"/>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Title</w:t>
            </w:r>
          </w:p>
        </w:tc>
        <w:tc>
          <w:tcPr>
            <w:tcW w:w="240" w:type="dxa"/>
            <w:vAlign w:val="bottom"/>
          </w:tcPr>
          <w:p>
            <w:pPr>
              <w:spacing w:after="0"/>
              <w:rPr>
                <w:sz w:val="10"/>
                <w:szCs w:val="1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20" w:type="dxa"/>
            <w:vAlign w:val="bottom"/>
          </w:tcPr>
          <w:p>
            <w:pPr>
              <w:spacing w:after="0"/>
              <w:rPr>
                <w:sz w:val="10"/>
                <w:szCs w:val="10"/>
                <w:color w:val="auto"/>
              </w:rPr>
            </w:pPr>
          </w:p>
        </w:tc>
      </w:tr>
      <w:tr>
        <w:trPr>
          <w:trHeight w:val="295"/>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E. Castagna</w:t>
            </w:r>
          </w:p>
        </w:tc>
        <w:tc>
          <w:tcPr>
            <w:tcW w:w="260" w:type="dxa"/>
            <w:vAlign w:val="bottom"/>
          </w:tcPr>
          <w:p>
            <w:pPr>
              <w:spacing w:after="0"/>
              <w:rPr>
                <w:sz w:val="24"/>
                <w:szCs w:val="24"/>
                <w:color w:val="auto"/>
              </w:rPr>
            </w:pPr>
          </w:p>
        </w:tc>
        <w:tc>
          <w:tcPr>
            <w:tcW w:w="5160" w:type="dxa"/>
            <w:vAlign w:val="bottom"/>
            <w:gridSpan w:val="2"/>
          </w:tcPr>
          <w:p>
            <w:pPr>
              <w:jc w:val="center"/>
              <w:ind w:right="260"/>
              <w:spacing w:after="0"/>
              <w:rPr>
                <w:sz w:val="20"/>
                <w:szCs w:val="20"/>
                <w:color w:val="auto"/>
              </w:rPr>
            </w:pPr>
            <w:r>
              <w:rPr>
                <w:rFonts w:ascii="Arial" w:cs="Arial" w:eastAsia="Arial" w:hAnsi="Arial"/>
                <w:sz w:val="12"/>
                <w:szCs w:val="12"/>
                <w:color w:val="auto"/>
                <w:w w:val="93"/>
              </w:rPr>
              <w:t>Chief Executive Officer and Director</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Michael E. Castagna</w:t>
            </w:r>
          </w:p>
        </w:tc>
        <w:tc>
          <w:tcPr>
            <w:tcW w:w="260" w:type="dxa"/>
            <w:vAlign w:val="bottom"/>
          </w:tcPr>
          <w:p>
            <w:pPr>
              <w:spacing w:after="0"/>
              <w:rPr>
                <w:sz w:val="12"/>
                <w:szCs w:val="12"/>
                <w:color w:val="auto"/>
              </w:rPr>
            </w:pPr>
          </w:p>
        </w:tc>
        <w:tc>
          <w:tcPr>
            <w:tcW w:w="5160" w:type="dxa"/>
            <w:vAlign w:val="bottom"/>
            <w:gridSpan w:val="2"/>
          </w:tcPr>
          <w:p>
            <w:pPr>
              <w:jc w:val="center"/>
              <w:ind w:right="240"/>
              <w:spacing w:after="0" w:line="133" w:lineRule="exact"/>
              <w:rPr>
                <w:sz w:val="20"/>
                <w:szCs w:val="20"/>
                <w:color w:val="auto"/>
              </w:rPr>
            </w:pPr>
            <w:r>
              <w:rPr>
                <w:rFonts w:ascii="Arial" w:cs="Arial" w:eastAsia="Arial" w:hAnsi="Arial"/>
                <w:sz w:val="12"/>
                <w:szCs w:val="12"/>
                <w:i w:val="1"/>
                <w:iCs w:val="1"/>
                <w:color w:val="auto"/>
                <w:w w:val="94"/>
              </w:rPr>
              <w:t>(Principal Executive Officer)</w:t>
            </w: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7"/>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Steven B. Binder</w:t>
            </w:r>
          </w:p>
        </w:tc>
        <w:tc>
          <w:tcPr>
            <w:tcW w:w="260" w:type="dxa"/>
            <w:vAlign w:val="bottom"/>
          </w:tcPr>
          <w:p>
            <w:pPr>
              <w:spacing w:after="0"/>
              <w:rPr>
                <w:sz w:val="24"/>
                <w:szCs w:val="24"/>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2"/>
                <w:szCs w:val="12"/>
                <w:color w:val="auto"/>
                <w:w w:val="94"/>
              </w:rPr>
              <w:t>Chief Financial Officer</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Steven B. Blinder</w:t>
            </w:r>
          </w:p>
        </w:tc>
        <w:tc>
          <w:tcPr>
            <w:tcW w:w="260" w:type="dxa"/>
            <w:vAlign w:val="bottom"/>
          </w:tcPr>
          <w:p>
            <w:pPr>
              <w:spacing w:after="0"/>
              <w:rPr>
                <w:sz w:val="12"/>
                <w:szCs w:val="12"/>
                <w:color w:val="auto"/>
              </w:rPr>
            </w:pPr>
          </w:p>
        </w:tc>
        <w:tc>
          <w:tcPr>
            <w:tcW w:w="5160" w:type="dxa"/>
            <w:vAlign w:val="bottom"/>
            <w:gridSpan w:val="2"/>
          </w:tcPr>
          <w:p>
            <w:pPr>
              <w:jc w:val="center"/>
              <w:ind w:right="260"/>
              <w:spacing w:after="0" w:line="133" w:lineRule="exact"/>
              <w:rPr>
                <w:sz w:val="20"/>
                <w:szCs w:val="20"/>
                <w:color w:val="auto"/>
              </w:rPr>
            </w:pPr>
            <w:r>
              <w:rPr>
                <w:rFonts w:ascii="Arial" w:cs="Arial" w:eastAsia="Arial" w:hAnsi="Arial"/>
                <w:sz w:val="12"/>
                <w:szCs w:val="12"/>
                <w:i w:val="1"/>
                <w:iCs w:val="1"/>
                <w:color w:val="auto"/>
                <w:w w:val="94"/>
              </w:rPr>
              <w:t>(Principal Financial and Accounting Officer)</w:t>
            </w: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7"/>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Kent Kresa</w:t>
            </w:r>
          </w:p>
        </w:tc>
        <w:tc>
          <w:tcPr>
            <w:tcW w:w="260" w:type="dxa"/>
            <w:vAlign w:val="bottom"/>
          </w:tcPr>
          <w:p>
            <w:pPr>
              <w:spacing w:after="0"/>
              <w:rPr>
                <w:sz w:val="24"/>
                <w:szCs w:val="24"/>
                <w:color w:val="auto"/>
              </w:rPr>
            </w:pPr>
          </w:p>
        </w:tc>
        <w:tc>
          <w:tcPr>
            <w:tcW w:w="516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Chairman of the Board of Directors</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Kent Kresa</w:t>
            </w:r>
          </w:p>
        </w:tc>
        <w:tc>
          <w:tcPr>
            <w:tcW w:w="2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7"/>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Ronald J. Consiglio</w:t>
            </w:r>
          </w:p>
        </w:tc>
        <w:tc>
          <w:tcPr>
            <w:tcW w:w="260" w:type="dxa"/>
            <w:vAlign w:val="bottom"/>
          </w:tcPr>
          <w:p>
            <w:pPr>
              <w:spacing w:after="0"/>
              <w:rPr>
                <w:sz w:val="24"/>
                <w:szCs w:val="24"/>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2"/>
                <w:szCs w:val="12"/>
                <w:color w:val="auto"/>
                <w:w w:val="95"/>
              </w:rPr>
              <w:t>Director</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Ronald J. Consiglio</w:t>
            </w:r>
          </w:p>
        </w:tc>
        <w:tc>
          <w:tcPr>
            <w:tcW w:w="2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7"/>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Friedman</w:t>
            </w:r>
          </w:p>
        </w:tc>
        <w:tc>
          <w:tcPr>
            <w:tcW w:w="260" w:type="dxa"/>
            <w:vAlign w:val="bottom"/>
          </w:tcPr>
          <w:p>
            <w:pPr>
              <w:spacing w:after="0"/>
              <w:rPr>
                <w:sz w:val="24"/>
                <w:szCs w:val="24"/>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2"/>
                <w:szCs w:val="12"/>
                <w:color w:val="auto"/>
                <w:w w:val="95"/>
              </w:rPr>
              <w:t>Director</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Michael Friedman, M.D.</w:t>
            </w:r>
          </w:p>
        </w:tc>
        <w:tc>
          <w:tcPr>
            <w:tcW w:w="2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7"/>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H. MacCallum</w:t>
            </w:r>
          </w:p>
        </w:tc>
        <w:tc>
          <w:tcPr>
            <w:tcW w:w="260" w:type="dxa"/>
            <w:vAlign w:val="bottom"/>
          </w:tcPr>
          <w:p>
            <w:pPr>
              <w:spacing w:after="0"/>
              <w:rPr>
                <w:sz w:val="24"/>
                <w:szCs w:val="24"/>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2"/>
                <w:szCs w:val="12"/>
                <w:color w:val="auto"/>
                <w:w w:val="95"/>
              </w:rPr>
              <w:t>Director</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David H. MacCallum</w:t>
            </w:r>
          </w:p>
        </w:tc>
        <w:tc>
          <w:tcPr>
            <w:tcW w:w="2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6"/>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Christine Mundkur</w:t>
            </w:r>
          </w:p>
        </w:tc>
        <w:tc>
          <w:tcPr>
            <w:tcW w:w="260" w:type="dxa"/>
            <w:vAlign w:val="bottom"/>
          </w:tcPr>
          <w:p>
            <w:pPr>
              <w:spacing w:after="0"/>
              <w:rPr>
                <w:sz w:val="24"/>
                <w:szCs w:val="24"/>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2"/>
                <w:szCs w:val="12"/>
                <w:color w:val="auto"/>
                <w:w w:val="95"/>
              </w:rPr>
              <w:t>Director</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51"/>
        </w:trPr>
        <w:tc>
          <w:tcPr>
            <w:tcW w:w="4000" w:type="dxa"/>
            <w:vAlign w:val="bottom"/>
          </w:tcPr>
          <w:p>
            <w:pPr>
              <w:spacing w:after="0"/>
              <w:rPr>
                <w:sz w:val="20"/>
                <w:szCs w:val="20"/>
                <w:color w:val="auto"/>
              </w:rPr>
            </w:pPr>
            <w:r>
              <w:rPr>
                <w:rFonts w:ascii="Arial" w:cs="Arial" w:eastAsia="Arial" w:hAnsi="Arial"/>
                <w:sz w:val="12"/>
                <w:szCs w:val="12"/>
                <w:color w:val="auto"/>
              </w:rPr>
              <w:t>Christine Mundkur</w:t>
            </w:r>
          </w:p>
        </w:tc>
        <w:tc>
          <w:tcPr>
            <w:tcW w:w="2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5"/>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S. Shannon</w:t>
            </w:r>
          </w:p>
        </w:tc>
        <w:tc>
          <w:tcPr>
            <w:tcW w:w="260" w:type="dxa"/>
            <w:vAlign w:val="bottom"/>
          </w:tcPr>
          <w:p>
            <w:pPr>
              <w:spacing w:after="0"/>
              <w:rPr>
                <w:sz w:val="24"/>
                <w:szCs w:val="24"/>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2"/>
                <w:szCs w:val="12"/>
                <w:color w:val="auto"/>
                <w:w w:val="95"/>
              </w:rPr>
              <w:t>Director</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James S. Shannon</w:t>
            </w:r>
          </w:p>
        </w:tc>
        <w:tc>
          <w:tcPr>
            <w:tcW w:w="2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8"/>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Henry L. Nordhoff</w:t>
            </w:r>
          </w:p>
        </w:tc>
        <w:tc>
          <w:tcPr>
            <w:tcW w:w="260" w:type="dxa"/>
            <w:vAlign w:val="bottom"/>
          </w:tcPr>
          <w:p>
            <w:pPr>
              <w:spacing w:after="0"/>
              <w:rPr>
                <w:sz w:val="24"/>
                <w:szCs w:val="24"/>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2"/>
                <w:szCs w:val="12"/>
                <w:color w:val="auto"/>
                <w:w w:val="95"/>
              </w:rPr>
              <w:t>Director</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February 26, 2019</w:t>
            </w:r>
          </w:p>
        </w:tc>
        <w:tc>
          <w:tcPr>
            <w:tcW w:w="20" w:type="dxa"/>
            <w:vAlign w:val="bottom"/>
          </w:tcPr>
          <w:p>
            <w:pPr>
              <w:spacing w:after="0"/>
              <w:rPr>
                <w:sz w:val="24"/>
                <w:szCs w:val="24"/>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Henry L. Nordhoff</w:t>
            </w:r>
          </w:p>
        </w:tc>
        <w:tc>
          <w:tcPr>
            <w:tcW w:w="2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86"/>
        </w:trPr>
        <w:tc>
          <w:tcPr>
            <w:tcW w:w="4000" w:type="dxa"/>
            <w:vAlign w:val="bottom"/>
          </w:tcPr>
          <w:p>
            <w:pPr>
              <w:spacing w:after="0"/>
              <w:rPr>
                <w:sz w:val="24"/>
                <w:szCs w:val="24"/>
                <w:color w:val="auto"/>
              </w:rPr>
            </w:pPr>
          </w:p>
        </w:tc>
        <w:tc>
          <w:tcPr>
            <w:tcW w:w="5180" w:type="dxa"/>
            <w:vAlign w:val="bottom"/>
            <w:gridSpan w:val="2"/>
          </w:tcPr>
          <w:p>
            <w:pPr>
              <w:jc w:val="right"/>
              <w:ind w:right="3321"/>
              <w:spacing w:after="0"/>
              <w:rPr>
                <w:sz w:val="20"/>
                <w:szCs w:val="20"/>
                <w:color w:val="auto"/>
              </w:rPr>
            </w:pPr>
            <w:r>
              <w:rPr>
                <w:rFonts w:ascii="Arial" w:cs="Arial" w:eastAsia="Arial" w:hAnsi="Arial"/>
                <w:sz w:val="12"/>
                <w:szCs w:val="12"/>
                <w:color w:val="auto"/>
              </w:rPr>
              <w:t>60</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40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49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0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920" w:type="dxa"/>
            <w:vAlign w:val="bottom"/>
          </w:tcPr>
          <w:p>
            <w:pPr>
              <w:jc w:val="center"/>
              <w:ind w:right="3560"/>
              <w:spacing w:after="0"/>
              <w:rPr>
                <w:sz w:val="20"/>
                <w:szCs w:val="20"/>
                <w:color w:val="auto"/>
              </w:rPr>
            </w:pPr>
            <w:r>
              <w:rPr>
                <w:rFonts w:ascii="Arial" w:cs="Arial" w:eastAsia="Arial" w:hAnsi="Arial"/>
                <w:sz w:val="12"/>
                <w:szCs w:val="12"/>
                <w:b w:val="1"/>
                <w:bCs w:val="1"/>
                <w:color w:val="auto"/>
              </w:rPr>
              <w:t>MANNKIND CORPORATION AND SUBSIDIARIES</w:t>
            </w: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20" w:type="dxa"/>
            <w:vAlign w:val="bottom"/>
          </w:tcPr>
          <w:p>
            <w:pPr>
              <w:jc w:val="center"/>
              <w:ind w:right="3560"/>
              <w:spacing w:after="0"/>
              <w:rPr>
                <w:sz w:val="20"/>
                <w:szCs w:val="20"/>
                <w:color w:val="auto"/>
              </w:rPr>
            </w:pPr>
            <w:r>
              <w:rPr>
                <w:rFonts w:ascii="Arial" w:cs="Arial" w:eastAsia="Arial" w:hAnsi="Arial"/>
                <w:sz w:val="12"/>
                <w:szCs w:val="12"/>
                <w:b w:val="1"/>
                <w:bCs w:val="1"/>
                <w:color w:val="auto"/>
              </w:rPr>
              <w:t>INDEX TO FINANCIAL STATEMENTS</w:t>
            </w:r>
          </w:p>
        </w:tc>
      </w:tr>
      <w:tr>
        <w:trPr>
          <w:trHeight w:val="279"/>
        </w:trPr>
        <w:tc>
          <w:tcPr>
            <w:tcW w:w="3580" w:type="dxa"/>
            <w:vAlign w:val="bottom"/>
            <w:gridSpan w:val="8"/>
          </w:tcPr>
          <w:p>
            <w:pPr>
              <w:spacing w:after="0"/>
              <w:rPr>
                <w:rFonts w:ascii="Arial" w:cs="Arial" w:eastAsia="Arial" w:hAnsi="Arial"/>
                <w:sz w:val="12"/>
                <w:szCs w:val="12"/>
                <w:color w:val="0000EE"/>
              </w:rPr>
            </w:pPr>
            <w:hyperlink w:anchor="page65">
              <w:r>
                <w:rPr>
                  <w:rFonts w:ascii="Arial" w:cs="Arial" w:eastAsia="Arial" w:hAnsi="Arial"/>
                  <w:sz w:val="12"/>
                  <w:szCs w:val="12"/>
                  <w:color w:val="0000EE"/>
                </w:rPr>
                <w:t>Report of Independent Registered Public Accounting Firm</w:t>
              </w:r>
            </w:hyperlink>
          </w:p>
        </w:tc>
        <w:tc>
          <w:tcPr>
            <w:tcW w:w="792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24"/>
        </w:trPr>
        <w:tc>
          <w:tcPr>
            <w:tcW w:w="280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Consolidated Balance Sheets</w:t>
              </w:r>
            </w:hyperlink>
          </w:p>
        </w:tc>
        <w:tc>
          <w:tcPr>
            <w:tcW w:w="780" w:type="dxa"/>
            <w:vAlign w:val="bottom"/>
            <w:gridSpan w:val="2"/>
          </w:tcPr>
          <w:p>
            <w:pPr>
              <w:spacing w:after="0"/>
              <w:rPr>
                <w:sz w:val="10"/>
                <w:szCs w:val="10"/>
                <w:color w:val="auto"/>
              </w:rPr>
            </w:pPr>
          </w:p>
        </w:tc>
        <w:tc>
          <w:tcPr>
            <w:tcW w:w="7920" w:type="dxa"/>
            <w:vAlign w:val="bottom"/>
          </w:tcPr>
          <w:p>
            <w:pPr>
              <w:jc w:val="right"/>
              <w:spacing w:after="0" w:line="124" w:lineRule="exact"/>
              <w:rPr>
                <w:sz w:val="20"/>
                <w:szCs w:val="20"/>
                <w:color w:val="auto"/>
              </w:rPr>
            </w:pPr>
            <w:r>
              <w:rPr>
                <w:rFonts w:ascii="Arial" w:cs="Arial" w:eastAsia="Arial" w:hAnsi="Arial"/>
                <w:sz w:val="12"/>
                <w:szCs w:val="12"/>
                <w:color w:val="auto"/>
              </w:rPr>
              <w:t>63</w:t>
            </w:r>
          </w:p>
        </w:tc>
      </w:tr>
      <w:tr>
        <w:trPr>
          <w:trHeight w:val="20"/>
        </w:trPr>
        <w:tc>
          <w:tcPr>
            <w:tcW w:w="1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124"/>
        </w:trPr>
        <w:tc>
          <w:tcPr>
            <w:tcW w:w="3580" w:type="dxa"/>
            <w:vAlign w:val="bottom"/>
            <w:gridSpan w:val="8"/>
          </w:tcPr>
          <w:p>
            <w:pPr>
              <w:spacing w:after="0" w:line="124" w:lineRule="exact"/>
              <w:rPr>
                <w:rFonts w:ascii="Arial" w:cs="Arial" w:eastAsia="Arial" w:hAnsi="Arial"/>
                <w:sz w:val="12"/>
                <w:szCs w:val="12"/>
                <w:color w:val="0000EE"/>
              </w:rPr>
            </w:pPr>
            <w:hyperlink w:anchor="page67">
              <w:r>
                <w:rPr>
                  <w:rFonts w:ascii="Arial" w:cs="Arial" w:eastAsia="Arial" w:hAnsi="Arial"/>
                  <w:sz w:val="12"/>
                  <w:szCs w:val="12"/>
                  <w:color w:val="0000EE"/>
                </w:rPr>
                <w:t>Consolidated Statements of Operations</w:t>
              </w:r>
            </w:hyperlink>
          </w:p>
        </w:tc>
        <w:tc>
          <w:tcPr>
            <w:tcW w:w="7920" w:type="dxa"/>
            <w:vAlign w:val="bottom"/>
          </w:tcPr>
          <w:p>
            <w:pPr>
              <w:jc w:val="right"/>
              <w:spacing w:after="0" w:line="124" w:lineRule="exact"/>
              <w:rPr>
                <w:sz w:val="20"/>
                <w:szCs w:val="20"/>
                <w:color w:val="auto"/>
              </w:rPr>
            </w:pPr>
            <w:r>
              <w:rPr>
                <w:rFonts w:ascii="Arial" w:cs="Arial" w:eastAsia="Arial" w:hAnsi="Arial"/>
                <w:sz w:val="12"/>
                <w:szCs w:val="12"/>
                <w:color w:val="auto"/>
              </w:rPr>
              <w:t>64</w:t>
            </w:r>
          </w:p>
        </w:tc>
      </w:tr>
      <w:tr>
        <w:trPr>
          <w:trHeight w:val="20"/>
        </w:trPr>
        <w:tc>
          <w:tcPr>
            <w:tcW w:w="18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124"/>
        </w:trPr>
        <w:tc>
          <w:tcPr>
            <w:tcW w:w="3580" w:type="dxa"/>
            <w:vAlign w:val="bottom"/>
            <w:gridSpan w:val="8"/>
          </w:tcPr>
          <w:p>
            <w:pPr>
              <w:spacing w:after="0" w:line="124" w:lineRule="exact"/>
              <w:rPr>
                <w:rFonts w:ascii="Arial" w:cs="Arial" w:eastAsia="Arial" w:hAnsi="Arial"/>
                <w:sz w:val="12"/>
                <w:szCs w:val="12"/>
                <w:color w:val="0000EE"/>
              </w:rPr>
            </w:pPr>
            <w:hyperlink w:anchor="page68">
              <w:r>
                <w:rPr>
                  <w:rFonts w:ascii="Arial" w:cs="Arial" w:eastAsia="Arial" w:hAnsi="Arial"/>
                  <w:sz w:val="12"/>
                  <w:szCs w:val="12"/>
                  <w:color w:val="0000EE"/>
                </w:rPr>
                <w:t>Consolidated Statements of Comprehensive Income (Loss)</w:t>
              </w:r>
            </w:hyperlink>
          </w:p>
        </w:tc>
        <w:tc>
          <w:tcPr>
            <w:tcW w:w="7920" w:type="dxa"/>
            <w:vAlign w:val="bottom"/>
          </w:tcPr>
          <w:p>
            <w:pPr>
              <w:jc w:val="right"/>
              <w:spacing w:after="0" w:line="124" w:lineRule="exact"/>
              <w:rPr>
                <w:sz w:val="20"/>
                <w:szCs w:val="20"/>
                <w:color w:val="auto"/>
              </w:rPr>
            </w:pPr>
            <w:r>
              <w:rPr>
                <w:rFonts w:ascii="Arial" w:cs="Arial" w:eastAsia="Arial" w:hAnsi="Arial"/>
                <w:sz w:val="12"/>
                <w:szCs w:val="12"/>
                <w:color w:val="auto"/>
              </w:rPr>
              <w:t>65</w:t>
            </w:r>
          </w:p>
        </w:tc>
      </w:tr>
      <w:tr>
        <w:trPr>
          <w:trHeight w:val="124"/>
        </w:trPr>
        <w:tc>
          <w:tcPr>
            <w:tcW w:w="238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90"/>
              </w:rPr>
            </w:pPr>
            <w:hyperlink w:anchor="page69">
              <w:r>
                <w:rPr>
                  <w:rFonts w:ascii="Arial" w:cs="Arial" w:eastAsia="Arial" w:hAnsi="Arial"/>
                  <w:sz w:val="12"/>
                  <w:szCs w:val="12"/>
                  <w:color w:val="0000EE"/>
                  <w:w w:val="90"/>
                </w:rPr>
                <w:t>Consolidated Statements of Stockholders’ Deficit</w:t>
              </w:r>
            </w:hyperlink>
          </w:p>
        </w:tc>
        <w:tc>
          <w:tcPr>
            <w:tcW w:w="440" w:type="dxa"/>
            <w:vAlign w:val="bottom"/>
            <w:tcBorders>
              <w:top w:val="single" w:sz="8" w:color="0000EE"/>
            </w:tcBorders>
            <w:gridSpan w:val="2"/>
          </w:tcPr>
          <w:p>
            <w:pPr>
              <w:spacing w:after="0"/>
              <w:rPr>
                <w:sz w:val="10"/>
                <w:szCs w:val="10"/>
                <w:color w:val="auto"/>
              </w:rPr>
            </w:pPr>
          </w:p>
        </w:tc>
        <w:tc>
          <w:tcPr>
            <w:tcW w:w="760" w:type="dxa"/>
            <w:vAlign w:val="bottom"/>
          </w:tcPr>
          <w:p>
            <w:pPr>
              <w:spacing w:after="0"/>
              <w:rPr>
                <w:sz w:val="10"/>
                <w:szCs w:val="10"/>
                <w:color w:val="auto"/>
              </w:rPr>
            </w:pPr>
          </w:p>
        </w:tc>
        <w:tc>
          <w:tcPr>
            <w:tcW w:w="792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r>
      <w:tr>
        <w:trPr>
          <w:trHeight w:val="124"/>
        </w:trPr>
        <w:tc>
          <w:tcPr>
            <w:tcW w:w="3580" w:type="dxa"/>
            <w:vAlign w:val="bottom"/>
            <w:gridSpan w:val="8"/>
          </w:tcPr>
          <w:p>
            <w:pPr>
              <w:spacing w:after="0" w:line="124" w:lineRule="exact"/>
              <w:rPr>
                <w:rFonts w:ascii="Arial" w:cs="Arial" w:eastAsia="Arial" w:hAnsi="Arial"/>
                <w:sz w:val="12"/>
                <w:szCs w:val="12"/>
                <w:color w:val="0000EE"/>
              </w:rPr>
            </w:pPr>
            <w:hyperlink w:anchor="page70">
              <w:r>
                <w:rPr>
                  <w:rFonts w:ascii="Arial" w:cs="Arial" w:eastAsia="Arial" w:hAnsi="Arial"/>
                  <w:sz w:val="12"/>
                  <w:szCs w:val="12"/>
                  <w:color w:val="0000EE"/>
                </w:rPr>
                <w:t>Consolidated Statements of Cash Flows</w:t>
              </w:r>
            </w:hyperlink>
          </w:p>
        </w:tc>
        <w:tc>
          <w:tcPr>
            <w:tcW w:w="792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124"/>
        </w:trPr>
        <w:tc>
          <w:tcPr>
            <w:tcW w:w="3580" w:type="dxa"/>
            <w:vAlign w:val="bottom"/>
            <w:gridSpan w:val="8"/>
          </w:tcPr>
          <w:p>
            <w:pPr>
              <w:spacing w:after="0" w:line="124" w:lineRule="exact"/>
              <w:rPr>
                <w:rFonts w:ascii="Arial" w:cs="Arial" w:eastAsia="Arial" w:hAnsi="Arial"/>
                <w:sz w:val="12"/>
                <w:szCs w:val="12"/>
                <w:color w:val="0000EE"/>
              </w:rPr>
            </w:pPr>
            <w:hyperlink w:anchor="page71">
              <w:r>
                <w:rPr>
                  <w:rFonts w:ascii="Arial" w:cs="Arial" w:eastAsia="Arial" w:hAnsi="Arial"/>
                  <w:sz w:val="12"/>
                  <w:szCs w:val="12"/>
                  <w:color w:val="0000EE"/>
                </w:rPr>
                <w:t>Notes to Consolidated Financial Statements</w:t>
              </w:r>
            </w:hyperlink>
          </w:p>
        </w:tc>
        <w:tc>
          <w:tcPr>
            <w:tcW w:w="7920" w:type="dxa"/>
            <w:vAlign w:val="bottom"/>
          </w:tcPr>
          <w:p>
            <w:pPr>
              <w:jc w:val="right"/>
              <w:spacing w:after="0" w:line="124" w:lineRule="exact"/>
              <w:rPr>
                <w:sz w:val="20"/>
                <w:szCs w:val="20"/>
                <w:color w:val="auto"/>
              </w:rPr>
            </w:pPr>
            <w:r>
              <w:rPr>
                <w:rFonts w:ascii="Arial" w:cs="Arial" w:eastAsia="Arial" w:hAnsi="Arial"/>
                <w:sz w:val="12"/>
                <w:szCs w:val="12"/>
                <w:color w:val="auto"/>
              </w:rPr>
              <w:t>68</w:t>
            </w:r>
          </w:p>
        </w:tc>
      </w:tr>
      <w:tr>
        <w:trPr>
          <w:trHeight w:val="601"/>
        </w:trPr>
        <w:tc>
          <w:tcPr>
            <w:tcW w:w="1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20" w:type="dxa"/>
            <w:vAlign w:val="bottom"/>
          </w:tcPr>
          <w:p>
            <w:pPr>
              <w:jc w:val="center"/>
              <w:ind w:right="3540"/>
              <w:spacing w:after="0"/>
              <w:rPr>
                <w:sz w:val="20"/>
                <w:szCs w:val="20"/>
                <w:color w:val="auto"/>
              </w:rPr>
            </w:pPr>
            <w:r>
              <w:rPr>
                <w:rFonts w:ascii="Arial" w:cs="Arial" w:eastAsia="Arial" w:hAnsi="Arial"/>
                <w:sz w:val="12"/>
                <w:szCs w:val="12"/>
                <w:color w:val="auto"/>
                <w:w w:val="89"/>
              </w:rPr>
              <w:t>61</w:t>
            </w:r>
          </w:p>
        </w:tc>
      </w:tr>
      <w:tr>
        <w:trPr>
          <w:trHeight w:val="225"/>
        </w:trPr>
        <w:tc>
          <w:tcPr>
            <w:tcW w:w="1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79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64" w:name="page65"/>
    <w:bookmarkEnd w:id="64"/>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To the Board of Directors and Stockholders of MannKind Corporation</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82" w:lineRule="exact"/>
        <w:rPr>
          <w:sz w:val="20"/>
          <w:szCs w:val="20"/>
          <w:color w:val="auto"/>
        </w:rPr>
      </w:pPr>
    </w:p>
    <w:p>
      <w:pPr>
        <w:ind w:right="80" w:firstLine="488"/>
        <w:spacing w:after="0" w:line="259" w:lineRule="auto"/>
        <w:rPr>
          <w:sz w:val="20"/>
          <w:szCs w:val="20"/>
          <w:color w:val="auto"/>
        </w:rPr>
      </w:pPr>
      <w:r>
        <w:rPr>
          <w:rFonts w:ascii="Arial" w:cs="Arial" w:eastAsia="Arial" w:hAnsi="Arial"/>
          <w:sz w:val="12"/>
          <w:szCs w:val="12"/>
          <w:color w:val="auto"/>
        </w:rPr>
        <w:t>We have audited the accompanying consolidated balance sheets of MannKind Corporation and subsidiaries (the "Company") as of December 31, 2018 and 2017, the related consolidated statements of operations, comprehensive income (loss), stockholders’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the accounting principles generally accepted in the United States of America.</w:t>
      </w:r>
    </w:p>
    <w:p>
      <w:pPr>
        <w:spacing w:after="0" w:line="125" w:lineRule="exact"/>
        <w:rPr>
          <w:sz w:val="20"/>
          <w:szCs w:val="20"/>
          <w:color w:val="auto"/>
        </w:rPr>
      </w:pPr>
    </w:p>
    <w:p>
      <w:pPr>
        <w:jc w:val="both"/>
        <w:ind w:right="80" w:firstLine="488"/>
        <w:spacing w:after="0" w:line="263"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and our report dated February 26, 2019 expressed an unqualified opinion on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Going Concern</w:t>
      </w:r>
    </w:p>
    <w:p>
      <w:pPr>
        <w:spacing w:after="0" w:line="82" w:lineRule="exact"/>
        <w:rPr>
          <w:sz w:val="20"/>
          <w:szCs w:val="20"/>
          <w:color w:val="auto"/>
        </w:rPr>
      </w:pPr>
    </w:p>
    <w:p>
      <w:pPr>
        <w:ind w:firstLine="488"/>
        <w:spacing w:after="0" w:line="323" w:lineRule="auto"/>
        <w:rPr>
          <w:sz w:val="20"/>
          <w:szCs w:val="20"/>
          <w:color w:val="auto"/>
        </w:rPr>
      </w:pPr>
      <w:r>
        <w:rPr>
          <w:rFonts w:ascii="Arial" w:cs="Arial" w:eastAsia="Arial" w:hAnsi="Arial"/>
          <w:sz w:val="11"/>
          <w:szCs w:val="11"/>
          <w:color w:val="auto"/>
        </w:rPr>
        <w:t>The accompanying financial statements have been prepared assuming that the Company will continue as a going concern. As discussed in Note 1 to the financial statements, the Company’s available cash resources and continuing cash needs raise substantial doubt about its ability to continue as a going concern. The financial statements do not include any adjustments that might result from the outcome of this uncertainty.</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82" w:lineRule="exact"/>
        <w:rPr>
          <w:sz w:val="20"/>
          <w:szCs w:val="20"/>
          <w:color w:val="auto"/>
        </w:rPr>
      </w:pPr>
    </w:p>
    <w:p>
      <w:pPr>
        <w:ind w:right="120" w:firstLine="488"/>
        <w:spacing w:after="0" w:line="380" w:lineRule="auto"/>
        <w:rPr>
          <w:sz w:val="20"/>
          <w:szCs w:val="20"/>
          <w:color w:val="auto"/>
        </w:rPr>
      </w:pPr>
      <w:r>
        <w:rPr>
          <w:rFonts w:ascii="Arial" w:cs="Arial" w:eastAsia="Arial" w:hAnsi="Arial"/>
          <w:sz w:val="10"/>
          <w:szCs w:val="1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20" w:firstLine="488"/>
        <w:spacing w:after="0" w:line="29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26, 2019</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have served as the Company’s auditor since 2001.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2"/>
          <w:szCs w:val="12"/>
          <w:b w:val="1"/>
          <w:bCs w:val="1"/>
          <w:color w:val="auto"/>
        </w:rPr>
        <w:t>MANNKIND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0"/>
                <w:szCs w:val="10"/>
                <w:b w:val="1"/>
                <w:bCs w:val="1"/>
                <w:color w:val="auto"/>
              </w:rPr>
              <w:t>December 31,</w:t>
            </w:r>
          </w:p>
        </w:tc>
        <w:tc>
          <w:tcPr>
            <w:tcW w:w="1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tcBorders>
              <w:bottom w:val="single" w:sz="8" w:color="auto"/>
            </w:tcBorders>
          </w:tcPr>
          <w:p>
            <w:pPr>
              <w:jc w:val="right"/>
              <w:ind w:right="91"/>
              <w:spacing w:after="0" w:line="97" w:lineRule="exact"/>
              <w:rPr>
                <w:sz w:val="20"/>
                <w:szCs w:val="20"/>
                <w:color w:val="auto"/>
              </w:rPr>
            </w:pPr>
            <w:r>
              <w:rPr>
                <w:rFonts w:ascii="Arial" w:cs="Arial" w:eastAsia="Arial" w:hAnsi="Arial"/>
                <w:sz w:val="10"/>
                <w:szCs w:val="10"/>
                <w:b w:val="1"/>
                <w:bCs w:val="1"/>
                <w:color w:val="auto"/>
              </w:rPr>
              <w:t>2018</w:t>
            </w: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820"/>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760" w:type="dxa"/>
            <w:vAlign w:val="bottom"/>
            <w:gridSpan w:val="3"/>
          </w:tcPr>
          <w:p>
            <w:pPr>
              <w:jc w:val="right"/>
              <w:ind w:right="90"/>
              <w:spacing w:after="0" w:line="97" w:lineRule="exact"/>
              <w:rPr>
                <w:sz w:val="20"/>
                <w:szCs w:val="20"/>
                <w:color w:val="auto"/>
              </w:rPr>
            </w:pPr>
            <w:r>
              <w:rPr>
                <w:rFonts w:ascii="Arial" w:cs="Arial" w:eastAsia="Arial" w:hAnsi="Arial"/>
                <w:sz w:val="10"/>
                <w:szCs w:val="10"/>
                <w:b w:val="1"/>
                <w:bCs w:val="1"/>
                <w:color w:val="auto"/>
                <w:w w:val="91"/>
              </w:rPr>
              <w:t>(In thousands except per share data)</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ind w:left="3280"/>
              <w:spacing w:after="0"/>
              <w:rPr>
                <w:sz w:val="20"/>
                <w:szCs w:val="20"/>
                <w:color w:val="auto"/>
              </w:rPr>
            </w:pPr>
            <w:r>
              <w:rPr>
                <w:rFonts w:ascii="Arial" w:cs="Arial" w:eastAsia="Arial" w:hAnsi="Arial"/>
                <w:sz w:val="12"/>
                <w:szCs w:val="12"/>
                <w:b w:val="1"/>
                <w:bCs w:val="1"/>
                <w:color w:val="auto"/>
              </w:rPr>
              <w:t>ASSETS</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spacing w:after="0"/>
              <w:rPr>
                <w:sz w:val="20"/>
                <w:szCs w:val="20"/>
                <w:color w:val="auto"/>
              </w:rPr>
            </w:pPr>
            <w:r>
              <w:rPr>
                <w:rFonts w:ascii="Arial" w:cs="Arial" w:eastAsia="Arial" w:hAnsi="Arial"/>
                <w:sz w:val="12"/>
                <w:szCs w:val="12"/>
                <w:color w:val="auto"/>
              </w:rPr>
              <w:t>Current assets:</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2380" w:type="dxa"/>
            <w:vAlign w:val="bottom"/>
            <w:gridSpan w:val="2"/>
            <w:shd w:val="clear" w:color="auto" w:fill="CFF0FC"/>
          </w:tcPr>
          <w:p>
            <w:pPr>
              <w:jc w:val="right"/>
              <w:ind w:right="1091"/>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71,157</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43,946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160"/>
              <w:spacing w:after="0"/>
              <w:rPr>
                <w:sz w:val="20"/>
                <w:szCs w:val="20"/>
                <w:color w:val="auto"/>
              </w:rPr>
            </w:pPr>
            <w:r>
              <w:rPr>
                <w:rFonts w:ascii="Arial" w:cs="Arial" w:eastAsia="Arial" w:hAnsi="Arial"/>
                <w:sz w:val="12"/>
                <w:szCs w:val="12"/>
                <w:color w:val="auto"/>
              </w:rPr>
              <w:t>Restricted cash</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527</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4,409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receivable, net</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4,017</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2,789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160"/>
              <w:spacing w:after="0"/>
              <w:rPr>
                <w:sz w:val="20"/>
                <w:szCs w:val="20"/>
                <w:color w:val="auto"/>
              </w:rPr>
            </w:pPr>
            <w:r>
              <w:rPr>
                <w:rFonts w:ascii="Arial" w:cs="Arial" w:eastAsia="Arial" w:hAnsi="Arial"/>
                <w:sz w:val="12"/>
                <w:szCs w:val="12"/>
                <w:color w:val="auto"/>
              </w:rPr>
              <w:t>Inventory</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3,597</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costs from commercial product sales</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18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2,556</w:t>
            </w: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1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81,854</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57,216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2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25,602</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26,922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Other assets</w:t>
            </w:r>
          </w:p>
        </w:tc>
        <w:tc>
          <w:tcPr>
            <w:tcW w:w="118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320"/>
              <w:spacing w:after="0"/>
              <w:rPr>
                <w:sz w:val="20"/>
                <w:szCs w:val="20"/>
                <w:color w:val="auto"/>
              </w:rPr>
            </w:pPr>
            <w:r>
              <w:rPr>
                <w:rFonts w:ascii="Arial" w:cs="Arial" w:eastAsia="Arial" w:hAnsi="Arial"/>
                <w:sz w:val="12"/>
                <w:szCs w:val="12"/>
                <w:color w:val="auto"/>
              </w:rPr>
              <w:t>Total assets</w:t>
            </w:r>
          </w:p>
        </w:tc>
        <w:tc>
          <w:tcPr>
            <w:tcW w:w="2380" w:type="dxa"/>
            <w:vAlign w:val="bottom"/>
            <w:gridSpan w:val="2"/>
          </w:tcPr>
          <w:p>
            <w:pPr>
              <w:jc w:val="right"/>
              <w:ind w:right="1091"/>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107,705</w:t>
            </w:r>
          </w:p>
        </w:tc>
        <w:tc>
          <w:tcPr>
            <w:tcW w:w="280" w:type="dxa"/>
            <w:vAlign w:val="bottom"/>
          </w:tcPr>
          <w:p>
            <w:pPr>
              <w:spacing w:after="0"/>
              <w:rPr>
                <w:sz w:val="12"/>
                <w:szCs w:val="12"/>
                <w:color w:val="auto"/>
              </w:rPr>
            </w:pP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84,575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2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2200"/>
              <w:spacing w:after="0"/>
              <w:rPr>
                <w:sz w:val="20"/>
                <w:szCs w:val="20"/>
                <w:color w:val="auto"/>
              </w:rPr>
            </w:pPr>
            <w:r>
              <w:rPr>
                <w:rFonts w:ascii="Arial" w:cs="Arial" w:eastAsia="Arial" w:hAnsi="Arial"/>
                <w:sz w:val="12"/>
                <w:szCs w:val="12"/>
                <w:b w:val="1"/>
                <w:bCs w:val="1"/>
                <w:color w:val="auto"/>
              </w:rPr>
              <w:t>LIABILITIES AND STOCKHOLDERS' DEFICIT</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Current liabilities:</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2380" w:type="dxa"/>
            <w:vAlign w:val="bottom"/>
            <w:gridSpan w:val="2"/>
          </w:tcPr>
          <w:p>
            <w:pPr>
              <w:jc w:val="right"/>
              <w:ind w:right="1091"/>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5,379</w:t>
            </w:r>
          </w:p>
        </w:tc>
        <w:tc>
          <w:tcPr>
            <w:tcW w:w="280" w:type="dxa"/>
            <w:vAlign w:val="bottom"/>
          </w:tcPr>
          <w:p>
            <w:pPr>
              <w:spacing w:after="0"/>
              <w:rPr>
                <w:sz w:val="13"/>
                <w:szCs w:val="13"/>
                <w:color w:val="auto"/>
              </w:rPr>
            </w:pP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6,984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15,022</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12,449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160"/>
              <w:spacing w:after="0"/>
              <w:rPr>
                <w:sz w:val="20"/>
                <w:szCs w:val="20"/>
                <w:color w:val="auto"/>
              </w:rPr>
            </w:pPr>
            <w:r>
              <w:rPr>
                <w:rFonts w:ascii="Arial" w:cs="Arial" w:eastAsia="Arial" w:hAnsi="Arial"/>
                <w:sz w:val="12"/>
                <w:szCs w:val="12"/>
                <w:color w:val="auto"/>
              </w:rPr>
              <w:t>Facility financing obligation</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11,298</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52,745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revenue, net</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160"/>
              <w:spacing w:after="0"/>
              <w:rPr>
                <w:sz w:val="20"/>
                <w:szCs w:val="20"/>
                <w:color w:val="auto"/>
              </w:rPr>
            </w:pPr>
            <w:r>
              <w:rPr>
                <w:rFonts w:ascii="Arial" w:cs="Arial" w:eastAsia="Arial" w:hAnsi="Arial"/>
                <w:sz w:val="12"/>
                <w:szCs w:val="12"/>
                <w:color w:val="auto"/>
              </w:rPr>
              <w:t>Deferred payments from collaborations - current</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36,885</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Recognized loss on purchase commitments - current</w:t>
            </w:r>
          </w:p>
        </w:tc>
        <w:tc>
          <w:tcPr>
            <w:tcW w:w="118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6,657</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12,131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20" w:type="dxa"/>
            <w:vAlign w:val="bottom"/>
          </w:tcPr>
          <w:p>
            <w:pPr>
              <w:ind w:left="320"/>
              <w:spacing w:after="0"/>
              <w:rPr>
                <w:sz w:val="20"/>
                <w:szCs w:val="20"/>
                <w:color w:val="auto"/>
              </w:rPr>
            </w:pPr>
            <w:r>
              <w:rPr>
                <w:rFonts w:ascii="Arial" w:cs="Arial" w:eastAsia="Arial" w:hAnsi="Arial"/>
                <w:sz w:val="12"/>
                <w:szCs w:val="12"/>
                <w:color w:val="auto"/>
              </w:rPr>
              <w:t>Total current liabilities</w:t>
            </w: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75,241</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87,597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Note payable to related party</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72,089</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79,666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spacing w:after="0"/>
              <w:rPr>
                <w:sz w:val="20"/>
                <w:szCs w:val="20"/>
                <w:color w:val="auto"/>
              </w:rPr>
            </w:pPr>
            <w:r>
              <w:rPr>
                <w:rFonts w:ascii="Arial" w:cs="Arial" w:eastAsia="Arial" w:hAnsi="Arial"/>
                <w:sz w:val="12"/>
                <w:szCs w:val="12"/>
                <w:color w:val="auto"/>
              </w:rPr>
              <w:t>Accrued interest - note payable to related party</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6,835</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Senior convertible notes</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19,099</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24,411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spacing w:after="0"/>
              <w:rPr>
                <w:sz w:val="20"/>
                <w:szCs w:val="20"/>
                <w:color w:val="auto"/>
              </w:rPr>
            </w:pPr>
            <w:r>
              <w:rPr>
                <w:rFonts w:ascii="Arial" w:cs="Arial" w:eastAsia="Arial" w:hAnsi="Arial"/>
                <w:sz w:val="12"/>
                <w:szCs w:val="12"/>
                <w:color w:val="auto"/>
              </w:rPr>
              <w:t>Recognized loss on purchase commitments - long term</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91,642</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97,585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Deferred payments from collaborations - long term</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10,680</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Milestone rights liability</w:t>
            </w:r>
          </w:p>
        </w:tc>
        <w:tc>
          <w:tcPr>
            <w:tcW w:w="118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7,201</w:t>
            </w: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liabilities</w:t>
            </w:r>
          </w:p>
        </w:tc>
        <w:tc>
          <w:tcPr>
            <w:tcW w:w="1180" w:type="dxa"/>
            <w:vAlign w:val="bottom"/>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282,787</w:t>
            </w:r>
          </w:p>
        </w:tc>
        <w:tc>
          <w:tcPr>
            <w:tcW w:w="28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299,307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20"/>
                <w:szCs w:val="20"/>
                <w:color w:val="auto"/>
              </w:rPr>
            </w:pPr>
            <w:r>
              <w:rPr>
                <w:rFonts w:ascii="Arial" w:cs="Arial" w:eastAsia="Arial" w:hAnsi="Arial"/>
                <w:sz w:val="12"/>
                <w:szCs w:val="12"/>
                <w:color w:val="auto"/>
              </w:rPr>
              <w:t>Commitments and contingencies (Note 14)</w:t>
            </w: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Stockholders' deficit:</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20" w:type="dxa"/>
            <w:vAlign w:val="bottom"/>
          </w:tcPr>
          <w:p>
            <w:pPr>
              <w:spacing w:after="0"/>
              <w:rPr>
                <w:sz w:val="20"/>
                <w:szCs w:val="20"/>
                <w:color w:val="auto"/>
              </w:rPr>
            </w:pPr>
            <w:r>
              <w:rPr>
                <w:rFonts w:ascii="Arial" w:cs="Arial" w:eastAsia="Arial" w:hAnsi="Arial"/>
                <w:sz w:val="12"/>
                <w:szCs w:val="12"/>
                <w:color w:val="auto"/>
              </w:rPr>
              <w:t>Undesignated preferred stock, $0.01 par value - 10,000,000 shares authorized;</w:t>
            </w: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80"/>
              <w:spacing w:after="0"/>
              <w:rPr>
                <w:sz w:val="20"/>
                <w:szCs w:val="20"/>
                <w:color w:val="auto"/>
              </w:rPr>
            </w:pPr>
            <w:r>
              <w:rPr>
                <w:rFonts w:ascii="Arial" w:cs="Arial" w:eastAsia="Arial" w:hAnsi="Arial"/>
                <w:sz w:val="12"/>
                <w:szCs w:val="12"/>
                <w:color w:val="auto"/>
              </w:rPr>
              <w:t>no shares issued or outstanding at December 31, 2018 and 2017</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Common stock, $0.01 par value - 280,000,000 shares authorized,</w:t>
            </w:r>
          </w:p>
        </w:tc>
        <w:tc>
          <w:tcPr>
            <w:tcW w:w="1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20" w:type="dxa"/>
            <w:vAlign w:val="bottom"/>
            <w:shd w:val="clear" w:color="auto" w:fill="CFF0FC"/>
          </w:tcPr>
          <w:p>
            <w:pPr>
              <w:ind w:left="80"/>
              <w:spacing w:after="0"/>
              <w:rPr>
                <w:sz w:val="20"/>
                <w:szCs w:val="20"/>
                <w:color w:val="auto"/>
              </w:rPr>
            </w:pPr>
            <w:r>
              <w:rPr>
                <w:rFonts w:ascii="Arial" w:cs="Arial" w:eastAsia="Arial" w:hAnsi="Arial"/>
                <w:sz w:val="12"/>
                <w:szCs w:val="12"/>
                <w:color w:val="auto"/>
              </w:rPr>
              <w:t>187,029,967 and 119,053,414 shares issued and outstanding at December 31, 2018</w:t>
            </w:r>
          </w:p>
        </w:tc>
        <w:tc>
          <w:tcPr>
            <w:tcW w:w="1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ind w:left="80"/>
              <w:spacing w:after="0"/>
              <w:rPr>
                <w:sz w:val="20"/>
                <w:szCs w:val="20"/>
                <w:color w:val="auto"/>
              </w:rPr>
            </w:pPr>
            <w:r>
              <w:rPr>
                <w:rFonts w:ascii="Arial" w:cs="Arial" w:eastAsia="Arial" w:hAnsi="Arial"/>
                <w:sz w:val="12"/>
                <w:szCs w:val="12"/>
                <w:color w:val="auto"/>
              </w:rPr>
              <w:t>and 2017, respectively</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1,870</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2,763,067</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2,638,992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loss</w:t>
            </w: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(19)</w:t>
            </w:r>
          </w:p>
        </w:tc>
        <w:tc>
          <w:tcPr>
            <w:tcW w:w="74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3"/>
        </w:trPr>
        <w:tc>
          <w:tcPr>
            <w:tcW w:w="6020" w:type="dxa"/>
            <w:vAlign w:val="bottom"/>
          </w:tcPr>
          <w:p>
            <w:pPr>
              <w:spacing w:after="0"/>
              <w:rPr>
                <w:sz w:val="20"/>
                <w:szCs w:val="20"/>
                <w:color w:val="auto"/>
              </w:rPr>
            </w:pPr>
            <w:r>
              <w:rPr>
                <w:rFonts w:ascii="Arial" w:cs="Arial" w:eastAsia="Arial" w:hAnsi="Arial"/>
                <w:sz w:val="12"/>
                <w:szCs w:val="12"/>
                <w:color w:val="auto"/>
              </w:rPr>
              <w:t>Accumulated deficit</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(2,940,000)</w:t>
            </w:r>
          </w:p>
        </w:tc>
        <w:tc>
          <w:tcPr>
            <w:tcW w:w="74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(2,854,898)</w:t>
            </w:r>
          </w:p>
        </w:tc>
        <w:tc>
          <w:tcPr>
            <w:tcW w:w="0" w:type="dxa"/>
            <w:vAlign w:val="bottom"/>
          </w:tcPr>
          <w:p>
            <w:pPr>
              <w:spacing w:after="0"/>
              <w:rPr>
                <w:sz w:val="1"/>
                <w:szCs w:val="1"/>
                <w:color w:val="auto"/>
              </w:rPr>
            </w:pPr>
          </w:p>
        </w:tc>
      </w:tr>
      <w:tr>
        <w:trPr>
          <w:trHeight w:val="20"/>
        </w:trPr>
        <w:tc>
          <w:tcPr>
            <w:tcW w:w="6020" w:type="dxa"/>
            <w:vAlign w:val="bottom"/>
            <w:vMerge w:val="restart"/>
            <w:shd w:val="clear" w:color="auto" w:fill="CFF0FC"/>
          </w:tcPr>
          <w:p>
            <w:pPr>
              <w:ind w:left="320"/>
              <w:spacing w:after="0"/>
              <w:rPr>
                <w:sz w:val="20"/>
                <w:szCs w:val="20"/>
                <w:color w:val="auto"/>
              </w:rPr>
            </w:pPr>
            <w:r>
              <w:rPr>
                <w:rFonts w:ascii="Arial" w:cs="Arial" w:eastAsia="Arial" w:hAnsi="Arial"/>
                <w:sz w:val="12"/>
                <w:szCs w:val="12"/>
                <w:color w:val="auto"/>
              </w:rPr>
              <w:t>Total stockholders' deficit</w:t>
            </w:r>
          </w:p>
        </w:tc>
        <w:tc>
          <w:tcPr>
            <w:tcW w:w="11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20" w:type="dxa"/>
            <w:vAlign w:val="bottom"/>
            <w:vMerge w:val="continue"/>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(175,082)</w:t>
            </w:r>
          </w:p>
        </w:tc>
        <w:tc>
          <w:tcPr>
            <w:tcW w:w="7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(214,732)</w:t>
            </w:r>
          </w:p>
        </w:tc>
        <w:tc>
          <w:tcPr>
            <w:tcW w:w="0" w:type="dxa"/>
            <w:vAlign w:val="bottom"/>
          </w:tcPr>
          <w:p>
            <w:pPr>
              <w:spacing w:after="0"/>
              <w:rPr>
                <w:sz w:val="1"/>
                <w:szCs w:val="1"/>
                <w:color w:val="auto"/>
              </w:rPr>
            </w:pPr>
          </w:p>
        </w:tc>
      </w:tr>
      <w:tr>
        <w:trPr>
          <w:trHeight w:val="149"/>
        </w:trPr>
        <w:tc>
          <w:tcPr>
            <w:tcW w:w="6020" w:type="dxa"/>
            <w:vAlign w:val="bottom"/>
          </w:tcPr>
          <w:p>
            <w:pPr>
              <w:ind w:left="320"/>
              <w:spacing w:after="0"/>
              <w:rPr>
                <w:sz w:val="20"/>
                <w:szCs w:val="20"/>
                <w:color w:val="auto"/>
              </w:rPr>
            </w:pPr>
            <w:r>
              <w:rPr>
                <w:rFonts w:ascii="Arial" w:cs="Arial" w:eastAsia="Arial" w:hAnsi="Arial"/>
                <w:sz w:val="12"/>
                <w:szCs w:val="12"/>
                <w:color w:val="auto"/>
              </w:rPr>
              <w:t>Total liabilities and stockholders' deficit</w:t>
            </w:r>
          </w:p>
        </w:tc>
        <w:tc>
          <w:tcPr>
            <w:tcW w:w="11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10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107,705</w:t>
            </w:r>
          </w:p>
        </w:tc>
        <w:tc>
          <w:tcPr>
            <w:tcW w:w="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84,575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6" w:name="page67"/>
    <w:bookmarkEnd w:id="66"/>
    <w:p>
      <w:pPr>
        <w:ind w:left="4340"/>
        <w:spacing w:after="0"/>
        <w:rPr>
          <w:sz w:val="20"/>
          <w:szCs w:val="20"/>
          <w:color w:val="auto"/>
        </w:rPr>
      </w:pPr>
      <w:r>
        <w:rPr>
          <w:rFonts w:ascii="Arial" w:cs="Arial" w:eastAsia="Arial" w:hAnsi="Arial"/>
          <w:sz w:val="12"/>
          <w:szCs w:val="12"/>
          <w:b w:val="1"/>
          <w:bCs w:val="1"/>
          <w:color w:val="auto"/>
        </w:rPr>
        <w:t>MANNKIND CORPORATION AND SUBSIDIARIES</w:t>
      </w:r>
    </w:p>
    <w:p>
      <w:pPr>
        <w:spacing w:after="0" w:line="19"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6"/>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80"/>
              </w:rPr>
              <w:t>2017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40"/>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5"/>
              </w:rPr>
              <w:t>(In thousands except per share data)</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ind w:left="160"/>
              <w:spacing w:after="0"/>
              <w:rPr>
                <w:sz w:val="20"/>
                <w:szCs w:val="20"/>
                <w:color w:val="auto"/>
              </w:rPr>
            </w:pPr>
            <w:r>
              <w:rPr>
                <w:rFonts w:ascii="Arial" w:cs="Arial" w:eastAsia="Arial" w:hAnsi="Arial"/>
                <w:sz w:val="12"/>
                <w:szCs w:val="12"/>
                <w:color w:val="auto"/>
              </w:rPr>
              <w:t>Net revenue - commercial product sales</w:t>
            </w: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17,276</w:t>
            </w:r>
          </w:p>
        </w:tc>
        <w:tc>
          <w:tcPr>
            <w:tcW w:w="26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9,192</w:t>
            </w:r>
          </w:p>
        </w:tc>
        <w:tc>
          <w:tcPr>
            <w:tcW w:w="140" w:type="dxa"/>
            <w:vAlign w:val="bottom"/>
          </w:tcPr>
          <w:p>
            <w:pPr>
              <w:spacing w:after="0"/>
              <w:rPr>
                <w:sz w:val="13"/>
                <w:szCs w:val="13"/>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1,895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Revenue - collaborations and services</w:t>
            </w: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10,583</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171,965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ind w:left="160"/>
              <w:spacing w:after="0"/>
              <w:rPr>
                <w:sz w:val="20"/>
                <w:szCs w:val="20"/>
                <w:color w:val="auto"/>
              </w:rPr>
            </w:pPr>
            <w:r>
              <w:rPr>
                <w:rFonts w:ascii="Arial" w:cs="Arial" w:eastAsia="Arial" w:hAnsi="Arial"/>
                <w:sz w:val="12"/>
                <w:szCs w:val="12"/>
                <w:color w:val="auto"/>
              </w:rPr>
              <w:t>Revenue - other</w:t>
            </w:r>
          </w:p>
        </w:tc>
        <w:tc>
          <w:tcPr>
            <w:tcW w:w="10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2,303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revenues</w:t>
            </w:r>
          </w:p>
        </w:tc>
        <w:tc>
          <w:tcPr>
            <w:tcW w:w="10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27,859</w:t>
            </w: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11,745</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174,758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20"/>
                <w:szCs w:val="20"/>
                <w:color w:val="auto"/>
              </w:rPr>
            </w:pPr>
            <w:r>
              <w:rPr>
                <w:rFonts w:ascii="Arial" w:cs="Arial" w:eastAsia="Arial" w:hAnsi="Arial"/>
                <w:sz w:val="12"/>
                <w:szCs w:val="12"/>
                <w:color w:val="auto"/>
              </w:rPr>
              <w:t>Expenses:</w:t>
            </w: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Cost of goods sold</w:t>
            </w: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19,402</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17,228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ind w:left="160"/>
              <w:spacing w:after="0"/>
              <w:rPr>
                <w:sz w:val="20"/>
                <w:szCs w:val="20"/>
                <w:color w:val="auto"/>
              </w:rPr>
            </w:pPr>
            <w:r>
              <w:rPr>
                <w:rFonts w:ascii="Arial" w:cs="Arial" w:eastAsia="Arial" w:hAnsi="Arial"/>
                <w:sz w:val="12"/>
                <w:szCs w:val="12"/>
                <w:color w:val="auto"/>
              </w:rPr>
              <w:t>Cost of revenue - collaborations and services</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1,077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32,971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8,737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14,118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79,716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74,959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46,928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Property and equipment impairment</w:t>
            </w:r>
          </w:p>
        </w:tc>
        <w:tc>
          <w:tcPr>
            <w:tcW w:w="10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ind w:left="160"/>
              <w:spacing w:after="0"/>
              <w:rPr>
                <w:sz w:val="20"/>
                <w:szCs w:val="20"/>
                <w:color w:val="auto"/>
              </w:rPr>
            </w:pPr>
            <w:r>
              <w:rPr>
                <w:rFonts w:ascii="Arial" w:cs="Arial" w:eastAsia="Arial" w:hAnsi="Arial"/>
                <w:sz w:val="12"/>
                <w:szCs w:val="12"/>
                <w:color w:val="auto"/>
              </w:rPr>
              <w:t>(Gain) loss on foreign currency translation</w:t>
            </w:r>
          </w:p>
        </w:tc>
        <w:tc>
          <w:tcPr>
            <w:tcW w:w="10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(4,468)</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13,641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(3,433)</w:t>
            </w: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Gain on purchase commitments</w:t>
            </w:r>
          </w:p>
        </w:tc>
        <w:tc>
          <w:tcPr>
            <w:tcW w:w="10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w:t>
            </w: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(215)</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(2,265)</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expenses</w:t>
            </w:r>
          </w:p>
        </w:tc>
        <w:tc>
          <w:tcPr>
            <w:tcW w:w="10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104,454</w:t>
            </w:r>
          </w:p>
        </w:tc>
        <w:tc>
          <w:tcPr>
            <w:tcW w:w="26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119,934</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107,498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shd w:val="clear" w:color="auto" w:fill="CFF0FC"/>
          </w:tcPr>
          <w:p>
            <w:pPr>
              <w:spacing w:after="0"/>
              <w:rPr>
                <w:sz w:val="20"/>
                <w:szCs w:val="20"/>
                <w:color w:val="auto"/>
              </w:rPr>
            </w:pPr>
            <w:r>
              <w:rPr>
                <w:rFonts w:ascii="Arial" w:cs="Arial" w:eastAsia="Arial" w:hAnsi="Arial"/>
                <w:sz w:val="12"/>
                <w:szCs w:val="12"/>
                <w:color w:val="auto"/>
              </w:rPr>
              <w:t>(Loss) income from operations</w:t>
            </w: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(76,595)</w:t>
            </w:r>
          </w:p>
        </w:tc>
        <w:tc>
          <w:tcPr>
            <w:tcW w:w="1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(108,189)</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67,260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20"/>
                <w:szCs w:val="20"/>
                <w:color w:val="auto"/>
              </w:rPr>
            </w:pPr>
            <w:r>
              <w:rPr>
                <w:rFonts w:ascii="Arial" w:cs="Arial" w:eastAsia="Arial" w:hAnsi="Arial"/>
                <w:sz w:val="12"/>
                <w:szCs w:val="12"/>
                <w:color w:val="auto"/>
              </w:rPr>
              <w:t>Other (expense) income:</w:t>
            </w: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Change in fair value of warrant liability</w:t>
            </w:r>
          </w:p>
        </w:tc>
        <w:tc>
          <w:tcPr>
            <w:tcW w:w="10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ind w:left="160"/>
              <w:spacing w:after="0"/>
              <w:rPr>
                <w:sz w:val="20"/>
                <w:szCs w:val="20"/>
                <w:color w:val="auto"/>
              </w:rPr>
            </w:pPr>
            <w:r>
              <w:rPr>
                <w:rFonts w:ascii="Arial" w:cs="Arial" w:eastAsia="Arial" w:hAnsi="Arial"/>
                <w:sz w:val="12"/>
                <w:szCs w:val="12"/>
                <w:color w:val="auto"/>
              </w:rPr>
              <w:t>Interest income</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293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Interest expense on notes</w:t>
            </w:r>
          </w:p>
        </w:tc>
        <w:tc>
          <w:tcPr>
            <w:tcW w:w="10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(5,116)</w:t>
            </w: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(9,494)</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(15,576)</w:t>
            </w:r>
          </w:p>
        </w:tc>
        <w:tc>
          <w:tcPr>
            <w:tcW w:w="0" w:type="dxa"/>
            <w:vAlign w:val="bottom"/>
          </w:tcPr>
          <w:p>
            <w:pPr>
              <w:spacing w:after="0"/>
              <w:rPr>
                <w:sz w:val="1"/>
                <w:szCs w:val="1"/>
                <w:color w:val="auto"/>
              </w:rPr>
            </w:pPr>
          </w:p>
        </w:tc>
      </w:tr>
      <w:tr>
        <w:trPr>
          <w:trHeight w:val="153"/>
        </w:trPr>
        <w:tc>
          <w:tcPr>
            <w:tcW w:w="6080" w:type="dxa"/>
            <w:vAlign w:val="bottom"/>
          </w:tcPr>
          <w:p>
            <w:pPr>
              <w:ind w:left="160"/>
              <w:spacing w:after="0"/>
              <w:rPr>
                <w:sz w:val="20"/>
                <w:szCs w:val="20"/>
                <w:color w:val="auto"/>
              </w:rPr>
            </w:pPr>
            <w:r>
              <w:rPr>
                <w:rFonts w:ascii="Arial" w:cs="Arial" w:eastAsia="Arial" w:hAnsi="Arial"/>
                <w:sz w:val="12"/>
                <w:szCs w:val="12"/>
                <w:color w:val="auto"/>
              </w:rPr>
              <w:t>Interest expense on note payable to related party</w:t>
            </w:r>
          </w:p>
        </w:tc>
        <w:tc>
          <w:tcPr>
            <w:tcW w:w="10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(4,323)</w:t>
            </w:r>
          </w:p>
        </w:tc>
        <w:tc>
          <w:tcPr>
            <w:tcW w:w="16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(3,782)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(2,901)</w:t>
            </w: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(Loss) gain on extinguishment of debt</w:t>
            </w:r>
          </w:p>
        </w:tc>
        <w:tc>
          <w:tcPr>
            <w:tcW w:w="10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(765)</w:t>
            </w: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(1,611)</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ind w:left="160"/>
              <w:spacing w:after="0"/>
              <w:rPr>
                <w:sz w:val="20"/>
                <w:szCs w:val="20"/>
                <w:color w:val="auto"/>
              </w:rPr>
            </w:pPr>
            <w:r>
              <w:rPr>
                <w:rFonts w:ascii="Arial" w:cs="Arial" w:eastAsia="Arial" w:hAnsi="Arial"/>
                <w:sz w:val="12"/>
                <w:szCs w:val="12"/>
                <w:color w:val="auto"/>
              </w:rPr>
              <w:t>Other income (expense)</w:t>
            </w:r>
          </w:p>
        </w:tc>
        <w:tc>
          <w:tcPr>
            <w:tcW w:w="10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(437)</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(597)</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ind w:left="320"/>
              <w:spacing w:after="0"/>
              <w:rPr>
                <w:sz w:val="20"/>
                <w:szCs w:val="20"/>
                <w:color w:val="auto"/>
              </w:rPr>
            </w:pPr>
            <w:r>
              <w:rPr>
                <w:rFonts w:ascii="Arial" w:cs="Arial" w:eastAsia="Arial" w:hAnsi="Arial"/>
                <w:sz w:val="12"/>
                <w:szCs w:val="12"/>
                <w:color w:val="auto"/>
              </w:rPr>
              <w:t>Total other (expense) income</w:t>
            </w: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vMerge w:val="continue"/>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(10,140)</w:t>
            </w:r>
          </w:p>
        </w:tc>
        <w:tc>
          <w:tcPr>
            <w:tcW w:w="1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(9,093)</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58,404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2"/>
                <w:szCs w:val="12"/>
                <w:color w:val="auto"/>
              </w:rPr>
              <w:t>(Loss) income before income tax expense</w:t>
            </w: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(86,735)</w:t>
            </w:r>
          </w:p>
        </w:tc>
        <w:tc>
          <w:tcPr>
            <w:tcW w:w="160" w:type="dxa"/>
            <w:vAlign w:val="bottom"/>
          </w:tcPr>
          <w:p>
            <w:pPr>
              <w:spacing w:after="0"/>
              <w:rPr>
                <w:sz w:val="12"/>
                <w:szCs w:val="1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(117,282)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125,664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FF0FC"/>
          </w:tcPr>
          <w:p>
            <w:pPr>
              <w:spacing w:after="0"/>
              <w:rPr>
                <w:sz w:val="20"/>
                <w:szCs w:val="20"/>
                <w:color w:val="auto"/>
              </w:rPr>
            </w:pPr>
            <w:r>
              <w:rPr>
                <w:rFonts w:ascii="Arial" w:cs="Arial" w:eastAsia="Arial" w:hAnsi="Arial"/>
                <w:sz w:val="12"/>
                <w:szCs w:val="12"/>
                <w:color w:val="auto"/>
              </w:rPr>
              <w:t>Provision for income taxes</w:t>
            </w:r>
          </w:p>
        </w:tc>
        <w:tc>
          <w:tcPr>
            <w:tcW w:w="10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20"/>
                <w:szCs w:val="20"/>
                <w:color w:val="auto"/>
              </w:rPr>
            </w:pPr>
            <w:r>
              <w:rPr>
                <w:rFonts w:ascii="Arial" w:cs="Arial" w:eastAsia="Arial" w:hAnsi="Arial"/>
                <w:sz w:val="12"/>
                <w:szCs w:val="12"/>
                <w:color w:val="auto"/>
              </w:rPr>
              <w:t>Net (loss) income</w:t>
            </w: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(86,975)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(117,333)</w:t>
            </w: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125,664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income per share - basic</w:t>
            </w:r>
          </w:p>
        </w:tc>
        <w:tc>
          <w:tcPr>
            <w:tcW w:w="10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080" w:type="dxa"/>
            <w:vAlign w:val="bottom"/>
            <w:vMerge w:val="continue"/>
            <w:shd w:val="clear" w:color="auto" w:fill="CFF0FC"/>
          </w:tcPr>
          <w:p>
            <w:pPr>
              <w:spacing w:after="0"/>
              <w:rPr>
                <w:sz w:val="13"/>
                <w:szCs w:val="13"/>
                <w:color w:val="auto"/>
              </w:rPr>
            </w:pPr>
          </w:p>
        </w:tc>
        <w:tc>
          <w:tcPr>
            <w:tcW w:w="1040" w:type="dxa"/>
            <w:vAlign w:val="bottom"/>
            <w:shd w:val="clear" w:color="auto" w:fill="CFF0FC"/>
          </w:tcPr>
          <w:p>
            <w:pPr>
              <w:jc w:val="right"/>
              <w:ind w:right="9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(0.60)</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(1.13)</w:t>
            </w: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Net (loss) income per share - diluted</w:t>
            </w: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80" w:type="dxa"/>
            <w:vAlign w:val="bottom"/>
            <w:vMerge w:val="continue"/>
          </w:tcPr>
          <w:p>
            <w:pPr>
              <w:spacing w:after="0"/>
              <w:rPr>
                <w:sz w:val="12"/>
                <w:szCs w:val="12"/>
                <w:color w:val="auto"/>
              </w:rPr>
            </w:pP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(0.60)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(1.13)</w:t>
            </w: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Shares used to compute basic net (loss) income per share</w:t>
            </w: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144,136</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104,245</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92,053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Shares used to compute diluted net (loss) income per share</w:t>
            </w: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144,136</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104,245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92,085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2"/>
          <w:szCs w:val="12"/>
          <w:b w:val="1"/>
          <w:bCs w:val="1"/>
          <w:color w:val="auto"/>
        </w:rPr>
        <w:t>MANNKIND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6"/>
              </w:rPr>
              <w:t>Year Ended December 31,</w:t>
            </w: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2018</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06"/>
              <w:spacing w:after="0"/>
              <w:rPr>
                <w:sz w:val="20"/>
                <w:szCs w:val="20"/>
                <w:color w:val="auto"/>
              </w:rPr>
            </w:pPr>
            <w:r>
              <w:rPr>
                <w:rFonts w:ascii="Arial" w:cs="Arial" w:eastAsia="Arial" w:hAnsi="Arial"/>
                <w:sz w:val="10"/>
                <w:szCs w:val="10"/>
                <w:b w:val="1"/>
                <w:bCs w:val="1"/>
                <w:color w:val="auto"/>
                <w:w w:val="89"/>
              </w:rPr>
              <w:t>2017</w:t>
            </w: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(In thousands)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shd w:val="clear" w:color="auto" w:fill="CFF0FC"/>
          </w:tcPr>
          <w:p>
            <w:pPr>
              <w:spacing w:after="0"/>
              <w:rPr>
                <w:sz w:val="20"/>
                <w:szCs w:val="20"/>
                <w:color w:val="auto"/>
              </w:rPr>
            </w:pPr>
            <w:r>
              <w:rPr>
                <w:rFonts w:ascii="Arial" w:cs="Arial" w:eastAsia="Arial" w:hAnsi="Arial"/>
                <w:sz w:val="12"/>
                <w:szCs w:val="12"/>
                <w:color w:val="auto"/>
              </w:rPr>
              <w:t>Net (loss) income</w:t>
            </w:r>
          </w:p>
        </w:tc>
        <w:tc>
          <w:tcPr>
            <w:tcW w:w="1000" w:type="dxa"/>
            <w:vAlign w:val="bottom"/>
            <w:shd w:val="clear" w:color="auto" w:fill="CFF0FC"/>
          </w:tcPr>
          <w:p>
            <w:pPr>
              <w:jc w:val="right"/>
              <w:ind w:right="8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(86,975)</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(117,333)</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125,664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Cumulative translation gain (loss)</w:t>
            </w:r>
          </w:p>
        </w:tc>
        <w:tc>
          <w:tcPr>
            <w:tcW w:w="10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2"/>
                <w:szCs w:val="12"/>
                <w:color w:val="auto"/>
              </w:rPr>
              <w:t>Comprehensive (loss) income</w:t>
            </w: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00" w:type="dxa"/>
            <w:vAlign w:val="bottom"/>
            <w:vMerge w:val="continue"/>
          </w:tcPr>
          <w:p>
            <w:pPr>
              <w:spacing w:after="0"/>
              <w:rPr>
                <w:sz w:val="12"/>
                <w:szCs w:val="12"/>
                <w:color w:val="auto"/>
              </w:rPr>
            </w:pP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(86,976)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(117,327)</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125,660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notes to consolidated financial statements.</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2"/>
          <w:szCs w:val="12"/>
          <w:b w:val="1"/>
          <w:bCs w:val="1"/>
          <w:color w:val="auto"/>
        </w:rPr>
        <w:t>MANNKIND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STOCKHOLDERS’ DEFICIT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8"/>
                <w:szCs w:val="8"/>
                <w:b w:val="1"/>
                <w:bCs w:val="1"/>
                <w:color w:val="auto"/>
                <w:w w:val="95"/>
              </w:rPr>
              <w:t>Accumulated</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tcPr>
          <w:p>
            <w:pPr>
              <w:jc w:val="right"/>
              <w:ind w:right="500"/>
              <w:spacing w:after="0" w:line="90" w:lineRule="exact"/>
              <w:rPr>
                <w:sz w:val="20"/>
                <w:szCs w:val="20"/>
                <w:color w:val="auto"/>
              </w:rPr>
            </w:pPr>
            <w:r>
              <w:rPr>
                <w:rFonts w:ascii="Arial" w:cs="Arial" w:eastAsia="Arial" w:hAnsi="Arial"/>
                <w:sz w:val="8"/>
                <w:szCs w:val="8"/>
                <w:b w:val="1"/>
                <w:bCs w:val="1"/>
                <w:color w:val="auto"/>
              </w:rPr>
              <w:t>Additional</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center"/>
              <w:ind w:right="460"/>
              <w:spacing w:after="0" w:line="90" w:lineRule="exact"/>
              <w:rPr>
                <w:sz w:val="20"/>
                <w:szCs w:val="20"/>
                <w:color w:val="auto"/>
              </w:rPr>
            </w:pPr>
            <w:r>
              <w:rPr>
                <w:rFonts w:ascii="Arial" w:cs="Arial" w:eastAsia="Arial" w:hAnsi="Arial"/>
                <w:sz w:val="8"/>
                <w:szCs w:val="8"/>
                <w:b w:val="1"/>
                <w:bCs w:val="1"/>
                <w:color w:val="auto"/>
              </w:rPr>
              <w:t>Other</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540" w:type="dxa"/>
            <w:vAlign w:val="bottom"/>
          </w:tcPr>
          <w:p>
            <w:pPr>
              <w:spacing w:after="0"/>
              <w:rPr>
                <w:sz w:val="8"/>
                <w:szCs w:val="8"/>
                <w:color w:val="auto"/>
              </w:rPr>
            </w:pPr>
          </w:p>
        </w:tc>
        <w:tc>
          <w:tcPr>
            <w:tcW w:w="16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8"/>
                <w:szCs w:val="8"/>
                <w:b w:val="1"/>
                <w:bCs w:val="1"/>
                <w:color w:val="auto"/>
              </w:rPr>
              <w:t>Common Stock</w:t>
            </w: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8"/>
                <w:szCs w:val="8"/>
                <w:b w:val="1"/>
                <w:bCs w:val="1"/>
                <w:color w:val="auto"/>
                <w:w w:val="93"/>
              </w:rPr>
              <w:t>Comprehensive</w:t>
            </w:r>
          </w:p>
        </w:tc>
        <w:tc>
          <w:tcPr>
            <w:tcW w:w="180" w:type="dxa"/>
            <w:vAlign w:val="bottom"/>
          </w:tcPr>
          <w:p>
            <w:pPr>
              <w:spacing w:after="0"/>
              <w:rPr>
                <w:sz w:val="8"/>
                <w:szCs w:val="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8"/>
                <w:szCs w:val="8"/>
                <w:b w:val="1"/>
                <w:bCs w:val="1"/>
                <w:color w:val="auto"/>
              </w:rPr>
              <w:t>Accumulated</w:t>
            </w: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540" w:type="dxa"/>
            <w:vAlign w:val="bottom"/>
          </w:tcPr>
          <w:p>
            <w:pPr>
              <w:spacing w:after="0"/>
              <w:rPr>
                <w:sz w:val="7"/>
                <w:szCs w:val="7"/>
                <w:color w:val="auto"/>
              </w:rPr>
            </w:pPr>
          </w:p>
        </w:tc>
        <w:tc>
          <w:tcPr>
            <w:tcW w:w="1100" w:type="dxa"/>
            <w:vAlign w:val="bottom"/>
          </w:tcPr>
          <w:p>
            <w:pPr>
              <w:jc w:val="right"/>
              <w:ind w:right="398"/>
              <w:spacing w:after="0" w:line="88" w:lineRule="exact"/>
              <w:rPr>
                <w:sz w:val="20"/>
                <w:szCs w:val="20"/>
                <w:color w:val="auto"/>
              </w:rPr>
            </w:pPr>
            <w:r>
              <w:rPr>
                <w:rFonts w:ascii="Arial" w:cs="Arial" w:eastAsia="Arial" w:hAnsi="Arial"/>
                <w:sz w:val="8"/>
                <w:szCs w:val="8"/>
                <w:b w:val="1"/>
                <w:bCs w:val="1"/>
                <w:color w:val="auto"/>
              </w:rPr>
              <w:t>Shares</w:t>
            </w: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jc w:val="right"/>
              <w:ind w:right="378"/>
              <w:spacing w:after="0" w:line="88" w:lineRule="exact"/>
              <w:rPr>
                <w:sz w:val="20"/>
                <w:szCs w:val="20"/>
                <w:color w:val="auto"/>
              </w:rPr>
            </w:pPr>
            <w:r>
              <w:rPr>
                <w:rFonts w:ascii="Arial" w:cs="Arial" w:eastAsia="Arial" w:hAnsi="Arial"/>
                <w:sz w:val="8"/>
                <w:szCs w:val="8"/>
                <w:b w:val="1"/>
                <w:bCs w:val="1"/>
                <w:color w:val="auto"/>
              </w:rPr>
              <w:t>Amount</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tcPr>
          <w:p>
            <w:pPr>
              <w:jc w:val="right"/>
              <w:ind w:right="560"/>
              <w:spacing w:after="0" w:line="88" w:lineRule="exact"/>
              <w:rPr>
                <w:sz w:val="20"/>
                <w:szCs w:val="20"/>
                <w:color w:val="auto"/>
              </w:rPr>
            </w:pPr>
            <w:r>
              <w:rPr>
                <w:rFonts w:ascii="Arial" w:cs="Arial" w:eastAsia="Arial" w:hAnsi="Arial"/>
                <w:sz w:val="8"/>
                <w:szCs w:val="8"/>
                <w:b w:val="1"/>
                <w:bCs w:val="1"/>
                <w:color w:val="auto"/>
              </w:rPr>
              <w:t>Capital</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center"/>
              <w:ind w:right="440"/>
              <w:spacing w:after="0" w:line="88" w:lineRule="exact"/>
              <w:rPr>
                <w:sz w:val="20"/>
                <w:szCs w:val="20"/>
                <w:color w:val="auto"/>
              </w:rPr>
            </w:pPr>
            <w:r>
              <w:rPr>
                <w:rFonts w:ascii="Arial" w:cs="Arial" w:eastAsia="Arial" w:hAnsi="Arial"/>
                <w:sz w:val="8"/>
                <w:szCs w:val="8"/>
                <w:b w:val="1"/>
                <w:bCs w:val="1"/>
                <w:color w:val="auto"/>
                <w:w w:val="85"/>
              </w:rPr>
              <w:t>Loss</w:t>
            </w:r>
          </w:p>
        </w:tc>
        <w:tc>
          <w:tcPr>
            <w:tcW w:w="180" w:type="dxa"/>
            <w:vAlign w:val="bottom"/>
          </w:tcPr>
          <w:p>
            <w:pPr>
              <w:spacing w:after="0"/>
              <w:rPr>
                <w:sz w:val="7"/>
                <w:szCs w:val="7"/>
                <w:color w:val="auto"/>
              </w:rPr>
            </w:pPr>
          </w:p>
        </w:tc>
        <w:tc>
          <w:tcPr>
            <w:tcW w:w="1160" w:type="dxa"/>
            <w:vAlign w:val="bottom"/>
            <w:gridSpan w:val="2"/>
          </w:tcPr>
          <w:p>
            <w:pPr>
              <w:jc w:val="right"/>
              <w:ind w:right="660"/>
              <w:spacing w:after="0" w:line="88" w:lineRule="exact"/>
              <w:rPr>
                <w:sz w:val="20"/>
                <w:szCs w:val="20"/>
                <w:color w:val="auto"/>
              </w:rPr>
            </w:pPr>
            <w:r>
              <w:rPr>
                <w:rFonts w:ascii="Arial" w:cs="Arial" w:eastAsia="Arial" w:hAnsi="Arial"/>
                <w:sz w:val="8"/>
                <w:szCs w:val="8"/>
                <w:b w:val="1"/>
                <w:bCs w:val="1"/>
                <w:color w:val="auto"/>
              </w:rPr>
              <w:t>Deficit</w:t>
            </w:r>
          </w:p>
        </w:tc>
        <w:tc>
          <w:tcPr>
            <w:tcW w:w="260" w:type="dxa"/>
            <w:vAlign w:val="bottom"/>
          </w:tcPr>
          <w:p>
            <w:pPr>
              <w:spacing w:after="0"/>
              <w:rPr>
                <w:sz w:val="7"/>
                <w:szCs w:val="7"/>
                <w:color w:val="auto"/>
              </w:rPr>
            </w:pPr>
          </w:p>
        </w:tc>
        <w:tc>
          <w:tcPr>
            <w:tcW w:w="1000" w:type="dxa"/>
            <w:vAlign w:val="bottom"/>
            <w:gridSpan w:val="2"/>
          </w:tcPr>
          <w:p>
            <w:pPr>
              <w:jc w:val="right"/>
              <w:ind w:right="600"/>
              <w:spacing w:after="0" w:line="88"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88"/>
        </w:trPr>
        <w:tc>
          <w:tcPr>
            <w:tcW w:w="354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360" w:type="dxa"/>
            <w:vAlign w:val="bottom"/>
            <w:tcBorders>
              <w:top w:val="single" w:sz="8" w:color="auto"/>
            </w:tcBorders>
            <w:gridSpan w:val="4"/>
          </w:tcPr>
          <w:p>
            <w:pPr>
              <w:jc w:val="right"/>
              <w:ind w:right="60"/>
              <w:spacing w:after="0" w:line="88" w:lineRule="exact"/>
              <w:rPr>
                <w:sz w:val="20"/>
                <w:szCs w:val="20"/>
                <w:color w:val="auto"/>
              </w:rPr>
            </w:pPr>
            <w:r>
              <w:rPr>
                <w:rFonts w:ascii="Arial" w:cs="Arial" w:eastAsia="Arial" w:hAnsi="Arial"/>
                <w:sz w:val="8"/>
                <w:szCs w:val="8"/>
                <w:b w:val="1"/>
                <w:bCs w:val="1"/>
                <w:color w:val="auto"/>
              </w:rPr>
              <w:t>(In thousands)</w:t>
            </w:r>
          </w:p>
        </w:tc>
        <w:tc>
          <w:tcPr>
            <w:tcW w:w="9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spacing w:after="0"/>
              <w:rPr>
                <w:sz w:val="20"/>
                <w:szCs w:val="20"/>
                <w:color w:val="auto"/>
              </w:rPr>
            </w:pPr>
            <w:r>
              <w:rPr>
                <w:rFonts w:ascii="Arial" w:cs="Arial" w:eastAsia="Arial" w:hAnsi="Arial"/>
                <w:sz w:val="8"/>
                <w:szCs w:val="8"/>
                <w:color w:val="auto"/>
              </w:rPr>
              <w:t>BALANCE, JANUARY 1, 2016</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85,735</w:t>
            </w:r>
          </w:p>
        </w:tc>
        <w:tc>
          <w:tcPr>
            <w:tcW w:w="500" w:type="dxa"/>
            <w:vAlign w:val="bottom"/>
            <w:gridSpan w:val="2"/>
            <w:shd w:val="clear" w:color="auto" w:fill="CFF0FC"/>
          </w:tcPr>
          <w:p>
            <w:pPr>
              <w:jc w:val="right"/>
              <w:ind w:right="214"/>
              <w:spacing w:after="0"/>
              <w:rPr>
                <w:sz w:val="20"/>
                <w:szCs w:val="20"/>
                <w:color w:val="auto"/>
              </w:rPr>
            </w:pPr>
            <w:r>
              <w:rPr>
                <w:rFonts w:ascii="Arial" w:cs="Arial" w:eastAsia="Arial" w:hAnsi="Arial"/>
                <w:sz w:val="8"/>
                <w:szCs w:val="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857</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8"/>
                <w:szCs w:val="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2,512,063</w:t>
            </w:r>
          </w:p>
        </w:tc>
        <w:tc>
          <w:tcPr>
            <w:tcW w:w="120" w:type="dxa"/>
            <w:vAlign w:val="bottom"/>
            <w:shd w:val="clear" w:color="auto" w:fill="CFF0FC"/>
          </w:tcPr>
          <w:p>
            <w:pPr>
              <w:spacing w:after="0"/>
              <w:rPr>
                <w:sz w:val="8"/>
                <w:szCs w:val="8"/>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(20)</w:t>
            </w:r>
          </w:p>
        </w:tc>
        <w:tc>
          <w:tcPr>
            <w:tcW w:w="180" w:type="dxa"/>
            <w:vAlign w:val="bottom"/>
            <w:shd w:val="clear" w:color="auto" w:fill="CFF0FC"/>
          </w:tcPr>
          <w:p>
            <w:pPr>
              <w:jc w:val="right"/>
              <w:ind w:right="114"/>
              <w:spacing w:after="0"/>
              <w:rPr>
                <w:sz w:val="20"/>
                <w:szCs w:val="20"/>
                <w:color w:val="auto"/>
              </w:rPr>
            </w:pPr>
            <w:r>
              <w:rPr>
                <w:rFonts w:ascii="Arial" w:cs="Arial" w:eastAsia="Arial" w:hAnsi="Arial"/>
                <w:sz w:val="5"/>
                <w:szCs w:val="5"/>
                <w:color w:val="auto"/>
                <w:w w:val="70"/>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(2,863,229)</w:t>
            </w:r>
          </w:p>
        </w:tc>
        <w:tc>
          <w:tcPr>
            <w:tcW w:w="260" w:type="dxa"/>
            <w:vAlign w:val="bottom"/>
            <w:shd w:val="clear" w:color="auto" w:fill="CFF0FC"/>
          </w:tcPr>
          <w:p>
            <w:pPr>
              <w:jc w:val="right"/>
              <w:ind w:right="19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(350,329)</w:t>
            </w: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8"/>
                <w:szCs w:val="8"/>
                <w:color w:val="auto"/>
              </w:rPr>
              <w:t>55</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466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467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40" w:type="dxa"/>
            <w:vAlign w:val="bottom"/>
            <w:shd w:val="clear" w:color="auto" w:fill="CFF0FC"/>
          </w:tcPr>
          <w:p>
            <w:pPr>
              <w:ind w:left="160"/>
              <w:spacing w:after="0" w:line="91" w:lineRule="exact"/>
              <w:rPr>
                <w:sz w:val="20"/>
                <w:szCs w:val="20"/>
                <w:color w:val="auto"/>
              </w:rPr>
            </w:pPr>
            <w:r>
              <w:rPr>
                <w:rFonts w:ascii="Arial" w:cs="Arial" w:eastAsia="Arial" w:hAnsi="Arial"/>
                <w:sz w:val="8"/>
                <w:szCs w:val="8"/>
                <w:color w:val="auto"/>
              </w:rPr>
              <w:t>Issuance of common shares from the release of</w:t>
            </w:r>
          </w:p>
        </w:tc>
        <w:tc>
          <w:tcPr>
            <w:tcW w:w="1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220"/>
              <w:spacing w:after="0"/>
              <w:rPr>
                <w:sz w:val="20"/>
                <w:szCs w:val="20"/>
                <w:color w:val="auto"/>
              </w:rPr>
            </w:pPr>
            <w:r>
              <w:rPr>
                <w:rFonts w:ascii="Arial" w:cs="Arial" w:eastAsia="Arial" w:hAnsi="Arial"/>
                <w:sz w:val="8"/>
                <w:szCs w:val="8"/>
                <w:color w:val="auto"/>
              </w:rPr>
              <w:t>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131</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1</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40" w:type="dxa"/>
            <w:vAlign w:val="bottom"/>
          </w:tcPr>
          <w:p>
            <w:pPr>
              <w:ind w:left="160"/>
              <w:spacing w:after="0" w:line="91" w:lineRule="exact"/>
              <w:rPr>
                <w:sz w:val="20"/>
                <w:szCs w:val="20"/>
                <w:color w:val="auto"/>
              </w:rPr>
            </w:pPr>
            <w:r>
              <w:rPr>
                <w:rFonts w:ascii="Arial" w:cs="Arial" w:eastAsia="Arial" w:hAnsi="Arial"/>
                <w:sz w:val="8"/>
                <w:szCs w:val="8"/>
                <w:color w:val="auto"/>
              </w:rPr>
              <w:t>Issuance of common shares under Employee Stock</w:t>
            </w: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220"/>
              <w:spacing w:after="0"/>
              <w:rPr>
                <w:sz w:val="20"/>
                <w:szCs w:val="20"/>
                <w:color w:val="auto"/>
              </w:rPr>
            </w:pPr>
            <w:r>
              <w:rPr>
                <w:rFonts w:ascii="Arial" w:cs="Arial" w:eastAsia="Arial" w:hAnsi="Arial"/>
                <w:sz w:val="8"/>
                <w:szCs w:val="8"/>
                <w:color w:val="auto"/>
              </w:rPr>
              <w:t>Purchase Plan</w:t>
            </w:r>
          </w:p>
        </w:tc>
        <w:tc>
          <w:tcPr>
            <w:tcW w:w="1100" w:type="dxa"/>
            <w:vAlign w:val="bottom"/>
          </w:tcPr>
          <w:p>
            <w:pPr>
              <w:jc w:val="right"/>
              <w:spacing w:after="0"/>
              <w:rPr>
                <w:sz w:val="20"/>
                <w:szCs w:val="20"/>
                <w:color w:val="auto"/>
              </w:rPr>
            </w:pPr>
            <w:r>
              <w:rPr>
                <w:rFonts w:ascii="Arial" w:cs="Arial" w:eastAsia="Arial" w:hAnsi="Arial"/>
                <w:sz w:val="8"/>
                <w:szCs w:val="8"/>
                <w:color w:val="auto"/>
              </w:rPr>
              <w:t>51</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425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426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Stock-based compensation expense</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5,135</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5,135</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Restricted stock units taxes paid in cash</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8"/>
                <w:szCs w:val="8"/>
                <w:color w:val="auto"/>
              </w:rPr>
              <w:t>(165)</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(165)</w:t>
            </w:r>
          </w:p>
        </w:tc>
        <w:tc>
          <w:tcPr>
            <w:tcW w:w="0" w:type="dxa"/>
            <w:vAlign w:val="bottom"/>
          </w:tcPr>
          <w:p>
            <w:pPr>
              <w:spacing w:after="0"/>
              <w:rPr>
                <w:sz w:val="1"/>
                <w:szCs w:val="1"/>
                <w:color w:val="auto"/>
              </w:rPr>
            </w:pPr>
          </w:p>
        </w:tc>
      </w:tr>
      <w:tr>
        <w:trPr>
          <w:trHeight w:val="90"/>
        </w:trPr>
        <w:tc>
          <w:tcPr>
            <w:tcW w:w="3540" w:type="dxa"/>
            <w:vAlign w:val="bottom"/>
            <w:shd w:val="clear" w:color="auto" w:fill="CFF0FC"/>
          </w:tcPr>
          <w:p>
            <w:pPr>
              <w:ind w:left="160"/>
              <w:spacing w:after="0" w:line="91" w:lineRule="exact"/>
              <w:rPr>
                <w:sz w:val="20"/>
                <w:szCs w:val="20"/>
                <w:color w:val="auto"/>
              </w:rPr>
            </w:pPr>
            <w:r>
              <w:rPr>
                <w:rFonts w:ascii="Arial" w:cs="Arial" w:eastAsia="Arial" w:hAnsi="Arial"/>
                <w:sz w:val="8"/>
                <w:szCs w:val="8"/>
                <w:color w:val="auto"/>
              </w:rPr>
              <w:t>Issuance of direct placement — common stock and</w:t>
            </w:r>
          </w:p>
        </w:tc>
        <w:tc>
          <w:tcPr>
            <w:tcW w:w="1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220"/>
              <w:spacing w:after="0"/>
              <w:rPr>
                <w:sz w:val="20"/>
                <w:szCs w:val="20"/>
                <w:color w:val="auto"/>
              </w:rPr>
            </w:pPr>
            <w:r>
              <w:rPr>
                <w:rFonts w:ascii="Arial" w:cs="Arial" w:eastAsia="Arial" w:hAnsi="Arial"/>
                <w:sz w:val="8"/>
                <w:szCs w:val="8"/>
                <w:color w:val="auto"/>
              </w:rPr>
              <w:t>warrants</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9,709</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97</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49,903</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50,000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Issuance costs associated with direct placement</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8"/>
                <w:szCs w:val="8"/>
                <w:color w:val="auto"/>
              </w:rPr>
              <w:t>(2,037)</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(2,037)</w:t>
            </w: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Proceeds allocated to warrant liabilities</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(12,750)</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(12,750)</w:t>
            </w: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Cumulative translation loss</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8"/>
                <w:szCs w:val="8"/>
                <w:color w:val="auto"/>
              </w:rPr>
              <w:t>(4)</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80" w:type="dxa"/>
            <w:vAlign w:val="bottom"/>
            <w:tcBorders>
              <w:bottom w:val="single" w:sz="8" w:color="auto"/>
            </w:tcBorders>
            <w:shd w:val="clear" w:color="auto" w:fill="CFF0FC"/>
          </w:tcPr>
          <w:p>
            <w:pPr>
              <w:spacing w:after="0"/>
              <w:rPr>
                <w:sz w:val="8"/>
                <w:szCs w:val="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tcBorders>
              <w:bottom w:val="single" w:sz="8" w:color="auto"/>
            </w:tcBorders>
            <w:shd w:val="clear" w:color="auto" w:fill="CFF0FC"/>
          </w:tcPr>
          <w:p>
            <w:pPr>
              <w:spacing w:after="0"/>
              <w:rPr>
                <w:sz w:val="8"/>
                <w:szCs w:val="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tcBorders>
              <w:bottom w:val="single" w:sz="8" w:color="auto"/>
            </w:tcBorders>
            <w:shd w:val="clear" w:color="auto" w:fill="CFF0FC"/>
          </w:tcPr>
          <w:p>
            <w:pPr>
              <w:spacing w:after="0"/>
              <w:rPr>
                <w:sz w:val="8"/>
                <w:szCs w:val="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180" w:type="dxa"/>
            <w:vAlign w:val="bottom"/>
            <w:tcBorders>
              <w:bottom w:val="single" w:sz="8" w:color="auto"/>
            </w:tcBorders>
            <w:shd w:val="clear" w:color="auto" w:fill="CFF0FC"/>
          </w:tcPr>
          <w:p>
            <w:pPr>
              <w:spacing w:after="0"/>
              <w:rPr>
                <w:sz w:val="8"/>
                <w:szCs w:val="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125,664</w:t>
            </w:r>
          </w:p>
        </w:tc>
        <w:tc>
          <w:tcPr>
            <w:tcW w:w="220" w:type="dxa"/>
            <w:vAlign w:val="bottom"/>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125,664</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540" w:type="dxa"/>
            <w:vAlign w:val="bottom"/>
          </w:tcPr>
          <w:p>
            <w:pPr>
              <w:spacing w:after="0" w:line="88" w:lineRule="exact"/>
              <w:rPr>
                <w:sz w:val="20"/>
                <w:szCs w:val="20"/>
                <w:color w:val="auto"/>
              </w:rPr>
            </w:pPr>
            <w:r>
              <w:rPr>
                <w:rFonts w:ascii="Arial" w:cs="Arial" w:eastAsia="Arial" w:hAnsi="Arial"/>
                <w:sz w:val="8"/>
                <w:szCs w:val="8"/>
                <w:color w:val="auto"/>
              </w:rPr>
              <w:t>BALANCE, DECEMBER 31, 2016</w:t>
            </w:r>
          </w:p>
        </w:tc>
        <w:tc>
          <w:tcPr>
            <w:tcW w:w="1100" w:type="dxa"/>
            <w:vAlign w:val="bottom"/>
          </w:tcPr>
          <w:p>
            <w:pPr>
              <w:jc w:val="right"/>
              <w:spacing w:after="0" w:line="88" w:lineRule="exact"/>
              <w:rPr>
                <w:sz w:val="20"/>
                <w:szCs w:val="20"/>
                <w:color w:val="auto"/>
              </w:rPr>
            </w:pPr>
            <w:r>
              <w:rPr>
                <w:rFonts w:ascii="Arial" w:cs="Arial" w:eastAsia="Arial" w:hAnsi="Arial"/>
                <w:sz w:val="8"/>
                <w:szCs w:val="8"/>
                <w:color w:val="auto"/>
              </w:rPr>
              <w:t>95,681</w:t>
            </w: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jc w:val="right"/>
              <w:spacing w:after="0" w:line="88" w:lineRule="exact"/>
              <w:rPr>
                <w:sz w:val="20"/>
                <w:szCs w:val="20"/>
                <w:color w:val="auto"/>
              </w:rPr>
            </w:pPr>
            <w:r>
              <w:rPr>
                <w:rFonts w:ascii="Arial" w:cs="Arial" w:eastAsia="Arial" w:hAnsi="Arial"/>
                <w:sz w:val="8"/>
                <w:szCs w:val="8"/>
                <w:color w:val="auto"/>
              </w:rPr>
              <w:t>957</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right"/>
              <w:spacing w:after="0" w:line="88" w:lineRule="exact"/>
              <w:rPr>
                <w:sz w:val="20"/>
                <w:szCs w:val="20"/>
                <w:color w:val="auto"/>
              </w:rPr>
            </w:pPr>
            <w:r>
              <w:rPr>
                <w:rFonts w:ascii="Arial" w:cs="Arial" w:eastAsia="Arial" w:hAnsi="Arial"/>
                <w:sz w:val="8"/>
                <w:szCs w:val="8"/>
                <w:color w:val="auto"/>
              </w:rPr>
              <w:t>2,553,039</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(24)</w:t>
            </w:r>
          </w:p>
        </w:tc>
        <w:tc>
          <w:tcPr>
            <w:tcW w:w="180" w:type="dxa"/>
            <w:vAlign w:val="bottom"/>
          </w:tcPr>
          <w:p>
            <w:pPr>
              <w:spacing w:after="0"/>
              <w:rPr>
                <w:sz w:val="7"/>
                <w:szCs w:val="7"/>
                <w:color w:val="auto"/>
              </w:rPr>
            </w:pPr>
          </w:p>
        </w:tc>
        <w:tc>
          <w:tcPr>
            <w:tcW w:w="11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(2,737,565)</w:t>
            </w:r>
          </w:p>
        </w:tc>
        <w:tc>
          <w:tcPr>
            <w:tcW w:w="260" w:type="dxa"/>
            <w:vAlign w:val="bottom"/>
          </w:tcPr>
          <w:p>
            <w:pPr>
              <w:spacing w:after="0"/>
              <w:rPr>
                <w:sz w:val="7"/>
                <w:szCs w:val="7"/>
                <w:color w:val="auto"/>
              </w:rPr>
            </w:pPr>
          </w:p>
        </w:tc>
        <w:tc>
          <w:tcPr>
            <w:tcW w:w="10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(183,593)</w:t>
            </w: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5</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24</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24</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40" w:type="dxa"/>
            <w:vAlign w:val="bottom"/>
          </w:tcPr>
          <w:p>
            <w:pPr>
              <w:ind w:left="160"/>
              <w:spacing w:after="0" w:line="91" w:lineRule="exact"/>
              <w:rPr>
                <w:sz w:val="20"/>
                <w:szCs w:val="20"/>
                <w:color w:val="auto"/>
              </w:rPr>
            </w:pPr>
            <w:r>
              <w:rPr>
                <w:rFonts w:ascii="Arial" w:cs="Arial" w:eastAsia="Arial" w:hAnsi="Arial"/>
                <w:sz w:val="8"/>
                <w:szCs w:val="8"/>
                <w:color w:val="auto"/>
              </w:rPr>
              <w:t>Issuance of common shares from the release of</w:t>
            </w: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220"/>
              <w:spacing w:after="0"/>
              <w:rPr>
                <w:sz w:val="20"/>
                <w:szCs w:val="20"/>
                <w:color w:val="auto"/>
              </w:rPr>
            </w:pPr>
            <w:r>
              <w:rPr>
                <w:rFonts w:ascii="Arial" w:cs="Arial" w:eastAsia="Arial" w:hAnsi="Arial"/>
                <w:sz w:val="8"/>
                <w:szCs w:val="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8"/>
                <w:szCs w:val="8"/>
                <w:color w:val="auto"/>
              </w:rPr>
              <w:t>135</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2</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40" w:type="dxa"/>
            <w:vAlign w:val="bottom"/>
            <w:shd w:val="clear" w:color="auto" w:fill="CFF0FC"/>
          </w:tcPr>
          <w:p>
            <w:pPr>
              <w:ind w:left="160"/>
              <w:spacing w:after="0" w:line="91" w:lineRule="exact"/>
              <w:rPr>
                <w:sz w:val="20"/>
                <w:szCs w:val="20"/>
                <w:color w:val="auto"/>
              </w:rPr>
            </w:pPr>
            <w:r>
              <w:rPr>
                <w:rFonts w:ascii="Arial" w:cs="Arial" w:eastAsia="Arial" w:hAnsi="Arial"/>
                <w:sz w:val="8"/>
                <w:szCs w:val="8"/>
                <w:color w:val="auto"/>
              </w:rPr>
              <w:t>Issuance of common shares under Employee Stock</w:t>
            </w:r>
          </w:p>
        </w:tc>
        <w:tc>
          <w:tcPr>
            <w:tcW w:w="1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220"/>
              <w:spacing w:after="0"/>
              <w:rPr>
                <w:sz w:val="20"/>
                <w:szCs w:val="20"/>
                <w:color w:val="auto"/>
              </w:rPr>
            </w:pPr>
            <w:r>
              <w:rPr>
                <w:rFonts w:ascii="Arial" w:cs="Arial" w:eastAsia="Arial" w:hAnsi="Arial"/>
                <w:sz w:val="8"/>
                <w:szCs w:val="8"/>
                <w:color w:val="auto"/>
              </w:rPr>
              <w:t>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103</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1</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235</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236</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Stock-based compensation expense</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4,847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4,847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Restricted stock units taxes paid in cash</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(127)</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(127)</w:t>
            </w: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Issuance of shares pursuant to conversion notes</w:t>
            </w:r>
          </w:p>
        </w:tc>
        <w:tc>
          <w:tcPr>
            <w:tcW w:w="1100" w:type="dxa"/>
            <w:vAlign w:val="bottom"/>
          </w:tcPr>
          <w:p>
            <w:pPr>
              <w:jc w:val="right"/>
              <w:spacing w:after="0"/>
              <w:rPr>
                <w:sz w:val="20"/>
                <w:szCs w:val="20"/>
                <w:color w:val="auto"/>
              </w:rPr>
            </w:pPr>
            <w:r>
              <w:rPr>
                <w:rFonts w:ascii="Arial" w:cs="Arial" w:eastAsia="Arial" w:hAnsi="Arial"/>
                <w:sz w:val="8"/>
                <w:szCs w:val="8"/>
                <w:color w:val="auto"/>
              </w:rPr>
              <w:t>11,496</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115</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20,984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21,099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Issuance of direct placement — 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10,167</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102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60,898</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61,000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Issuance costs associated with direct placement</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8"/>
                <w:szCs w:val="8"/>
                <w:color w:val="auto"/>
              </w:rPr>
              <w:t>(3,310)</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(3,310)</w:t>
            </w: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Issuance of at-the-market placement</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173</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562</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564</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Issuance costs associated with at-the-market placement</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8"/>
                <w:szCs w:val="8"/>
                <w:color w:val="auto"/>
              </w:rPr>
              <w:t>(17)</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Reclassification of warrant liability to equity</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1,293</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13</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1,880</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1,893</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Amortization of shelf fees</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8"/>
                <w:szCs w:val="8"/>
                <w:color w:val="auto"/>
              </w:rPr>
              <w:t>(22)</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(22)</w:t>
            </w: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Cumulative translation gain</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8"/>
                <w:szCs w:val="8"/>
                <w:color w:val="auto"/>
              </w:rPr>
              <w:t>6</w:t>
            </w: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6</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Net loss</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8"/>
                <w:szCs w:val="8"/>
                <w:color w:val="auto"/>
              </w:rPr>
              <w:t>(117,333)</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(117,333)</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spacing w:after="0"/>
              <w:rPr>
                <w:sz w:val="20"/>
                <w:szCs w:val="20"/>
                <w:color w:val="auto"/>
              </w:rPr>
            </w:pPr>
            <w:r>
              <w:rPr>
                <w:rFonts w:ascii="Arial" w:cs="Arial" w:eastAsia="Arial" w:hAnsi="Arial"/>
                <w:sz w:val="8"/>
                <w:szCs w:val="8"/>
                <w:color w:val="auto"/>
              </w:rPr>
              <w:t>BALANCE, DECEMBER 31, 2017</w:t>
            </w: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540" w:type="dxa"/>
            <w:vAlign w:val="bottom"/>
            <w:vMerge w:val="continue"/>
            <w:shd w:val="clear" w:color="auto" w:fill="CFF0FC"/>
          </w:tcPr>
          <w:p>
            <w:pPr>
              <w:spacing w:after="0"/>
              <w:rPr>
                <w:sz w:val="7"/>
                <w:szCs w:val="7"/>
                <w:color w:val="auto"/>
              </w:rPr>
            </w:pPr>
          </w:p>
        </w:tc>
        <w:tc>
          <w:tcPr>
            <w:tcW w:w="110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119,053</w:t>
            </w:r>
          </w:p>
        </w:tc>
        <w:tc>
          <w:tcPr>
            <w:tcW w:w="2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4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1,192</w:t>
            </w:r>
          </w:p>
        </w:tc>
        <w:tc>
          <w:tcPr>
            <w:tcW w:w="2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2,638,992</w:t>
            </w: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00"/>
              <w:spacing w:after="0" w:line="88" w:lineRule="exact"/>
              <w:rPr>
                <w:sz w:val="20"/>
                <w:szCs w:val="20"/>
                <w:color w:val="auto"/>
              </w:rPr>
            </w:pPr>
            <w:r>
              <w:rPr>
                <w:rFonts w:ascii="Arial" w:cs="Arial" w:eastAsia="Arial" w:hAnsi="Arial"/>
                <w:sz w:val="8"/>
                <w:szCs w:val="8"/>
                <w:color w:val="auto"/>
              </w:rPr>
              <w:t>(18)</w:t>
            </w:r>
          </w:p>
        </w:tc>
        <w:tc>
          <w:tcPr>
            <w:tcW w:w="180" w:type="dxa"/>
            <w:vAlign w:val="bottom"/>
            <w:shd w:val="clear" w:color="auto" w:fill="CFF0FC"/>
          </w:tcPr>
          <w:p>
            <w:pPr>
              <w:spacing w:after="0"/>
              <w:rPr>
                <w:sz w:val="7"/>
                <w:szCs w:val="7"/>
                <w:color w:val="auto"/>
              </w:rPr>
            </w:pPr>
          </w:p>
        </w:tc>
        <w:tc>
          <w:tcPr>
            <w:tcW w:w="1160" w:type="dxa"/>
            <w:vAlign w:val="bottom"/>
            <w:gridSpan w:val="2"/>
            <w:shd w:val="clear" w:color="auto" w:fill="CFF0FC"/>
          </w:tcPr>
          <w:p>
            <w:pPr>
              <w:jc w:val="right"/>
              <w:ind w:right="200"/>
              <w:spacing w:after="0" w:line="88" w:lineRule="exact"/>
              <w:rPr>
                <w:sz w:val="20"/>
                <w:szCs w:val="20"/>
                <w:color w:val="auto"/>
              </w:rPr>
            </w:pPr>
            <w:r>
              <w:rPr>
                <w:rFonts w:ascii="Arial" w:cs="Arial" w:eastAsia="Arial" w:hAnsi="Arial"/>
                <w:sz w:val="8"/>
                <w:szCs w:val="8"/>
                <w:color w:val="auto"/>
              </w:rPr>
              <w:t>(2,854,898)</w:t>
            </w:r>
          </w:p>
        </w:tc>
        <w:tc>
          <w:tcPr>
            <w:tcW w:w="260" w:type="dxa"/>
            <w:vAlign w:val="bottom"/>
            <w:shd w:val="clear" w:color="auto" w:fill="CFF0FC"/>
          </w:tcPr>
          <w:p>
            <w:pPr>
              <w:spacing w:after="0"/>
              <w:rPr>
                <w:sz w:val="7"/>
                <w:szCs w:val="7"/>
                <w:color w:val="auto"/>
              </w:rPr>
            </w:pPr>
          </w:p>
        </w:tc>
        <w:tc>
          <w:tcPr>
            <w:tcW w:w="1000" w:type="dxa"/>
            <w:vAlign w:val="bottom"/>
            <w:gridSpan w:val="2"/>
            <w:shd w:val="clear" w:color="auto" w:fill="CFF0FC"/>
          </w:tcPr>
          <w:p>
            <w:pPr>
              <w:jc w:val="right"/>
              <w:ind w:right="100"/>
              <w:spacing w:after="0" w:line="88" w:lineRule="exact"/>
              <w:rPr>
                <w:sz w:val="20"/>
                <w:szCs w:val="20"/>
                <w:color w:val="auto"/>
              </w:rPr>
            </w:pPr>
            <w:r>
              <w:rPr>
                <w:rFonts w:ascii="Arial" w:cs="Arial" w:eastAsia="Arial" w:hAnsi="Arial"/>
                <w:sz w:val="8"/>
                <w:szCs w:val="8"/>
                <w:color w:val="auto"/>
              </w:rPr>
              <w:t>(214,732)</w:t>
            </w: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8"/>
                <w:szCs w:val="8"/>
                <w:color w:val="auto"/>
              </w:rPr>
              <w:t>7</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40" w:type="dxa"/>
            <w:vAlign w:val="bottom"/>
            <w:shd w:val="clear" w:color="auto" w:fill="CFF0FC"/>
          </w:tcPr>
          <w:p>
            <w:pPr>
              <w:ind w:left="160"/>
              <w:spacing w:after="0" w:line="91" w:lineRule="exact"/>
              <w:rPr>
                <w:sz w:val="20"/>
                <w:szCs w:val="20"/>
                <w:color w:val="auto"/>
              </w:rPr>
            </w:pPr>
            <w:r>
              <w:rPr>
                <w:rFonts w:ascii="Arial" w:cs="Arial" w:eastAsia="Arial" w:hAnsi="Arial"/>
                <w:sz w:val="8"/>
                <w:szCs w:val="8"/>
                <w:color w:val="auto"/>
              </w:rPr>
              <w:t>Issuance of common shares from the release of</w:t>
            </w:r>
          </w:p>
        </w:tc>
        <w:tc>
          <w:tcPr>
            <w:tcW w:w="1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220"/>
              <w:spacing w:after="0"/>
              <w:rPr>
                <w:sz w:val="20"/>
                <w:szCs w:val="20"/>
                <w:color w:val="auto"/>
              </w:rPr>
            </w:pPr>
            <w:r>
              <w:rPr>
                <w:rFonts w:ascii="Arial" w:cs="Arial" w:eastAsia="Arial" w:hAnsi="Arial"/>
                <w:sz w:val="8"/>
                <w:szCs w:val="8"/>
                <w:color w:val="auto"/>
              </w:rPr>
              <w:t>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193</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1</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40" w:type="dxa"/>
            <w:vAlign w:val="bottom"/>
          </w:tcPr>
          <w:p>
            <w:pPr>
              <w:ind w:left="160"/>
              <w:spacing w:after="0" w:line="91" w:lineRule="exact"/>
              <w:rPr>
                <w:sz w:val="20"/>
                <w:szCs w:val="20"/>
                <w:color w:val="auto"/>
              </w:rPr>
            </w:pPr>
            <w:r>
              <w:rPr>
                <w:rFonts w:ascii="Arial" w:cs="Arial" w:eastAsia="Arial" w:hAnsi="Arial"/>
                <w:sz w:val="8"/>
                <w:szCs w:val="8"/>
                <w:color w:val="auto"/>
              </w:rPr>
              <w:t>Issuance of common shares under Employee Stock</w:t>
            </w: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220"/>
              <w:spacing w:after="0"/>
              <w:rPr>
                <w:sz w:val="20"/>
                <w:szCs w:val="20"/>
                <w:color w:val="auto"/>
              </w:rPr>
            </w:pPr>
            <w:r>
              <w:rPr>
                <w:rFonts w:ascii="Arial" w:cs="Arial" w:eastAsia="Arial" w:hAnsi="Arial"/>
                <w:sz w:val="8"/>
                <w:szCs w:val="8"/>
                <w:color w:val="auto"/>
              </w:rPr>
              <w:t>Purchase Plan</w:t>
            </w:r>
          </w:p>
        </w:tc>
        <w:tc>
          <w:tcPr>
            <w:tcW w:w="1100" w:type="dxa"/>
            <w:vAlign w:val="bottom"/>
          </w:tcPr>
          <w:p>
            <w:pPr>
              <w:jc w:val="right"/>
              <w:spacing w:after="0"/>
              <w:rPr>
                <w:sz w:val="20"/>
                <w:szCs w:val="20"/>
                <w:color w:val="auto"/>
              </w:rPr>
            </w:pPr>
            <w:r>
              <w:rPr>
                <w:rFonts w:ascii="Arial" w:cs="Arial" w:eastAsia="Arial" w:hAnsi="Arial"/>
                <w:sz w:val="8"/>
                <w:szCs w:val="8"/>
                <w:color w:val="auto"/>
              </w:rPr>
              <w:t>400</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3</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342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345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Stock-based compensation expense</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6,857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6,857</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40" w:type="dxa"/>
            <w:vAlign w:val="bottom"/>
          </w:tcPr>
          <w:p>
            <w:pPr>
              <w:ind w:left="160"/>
              <w:spacing w:after="0" w:line="91" w:lineRule="exact"/>
              <w:rPr>
                <w:sz w:val="20"/>
                <w:szCs w:val="20"/>
                <w:color w:val="auto"/>
              </w:rPr>
            </w:pPr>
            <w:r>
              <w:rPr>
                <w:rFonts w:ascii="Arial" w:cs="Arial" w:eastAsia="Arial" w:hAnsi="Arial"/>
                <w:sz w:val="8"/>
                <w:szCs w:val="8"/>
                <w:color w:val="auto"/>
              </w:rPr>
              <w:t>Issuance of shares pursuant to conversion of Note</w:t>
            </w: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220"/>
              <w:spacing w:after="0"/>
              <w:rPr>
                <w:sz w:val="20"/>
                <w:szCs w:val="20"/>
                <w:color w:val="auto"/>
              </w:rPr>
            </w:pPr>
            <w:r>
              <w:rPr>
                <w:rFonts w:ascii="Arial" w:cs="Arial" w:eastAsia="Arial" w:hAnsi="Arial"/>
                <w:sz w:val="8"/>
                <w:szCs w:val="8"/>
                <w:color w:val="auto"/>
              </w:rPr>
              <w:t>Payable to Related Party</w:t>
            </w:r>
          </w:p>
        </w:tc>
        <w:tc>
          <w:tcPr>
            <w:tcW w:w="1100" w:type="dxa"/>
            <w:vAlign w:val="bottom"/>
          </w:tcPr>
          <w:p>
            <w:pPr>
              <w:jc w:val="right"/>
              <w:spacing w:after="0"/>
              <w:rPr>
                <w:sz w:val="20"/>
                <w:szCs w:val="20"/>
                <w:color w:val="auto"/>
              </w:rPr>
            </w:pPr>
            <w:r>
              <w:rPr>
                <w:rFonts w:ascii="Arial" w:cs="Arial" w:eastAsia="Arial" w:hAnsi="Arial"/>
                <w:sz w:val="8"/>
                <w:szCs w:val="8"/>
                <w:color w:val="auto"/>
              </w:rPr>
              <w:t>3,000</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30</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8,130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8,160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40" w:type="dxa"/>
            <w:vAlign w:val="bottom"/>
            <w:shd w:val="clear" w:color="auto" w:fill="CFF0FC"/>
          </w:tcPr>
          <w:p>
            <w:pPr>
              <w:ind w:left="160"/>
              <w:spacing w:after="0" w:line="91" w:lineRule="exact"/>
              <w:rPr>
                <w:sz w:val="20"/>
                <w:szCs w:val="20"/>
                <w:color w:val="auto"/>
              </w:rPr>
            </w:pPr>
            <w:r>
              <w:rPr>
                <w:rFonts w:ascii="Arial" w:cs="Arial" w:eastAsia="Arial" w:hAnsi="Arial"/>
                <w:sz w:val="8"/>
                <w:szCs w:val="8"/>
                <w:color w:val="auto"/>
              </w:rPr>
              <w:t>Issuance of shares pursuant to conversion of Facility</w:t>
            </w:r>
          </w:p>
        </w:tc>
        <w:tc>
          <w:tcPr>
            <w:tcW w:w="1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220"/>
              <w:spacing w:after="0"/>
              <w:rPr>
                <w:sz w:val="20"/>
                <w:szCs w:val="20"/>
                <w:color w:val="auto"/>
              </w:rPr>
            </w:pPr>
            <w:r>
              <w:rPr>
                <w:rFonts w:ascii="Arial" w:cs="Arial" w:eastAsia="Arial" w:hAnsi="Arial"/>
                <w:sz w:val="8"/>
                <w:szCs w:val="8"/>
                <w:color w:val="auto"/>
              </w:rPr>
              <w:t>Financing Obligation</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19,726</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197</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37,931</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38,128</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Issuance of direct placement — common stock</w:t>
            </w:r>
          </w:p>
        </w:tc>
        <w:tc>
          <w:tcPr>
            <w:tcW w:w="1100" w:type="dxa"/>
            <w:vAlign w:val="bottom"/>
          </w:tcPr>
          <w:p>
            <w:pPr>
              <w:jc w:val="right"/>
              <w:spacing w:after="0"/>
              <w:rPr>
                <w:sz w:val="20"/>
                <w:szCs w:val="20"/>
                <w:color w:val="auto"/>
              </w:rPr>
            </w:pPr>
            <w:r>
              <w:rPr>
                <w:rFonts w:ascii="Arial" w:cs="Arial" w:eastAsia="Arial" w:hAnsi="Arial"/>
                <w:sz w:val="8"/>
                <w:szCs w:val="8"/>
                <w:color w:val="auto"/>
              </w:rPr>
              <w:t>14,000</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140</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27,860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28,000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Issuance costs associated with direct placement</w:t>
            </w:r>
          </w:p>
        </w:tc>
        <w:tc>
          <w:tcPr>
            <w:tcW w:w="1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(1,610)</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(1,610)</w:t>
            </w: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Issuance of public offering — common stock</w:t>
            </w:r>
          </w:p>
        </w:tc>
        <w:tc>
          <w:tcPr>
            <w:tcW w:w="1100" w:type="dxa"/>
            <w:vAlign w:val="bottom"/>
          </w:tcPr>
          <w:p>
            <w:pPr>
              <w:jc w:val="right"/>
              <w:spacing w:after="0"/>
              <w:rPr>
                <w:sz w:val="20"/>
                <w:szCs w:val="20"/>
                <w:color w:val="auto"/>
              </w:rPr>
            </w:pPr>
            <w:r>
              <w:rPr>
                <w:rFonts w:ascii="Arial" w:cs="Arial" w:eastAsia="Arial" w:hAnsi="Arial"/>
                <w:sz w:val="8"/>
                <w:szCs w:val="8"/>
                <w:color w:val="auto"/>
              </w:rPr>
              <w:t>26,667</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267</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39,733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40,000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Issuance cost associated with public offering</w:t>
            </w:r>
          </w:p>
        </w:tc>
        <w:tc>
          <w:tcPr>
            <w:tcW w:w="1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(2,538)</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(2,538)</w:t>
            </w:r>
          </w:p>
        </w:tc>
        <w:tc>
          <w:tcPr>
            <w:tcW w:w="0" w:type="dxa"/>
            <w:vAlign w:val="bottom"/>
          </w:tcPr>
          <w:p>
            <w:pPr>
              <w:spacing w:after="0"/>
              <w:rPr>
                <w:sz w:val="1"/>
                <w:szCs w:val="1"/>
                <w:color w:val="auto"/>
              </w:rPr>
            </w:pPr>
          </w:p>
        </w:tc>
      </w:tr>
      <w:tr>
        <w:trPr>
          <w:trHeight w:val="90"/>
        </w:trPr>
        <w:tc>
          <w:tcPr>
            <w:tcW w:w="3540" w:type="dxa"/>
            <w:vAlign w:val="bottom"/>
          </w:tcPr>
          <w:p>
            <w:pPr>
              <w:ind w:left="160"/>
              <w:spacing w:after="0" w:line="91" w:lineRule="exact"/>
              <w:rPr>
                <w:sz w:val="20"/>
                <w:szCs w:val="20"/>
                <w:color w:val="auto"/>
              </w:rPr>
            </w:pPr>
            <w:r>
              <w:rPr>
                <w:rFonts w:ascii="Arial" w:cs="Arial" w:eastAsia="Arial" w:hAnsi="Arial"/>
                <w:sz w:val="8"/>
                <w:szCs w:val="8"/>
                <w:color w:val="auto"/>
              </w:rPr>
              <w:t>Issuance of shares pursuant to conversion of Senior</w:t>
            </w: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220"/>
              <w:spacing w:after="0"/>
              <w:rPr>
                <w:sz w:val="20"/>
                <w:szCs w:val="20"/>
                <w:color w:val="auto"/>
              </w:rPr>
            </w:pPr>
            <w:r>
              <w:rPr>
                <w:rFonts w:ascii="Arial" w:cs="Arial" w:eastAsia="Arial" w:hAnsi="Arial"/>
                <w:sz w:val="8"/>
                <w:szCs w:val="8"/>
                <w:color w:val="auto"/>
              </w:rPr>
              <w:t>Convertible Notes</w:t>
            </w:r>
          </w:p>
        </w:tc>
        <w:tc>
          <w:tcPr>
            <w:tcW w:w="1100" w:type="dxa"/>
            <w:vAlign w:val="bottom"/>
          </w:tcPr>
          <w:p>
            <w:pPr>
              <w:jc w:val="right"/>
              <w:spacing w:after="0"/>
              <w:rPr>
                <w:sz w:val="20"/>
                <w:szCs w:val="20"/>
                <w:color w:val="auto"/>
              </w:rPr>
            </w:pPr>
            <w:r>
              <w:rPr>
                <w:rFonts w:ascii="Arial" w:cs="Arial" w:eastAsia="Arial" w:hAnsi="Arial"/>
                <w:sz w:val="8"/>
                <w:szCs w:val="8"/>
                <w:color w:val="auto"/>
              </w:rPr>
              <w:t>2,726</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27</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4,953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4,980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Issuance of at-the-market placement</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1,028</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10</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2,079</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2,089</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Issuance costs associated with at-the-market placement</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8"/>
                <w:szCs w:val="8"/>
                <w:color w:val="auto"/>
              </w:rPr>
              <w:t>(84)</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(84)</w:t>
            </w:r>
          </w:p>
        </w:tc>
        <w:tc>
          <w:tcPr>
            <w:tcW w:w="0" w:type="dxa"/>
            <w:vAlign w:val="bottom"/>
          </w:tcPr>
          <w:p>
            <w:pPr>
              <w:spacing w:after="0"/>
              <w:rPr>
                <w:sz w:val="1"/>
                <w:szCs w:val="1"/>
                <w:color w:val="auto"/>
              </w:rPr>
            </w:pPr>
          </w:p>
        </w:tc>
      </w:tr>
      <w:tr>
        <w:trPr>
          <w:trHeight w:val="90"/>
        </w:trPr>
        <w:tc>
          <w:tcPr>
            <w:tcW w:w="3540" w:type="dxa"/>
            <w:vAlign w:val="bottom"/>
            <w:shd w:val="clear" w:color="auto" w:fill="CFF0FC"/>
          </w:tcPr>
          <w:p>
            <w:pPr>
              <w:ind w:left="160"/>
              <w:spacing w:after="0" w:line="91" w:lineRule="exact"/>
              <w:rPr>
                <w:sz w:val="20"/>
                <w:szCs w:val="20"/>
                <w:color w:val="auto"/>
              </w:rPr>
            </w:pPr>
            <w:r>
              <w:rPr>
                <w:rFonts w:ascii="Arial" w:cs="Arial" w:eastAsia="Arial" w:hAnsi="Arial"/>
                <w:sz w:val="8"/>
                <w:szCs w:val="8"/>
                <w:color w:val="auto"/>
              </w:rPr>
              <w:t>Issuance of shares under Market Price Stock Purchase</w:t>
            </w:r>
          </w:p>
        </w:tc>
        <w:tc>
          <w:tcPr>
            <w:tcW w:w="1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220"/>
              <w:spacing w:after="0"/>
              <w:rPr>
                <w:sz w:val="20"/>
                <w:szCs w:val="20"/>
                <w:color w:val="auto"/>
              </w:rPr>
            </w:pPr>
            <w:r>
              <w:rPr>
                <w:rFonts w:ascii="Arial" w:cs="Arial" w:eastAsia="Arial" w:hAnsi="Arial"/>
                <w:sz w:val="8"/>
                <w:szCs w:val="8"/>
                <w:color w:val="auto"/>
              </w:rPr>
              <w:t>Plan</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230</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428</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8"/>
                <w:szCs w:val="8"/>
                <w:color w:val="auto"/>
              </w:rPr>
              <w:t>430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Amortization of shelf fees</w:t>
            </w:r>
          </w:p>
        </w:tc>
        <w:tc>
          <w:tcPr>
            <w:tcW w:w="11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8"/>
                <w:szCs w:val="8"/>
                <w:color w:val="auto"/>
              </w:rPr>
              <w:t>(12)</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(12)</w:t>
            </w: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Cumulative translation loss</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(1)</w:t>
            </w: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8"/>
                <w:szCs w:val="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99"/>
        </w:trPr>
        <w:tc>
          <w:tcPr>
            <w:tcW w:w="3540" w:type="dxa"/>
            <w:vAlign w:val="bottom"/>
          </w:tcPr>
          <w:p>
            <w:pPr>
              <w:ind w:left="160"/>
              <w:spacing w:after="0"/>
              <w:rPr>
                <w:sz w:val="20"/>
                <w:szCs w:val="20"/>
                <w:color w:val="auto"/>
              </w:rPr>
            </w:pPr>
            <w:r>
              <w:rPr>
                <w:rFonts w:ascii="Arial" w:cs="Arial" w:eastAsia="Arial" w:hAnsi="Arial"/>
                <w:sz w:val="8"/>
                <w:szCs w:val="8"/>
                <w:color w:val="auto"/>
              </w:rPr>
              <w:t>Adjustment to adopt ASU 2014-09 (Topic 606)</w:t>
            </w: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8"/>
                <w:szCs w:val="8"/>
                <w:color w:val="auto"/>
              </w:rPr>
              <w:t>1,873</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1,873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rPr>
                <w:sz w:val="20"/>
                <w:szCs w:val="20"/>
                <w:color w:val="auto"/>
              </w:rPr>
            </w:pPr>
            <w:r>
              <w:rPr>
                <w:rFonts w:ascii="Arial" w:cs="Arial" w:eastAsia="Arial" w:hAnsi="Arial"/>
                <w:sz w:val="8"/>
                <w:szCs w:val="8"/>
                <w:color w:val="auto"/>
              </w:rPr>
              <w:t>Net loss</w:t>
            </w:r>
          </w:p>
        </w:tc>
        <w:tc>
          <w:tcPr>
            <w:tcW w:w="11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(86,975)</w:t>
            </w:r>
          </w:p>
        </w:tc>
        <w:tc>
          <w:tcPr>
            <w:tcW w:w="260" w:type="dxa"/>
            <w:vAlign w:val="bottom"/>
            <w:shd w:val="clear" w:color="auto" w:fill="CFF0FC"/>
          </w:tcPr>
          <w:p>
            <w:pPr>
              <w:spacing w:after="0"/>
              <w:rPr>
                <w:sz w:val="8"/>
                <w:szCs w:val="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(86,975)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8"/>
                <w:szCs w:val="8"/>
                <w:color w:val="auto"/>
              </w:rPr>
              <w:t>BALANCE, DECEMBER 31, 2018</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540" w:type="dxa"/>
            <w:vAlign w:val="bottom"/>
            <w:vMerge w:val="continue"/>
          </w:tcPr>
          <w:p>
            <w:pPr>
              <w:spacing w:after="0"/>
              <w:rPr>
                <w:sz w:val="7"/>
                <w:szCs w:val="7"/>
                <w:color w:val="auto"/>
              </w:rPr>
            </w:pPr>
          </w:p>
        </w:tc>
        <w:tc>
          <w:tcPr>
            <w:tcW w:w="1100" w:type="dxa"/>
            <w:vAlign w:val="bottom"/>
          </w:tcPr>
          <w:p>
            <w:pPr>
              <w:jc w:val="right"/>
              <w:spacing w:after="0" w:line="88" w:lineRule="exact"/>
              <w:rPr>
                <w:sz w:val="20"/>
                <w:szCs w:val="20"/>
                <w:color w:val="auto"/>
              </w:rPr>
            </w:pPr>
            <w:r>
              <w:rPr>
                <w:rFonts w:ascii="Arial" w:cs="Arial" w:eastAsia="Arial" w:hAnsi="Arial"/>
                <w:sz w:val="8"/>
                <w:szCs w:val="8"/>
                <w:color w:val="auto"/>
              </w:rPr>
              <w:t>187,030</w:t>
            </w:r>
          </w:p>
        </w:tc>
        <w:tc>
          <w:tcPr>
            <w:tcW w:w="220" w:type="dxa"/>
            <w:vAlign w:val="bottom"/>
          </w:tcPr>
          <w:p>
            <w:pPr>
              <w:spacing w:after="0"/>
              <w:rPr>
                <w:sz w:val="7"/>
                <w:szCs w:val="7"/>
                <w:color w:val="auto"/>
              </w:rPr>
            </w:pPr>
          </w:p>
        </w:tc>
        <w:tc>
          <w:tcPr>
            <w:tcW w:w="280" w:type="dxa"/>
            <w:vAlign w:val="bottom"/>
          </w:tcPr>
          <w:p>
            <w:pPr>
              <w:jc w:val="right"/>
              <w:ind w:right="214"/>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88" w:lineRule="exact"/>
              <w:rPr>
                <w:sz w:val="20"/>
                <w:szCs w:val="20"/>
                <w:color w:val="auto"/>
              </w:rPr>
            </w:pPr>
            <w:r>
              <w:rPr>
                <w:rFonts w:ascii="Arial" w:cs="Arial" w:eastAsia="Arial" w:hAnsi="Arial"/>
                <w:sz w:val="8"/>
                <w:szCs w:val="8"/>
                <w:color w:val="auto"/>
              </w:rPr>
              <w:t>1,870</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w:t>
            </w:r>
          </w:p>
        </w:tc>
        <w:tc>
          <w:tcPr>
            <w:tcW w:w="920" w:type="dxa"/>
            <w:vAlign w:val="bottom"/>
          </w:tcPr>
          <w:p>
            <w:pPr>
              <w:jc w:val="right"/>
              <w:spacing w:after="0" w:line="88" w:lineRule="exact"/>
              <w:rPr>
                <w:sz w:val="20"/>
                <w:szCs w:val="20"/>
                <w:color w:val="auto"/>
              </w:rPr>
            </w:pPr>
            <w:r>
              <w:rPr>
                <w:rFonts w:ascii="Arial" w:cs="Arial" w:eastAsia="Arial" w:hAnsi="Arial"/>
                <w:sz w:val="8"/>
                <w:szCs w:val="8"/>
                <w:color w:val="auto"/>
              </w:rPr>
              <w:t>2,763,067</w:t>
            </w:r>
          </w:p>
        </w:tc>
        <w:tc>
          <w:tcPr>
            <w:tcW w:w="120" w:type="dxa"/>
            <w:vAlign w:val="bottom"/>
          </w:tcPr>
          <w:p>
            <w:pPr>
              <w:spacing w:after="0"/>
              <w:rPr>
                <w:sz w:val="7"/>
                <w:szCs w:val="7"/>
                <w:color w:val="auto"/>
              </w:rPr>
            </w:pPr>
          </w:p>
        </w:tc>
        <w:tc>
          <w:tcPr>
            <w:tcW w:w="3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1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(19)</w:t>
            </w:r>
          </w:p>
        </w:tc>
        <w:tc>
          <w:tcPr>
            <w:tcW w:w="180" w:type="dxa"/>
            <w:vAlign w:val="bottom"/>
          </w:tcPr>
          <w:p>
            <w:pPr>
              <w:jc w:val="right"/>
              <w:ind w:right="114"/>
              <w:spacing w:after="0"/>
              <w:rPr>
                <w:sz w:val="20"/>
                <w:szCs w:val="20"/>
                <w:color w:val="auto"/>
              </w:rPr>
            </w:pPr>
            <w:r>
              <w:rPr>
                <w:rFonts w:ascii="Arial" w:cs="Arial" w:eastAsia="Arial" w:hAnsi="Arial"/>
                <w:sz w:val="5"/>
                <w:szCs w:val="5"/>
                <w:color w:val="auto"/>
                <w:w w:val="70"/>
              </w:rPr>
              <w:t>$</w:t>
            </w:r>
          </w:p>
        </w:tc>
        <w:tc>
          <w:tcPr>
            <w:tcW w:w="11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(2,940,000)</w:t>
            </w:r>
          </w:p>
        </w:tc>
        <w:tc>
          <w:tcPr>
            <w:tcW w:w="260" w:type="dxa"/>
            <w:vAlign w:val="bottom"/>
          </w:tcPr>
          <w:p>
            <w:pPr>
              <w:jc w:val="right"/>
              <w:ind w:right="19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(175,082)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notes to consolidated financial statements.</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9" w:name="page70"/>
    <w:bookmarkEnd w:id="69"/>
    <w:p>
      <w:pPr>
        <w:ind w:left="4340"/>
        <w:spacing w:after="0"/>
        <w:rPr>
          <w:sz w:val="20"/>
          <w:szCs w:val="20"/>
          <w:color w:val="auto"/>
        </w:rPr>
      </w:pPr>
      <w:r>
        <w:rPr>
          <w:rFonts w:ascii="Arial" w:cs="Arial" w:eastAsia="Arial" w:hAnsi="Arial"/>
          <w:sz w:val="12"/>
          <w:szCs w:val="12"/>
          <w:b w:val="1"/>
          <w:bCs w:val="1"/>
          <w:color w:val="auto"/>
        </w:rPr>
        <w:t>MANNKIND CORPORATION AND SUBSIDIARIES</w:t>
      </w:r>
    </w:p>
    <w:p>
      <w:pPr>
        <w:spacing w:after="0" w:line="19"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4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8"/>
                <w:szCs w:val="8"/>
                <w:b w:val="1"/>
                <w:bCs w:val="1"/>
                <w:color w:val="auto"/>
                <w:w w:val="93"/>
              </w:rPr>
              <w:t>Year Ended December 31,</w:t>
            </w: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88"/>
        </w:trPr>
        <w:tc>
          <w:tcPr>
            <w:tcW w:w="4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80" w:type="dxa"/>
            <w:vAlign w:val="bottom"/>
            <w:tcBorders>
              <w:bottom w:val="single" w:sz="8" w:color="auto"/>
            </w:tcBorders>
          </w:tcPr>
          <w:p>
            <w:pPr>
              <w:jc w:val="right"/>
              <w:ind w:right="198"/>
              <w:spacing w:after="0" w:line="88" w:lineRule="exact"/>
              <w:rPr>
                <w:sz w:val="20"/>
                <w:szCs w:val="20"/>
                <w:color w:val="auto"/>
              </w:rPr>
            </w:pPr>
            <w:r>
              <w:rPr>
                <w:rFonts w:ascii="Arial" w:cs="Arial" w:eastAsia="Arial" w:hAnsi="Arial"/>
                <w:sz w:val="8"/>
                <w:szCs w:val="8"/>
                <w:b w:val="1"/>
                <w:bCs w:val="1"/>
                <w:color w:val="auto"/>
              </w:rPr>
              <w:t>2018</w:t>
            </w:r>
          </w:p>
        </w:tc>
        <w:tc>
          <w:tcPr>
            <w:tcW w:w="5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jc w:val="center"/>
              <w:ind w:right="178"/>
              <w:spacing w:after="0" w:line="88" w:lineRule="exact"/>
              <w:rPr>
                <w:sz w:val="20"/>
                <w:szCs w:val="20"/>
                <w:color w:val="auto"/>
              </w:rPr>
            </w:pPr>
            <w:r>
              <w:rPr>
                <w:rFonts w:ascii="Arial" w:cs="Arial" w:eastAsia="Arial" w:hAnsi="Arial"/>
                <w:sz w:val="8"/>
                <w:szCs w:val="8"/>
                <w:b w:val="1"/>
                <w:bCs w:val="1"/>
                <w:color w:val="auto"/>
                <w:w w:val="89"/>
              </w:rPr>
              <w:t>2017</w:t>
            </w:r>
          </w:p>
        </w:tc>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jc w:val="right"/>
              <w:ind w:right="718"/>
              <w:spacing w:after="0" w:line="88" w:lineRule="exact"/>
              <w:rPr>
                <w:sz w:val="20"/>
                <w:szCs w:val="20"/>
                <w:color w:val="auto"/>
              </w:rPr>
            </w:pPr>
            <w:r>
              <w:rPr>
                <w:rFonts w:ascii="Arial" w:cs="Arial" w:eastAsia="Arial" w:hAnsi="Arial"/>
                <w:sz w:val="8"/>
                <w:szCs w:val="8"/>
                <w:b w:val="1"/>
                <w:bCs w:val="1"/>
                <w:color w:val="auto"/>
              </w:rPr>
              <w:t>2016</w:t>
            </w:r>
          </w:p>
        </w:tc>
        <w:tc>
          <w:tcPr>
            <w:tcW w:w="120" w:type="dxa"/>
            <w:vAlign w:val="bottom"/>
          </w:tcPr>
          <w:p>
            <w:pPr>
              <w:spacing w:after="0"/>
              <w:rPr>
                <w:sz w:val="7"/>
                <w:szCs w:val="7"/>
                <w:color w:val="auto"/>
              </w:rPr>
            </w:pPr>
          </w:p>
        </w:tc>
      </w:tr>
      <w:tr>
        <w:trPr>
          <w:trHeight w:val="88"/>
        </w:trPr>
        <w:tc>
          <w:tcPr>
            <w:tcW w:w="4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gridSpan w:val="2"/>
          </w:tcPr>
          <w:p>
            <w:pPr>
              <w:jc w:val="center"/>
              <w:ind w:right="520"/>
              <w:spacing w:after="0" w:line="88" w:lineRule="exact"/>
              <w:rPr>
                <w:sz w:val="20"/>
                <w:szCs w:val="20"/>
                <w:color w:val="auto"/>
              </w:rPr>
            </w:pPr>
            <w:r>
              <w:rPr>
                <w:rFonts w:ascii="Arial" w:cs="Arial" w:eastAsia="Arial" w:hAnsi="Arial"/>
                <w:sz w:val="8"/>
                <w:szCs w:val="8"/>
                <w:b w:val="1"/>
                <w:bCs w:val="1"/>
                <w:color w:val="auto"/>
                <w:w w:val="94"/>
              </w:rPr>
              <w:t>(In thousands)</w:t>
            </w: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4400" w:type="dxa"/>
            <w:vAlign w:val="bottom"/>
            <w:shd w:val="clear" w:color="auto" w:fill="CFF0FC"/>
          </w:tcPr>
          <w:p>
            <w:pPr>
              <w:spacing w:after="0"/>
              <w:rPr>
                <w:sz w:val="20"/>
                <w:szCs w:val="20"/>
                <w:color w:val="auto"/>
              </w:rPr>
            </w:pPr>
            <w:r>
              <w:rPr>
                <w:rFonts w:ascii="Arial" w:cs="Arial" w:eastAsia="Arial" w:hAnsi="Arial"/>
                <w:sz w:val="8"/>
                <w:szCs w:val="8"/>
                <w:color w:val="auto"/>
              </w:rPr>
              <w:t>CASH FLOWS FROM OPERATING ACTIVITIES:</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160"/>
              <w:spacing w:after="0"/>
              <w:rPr>
                <w:sz w:val="20"/>
                <w:szCs w:val="20"/>
                <w:color w:val="auto"/>
              </w:rPr>
            </w:pPr>
            <w:r>
              <w:rPr>
                <w:rFonts w:ascii="Arial" w:cs="Arial" w:eastAsia="Arial" w:hAnsi="Arial"/>
                <w:sz w:val="8"/>
                <w:szCs w:val="8"/>
                <w:color w:val="auto"/>
              </w:rPr>
              <w:t>Net (loss) income</w:t>
            </w:r>
          </w:p>
        </w:tc>
        <w:tc>
          <w:tcPr>
            <w:tcW w:w="2420" w:type="dxa"/>
            <w:vAlign w:val="bottom"/>
            <w:gridSpan w:val="2"/>
          </w:tcPr>
          <w:p>
            <w:pPr>
              <w:jc w:val="right"/>
              <w:ind w:right="1078"/>
              <w:spacing w:after="0"/>
              <w:rPr>
                <w:sz w:val="20"/>
                <w:szCs w:val="20"/>
                <w:color w:val="auto"/>
              </w:rPr>
            </w:pPr>
            <w:r>
              <w:rPr>
                <w:rFonts w:ascii="Arial" w:cs="Arial" w:eastAsia="Arial" w:hAnsi="Arial"/>
                <w:sz w:val="8"/>
                <w:szCs w:val="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8"/>
                <w:szCs w:val="8"/>
                <w:color w:val="auto"/>
              </w:rPr>
              <w:t>(86,975)</w:t>
            </w: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1800" w:type="dxa"/>
            <w:vAlign w:val="bottom"/>
            <w:gridSpan w:val="2"/>
          </w:tcPr>
          <w:p>
            <w:pPr>
              <w:jc w:val="right"/>
              <w:ind w:right="280"/>
              <w:spacing w:after="0"/>
              <w:rPr>
                <w:sz w:val="20"/>
                <w:szCs w:val="20"/>
                <w:color w:val="auto"/>
              </w:rPr>
            </w:pPr>
            <w:r>
              <w:rPr>
                <w:rFonts w:ascii="Arial" w:cs="Arial" w:eastAsia="Arial" w:hAnsi="Arial"/>
                <w:sz w:val="8"/>
                <w:szCs w:val="8"/>
                <w:color w:val="auto"/>
              </w:rPr>
              <w:t>(117,333)</w:t>
            </w:r>
          </w:p>
        </w:tc>
        <w:tc>
          <w:tcPr>
            <w:tcW w:w="400" w:type="dxa"/>
            <w:vAlign w:val="bottom"/>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Pr>
          <w:p>
            <w:pPr>
              <w:jc w:val="right"/>
              <w:spacing w:after="0"/>
              <w:rPr>
                <w:sz w:val="20"/>
                <w:szCs w:val="20"/>
                <w:color w:val="auto"/>
              </w:rPr>
            </w:pPr>
            <w:r>
              <w:rPr>
                <w:rFonts w:ascii="Arial" w:cs="Arial" w:eastAsia="Arial" w:hAnsi="Arial"/>
                <w:sz w:val="8"/>
                <w:szCs w:val="8"/>
                <w:color w:val="auto"/>
              </w:rPr>
              <w:t>125,664</w:t>
            </w:r>
          </w:p>
        </w:tc>
        <w:tc>
          <w:tcPr>
            <w:tcW w:w="120" w:type="dxa"/>
            <w:vAlign w:val="bottom"/>
          </w:tcPr>
          <w:p>
            <w:pPr>
              <w:spacing w:after="0"/>
              <w:rPr>
                <w:sz w:val="8"/>
                <w:szCs w:val="8"/>
                <w:color w:val="auto"/>
              </w:rPr>
            </w:pPr>
          </w:p>
        </w:tc>
      </w:tr>
      <w:tr>
        <w:trPr>
          <w:trHeight w:val="9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Adjustments to reconcile net (loss) income to net cash used in operating activities:</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320"/>
              <w:spacing w:after="0"/>
              <w:rPr>
                <w:sz w:val="20"/>
                <w:szCs w:val="20"/>
                <w:color w:val="auto"/>
              </w:rPr>
            </w:pPr>
            <w:r>
              <w:rPr>
                <w:rFonts w:ascii="Arial" w:cs="Arial" w:eastAsia="Arial" w:hAnsi="Arial"/>
                <w:sz w:val="8"/>
                <w:szCs w:val="8"/>
                <w:color w:val="auto"/>
              </w:rPr>
              <w:t>Depreciation, amortization and accretion</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2,857</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3,528</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jc w:val="right"/>
              <w:spacing w:after="0"/>
              <w:rPr>
                <w:sz w:val="20"/>
                <w:szCs w:val="20"/>
                <w:color w:val="auto"/>
              </w:rPr>
            </w:pPr>
            <w:r>
              <w:rPr>
                <w:rFonts w:ascii="Arial" w:cs="Arial" w:eastAsia="Arial" w:hAnsi="Arial"/>
                <w:sz w:val="8"/>
                <w:szCs w:val="8"/>
                <w:color w:val="auto"/>
              </w:rPr>
              <w:t>4,158</w:t>
            </w:r>
          </w:p>
        </w:tc>
        <w:tc>
          <w:tcPr>
            <w:tcW w:w="120" w:type="dxa"/>
            <w:vAlign w:val="bottom"/>
          </w:tcPr>
          <w:p>
            <w:pPr>
              <w:spacing w:after="0"/>
              <w:rPr>
                <w:sz w:val="8"/>
                <w:szCs w:val="8"/>
                <w:color w:val="auto"/>
              </w:rPr>
            </w:pPr>
          </w:p>
        </w:tc>
      </w:tr>
      <w:tr>
        <w:trPr>
          <w:trHeight w:val="99"/>
        </w:trPr>
        <w:tc>
          <w:tcPr>
            <w:tcW w:w="4400" w:type="dxa"/>
            <w:vAlign w:val="bottom"/>
            <w:shd w:val="clear" w:color="auto" w:fill="CFF0FC"/>
          </w:tcPr>
          <w:p>
            <w:pPr>
              <w:ind w:left="320"/>
              <w:spacing w:after="0"/>
              <w:rPr>
                <w:sz w:val="20"/>
                <w:szCs w:val="20"/>
                <w:color w:val="auto"/>
              </w:rPr>
            </w:pPr>
            <w:r>
              <w:rPr>
                <w:rFonts w:ascii="Arial" w:cs="Arial" w:eastAsia="Arial" w:hAnsi="Arial"/>
                <w:sz w:val="8"/>
                <w:szCs w:val="8"/>
                <w:color w:val="auto"/>
              </w:rPr>
              <w:t>Stock-based compensation expense</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6,857</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4,847</w:t>
            </w: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5,135</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320"/>
              <w:spacing w:after="0"/>
              <w:rPr>
                <w:sz w:val="20"/>
                <w:szCs w:val="20"/>
                <w:color w:val="auto"/>
              </w:rPr>
            </w:pPr>
            <w:r>
              <w:rPr>
                <w:rFonts w:ascii="Arial" w:cs="Arial" w:eastAsia="Arial" w:hAnsi="Arial"/>
                <w:sz w:val="8"/>
                <w:szCs w:val="8"/>
                <w:color w:val="auto"/>
              </w:rPr>
              <w:t>Change in fair value of warrant liability</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8"/>
                <w:szCs w:val="8"/>
                <w:color w:val="auto"/>
              </w:rPr>
              <w:t>(5,488)</w:t>
            </w: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(5,369)</w:t>
            </w:r>
          </w:p>
        </w:tc>
      </w:tr>
      <w:tr>
        <w:trPr>
          <w:trHeight w:val="99"/>
        </w:trPr>
        <w:tc>
          <w:tcPr>
            <w:tcW w:w="4400" w:type="dxa"/>
            <w:vAlign w:val="bottom"/>
            <w:shd w:val="clear" w:color="auto" w:fill="CFF0FC"/>
          </w:tcPr>
          <w:p>
            <w:pPr>
              <w:ind w:left="320"/>
              <w:spacing w:after="0"/>
              <w:rPr>
                <w:sz w:val="20"/>
                <w:szCs w:val="20"/>
                <w:color w:val="auto"/>
              </w:rPr>
            </w:pPr>
            <w:r>
              <w:rPr>
                <w:rFonts w:ascii="Arial" w:cs="Arial" w:eastAsia="Arial" w:hAnsi="Arial"/>
                <w:sz w:val="8"/>
                <w:szCs w:val="8"/>
                <w:color w:val="auto"/>
              </w:rPr>
              <w:t>(Gain) Loss on foreign currency translation</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8"/>
                <w:szCs w:val="8"/>
                <w:color w:val="auto"/>
              </w:rPr>
              <w:t>(4,468)</w:t>
            </w: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13,641</w:t>
            </w: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(3,433)</w:t>
            </w:r>
          </w:p>
        </w:tc>
      </w:tr>
      <w:tr>
        <w:trPr>
          <w:trHeight w:val="99"/>
        </w:trPr>
        <w:tc>
          <w:tcPr>
            <w:tcW w:w="4400" w:type="dxa"/>
            <w:vAlign w:val="bottom"/>
          </w:tcPr>
          <w:p>
            <w:pPr>
              <w:ind w:left="320"/>
              <w:spacing w:after="0"/>
              <w:rPr>
                <w:sz w:val="20"/>
                <w:szCs w:val="20"/>
                <w:color w:val="auto"/>
              </w:rPr>
            </w:pPr>
            <w:r>
              <w:rPr>
                <w:rFonts w:ascii="Arial" w:cs="Arial" w:eastAsia="Arial" w:hAnsi="Arial"/>
                <w:sz w:val="8"/>
                <w:szCs w:val="8"/>
                <w:color w:val="auto"/>
              </w:rPr>
              <w:t>(Gain) Loss on extinguishment of debt</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765</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1,611</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(72,024)</w:t>
            </w:r>
          </w:p>
        </w:tc>
      </w:tr>
      <w:tr>
        <w:trPr>
          <w:trHeight w:val="99"/>
        </w:trPr>
        <w:tc>
          <w:tcPr>
            <w:tcW w:w="4400" w:type="dxa"/>
            <w:vAlign w:val="bottom"/>
            <w:shd w:val="clear" w:color="auto" w:fill="CFF0FC"/>
          </w:tcPr>
          <w:p>
            <w:pPr>
              <w:ind w:left="320"/>
              <w:spacing w:after="0"/>
              <w:rPr>
                <w:sz w:val="20"/>
                <w:szCs w:val="20"/>
                <w:color w:val="auto"/>
              </w:rPr>
            </w:pPr>
            <w:r>
              <w:rPr>
                <w:rFonts w:ascii="Arial" w:cs="Arial" w:eastAsia="Arial" w:hAnsi="Arial"/>
                <w:sz w:val="8"/>
                <w:szCs w:val="8"/>
                <w:color w:val="auto"/>
              </w:rPr>
              <w:t>Interest incurred through borrowings under Sanofi Loan Facility</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4,478</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320"/>
              <w:spacing w:after="0"/>
              <w:rPr>
                <w:sz w:val="20"/>
                <w:szCs w:val="20"/>
                <w:color w:val="auto"/>
              </w:rPr>
            </w:pPr>
            <w:r>
              <w:rPr>
                <w:rFonts w:ascii="Arial" w:cs="Arial" w:eastAsia="Arial" w:hAnsi="Arial"/>
                <w:sz w:val="8"/>
                <w:szCs w:val="8"/>
                <w:color w:val="auto"/>
              </w:rPr>
              <w:t>Interest on note payable to related party</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4,488</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3,782</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jc w:val="right"/>
              <w:spacing w:after="0"/>
              <w:rPr>
                <w:sz w:val="20"/>
                <w:szCs w:val="20"/>
                <w:color w:val="auto"/>
              </w:rPr>
            </w:pPr>
            <w:r>
              <w:rPr>
                <w:rFonts w:ascii="Arial" w:cs="Arial" w:eastAsia="Arial" w:hAnsi="Arial"/>
                <w:sz w:val="8"/>
                <w:szCs w:val="8"/>
                <w:color w:val="auto"/>
              </w:rPr>
              <w:t>2,901</w:t>
            </w:r>
          </w:p>
        </w:tc>
        <w:tc>
          <w:tcPr>
            <w:tcW w:w="120" w:type="dxa"/>
            <w:vAlign w:val="bottom"/>
          </w:tcPr>
          <w:p>
            <w:pPr>
              <w:spacing w:after="0"/>
              <w:rPr>
                <w:sz w:val="8"/>
                <w:szCs w:val="8"/>
                <w:color w:val="auto"/>
              </w:rPr>
            </w:pPr>
          </w:p>
        </w:tc>
      </w:tr>
      <w:tr>
        <w:trPr>
          <w:trHeight w:val="99"/>
        </w:trPr>
        <w:tc>
          <w:tcPr>
            <w:tcW w:w="4400" w:type="dxa"/>
            <w:vAlign w:val="bottom"/>
            <w:shd w:val="clear" w:color="auto" w:fill="CFF0FC"/>
          </w:tcPr>
          <w:p>
            <w:pPr>
              <w:ind w:left="320"/>
              <w:spacing w:after="0"/>
              <w:rPr>
                <w:sz w:val="20"/>
                <w:szCs w:val="20"/>
                <w:color w:val="auto"/>
              </w:rPr>
            </w:pPr>
            <w:r>
              <w:rPr>
                <w:rFonts w:ascii="Arial" w:cs="Arial" w:eastAsia="Arial" w:hAnsi="Arial"/>
                <w:sz w:val="8"/>
                <w:szCs w:val="8"/>
                <w:color w:val="auto"/>
              </w:rPr>
              <w:t>Series A warrant issuance cost</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653</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320"/>
              <w:spacing w:after="0"/>
              <w:rPr>
                <w:sz w:val="20"/>
                <w:szCs w:val="20"/>
                <w:color w:val="auto"/>
              </w:rPr>
            </w:pPr>
            <w:r>
              <w:rPr>
                <w:rFonts w:ascii="Arial" w:cs="Arial" w:eastAsia="Arial" w:hAnsi="Arial"/>
                <w:sz w:val="8"/>
                <w:szCs w:val="8"/>
                <w:color w:val="auto"/>
              </w:rPr>
              <w:t>Other, net</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8"/>
                <w:szCs w:val="8"/>
                <w:color w:val="auto"/>
              </w:rPr>
              <w:t>(25)</w:t>
            </w: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100</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jc w:val="right"/>
              <w:spacing w:after="0"/>
              <w:rPr>
                <w:sz w:val="20"/>
                <w:szCs w:val="20"/>
                <w:color w:val="auto"/>
              </w:rPr>
            </w:pPr>
            <w:r>
              <w:rPr>
                <w:rFonts w:ascii="Arial" w:cs="Arial" w:eastAsia="Arial" w:hAnsi="Arial"/>
                <w:sz w:val="8"/>
                <w:szCs w:val="8"/>
                <w:color w:val="auto"/>
              </w:rPr>
              <w:t>19</w:t>
            </w:r>
          </w:p>
        </w:tc>
        <w:tc>
          <w:tcPr>
            <w:tcW w:w="120" w:type="dxa"/>
            <w:vAlign w:val="bottom"/>
          </w:tcPr>
          <w:p>
            <w:pPr>
              <w:spacing w:after="0"/>
              <w:rPr>
                <w:sz w:val="8"/>
                <w:szCs w:val="8"/>
                <w:color w:val="auto"/>
              </w:rPr>
            </w:pPr>
          </w:p>
        </w:tc>
      </w:tr>
      <w:tr>
        <w:trPr>
          <w:trHeight w:val="99"/>
        </w:trPr>
        <w:tc>
          <w:tcPr>
            <w:tcW w:w="4400" w:type="dxa"/>
            <w:vAlign w:val="bottom"/>
            <w:shd w:val="clear" w:color="auto" w:fill="CFF0FC"/>
          </w:tcPr>
          <w:p>
            <w:pPr>
              <w:ind w:left="320"/>
              <w:spacing w:after="0"/>
              <w:rPr>
                <w:sz w:val="20"/>
                <w:szCs w:val="20"/>
                <w:color w:val="auto"/>
              </w:rPr>
            </w:pPr>
            <w:r>
              <w:rPr>
                <w:rFonts w:ascii="Arial" w:cs="Arial" w:eastAsia="Arial" w:hAnsi="Arial"/>
                <w:sz w:val="8"/>
                <w:szCs w:val="8"/>
                <w:color w:val="auto"/>
              </w:rPr>
              <w:t>(Gain) loss on sale, abandonment/disposal or impairment of property and equipment</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8"/>
                <w:szCs w:val="8"/>
                <w:color w:val="auto"/>
              </w:rPr>
              <w:t>(114)</w:t>
            </w: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203</w:t>
            </w: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1,259</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320"/>
              <w:spacing w:after="0"/>
              <w:rPr>
                <w:sz w:val="20"/>
                <w:szCs w:val="20"/>
                <w:color w:val="auto"/>
              </w:rPr>
            </w:pPr>
            <w:r>
              <w:rPr>
                <w:rFonts w:ascii="Arial" w:cs="Arial" w:eastAsia="Arial" w:hAnsi="Arial"/>
                <w:sz w:val="8"/>
                <w:szCs w:val="8"/>
                <w:color w:val="auto"/>
              </w:rPr>
              <w:t>Gain on purchase commitments</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8"/>
                <w:szCs w:val="8"/>
                <w:color w:val="auto"/>
              </w:rPr>
              <w:t>(10)</w:t>
            </w:r>
          </w:p>
        </w:tc>
        <w:tc>
          <w:tcPr>
            <w:tcW w:w="200" w:type="dxa"/>
            <w:vAlign w:val="bottom"/>
          </w:tcPr>
          <w:p>
            <w:pPr>
              <w:spacing w:after="0"/>
              <w:rPr>
                <w:sz w:val="8"/>
                <w:szCs w:val="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8"/>
                <w:szCs w:val="8"/>
                <w:color w:val="auto"/>
              </w:rPr>
              <w:t>(215)</w:t>
            </w: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(2,265)</w:t>
            </w:r>
          </w:p>
        </w:tc>
      </w:tr>
      <w:tr>
        <w:trPr>
          <w:trHeight w:val="99"/>
        </w:trPr>
        <w:tc>
          <w:tcPr>
            <w:tcW w:w="4400" w:type="dxa"/>
            <w:vAlign w:val="bottom"/>
            <w:shd w:val="clear" w:color="auto" w:fill="CFF0FC"/>
          </w:tcPr>
          <w:p>
            <w:pPr>
              <w:ind w:left="320"/>
              <w:spacing w:after="0"/>
              <w:rPr>
                <w:sz w:val="20"/>
                <w:szCs w:val="20"/>
                <w:color w:val="auto"/>
              </w:rPr>
            </w:pPr>
            <w:r>
              <w:rPr>
                <w:rFonts w:ascii="Arial" w:cs="Arial" w:eastAsia="Arial" w:hAnsi="Arial"/>
                <w:sz w:val="8"/>
                <w:szCs w:val="8"/>
                <w:color w:val="auto"/>
              </w:rPr>
              <w:t>Write-off of inventory</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2,212</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2,971</w:t>
            </w: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r>
      <w:tr>
        <w:trPr>
          <w:trHeight w:val="99"/>
        </w:trPr>
        <w:tc>
          <w:tcPr>
            <w:tcW w:w="4400" w:type="dxa"/>
            <w:vAlign w:val="bottom"/>
          </w:tcPr>
          <w:p>
            <w:pPr>
              <w:ind w:left="320"/>
              <w:spacing w:after="0"/>
              <w:rPr>
                <w:sz w:val="20"/>
                <w:szCs w:val="20"/>
                <w:color w:val="auto"/>
              </w:rPr>
            </w:pPr>
            <w:r>
              <w:rPr>
                <w:rFonts w:ascii="Arial" w:cs="Arial" w:eastAsia="Arial" w:hAnsi="Arial"/>
                <w:sz w:val="8"/>
                <w:szCs w:val="8"/>
                <w:color w:val="auto"/>
              </w:rPr>
              <w:t>Changes in operating assets and liabilities:</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4400" w:type="dxa"/>
            <w:vAlign w:val="bottom"/>
            <w:shd w:val="clear" w:color="auto" w:fill="CFF0FC"/>
          </w:tcPr>
          <w:p>
            <w:pPr>
              <w:ind w:left="480"/>
              <w:spacing w:after="0"/>
              <w:rPr>
                <w:sz w:val="20"/>
                <w:szCs w:val="20"/>
                <w:color w:val="auto"/>
              </w:rPr>
            </w:pPr>
            <w:r>
              <w:rPr>
                <w:rFonts w:ascii="Arial" w:cs="Arial" w:eastAsia="Arial" w:hAnsi="Arial"/>
                <w:sz w:val="8"/>
                <w:szCs w:val="8"/>
                <w:color w:val="auto"/>
              </w:rPr>
              <w:t>Accounts receivable, net</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8"/>
                <w:szCs w:val="8"/>
                <w:color w:val="auto"/>
              </w:rPr>
              <w:t>(1,339)</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8"/>
                <w:szCs w:val="8"/>
                <w:color w:val="auto"/>
              </w:rPr>
              <w:t>(2,487)</w:t>
            </w: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(302)</w:t>
            </w:r>
          </w:p>
        </w:tc>
      </w:tr>
      <w:tr>
        <w:trPr>
          <w:trHeight w:val="99"/>
        </w:trPr>
        <w:tc>
          <w:tcPr>
            <w:tcW w:w="4400" w:type="dxa"/>
            <w:vAlign w:val="bottom"/>
          </w:tcPr>
          <w:p>
            <w:pPr>
              <w:ind w:left="480"/>
              <w:spacing w:after="0"/>
              <w:rPr>
                <w:sz w:val="20"/>
                <w:szCs w:val="20"/>
                <w:color w:val="auto"/>
              </w:rPr>
            </w:pPr>
            <w:r>
              <w:rPr>
                <w:rFonts w:ascii="Arial" w:cs="Arial" w:eastAsia="Arial" w:hAnsi="Arial"/>
                <w:sz w:val="8"/>
                <w:szCs w:val="8"/>
                <w:color w:val="auto"/>
              </w:rPr>
              <w:t>Receivable from Sanofi</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30,557</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(30,534)</w:t>
            </w:r>
          </w:p>
        </w:tc>
      </w:tr>
      <w:tr>
        <w:trPr>
          <w:trHeight w:val="99"/>
        </w:trPr>
        <w:tc>
          <w:tcPr>
            <w:tcW w:w="4400" w:type="dxa"/>
            <w:vAlign w:val="bottom"/>
            <w:shd w:val="clear" w:color="auto" w:fill="CFF0FC"/>
          </w:tcPr>
          <w:p>
            <w:pPr>
              <w:ind w:left="480"/>
              <w:spacing w:after="0"/>
              <w:rPr>
                <w:sz w:val="20"/>
                <w:szCs w:val="20"/>
                <w:color w:val="auto"/>
              </w:rPr>
            </w:pPr>
            <w:r>
              <w:rPr>
                <w:rFonts w:ascii="Arial" w:cs="Arial" w:eastAsia="Arial" w:hAnsi="Arial"/>
                <w:sz w:val="8"/>
                <w:szCs w:val="8"/>
                <w:color w:val="auto"/>
              </w:rPr>
              <w:t>Inventory</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8"/>
                <w:szCs w:val="8"/>
                <w:color w:val="auto"/>
              </w:rPr>
              <w:t>(3,152)</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8"/>
                <w:szCs w:val="8"/>
                <w:color w:val="auto"/>
              </w:rPr>
              <w:t>(3,297)</w:t>
            </w: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(2,331)</w:t>
            </w:r>
          </w:p>
        </w:tc>
      </w:tr>
      <w:tr>
        <w:trPr>
          <w:trHeight w:val="99"/>
        </w:trPr>
        <w:tc>
          <w:tcPr>
            <w:tcW w:w="4400" w:type="dxa"/>
            <w:vAlign w:val="bottom"/>
          </w:tcPr>
          <w:p>
            <w:pPr>
              <w:ind w:left="480"/>
              <w:spacing w:after="0"/>
              <w:rPr>
                <w:sz w:val="20"/>
                <w:szCs w:val="20"/>
                <w:color w:val="auto"/>
              </w:rPr>
            </w:pPr>
            <w:r>
              <w:rPr>
                <w:rFonts w:ascii="Arial" w:cs="Arial" w:eastAsia="Arial" w:hAnsi="Arial"/>
                <w:sz w:val="8"/>
                <w:szCs w:val="8"/>
                <w:color w:val="auto"/>
              </w:rPr>
              <w:t>Deferred costs from commercial product sales</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8"/>
                <w:szCs w:val="8"/>
                <w:color w:val="auto"/>
              </w:rPr>
              <w:t>(96)</w:t>
            </w: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(309)</w:t>
            </w:r>
          </w:p>
        </w:tc>
      </w:tr>
      <w:tr>
        <w:trPr>
          <w:trHeight w:val="99"/>
        </w:trPr>
        <w:tc>
          <w:tcPr>
            <w:tcW w:w="4400" w:type="dxa"/>
            <w:vAlign w:val="bottom"/>
            <w:shd w:val="clear" w:color="auto" w:fill="CFF0FC"/>
          </w:tcPr>
          <w:p>
            <w:pPr>
              <w:ind w:left="480"/>
              <w:spacing w:after="0"/>
              <w:rPr>
                <w:sz w:val="20"/>
                <w:szCs w:val="20"/>
                <w:color w:val="auto"/>
              </w:rPr>
            </w:pPr>
            <w:r>
              <w:rPr>
                <w:rFonts w:ascii="Arial" w:cs="Arial" w:eastAsia="Arial" w:hAnsi="Arial"/>
                <w:sz w:val="8"/>
                <w:szCs w:val="8"/>
                <w:color w:val="auto"/>
              </w:rPr>
              <w:t>Deferred costs from collaboration</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13,539</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480"/>
              <w:spacing w:after="0"/>
              <w:rPr>
                <w:sz w:val="20"/>
                <w:szCs w:val="20"/>
                <w:color w:val="auto"/>
              </w:rPr>
            </w:pPr>
            <w:r>
              <w:rPr>
                <w:rFonts w:ascii="Arial" w:cs="Arial" w:eastAsia="Arial" w:hAnsi="Arial"/>
                <w:sz w:val="8"/>
                <w:szCs w:val="8"/>
                <w:color w:val="auto"/>
              </w:rPr>
              <w:t>Prepaid expenses and other current assets</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454</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1,354</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(346)</w:t>
            </w:r>
          </w:p>
        </w:tc>
      </w:tr>
      <w:tr>
        <w:trPr>
          <w:trHeight w:val="99"/>
        </w:trPr>
        <w:tc>
          <w:tcPr>
            <w:tcW w:w="4400" w:type="dxa"/>
            <w:vAlign w:val="bottom"/>
            <w:shd w:val="clear" w:color="auto" w:fill="CFF0FC"/>
          </w:tcPr>
          <w:p>
            <w:pPr>
              <w:ind w:left="480"/>
              <w:spacing w:after="0"/>
              <w:rPr>
                <w:sz w:val="20"/>
                <w:szCs w:val="20"/>
                <w:color w:val="auto"/>
              </w:rPr>
            </w:pPr>
            <w:r>
              <w:rPr>
                <w:rFonts w:ascii="Arial" w:cs="Arial" w:eastAsia="Arial" w:hAnsi="Arial"/>
                <w:sz w:val="8"/>
                <w:szCs w:val="8"/>
                <w:color w:val="auto"/>
              </w:rPr>
              <w:t>Other assets</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200</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188</w:t>
            </w: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361</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480"/>
              <w:spacing w:after="0"/>
              <w:rPr>
                <w:sz w:val="20"/>
                <w:szCs w:val="20"/>
                <w:color w:val="auto"/>
              </w:rPr>
            </w:pPr>
            <w:r>
              <w:rPr>
                <w:rFonts w:ascii="Arial" w:cs="Arial" w:eastAsia="Arial" w:hAnsi="Arial"/>
                <w:sz w:val="8"/>
                <w:szCs w:val="8"/>
                <w:color w:val="auto"/>
              </w:rPr>
              <w:t>Accounts payable</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8"/>
                <w:szCs w:val="8"/>
                <w:color w:val="auto"/>
              </w:rPr>
              <w:t>(1,605)</w:t>
            </w: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3,800</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(12,118)</w:t>
            </w:r>
          </w:p>
        </w:tc>
      </w:tr>
      <w:tr>
        <w:trPr>
          <w:trHeight w:val="99"/>
        </w:trPr>
        <w:tc>
          <w:tcPr>
            <w:tcW w:w="4400" w:type="dxa"/>
            <w:vAlign w:val="bottom"/>
            <w:shd w:val="clear" w:color="auto" w:fill="CFF0FC"/>
          </w:tcPr>
          <w:p>
            <w:pPr>
              <w:ind w:left="480"/>
              <w:spacing w:after="0"/>
              <w:rPr>
                <w:sz w:val="20"/>
                <w:szCs w:val="20"/>
                <w:color w:val="auto"/>
              </w:rPr>
            </w:pPr>
            <w:r>
              <w:rPr>
                <w:rFonts w:ascii="Arial" w:cs="Arial" w:eastAsia="Arial" w:hAnsi="Arial"/>
                <w:sz w:val="8"/>
                <w:szCs w:val="8"/>
                <w:color w:val="auto"/>
              </w:rPr>
              <w:t>Accrued expenses and other current liabilities</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2,249</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2,932</w:t>
            </w: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348</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480"/>
              <w:spacing w:after="0"/>
              <w:rPr>
                <w:sz w:val="20"/>
                <w:szCs w:val="20"/>
                <w:color w:val="auto"/>
              </w:rPr>
            </w:pPr>
            <w:r>
              <w:rPr>
                <w:rFonts w:ascii="Arial" w:cs="Arial" w:eastAsia="Arial" w:hAnsi="Arial"/>
                <w:sz w:val="8"/>
                <w:szCs w:val="8"/>
                <w:color w:val="auto"/>
              </w:rPr>
              <w:t>Deferred revenue</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8"/>
                <w:szCs w:val="8"/>
                <w:color w:val="auto"/>
              </w:rPr>
              <w:t>(381)</w:t>
            </w:r>
          </w:p>
        </w:tc>
        <w:tc>
          <w:tcPr>
            <w:tcW w:w="400" w:type="dxa"/>
            <w:vAlign w:val="bottom"/>
          </w:tcPr>
          <w:p>
            <w:pPr>
              <w:spacing w:after="0"/>
              <w:rPr>
                <w:sz w:val="8"/>
                <w:szCs w:val="8"/>
                <w:color w:val="auto"/>
              </w:rPr>
            </w:pPr>
          </w:p>
        </w:tc>
        <w:tc>
          <w:tcPr>
            <w:tcW w:w="1300" w:type="dxa"/>
            <w:vAlign w:val="bottom"/>
          </w:tcPr>
          <w:p>
            <w:pPr>
              <w:jc w:val="right"/>
              <w:spacing w:after="0"/>
              <w:rPr>
                <w:sz w:val="20"/>
                <w:szCs w:val="20"/>
                <w:color w:val="auto"/>
              </w:rPr>
            </w:pPr>
            <w:r>
              <w:rPr>
                <w:rFonts w:ascii="Arial" w:cs="Arial" w:eastAsia="Arial" w:hAnsi="Arial"/>
                <w:sz w:val="8"/>
                <w:szCs w:val="8"/>
                <w:color w:val="auto"/>
              </w:rPr>
              <w:t>3,419</w:t>
            </w:r>
          </w:p>
        </w:tc>
        <w:tc>
          <w:tcPr>
            <w:tcW w:w="120" w:type="dxa"/>
            <w:vAlign w:val="bottom"/>
          </w:tcPr>
          <w:p>
            <w:pPr>
              <w:spacing w:after="0"/>
              <w:rPr>
                <w:sz w:val="8"/>
                <w:szCs w:val="8"/>
                <w:color w:val="auto"/>
              </w:rPr>
            </w:pPr>
          </w:p>
        </w:tc>
      </w:tr>
      <w:tr>
        <w:trPr>
          <w:trHeight w:val="99"/>
        </w:trPr>
        <w:tc>
          <w:tcPr>
            <w:tcW w:w="4400" w:type="dxa"/>
            <w:vAlign w:val="bottom"/>
            <w:shd w:val="clear" w:color="auto" w:fill="CFF0FC"/>
          </w:tcPr>
          <w:p>
            <w:pPr>
              <w:ind w:left="480"/>
              <w:spacing w:after="0"/>
              <w:rPr>
                <w:sz w:val="20"/>
                <w:szCs w:val="20"/>
                <w:color w:val="auto"/>
              </w:rPr>
            </w:pPr>
            <w:r>
              <w:rPr>
                <w:rFonts w:ascii="Arial" w:cs="Arial" w:eastAsia="Arial" w:hAnsi="Arial"/>
                <w:sz w:val="8"/>
                <w:szCs w:val="8"/>
                <w:color w:val="auto"/>
              </w:rPr>
              <w:t>Deferred payments from collaboration</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46,814</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8"/>
                <w:szCs w:val="8"/>
                <w:color w:val="auto"/>
              </w:rPr>
              <w:t>(250)</w:t>
            </w: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(134,056)</w:t>
            </w:r>
          </w:p>
        </w:tc>
      </w:tr>
      <w:tr>
        <w:trPr>
          <w:trHeight w:val="99"/>
        </w:trPr>
        <w:tc>
          <w:tcPr>
            <w:tcW w:w="4400" w:type="dxa"/>
            <w:vAlign w:val="bottom"/>
          </w:tcPr>
          <w:p>
            <w:pPr>
              <w:ind w:left="480"/>
              <w:spacing w:after="0"/>
              <w:rPr>
                <w:sz w:val="20"/>
                <w:szCs w:val="20"/>
                <w:color w:val="auto"/>
              </w:rPr>
            </w:pPr>
            <w:r>
              <w:rPr>
                <w:rFonts w:ascii="Arial" w:cs="Arial" w:eastAsia="Arial" w:hAnsi="Arial"/>
                <w:sz w:val="8"/>
                <w:szCs w:val="8"/>
                <w:color w:val="auto"/>
              </w:rPr>
              <w:t>Deferred sales from collaboration</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(17,503)</w:t>
            </w:r>
          </w:p>
        </w:tc>
      </w:tr>
      <w:tr>
        <w:trPr>
          <w:trHeight w:val="99"/>
        </w:trPr>
        <w:tc>
          <w:tcPr>
            <w:tcW w:w="4400" w:type="dxa"/>
            <w:vAlign w:val="bottom"/>
            <w:shd w:val="clear" w:color="auto" w:fill="CFF0FC"/>
          </w:tcPr>
          <w:p>
            <w:pPr>
              <w:ind w:left="480"/>
              <w:spacing w:after="0"/>
              <w:rPr>
                <w:sz w:val="20"/>
                <w:szCs w:val="20"/>
                <w:color w:val="auto"/>
              </w:rPr>
            </w:pPr>
            <w:r>
              <w:rPr>
                <w:rFonts w:ascii="Arial" w:cs="Arial" w:eastAsia="Arial" w:hAnsi="Arial"/>
                <w:sz w:val="8"/>
                <w:szCs w:val="8"/>
                <w:color w:val="auto"/>
              </w:rPr>
              <w:t>Loss on purchase commitments</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8"/>
                <w:szCs w:val="8"/>
                <w:color w:val="auto"/>
              </w:rPr>
              <w:t>(6,939)</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8"/>
                <w:szCs w:val="8"/>
                <w:color w:val="auto"/>
              </w:rPr>
              <w:t>(4,745)</w:t>
            </w: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40,566</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640"/>
              <w:spacing w:after="0"/>
              <w:rPr>
                <w:sz w:val="20"/>
                <w:szCs w:val="20"/>
                <w:color w:val="auto"/>
              </w:rPr>
            </w:pPr>
            <w:r>
              <w:rPr>
                <w:rFonts w:ascii="Arial" w:cs="Arial" w:eastAsia="Arial" w:hAnsi="Arial"/>
                <w:sz w:val="8"/>
                <w:szCs w:val="8"/>
                <w:color w:val="auto"/>
              </w:rPr>
              <w:t>Net cash used in operating activities</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8"/>
                <w:szCs w:val="8"/>
                <w:color w:val="auto"/>
              </w:rPr>
              <w:t>(37,731)</w:t>
            </w:r>
          </w:p>
        </w:tc>
        <w:tc>
          <w:tcPr>
            <w:tcW w:w="200" w:type="dxa"/>
            <w:vAlign w:val="bottom"/>
          </w:tcPr>
          <w:p>
            <w:pPr>
              <w:spacing w:after="0"/>
              <w:rPr>
                <w:sz w:val="8"/>
                <w:szCs w:val="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8"/>
                <w:szCs w:val="8"/>
                <w:color w:val="auto"/>
              </w:rPr>
              <w:t>(64,778)</w:t>
            </w: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(78,090)</w:t>
            </w:r>
          </w:p>
        </w:tc>
      </w:tr>
      <w:tr>
        <w:trPr>
          <w:trHeight w:val="88"/>
        </w:trPr>
        <w:tc>
          <w:tcPr>
            <w:tcW w:w="4400" w:type="dxa"/>
            <w:vAlign w:val="bottom"/>
            <w:tcBorders>
              <w:top w:val="single" w:sz="8" w:color="CFF0FC"/>
            </w:tcBorders>
            <w:shd w:val="clear" w:color="auto" w:fill="CFF0FC"/>
          </w:tcPr>
          <w:p>
            <w:pPr>
              <w:spacing w:after="0" w:line="88" w:lineRule="exact"/>
              <w:rPr>
                <w:sz w:val="20"/>
                <w:szCs w:val="20"/>
                <w:color w:val="auto"/>
              </w:rPr>
            </w:pPr>
            <w:r>
              <w:rPr>
                <w:rFonts w:ascii="Arial" w:cs="Arial" w:eastAsia="Arial" w:hAnsi="Arial"/>
                <w:sz w:val="8"/>
                <w:szCs w:val="8"/>
                <w:color w:val="auto"/>
              </w:rPr>
              <w:t>CASH FLOWS FROM INVESTING ACTIVITIES:</w:t>
            </w:r>
          </w:p>
        </w:tc>
        <w:tc>
          <w:tcPr>
            <w:tcW w:w="1240" w:type="dxa"/>
            <w:vAlign w:val="bottom"/>
            <w:tcBorders>
              <w:top w:val="single" w:sz="8" w:color="CFF0FC"/>
            </w:tcBorders>
            <w:shd w:val="clear" w:color="auto" w:fill="CFF0FC"/>
          </w:tcPr>
          <w:p>
            <w:pPr>
              <w:spacing w:after="0"/>
              <w:rPr>
                <w:sz w:val="7"/>
                <w:szCs w:val="7"/>
                <w:color w:val="auto"/>
              </w:rPr>
            </w:pPr>
          </w:p>
        </w:tc>
        <w:tc>
          <w:tcPr>
            <w:tcW w:w="1180" w:type="dxa"/>
            <w:vAlign w:val="bottom"/>
            <w:tcBorders>
              <w:top w:val="single" w:sz="8" w:color="auto"/>
            </w:tcBorders>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150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130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r>
      <w:tr>
        <w:trPr>
          <w:trHeight w:val="99"/>
        </w:trPr>
        <w:tc>
          <w:tcPr>
            <w:tcW w:w="4400" w:type="dxa"/>
            <w:vAlign w:val="bottom"/>
          </w:tcPr>
          <w:p>
            <w:pPr>
              <w:ind w:left="160"/>
              <w:spacing w:after="0"/>
              <w:rPr>
                <w:sz w:val="20"/>
                <w:szCs w:val="20"/>
                <w:color w:val="auto"/>
              </w:rPr>
            </w:pPr>
            <w:r>
              <w:rPr>
                <w:rFonts w:ascii="Arial" w:cs="Arial" w:eastAsia="Arial" w:hAnsi="Arial"/>
                <w:sz w:val="8"/>
                <w:szCs w:val="8"/>
                <w:color w:val="auto"/>
              </w:rPr>
              <w:t>Purchase of property and equipment</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8"/>
                <w:szCs w:val="8"/>
                <w:color w:val="auto"/>
              </w:rPr>
              <w:t>(354)</w:t>
            </w:r>
          </w:p>
        </w:tc>
        <w:tc>
          <w:tcPr>
            <w:tcW w:w="200" w:type="dxa"/>
            <w:vAlign w:val="bottom"/>
          </w:tcPr>
          <w:p>
            <w:pPr>
              <w:spacing w:after="0"/>
              <w:rPr>
                <w:sz w:val="8"/>
                <w:szCs w:val="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(1,144)</w:t>
            </w:r>
          </w:p>
        </w:tc>
      </w:tr>
      <w:tr>
        <w:trPr>
          <w:trHeight w:val="9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Net proceeds from sale of asset held for sale</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16,651</w:t>
            </w: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r>
      <w:tr>
        <w:trPr>
          <w:trHeight w:val="99"/>
        </w:trPr>
        <w:tc>
          <w:tcPr>
            <w:tcW w:w="4400" w:type="dxa"/>
            <w:vAlign w:val="bottom"/>
            <w:tcBorders>
              <w:bottom w:val="single" w:sz="8" w:color="CFF0FC"/>
            </w:tcBorders>
          </w:tcPr>
          <w:p>
            <w:pPr>
              <w:ind w:left="160"/>
              <w:spacing w:after="0"/>
              <w:rPr>
                <w:sz w:val="20"/>
                <w:szCs w:val="20"/>
                <w:color w:val="auto"/>
              </w:rPr>
            </w:pPr>
            <w:r>
              <w:rPr>
                <w:rFonts w:ascii="Arial" w:cs="Arial" w:eastAsia="Arial" w:hAnsi="Arial"/>
                <w:sz w:val="8"/>
                <w:szCs w:val="8"/>
                <w:color w:val="auto"/>
              </w:rPr>
              <w:t>Proceeds from sale of property and equipment</w:t>
            </w:r>
          </w:p>
        </w:tc>
        <w:tc>
          <w:tcPr>
            <w:tcW w:w="1240" w:type="dxa"/>
            <w:vAlign w:val="bottom"/>
            <w:tcBorders>
              <w:bottom w:val="single" w:sz="8" w:color="CFF0FC"/>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120</w:t>
            </w:r>
          </w:p>
        </w:tc>
        <w:tc>
          <w:tcPr>
            <w:tcW w:w="32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w:t>
            </w:r>
          </w:p>
        </w:tc>
        <w:tc>
          <w:tcPr>
            <w:tcW w:w="30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w:t>
            </w:r>
          </w:p>
        </w:tc>
        <w:tc>
          <w:tcPr>
            <w:tcW w:w="120" w:type="dxa"/>
            <w:vAlign w:val="bottom"/>
            <w:tcBorders>
              <w:bottom w:val="single" w:sz="8" w:color="CFF0FC"/>
            </w:tcBorders>
          </w:tcPr>
          <w:p>
            <w:pPr>
              <w:spacing w:after="0"/>
              <w:rPr>
                <w:sz w:val="8"/>
                <w:szCs w:val="8"/>
                <w:color w:val="auto"/>
              </w:rPr>
            </w:pPr>
          </w:p>
        </w:tc>
      </w:tr>
      <w:tr>
        <w:trPr>
          <w:trHeight w:val="88"/>
        </w:trPr>
        <w:tc>
          <w:tcPr>
            <w:tcW w:w="4400" w:type="dxa"/>
            <w:vAlign w:val="bottom"/>
            <w:shd w:val="clear" w:color="auto" w:fill="CFF0FC"/>
          </w:tcPr>
          <w:p>
            <w:pPr>
              <w:ind w:left="640"/>
              <w:spacing w:after="0" w:line="88" w:lineRule="exact"/>
              <w:rPr>
                <w:sz w:val="20"/>
                <w:szCs w:val="20"/>
                <w:color w:val="auto"/>
              </w:rPr>
            </w:pPr>
            <w:r>
              <w:rPr>
                <w:rFonts w:ascii="Arial" w:cs="Arial" w:eastAsia="Arial" w:hAnsi="Arial"/>
                <w:sz w:val="8"/>
                <w:szCs w:val="8"/>
                <w:color w:val="auto"/>
              </w:rPr>
              <w:t>Net cash provided by (used in) investing activities</w:t>
            </w:r>
          </w:p>
        </w:tc>
        <w:tc>
          <w:tcPr>
            <w:tcW w:w="124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840" w:type="dxa"/>
            <w:vAlign w:val="bottom"/>
            <w:gridSpan w:val="2"/>
            <w:shd w:val="clear" w:color="auto" w:fill="CFF0FC"/>
          </w:tcPr>
          <w:p>
            <w:pPr>
              <w:jc w:val="right"/>
              <w:ind w:right="300"/>
              <w:spacing w:after="0" w:line="88" w:lineRule="exact"/>
              <w:rPr>
                <w:sz w:val="20"/>
                <w:szCs w:val="20"/>
                <w:color w:val="auto"/>
              </w:rPr>
            </w:pPr>
            <w:r>
              <w:rPr>
                <w:rFonts w:ascii="Arial" w:cs="Arial" w:eastAsia="Arial" w:hAnsi="Arial"/>
                <w:sz w:val="8"/>
                <w:szCs w:val="8"/>
                <w:color w:val="auto"/>
              </w:rPr>
              <w:t>(234)</w:t>
            </w:r>
          </w:p>
        </w:tc>
        <w:tc>
          <w:tcPr>
            <w:tcW w:w="200" w:type="dxa"/>
            <w:vAlign w:val="bottom"/>
            <w:shd w:val="clear" w:color="auto" w:fill="CFF0FC"/>
          </w:tcPr>
          <w:p>
            <w:pPr>
              <w:spacing w:after="0"/>
              <w:rPr>
                <w:sz w:val="7"/>
                <w:szCs w:val="7"/>
                <w:color w:val="auto"/>
              </w:rPr>
            </w:pPr>
          </w:p>
        </w:tc>
        <w:tc>
          <w:tcPr>
            <w:tcW w:w="150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16,675</w:t>
            </w:r>
          </w:p>
        </w:tc>
        <w:tc>
          <w:tcPr>
            <w:tcW w:w="3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420" w:type="dxa"/>
            <w:vAlign w:val="bottom"/>
            <w:gridSpan w:val="2"/>
            <w:shd w:val="clear" w:color="auto" w:fill="CFF0FC"/>
          </w:tcPr>
          <w:p>
            <w:pPr>
              <w:jc w:val="right"/>
              <w:ind w:right="100"/>
              <w:spacing w:after="0" w:line="88" w:lineRule="exact"/>
              <w:rPr>
                <w:sz w:val="20"/>
                <w:szCs w:val="20"/>
                <w:color w:val="auto"/>
              </w:rPr>
            </w:pPr>
            <w:r>
              <w:rPr>
                <w:rFonts w:ascii="Arial" w:cs="Arial" w:eastAsia="Arial" w:hAnsi="Arial"/>
                <w:sz w:val="8"/>
                <w:szCs w:val="8"/>
                <w:color w:val="auto"/>
              </w:rPr>
              <w:t>(1,127)</w:t>
            </w:r>
          </w:p>
        </w:tc>
      </w:tr>
      <w:tr>
        <w:trPr>
          <w:trHeight w:val="88"/>
        </w:trPr>
        <w:tc>
          <w:tcPr>
            <w:tcW w:w="4400" w:type="dxa"/>
            <w:vAlign w:val="bottom"/>
          </w:tcPr>
          <w:p>
            <w:pPr>
              <w:spacing w:after="0" w:line="88" w:lineRule="exact"/>
              <w:rPr>
                <w:sz w:val="20"/>
                <w:szCs w:val="20"/>
                <w:color w:val="auto"/>
              </w:rPr>
            </w:pPr>
            <w:r>
              <w:rPr>
                <w:rFonts w:ascii="Arial" w:cs="Arial" w:eastAsia="Arial" w:hAnsi="Arial"/>
                <w:sz w:val="8"/>
                <w:szCs w:val="8"/>
                <w:color w:val="auto"/>
              </w:rPr>
              <w:t>CASH FLOWS FROM FINANCING ACTIVITIES:</w:t>
            </w:r>
          </w:p>
        </w:tc>
        <w:tc>
          <w:tcPr>
            <w:tcW w:w="124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Proceeds from direct placement of common stock</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28,000</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61,000</w:t>
            </w: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50,000</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160"/>
              <w:spacing w:after="0"/>
              <w:rPr>
                <w:sz w:val="20"/>
                <w:szCs w:val="20"/>
                <w:color w:val="auto"/>
              </w:rPr>
            </w:pPr>
            <w:r>
              <w:rPr>
                <w:rFonts w:ascii="Arial" w:cs="Arial" w:eastAsia="Arial" w:hAnsi="Arial"/>
                <w:sz w:val="8"/>
                <w:szCs w:val="8"/>
                <w:color w:val="auto"/>
              </w:rPr>
              <w:t>Issuance cost associated with direct placement</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8"/>
                <w:szCs w:val="8"/>
                <w:color w:val="auto"/>
              </w:rPr>
              <w:t>(1,610)</w:t>
            </w:r>
          </w:p>
        </w:tc>
        <w:tc>
          <w:tcPr>
            <w:tcW w:w="200" w:type="dxa"/>
            <w:vAlign w:val="bottom"/>
          </w:tcPr>
          <w:p>
            <w:pPr>
              <w:spacing w:after="0"/>
              <w:rPr>
                <w:sz w:val="8"/>
                <w:szCs w:val="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8"/>
                <w:szCs w:val="8"/>
                <w:color w:val="auto"/>
              </w:rPr>
              <w:t>(3,310)</w:t>
            </w: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(2,690)</w:t>
            </w:r>
          </w:p>
        </w:tc>
      </w:tr>
      <w:tr>
        <w:trPr>
          <w:trHeight w:val="9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Proceeds from public offering — common stock</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40,000</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160"/>
              <w:spacing w:after="0"/>
              <w:rPr>
                <w:sz w:val="20"/>
                <w:szCs w:val="20"/>
                <w:color w:val="auto"/>
              </w:rPr>
            </w:pPr>
            <w:r>
              <w:rPr>
                <w:rFonts w:ascii="Arial" w:cs="Arial" w:eastAsia="Arial" w:hAnsi="Arial"/>
                <w:sz w:val="8"/>
                <w:szCs w:val="8"/>
                <w:color w:val="auto"/>
              </w:rPr>
              <w:t>Issuance cost associated with public offering</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8"/>
                <w:szCs w:val="8"/>
                <w:color w:val="auto"/>
              </w:rPr>
              <w:t>(2,538)</w:t>
            </w: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Principal payments on facility financing obligation</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8"/>
                <w:szCs w:val="8"/>
                <w:color w:val="auto"/>
              </w:rPr>
              <w:t>(5,000)</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8"/>
                <w:szCs w:val="8"/>
                <w:color w:val="auto"/>
              </w:rPr>
              <w:t>(4,000)</w:t>
            </w: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(5,000)</w:t>
            </w:r>
          </w:p>
        </w:tc>
      </w:tr>
      <w:tr>
        <w:trPr>
          <w:trHeight w:val="99"/>
        </w:trPr>
        <w:tc>
          <w:tcPr>
            <w:tcW w:w="4400" w:type="dxa"/>
            <w:vAlign w:val="bottom"/>
          </w:tcPr>
          <w:p>
            <w:pPr>
              <w:ind w:left="160"/>
              <w:spacing w:after="0"/>
              <w:rPr>
                <w:sz w:val="20"/>
                <w:szCs w:val="20"/>
                <w:color w:val="auto"/>
              </w:rPr>
            </w:pPr>
            <w:r>
              <w:rPr>
                <w:rFonts w:ascii="Arial" w:cs="Arial" w:eastAsia="Arial" w:hAnsi="Arial"/>
                <w:sz w:val="8"/>
                <w:szCs w:val="8"/>
                <w:color w:val="auto"/>
              </w:rPr>
              <w:t>Payment of employment taxes related to vested restricted stock units</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8"/>
                <w:szCs w:val="8"/>
                <w:color w:val="auto"/>
              </w:rPr>
              <w:t>(127)</w:t>
            </w: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(165)</w:t>
            </w:r>
          </w:p>
        </w:tc>
      </w:tr>
      <w:tr>
        <w:trPr>
          <w:trHeight w:val="9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Proceeds from issuance of common stock</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400" w:type="dxa"/>
            <w:vAlign w:val="bottom"/>
            <w:shd w:val="clear" w:color="auto" w:fill="CFF0FC"/>
          </w:tcPr>
          <w:p>
            <w:pPr>
              <w:spacing w:after="0"/>
              <w:rPr>
                <w:sz w:val="8"/>
                <w:szCs w:val="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893</w:t>
            </w:r>
          </w:p>
        </w:tc>
        <w:tc>
          <w:tcPr>
            <w:tcW w:w="120" w:type="dxa"/>
            <w:vAlign w:val="bottom"/>
            <w:shd w:val="clear" w:color="auto" w:fill="CFF0FC"/>
          </w:tcPr>
          <w:p>
            <w:pPr>
              <w:spacing w:after="0"/>
              <w:rPr>
                <w:sz w:val="8"/>
                <w:szCs w:val="8"/>
                <w:color w:val="auto"/>
              </w:rPr>
            </w:pPr>
          </w:p>
        </w:tc>
      </w:tr>
      <w:tr>
        <w:trPr>
          <w:trHeight w:val="99"/>
        </w:trPr>
        <w:tc>
          <w:tcPr>
            <w:tcW w:w="4400" w:type="dxa"/>
            <w:vAlign w:val="bottom"/>
          </w:tcPr>
          <w:p>
            <w:pPr>
              <w:ind w:left="160"/>
              <w:spacing w:after="0"/>
              <w:rPr>
                <w:sz w:val="20"/>
                <w:szCs w:val="20"/>
                <w:color w:val="auto"/>
              </w:rPr>
            </w:pPr>
            <w:r>
              <w:rPr>
                <w:rFonts w:ascii="Arial" w:cs="Arial" w:eastAsia="Arial" w:hAnsi="Arial"/>
                <w:sz w:val="8"/>
                <w:szCs w:val="8"/>
                <w:color w:val="auto"/>
              </w:rPr>
              <w:t>Borrowings on note payable to related party</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19,429</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r>
      <w:tr>
        <w:trPr>
          <w:trHeight w:val="9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Proceeds from market price stock purchase plan</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430</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r>
      <w:tr>
        <w:trPr>
          <w:trHeight w:val="99"/>
        </w:trPr>
        <w:tc>
          <w:tcPr>
            <w:tcW w:w="4400" w:type="dxa"/>
            <w:vAlign w:val="bottom"/>
          </w:tcPr>
          <w:p>
            <w:pPr>
              <w:ind w:left="160"/>
              <w:spacing w:after="0"/>
              <w:rPr>
                <w:sz w:val="20"/>
                <w:szCs w:val="20"/>
                <w:color w:val="auto"/>
              </w:rPr>
            </w:pPr>
            <w:r>
              <w:rPr>
                <w:rFonts w:ascii="Arial" w:cs="Arial" w:eastAsia="Arial" w:hAnsi="Arial"/>
                <w:sz w:val="8"/>
                <w:szCs w:val="8"/>
                <w:color w:val="auto"/>
              </w:rPr>
              <w:t>Proceeds from issuance of common stock pursuant to at-the-market issuance</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2,089</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564</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r>
      <w:tr>
        <w:trPr>
          <w:trHeight w:val="9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Issuance costs of at-the-market transactions</w:t>
            </w:r>
          </w:p>
        </w:tc>
        <w:tc>
          <w:tcPr>
            <w:tcW w:w="12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8"/>
                <w:szCs w:val="8"/>
                <w:color w:val="auto"/>
              </w:rPr>
              <w:t>(84)</w:t>
            </w:r>
          </w:p>
        </w:tc>
        <w:tc>
          <w:tcPr>
            <w:tcW w:w="200" w:type="dxa"/>
            <w:vAlign w:val="bottom"/>
            <w:shd w:val="clear" w:color="auto" w:fill="CFF0FC"/>
          </w:tcPr>
          <w:p>
            <w:pPr>
              <w:spacing w:after="0"/>
              <w:rPr>
                <w:sz w:val="8"/>
                <w:szCs w:val="8"/>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8"/>
                <w:szCs w:val="8"/>
                <w:color w:val="auto"/>
              </w:rPr>
              <w:t>(17)</w:t>
            </w:r>
          </w:p>
        </w:tc>
        <w:tc>
          <w:tcPr>
            <w:tcW w:w="400" w:type="dxa"/>
            <w:vAlign w:val="bottom"/>
            <w:shd w:val="clear" w:color="auto" w:fill="CFF0FC"/>
          </w:tcPr>
          <w:p>
            <w:pPr>
              <w:spacing w:after="0"/>
              <w:rPr>
                <w:sz w:val="8"/>
                <w:szCs w:val="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r>
      <w:tr>
        <w:trPr>
          <w:trHeight w:val="99"/>
        </w:trPr>
        <w:tc>
          <w:tcPr>
            <w:tcW w:w="4400" w:type="dxa"/>
            <w:vAlign w:val="bottom"/>
          </w:tcPr>
          <w:p>
            <w:pPr>
              <w:ind w:left="160"/>
              <w:spacing w:after="0"/>
              <w:rPr>
                <w:sz w:val="20"/>
                <w:szCs w:val="20"/>
                <w:color w:val="auto"/>
              </w:rPr>
            </w:pPr>
            <w:r>
              <w:rPr>
                <w:rFonts w:ascii="Arial" w:cs="Arial" w:eastAsia="Arial" w:hAnsi="Arial"/>
                <w:sz w:val="8"/>
                <w:szCs w:val="8"/>
                <w:color w:val="auto"/>
              </w:rPr>
              <w:t>Other</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7</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24</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r>
      <w:tr>
        <w:trPr>
          <w:trHeight w:val="88"/>
        </w:trPr>
        <w:tc>
          <w:tcPr>
            <w:tcW w:w="4400" w:type="dxa"/>
            <w:vAlign w:val="bottom"/>
            <w:tcBorders>
              <w:top w:val="single" w:sz="8" w:color="CFF0FC"/>
            </w:tcBorders>
            <w:shd w:val="clear" w:color="auto" w:fill="CFF0FC"/>
          </w:tcPr>
          <w:p>
            <w:pPr>
              <w:ind w:left="640"/>
              <w:spacing w:after="0" w:line="88" w:lineRule="exact"/>
              <w:rPr>
                <w:sz w:val="20"/>
                <w:szCs w:val="20"/>
                <w:color w:val="auto"/>
              </w:rPr>
            </w:pPr>
            <w:r>
              <w:rPr>
                <w:rFonts w:ascii="Arial" w:cs="Arial" w:eastAsia="Arial" w:hAnsi="Arial"/>
                <w:sz w:val="8"/>
                <w:szCs w:val="8"/>
                <w:color w:val="auto"/>
              </w:rPr>
              <w:t>Net cash provided by financing activities</w:t>
            </w:r>
          </w:p>
        </w:tc>
        <w:tc>
          <w:tcPr>
            <w:tcW w:w="1240" w:type="dxa"/>
            <w:vAlign w:val="bottom"/>
            <w:tcBorders>
              <w:top w:val="single" w:sz="8" w:color="CFF0FC"/>
            </w:tcBorders>
            <w:shd w:val="clear" w:color="auto" w:fill="CFF0FC"/>
          </w:tcPr>
          <w:p>
            <w:pPr>
              <w:spacing w:after="0"/>
              <w:rPr>
                <w:sz w:val="7"/>
                <w:szCs w:val="7"/>
                <w:color w:val="auto"/>
              </w:rPr>
            </w:pPr>
          </w:p>
        </w:tc>
        <w:tc>
          <w:tcPr>
            <w:tcW w:w="1180" w:type="dxa"/>
            <w:vAlign w:val="bottom"/>
            <w:tcBorders>
              <w:top w:val="single" w:sz="8" w:color="auto"/>
              <w:bottom w:val="single" w:sz="8" w:color="auto"/>
            </w:tcBorders>
            <w:shd w:val="clear" w:color="auto" w:fill="CFF0FC"/>
          </w:tcPr>
          <w:p>
            <w:pPr>
              <w:spacing w:after="0"/>
              <w:rPr>
                <w:sz w:val="7"/>
                <w:szCs w:val="7"/>
                <w:color w:val="auto"/>
              </w:rPr>
            </w:pPr>
          </w:p>
        </w:tc>
        <w:tc>
          <w:tcPr>
            <w:tcW w:w="520" w:type="dxa"/>
            <w:vAlign w:val="bottom"/>
            <w:tcBorders>
              <w:top w:val="single" w:sz="8" w:color="auto"/>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61,294</w:t>
            </w:r>
          </w:p>
        </w:tc>
        <w:tc>
          <w:tcPr>
            <w:tcW w:w="320" w:type="dxa"/>
            <w:vAlign w:val="bottom"/>
            <w:tcBorders>
              <w:top w:val="single" w:sz="8" w:color="CFF0FC"/>
            </w:tcBorders>
            <w:shd w:val="clear" w:color="auto" w:fill="CFF0FC"/>
          </w:tcPr>
          <w:p>
            <w:pPr>
              <w:spacing w:after="0"/>
              <w:rPr>
                <w:sz w:val="7"/>
                <w:szCs w:val="7"/>
                <w:color w:val="auto"/>
              </w:rPr>
            </w:pPr>
          </w:p>
        </w:tc>
        <w:tc>
          <w:tcPr>
            <w:tcW w:w="200" w:type="dxa"/>
            <w:vAlign w:val="bottom"/>
            <w:tcBorders>
              <w:top w:val="single" w:sz="8" w:color="auto"/>
              <w:bottom w:val="single" w:sz="8" w:color="auto"/>
            </w:tcBorders>
            <w:shd w:val="clear" w:color="auto" w:fill="CFF0FC"/>
          </w:tcPr>
          <w:p>
            <w:pPr>
              <w:spacing w:after="0"/>
              <w:rPr>
                <w:sz w:val="7"/>
                <w:szCs w:val="7"/>
                <w:color w:val="auto"/>
              </w:rPr>
            </w:pPr>
          </w:p>
        </w:tc>
        <w:tc>
          <w:tcPr>
            <w:tcW w:w="1500" w:type="dxa"/>
            <w:vAlign w:val="bottom"/>
            <w:tcBorders>
              <w:top w:val="single" w:sz="8" w:color="auto"/>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73,563</w:t>
            </w:r>
          </w:p>
        </w:tc>
        <w:tc>
          <w:tcPr>
            <w:tcW w:w="3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auto"/>
              <w:bottom w:val="single" w:sz="8" w:color="auto"/>
            </w:tcBorders>
            <w:shd w:val="clear" w:color="auto" w:fill="CFF0FC"/>
          </w:tcPr>
          <w:p>
            <w:pPr>
              <w:spacing w:after="0"/>
              <w:rPr>
                <w:sz w:val="7"/>
                <w:szCs w:val="7"/>
                <w:color w:val="auto"/>
              </w:rPr>
            </w:pPr>
          </w:p>
        </w:tc>
        <w:tc>
          <w:tcPr>
            <w:tcW w:w="1300" w:type="dxa"/>
            <w:vAlign w:val="bottom"/>
            <w:tcBorders>
              <w:top w:val="single" w:sz="8" w:color="auto"/>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43,038</w:t>
            </w:r>
          </w:p>
        </w:tc>
        <w:tc>
          <w:tcPr>
            <w:tcW w:w="120" w:type="dxa"/>
            <w:vAlign w:val="bottom"/>
            <w:tcBorders>
              <w:top w:val="single" w:sz="8" w:color="CFF0FC"/>
            </w:tcBorders>
            <w:shd w:val="clear" w:color="auto" w:fill="CFF0FC"/>
          </w:tcPr>
          <w:p>
            <w:pPr>
              <w:spacing w:after="0"/>
              <w:rPr>
                <w:sz w:val="7"/>
                <w:szCs w:val="7"/>
                <w:color w:val="auto"/>
              </w:rPr>
            </w:pPr>
          </w:p>
        </w:tc>
      </w:tr>
      <w:tr>
        <w:trPr>
          <w:trHeight w:val="77"/>
        </w:trPr>
        <w:tc>
          <w:tcPr>
            <w:tcW w:w="4400" w:type="dxa"/>
            <w:vAlign w:val="bottom"/>
          </w:tcPr>
          <w:p>
            <w:pPr>
              <w:spacing w:after="0" w:line="78" w:lineRule="exact"/>
              <w:rPr>
                <w:sz w:val="20"/>
                <w:szCs w:val="20"/>
                <w:color w:val="auto"/>
              </w:rPr>
            </w:pPr>
            <w:r>
              <w:rPr>
                <w:rFonts w:ascii="Arial" w:cs="Arial" w:eastAsia="Arial" w:hAnsi="Arial"/>
                <w:sz w:val="8"/>
                <w:szCs w:val="8"/>
                <w:b w:val="1"/>
                <w:bCs w:val="1"/>
                <w:color w:val="auto"/>
              </w:rPr>
              <w:t>NET INCREASE (DECREASE) IN CASH AND CASH EQUIVALENTS AND</w:t>
            </w: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01"/>
        </w:trPr>
        <w:tc>
          <w:tcPr>
            <w:tcW w:w="4400" w:type="dxa"/>
            <w:vAlign w:val="bottom"/>
          </w:tcPr>
          <w:p>
            <w:pPr>
              <w:ind w:left="60"/>
              <w:spacing w:after="0"/>
              <w:rPr>
                <w:sz w:val="20"/>
                <w:szCs w:val="20"/>
                <w:color w:val="auto"/>
              </w:rPr>
            </w:pPr>
            <w:r>
              <w:rPr>
                <w:rFonts w:ascii="Arial" w:cs="Arial" w:eastAsia="Arial" w:hAnsi="Arial"/>
                <w:sz w:val="8"/>
                <w:szCs w:val="8"/>
                <w:b w:val="1"/>
                <w:bCs w:val="1"/>
                <w:color w:val="auto"/>
              </w:rPr>
              <w:t>RESTRICTED CASH</w:t>
            </w: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23,329</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color w:val="auto"/>
              </w:rPr>
              <w:t>25,460</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8"/>
                <w:szCs w:val="8"/>
                <w:color w:val="auto"/>
              </w:rPr>
              <w:t>(36,179)</w:t>
            </w:r>
          </w:p>
        </w:tc>
      </w:tr>
      <w:tr>
        <w:trPr>
          <w:trHeight w:val="77"/>
        </w:trPr>
        <w:tc>
          <w:tcPr>
            <w:tcW w:w="4400" w:type="dxa"/>
            <w:vAlign w:val="bottom"/>
            <w:tcBorders>
              <w:top w:val="single" w:sz="8" w:color="CFF0FC"/>
            </w:tcBorders>
            <w:shd w:val="clear" w:color="auto" w:fill="CFF0FC"/>
          </w:tcPr>
          <w:p>
            <w:pPr>
              <w:spacing w:after="0" w:line="78" w:lineRule="exact"/>
              <w:rPr>
                <w:sz w:val="20"/>
                <w:szCs w:val="20"/>
                <w:color w:val="auto"/>
              </w:rPr>
            </w:pPr>
            <w:r>
              <w:rPr>
                <w:rFonts w:ascii="Arial" w:cs="Arial" w:eastAsia="Arial" w:hAnsi="Arial"/>
                <w:sz w:val="8"/>
                <w:szCs w:val="8"/>
                <w:b w:val="1"/>
                <w:bCs w:val="1"/>
                <w:color w:val="auto"/>
              </w:rPr>
              <w:t>CASH AND CASH EQUIVALENTS AND RESTRICTED CASH, BEGINNING OF</w:t>
            </w:r>
          </w:p>
        </w:tc>
        <w:tc>
          <w:tcPr>
            <w:tcW w:w="1240" w:type="dxa"/>
            <w:vAlign w:val="bottom"/>
            <w:tcBorders>
              <w:top w:val="single" w:sz="8" w:color="CFF0FC"/>
            </w:tcBorders>
            <w:shd w:val="clear" w:color="auto" w:fill="CFF0FC"/>
          </w:tcPr>
          <w:p>
            <w:pPr>
              <w:spacing w:after="0"/>
              <w:rPr>
                <w:sz w:val="6"/>
                <w:szCs w:val="6"/>
                <w:color w:val="auto"/>
              </w:rPr>
            </w:pPr>
          </w:p>
        </w:tc>
        <w:tc>
          <w:tcPr>
            <w:tcW w:w="1180" w:type="dxa"/>
            <w:vAlign w:val="bottom"/>
            <w:tcBorders>
              <w:top w:val="single" w:sz="8" w:color="auto"/>
            </w:tcBorders>
            <w:shd w:val="clear" w:color="auto" w:fill="CFF0FC"/>
          </w:tcPr>
          <w:p>
            <w:pPr>
              <w:spacing w:after="0"/>
              <w:rPr>
                <w:sz w:val="6"/>
                <w:szCs w:val="6"/>
                <w:color w:val="auto"/>
              </w:rPr>
            </w:pPr>
          </w:p>
        </w:tc>
        <w:tc>
          <w:tcPr>
            <w:tcW w:w="520" w:type="dxa"/>
            <w:vAlign w:val="bottom"/>
            <w:tcBorders>
              <w:top w:val="single" w:sz="8" w:color="auto"/>
            </w:tcBorders>
            <w:shd w:val="clear" w:color="auto" w:fill="CFF0FC"/>
          </w:tcPr>
          <w:p>
            <w:pPr>
              <w:spacing w:after="0"/>
              <w:rPr>
                <w:sz w:val="6"/>
                <w:szCs w:val="6"/>
                <w:color w:val="auto"/>
              </w:rPr>
            </w:pPr>
          </w:p>
        </w:tc>
        <w:tc>
          <w:tcPr>
            <w:tcW w:w="320" w:type="dxa"/>
            <w:vAlign w:val="bottom"/>
            <w:tcBorders>
              <w:top w:val="single" w:sz="8" w:color="CFF0FC"/>
            </w:tcBorders>
            <w:shd w:val="clear" w:color="auto" w:fill="CFF0FC"/>
          </w:tcPr>
          <w:p>
            <w:pPr>
              <w:spacing w:after="0"/>
              <w:rPr>
                <w:sz w:val="6"/>
                <w:szCs w:val="6"/>
                <w:color w:val="auto"/>
              </w:rPr>
            </w:pPr>
          </w:p>
        </w:tc>
        <w:tc>
          <w:tcPr>
            <w:tcW w:w="200" w:type="dxa"/>
            <w:vAlign w:val="bottom"/>
            <w:tcBorders>
              <w:top w:val="single" w:sz="8" w:color="auto"/>
            </w:tcBorders>
            <w:shd w:val="clear" w:color="auto" w:fill="CFF0FC"/>
          </w:tcPr>
          <w:p>
            <w:pPr>
              <w:spacing w:after="0"/>
              <w:rPr>
                <w:sz w:val="6"/>
                <w:szCs w:val="6"/>
                <w:color w:val="auto"/>
              </w:rPr>
            </w:pPr>
          </w:p>
        </w:tc>
        <w:tc>
          <w:tcPr>
            <w:tcW w:w="1500" w:type="dxa"/>
            <w:vAlign w:val="bottom"/>
            <w:tcBorders>
              <w:top w:val="single" w:sz="8" w:color="auto"/>
            </w:tcBorders>
            <w:shd w:val="clear" w:color="auto" w:fill="CFF0FC"/>
          </w:tcPr>
          <w:p>
            <w:pPr>
              <w:spacing w:after="0"/>
              <w:rPr>
                <w:sz w:val="6"/>
                <w:szCs w:val="6"/>
                <w:color w:val="auto"/>
              </w:rPr>
            </w:pPr>
          </w:p>
        </w:tc>
        <w:tc>
          <w:tcPr>
            <w:tcW w:w="300" w:type="dxa"/>
            <w:vAlign w:val="bottom"/>
            <w:tcBorders>
              <w:top w:val="single" w:sz="8" w:color="CFF0FC"/>
            </w:tcBorders>
            <w:shd w:val="clear" w:color="auto" w:fill="CFF0FC"/>
          </w:tcPr>
          <w:p>
            <w:pPr>
              <w:spacing w:after="0"/>
              <w:rPr>
                <w:sz w:val="6"/>
                <w:szCs w:val="6"/>
                <w:color w:val="auto"/>
              </w:rPr>
            </w:pPr>
          </w:p>
        </w:tc>
        <w:tc>
          <w:tcPr>
            <w:tcW w:w="400" w:type="dxa"/>
            <w:vAlign w:val="bottom"/>
            <w:tcBorders>
              <w:top w:val="single" w:sz="8" w:color="auto"/>
            </w:tcBorders>
            <w:shd w:val="clear" w:color="auto" w:fill="CFF0FC"/>
          </w:tcPr>
          <w:p>
            <w:pPr>
              <w:spacing w:after="0"/>
              <w:rPr>
                <w:sz w:val="6"/>
                <w:szCs w:val="6"/>
                <w:color w:val="auto"/>
              </w:rPr>
            </w:pPr>
          </w:p>
        </w:tc>
        <w:tc>
          <w:tcPr>
            <w:tcW w:w="1300" w:type="dxa"/>
            <w:vAlign w:val="bottom"/>
            <w:tcBorders>
              <w:top w:val="single" w:sz="8" w:color="auto"/>
            </w:tcBorders>
            <w:shd w:val="clear" w:color="auto" w:fill="CFF0FC"/>
          </w:tcPr>
          <w:p>
            <w:pPr>
              <w:spacing w:after="0"/>
              <w:rPr>
                <w:sz w:val="6"/>
                <w:szCs w:val="6"/>
                <w:color w:val="auto"/>
              </w:rPr>
            </w:pPr>
          </w:p>
        </w:tc>
        <w:tc>
          <w:tcPr>
            <w:tcW w:w="120" w:type="dxa"/>
            <w:vAlign w:val="bottom"/>
            <w:tcBorders>
              <w:top w:val="single" w:sz="8" w:color="CFF0FC"/>
            </w:tcBorders>
            <w:shd w:val="clear" w:color="auto" w:fill="CFF0FC"/>
          </w:tcPr>
          <w:p>
            <w:pPr>
              <w:spacing w:after="0"/>
              <w:rPr>
                <w:sz w:val="6"/>
                <w:szCs w:val="6"/>
                <w:color w:val="auto"/>
              </w:rPr>
            </w:pPr>
          </w:p>
        </w:tc>
      </w:tr>
      <w:tr>
        <w:trPr>
          <w:trHeight w:val="101"/>
        </w:trPr>
        <w:tc>
          <w:tcPr>
            <w:tcW w:w="4400" w:type="dxa"/>
            <w:vAlign w:val="bottom"/>
            <w:shd w:val="clear" w:color="auto" w:fill="CFF0FC"/>
          </w:tcPr>
          <w:p>
            <w:pPr>
              <w:ind w:left="60"/>
              <w:spacing w:after="0"/>
              <w:rPr>
                <w:sz w:val="20"/>
                <w:szCs w:val="20"/>
                <w:color w:val="auto"/>
              </w:rPr>
            </w:pPr>
            <w:r>
              <w:rPr>
                <w:rFonts w:ascii="Arial" w:cs="Arial" w:eastAsia="Arial" w:hAnsi="Arial"/>
                <w:sz w:val="8"/>
                <w:szCs w:val="8"/>
                <w:b w:val="1"/>
                <w:bCs w:val="1"/>
                <w:color w:val="auto"/>
              </w:rPr>
              <w:t>PERIOD</w:t>
            </w:r>
          </w:p>
        </w:tc>
        <w:tc>
          <w:tcPr>
            <w:tcW w:w="1240" w:type="dxa"/>
            <w:vAlign w:val="bottom"/>
            <w:shd w:val="clear" w:color="auto" w:fill="CFF0FC"/>
          </w:tcPr>
          <w:p>
            <w:pPr>
              <w:spacing w:after="0"/>
              <w:rPr>
                <w:sz w:val="8"/>
                <w:szCs w:val="8"/>
                <w:color w:val="auto"/>
              </w:rPr>
            </w:pPr>
          </w:p>
        </w:tc>
        <w:tc>
          <w:tcPr>
            <w:tcW w:w="118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48,355</w:t>
            </w:r>
          </w:p>
        </w:tc>
        <w:tc>
          <w:tcPr>
            <w:tcW w:w="320" w:type="dxa"/>
            <w:vAlign w:val="bottom"/>
            <w:shd w:val="clear" w:color="auto" w:fill="CFF0FC"/>
          </w:tcPr>
          <w:p>
            <w:pPr>
              <w:spacing w:after="0"/>
              <w:rPr>
                <w:sz w:val="8"/>
                <w:szCs w:val="8"/>
                <w:color w:val="auto"/>
              </w:rPr>
            </w:pPr>
          </w:p>
        </w:tc>
        <w:tc>
          <w:tcPr>
            <w:tcW w:w="200" w:type="dxa"/>
            <w:vAlign w:val="bottom"/>
            <w:tcBorders>
              <w:bottom w:val="single" w:sz="8" w:color="auto"/>
            </w:tcBorders>
            <w:shd w:val="clear" w:color="auto" w:fill="CFF0FC"/>
          </w:tcPr>
          <w:p>
            <w:pPr>
              <w:spacing w:after="0"/>
              <w:rPr>
                <w:sz w:val="8"/>
                <w:szCs w:val="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22,895</w:t>
            </w:r>
          </w:p>
        </w:tc>
        <w:tc>
          <w:tcPr>
            <w:tcW w:w="300" w:type="dxa"/>
            <w:vAlign w:val="bottom"/>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59,074</w:t>
            </w:r>
          </w:p>
        </w:tc>
        <w:tc>
          <w:tcPr>
            <w:tcW w:w="120" w:type="dxa"/>
            <w:vAlign w:val="bottom"/>
            <w:shd w:val="clear" w:color="auto" w:fill="CFF0FC"/>
          </w:tcPr>
          <w:p>
            <w:pPr>
              <w:spacing w:after="0"/>
              <w:rPr>
                <w:sz w:val="8"/>
                <w:szCs w:val="8"/>
                <w:color w:val="auto"/>
              </w:rPr>
            </w:pPr>
          </w:p>
        </w:tc>
      </w:tr>
      <w:tr>
        <w:trPr>
          <w:trHeight w:val="95"/>
        </w:trPr>
        <w:tc>
          <w:tcPr>
            <w:tcW w:w="4400" w:type="dxa"/>
            <w:vAlign w:val="bottom"/>
          </w:tcPr>
          <w:p>
            <w:pPr>
              <w:spacing w:after="0" w:line="88" w:lineRule="exact"/>
              <w:rPr>
                <w:sz w:val="20"/>
                <w:szCs w:val="20"/>
                <w:color w:val="auto"/>
              </w:rPr>
            </w:pPr>
            <w:r>
              <w:rPr>
                <w:rFonts w:ascii="Arial" w:cs="Arial" w:eastAsia="Arial" w:hAnsi="Arial"/>
                <w:sz w:val="8"/>
                <w:szCs w:val="8"/>
                <w:b w:val="1"/>
                <w:bCs w:val="1"/>
                <w:color w:val="auto"/>
              </w:rPr>
              <w:t>CASH AND CASH EQUIVALENTS AND RESTRICTED CASH, END OF PERIOD</w:t>
            </w:r>
          </w:p>
        </w:tc>
        <w:tc>
          <w:tcPr>
            <w:tcW w:w="2420" w:type="dxa"/>
            <w:vAlign w:val="bottom"/>
            <w:gridSpan w:val="2"/>
          </w:tcPr>
          <w:p>
            <w:pPr>
              <w:jc w:val="right"/>
              <w:ind w:right="1078"/>
              <w:spacing w:after="0" w:line="88" w:lineRule="exact"/>
              <w:rPr>
                <w:sz w:val="20"/>
                <w:szCs w:val="20"/>
                <w:color w:val="auto"/>
              </w:rPr>
            </w:pPr>
            <w:r>
              <w:rPr>
                <w:rFonts w:ascii="Arial" w:cs="Arial" w:eastAsia="Arial" w:hAnsi="Arial"/>
                <w:sz w:val="8"/>
                <w:szCs w:val="8"/>
                <w:color w:val="auto"/>
              </w:rPr>
              <w:t>$</w:t>
            </w:r>
          </w:p>
        </w:tc>
        <w:tc>
          <w:tcPr>
            <w:tcW w:w="520" w:type="dxa"/>
            <w:vAlign w:val="bottom"/>
          </w:tcPr>
          <w:p>
            <w:pPr>
              <w:jc w:val="right"/>
              <w:spacing w:after="0" w:line="88" w:lineRule="exact"/>
              <w:rPr>
                <w:sz w:val="20"/>
                <w:szCs w:val="20"/>
                <w:color w:val="auto"/>
              </w:rPr>
            </w:pPr>
            <w:r>
              <w:rPr>
                <w:rFonts w:ascii="Arial" w:cs="Arial" w:eastAsia="Arial" w:hAnsi="Arial"/>
                <w:sz w:val="8"/>
                <w:szCs w:val="8"/>
                <w:color w:val="auto"/>
              </w:rPr>
              <w:t>71,684</w:t>
            </w:r>
          </w:p>
        </w:tc>
        <w:tc>
          <w:tcPr>
            <w:tcW w:w="320" w:type="dxa"/>
            <w:vAlign w:val="bottom"/>
          </w:tcPr>
          <w:p>
            <w:pPr>
              <w:spacing w:after="0"/>
              <w:rPr>
                <w:sz w:val="8"/>
                <w:szCs w:val="8"/>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tcPr>
          <w:p>
            <w:pPr>
              <w:jc w:val="right"/>
              <w:spacing w:after="0" w:line="88" w:lineRule="exact"/>
              <w:rPr>
                <w:sz w:val="20"/>
                <w:szCs w:val="20"/>
                <w:color w:val="auto"/>
              </w:rPr>
            </w:pPr>
            <w:r>
              <w:rPr>
                <w:rFonts w:ascii="Arial" w:cs="Arial" w:eastAsia="Arial" w:hAnsi="Arial"/>
                <w:sz w:val="8"/>
                <w:szCs w:val="8"/>
                <w:color w:val="auto"/>
              </w:rPr>
              <w:t>48,355</w:t>
            </w:r>
          </w:p>
        </w:tc>
        <w:tc>
          <w:tcPr>
            <w:tcW w:w="300" w:type="dxa"/>
            <w:vAlign w:val="bottom"/>
          </w:tcPr>
          <w:p>
            <w:pPr>
              <w:spacing w:after="0"/>
              <w:rPr>
                <w:sz w:val="8"/>
                <w:szCs w:val="8"/>
                <w:color w:val="auto"/>
              </w:rPr>
            </w:pPr>
          </w:p>
        </w:tc>
        <w:tc>
          <w:tcPr>
            <w:tcW w:w="400" w:type="dxa"/>
            <w:vAlign w:val="bottom"/>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Pr>
          <w:p>
            <w:pPr>
              <w:jc w:val="right"/>
              <w:spacing w:after="0" w:line="88" w:lineRule="exact"/>
              <w:rPr>
                <w:sz w:val="20"/>
                <w:szCs w:val="20"/>
                <w:color w:val="auto"/>
              </w:rPr>
            </w:pPr>
            <w:r>
              <w:rPr>
                <w:rFonts w:ascii="Arial" w:cs="Arial" w:eastAsia="Arial" w:hAnsi="Arial"/>
                <w:sz w:val="8"/>
                <w:szCs w:val="8"/>
                <w:color w:val="auto"/>
              </w:rPr>
              <w:t>22,895</w:t>
            </w:r>
          </w:p>
        </w:tc>
        <w:tc>
          <w:tcPr>
            <w:tcW w:w="120" w:type="dxa"/>
            <w:vAlign w:val="bottom"/>
          </w:tcPr>
          <w:p>
            <w:pPr>
              <w:spacing w:after="0"/>
              <w:rPr>
                <w:sz w:val="8"/>
                <w:szCs w:val="8"/>
                <w:color w:val="auto"/>
              </w:rPr>
            </w:pPr>
          </w:p>
        </w:tc>
      </w:tr>
      <w:tr>
        <w:trPr>
          <w:trHeight w:val="99"/>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8"/>
                <w:szCs w:val="8"/>
                <w:b w:val="1"/>
                <w:bCs w:val="1"/>
                <w:color w:val="auto"/>
              </w:rPr>
              <w:t>SUPPLEMENTAL CASH FLOWS DISCLOSURES:</w:t>
            </w:r>
          </w:p>
        </w:tc>
        <w:tc>
          <w:tcPr>
            <w:tcW w:w="1240" w:type="dxa"/>
            <w:vAlign w:val="bottom"/>
            <w:tcBorders>
              <w:top w:val="single" w:sz="8" w:color="CFF0FC"/>
            </w:tcBorders>
            <w:shd w:val="clear" w:color="auto" w:fill="CFF0FC"/>
          </w:tcPr>
          <w:p>
            <w:pPr>
              <w:spacing w:after="0"/>
              <w:rPr>
                <w:sz w:val="8"/>
                <w:szCs w:val="8"/>
                <w:color w:val="auto"/>
              </w:rPr>
            </w:pPr>
          </w:p>
        </w:tc>
        <w:tc>
          <w:tcPr>
            <w:tcW w:w="118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150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13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r>
      <w:tr>
        <w:trPr>
          <w:trHeight w:val="106"/>
        </w:trPr>
        <w:tc>
          <w:tcPr>
            <w:tcW w:w="4400" w:type="dxa"/>
            <w:vAlign w:val="bottom"/>
            <w:tcBorders>
              <w:bottom w:val="single" w:sz="8" w:color="CFF0FC"/>
            </w:tcBorders>
          </w:tcPr>
          <w:p>
            <w:pPr>
              <w:ind w:left="160"/>
              <w:spacing w:after="0"/>
              <w:rPr>
                <w:sz w:val="20"/>
                <w:szCs w:val="20"/>
                <w:color w:val="auto"/>
              </w:rPr>
            </w:pPr>
            <w:r>
              <w:rPr>
                <w:rFonts w:ascii="Arial" w:cs="Arial" w:eastAsia="Arial" w:hAnsi="Arial"/>
                <w:sz w:val="8"/>
                <w:szCs w:val="8"/>
                <w:color w:val="auto"/>
              </w:rPr>
              <w:t>Income taxes paid in cash</w:t>
            </w:r>
          </w:p>
        </w:tc>
        <w:tc>
          <w:tcPr>
            <w:tcW w:w="1240" w:type="dxa"/>
            <w:vAlign w:val="bottom"/>
            <w:tcBorders>
              <w:bottom w:val="single" w:sz="8" w:color="CFF0FC"/>
            </w:tcBorders>
          </w:tcPr>
          <w:p>
            <w:pPr>
              <w:spacing w:after="0"/>
              <w:rPr>
                <w:sz w:val="9"/>
                <w:szCs w:val="9"/>
                <w:color w:val="auto"/>
              </w:rPr>
            </w:pPr>
          </w:p>
        </w:tc>
        <w:tc>
          <w:tcPr>
            <w:tcW w:w="1180" w:type="dxa"/>
            <w:vAlign w:val="bottom"/>
            <w:tcBorders>
              <w:bottom w:val="single" w:sz="8" w:color="auto"/>
            </w:tcBorders>
          </w:tcPr>
          <w:p>
            <w:pPr>
              <w:jc w:val="right"/>
              <w:ind w:right="1078"/>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240</w:t>
            </w:r>
          </w:p>
        </w:tc>
        <w:tc>
          <w:tcPr>
            <w:tcW w:w="3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51</w:t>
            </w:r>
          </w:p>
        </w:tc>
        <w:tc>
          <w:tcPr>
            <w:tcW w:w="300" w:type="dxa"/>
            <w:vAlign w:val="bottom"/>
            <w:tcBorders>
              <w:bottom w:val="single" w:sz="8" w:color="CFF0FC"/>
            </w:tcBorders>
          </w:tcPr>
          <w:p>
            <w:pPr>
              <w:spacing w:after="0"/>
              <w:rPr>
                <w:sz w:val="9"/>
                <w:szCs w:val="9"/>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FF0FC"/>
            </w:tcBorders>
          </w:tcPr>
          <w:p>
            <w:pPr>
              <w:spacing w:after="0"/>
              <w:rPr>
                <w:sz w:val="9"/>
                <w:szCs w:val="9"/>
                <w:color w:val="auto"/>
              </w:rPr>
            </w:pPr>
          </w:p>
        </w:tc>
      </w:tr>
      <w:tr>
        <w:trPr>
          <w:trHeight w:val="119"/>
        </w:trPr>
        <w:tc>
          <w:tcPr>
            <w:tcW w:w="4400" w:type="dxa"/>
            <w:vAlign w:val="bottom"/>
            <w:shd w:val="clear" w:color="auto" w:fill="CFF0FC"/>
          </w:tcPr>
          <w:p>
            <w:pPr>
              <w:ind w:left="160"/>
              <w:spacing w:after="0"/>
              <w:rPr>
                <w:sz w:val="20"/>
                <w:szCs w:val="20"/>
                <w:color w:val="auto"/>
              </w:rPr>
            </w:pPr>
            <w:r>
              <w:rPr>
                <w:rFonts w:ascii="Arial" w:cs="Arial" w:eastAsia="Arial" w:hAnsi="Arial"/>
                <w:sz w:val="8"/>
                <w:szCs w:val="8"/>
                <w:color w:val="auto"/>
              </w:rPr>
              <w:t>Interest paid in cash, net of amounts capitalized</w:t>
            </w:r>
          </w:p>
        </w:tc>
        <w:tc>
          <w:tcPr>
            <w:tcW w:w="2420" w:type="dxa"/>
            <w:vAlign w:val="bottom"/>
            <w:gridSpan w:val="2"/>
            <w:shd w:val="clear" w:color="auto" w:fill="CFF0FC"/>
          </w:tcPr>
          <w:p>
            <w:pPr>
              <w:jc w:val="right"/>
              <w:ind w:right="1078"/>
              <w:spacing w:after="0"/>
              <w:rPr>
                <w:sz w:val="20"/>
                <w:szCs w:val="20"/>
                <w:color w:val="auto"/>
              </w:rPr>
            </w:pPr>
            <w:r>
              <w:rPr>
                <w:rFonts w:ascii="Arial" w:cs="Arial" w:eastAsia="Arial" w:hAnsi="Arial"/>
                <w:sz w:val="8"/>
                <w:szCs w:val="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3,759</w:t>
            </w: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8"/>
                <w:szCs w:val="8"/>
                <w:color w:val="auto"/>
              </w:rPr>
              <w:t>7,728</w:t>
            </w:r>
          </w:p>
        </w:tc>
        <w:tc>
          <w:tcPr>
            <w:tcW w:w="30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8"/>
                <w:szCs w:val="8"/>
                <w:color w:val="auto"/>
              </w:rPr>
              <w:t>8,991</w:t>
            </w:r>
          </w:p>
        </w:tc>
        <w:tc>
          <w:tcPr>
            <w:tcW w:w="120" w:type="dxa"/>
            <w:vAlign w:val="bottom"/>
            <w:shd w:val="clear" w:color="auto" w:fill="CFF0FC"/>
          </w:tcPr>
          <w:p>
            <w:pPr>
              <w:spacing w:after="0"/>
              <w:rPr>
                <w:sz w:val="10"/>
                <w:szCs w:val="10"/>
                <w:color w:val="auto"/>
              </w:rPr>
            </w:pPr>
          </w:p>
        </w:tc>
      </w:tr>
      <w:tr>
        <w:trPr>
          <w:trHeight w:val="86"/>
        </w:trPr>
        <w:tc>
          <w:tcPr>
            <w:tcW w:w="4400" w:type="dxa"/>
            <w:vAlign w:val="bottom"/>
            <w:tcBorders>
              <w:top w:val="single" w:sz="8" w:color="CFF0FC"/>
            </w:tcBorders>
          </w:tcPr>
          <w:p>
            <w:pPr>
              <w:spacing w:after="0" w:line="86" w:lineRule="exact"/>
              <w:rPr>
                <w:sz w:val="20"/>
                <w:szCs w:val="20"/>
                <w:color w:val="auto"/>
              </w:rPr>
            </w:pPr>
            <w:r>
              <w:rPr>
                <w:rFonts w:ascii="Arial" w:cs="Arial" w:eastAsia="Arial" w:hAnsi="Arial"/>
                <w:sz w:val="8"/>
                <w:szCs w:val="8"/>
                <w:b w:val="1"/>
                <w:bCs w:val="1"/>
                <w:color w:val="auto"/>
              </w:rPr>
              <w:t>NON-CASH INVESTING AND FINANCING ACTIVITIES:</w:t>
            </w:r>
          </w:p>
        </w:tc>
        <w:tc>
          <w:tcPr>
            <w:tcW w:w="1240" w:type="dxa"/>
            <w:vAlign w:val="bottom"/>
            <w:tcBorders>
              <w:top w:val="single" w:sz="8" w:color="CFF0FC"/>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30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119"/>
        </w:trPr>
        <w:tc>
          <w:tcPr>
            <w:tcW w:w="44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8"/>
                <w:szCs w:val="8"/>
                <w:color w:val="auto"/>
              </w:rPr>
              <w:t>Payment of note obligations and interest through issuance of common stock</w:t>
            </w:r>
          </w:p>
        </w:tc>
        <w:tc>
          <w:tcPr>
            <w:tcW w:w="124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1078"/>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42,912</w:t>
            </w:r>
          </w:p>
        </w:tc>
        <w:tc>
          <w:tcPr>
            <w:tcW w:w="3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20,593</w:t>
            </w:r>
          </w:p>
        </w:tc>
        <w:tc>
          <w:tcPr>
            <w:tcW w:w="3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FF0FC"/>
            </w:tcBorders>
            <w:shd w:val="clear" w:color="auto" w:fill="CFF0FC"/>
          </w:tcPr>
          <w:p>
            <w:pPr>
              <w:spacing w:after="0"/>
              <w:rPr>
                <w:sz w:val="10"/>
                <w:szCs w:val="10"/>
                <w:color w:val="auto"/>
              </w:rPr>
            </w:pPr>
          </w:p>
        </w:tc>
      </w:tr>
      <w:tr>
        <w:trPr>
          <w:trHeight w:val="93"/>
        </w:trPr>
        <w:tc>
          <w:tcPr>
            <w:tcW w:w="4400" w:type="dxa"/>
            <w:vAlign w:val="bottom"/>
            <w:tcBorders>
              <w:bottom w:val="single" w:sz="8" w:color="CFF0FC"/>
            </w:tcBorders>
          </w:tcPr>
          <w:p>
            <w:pPr>
              <w:ind w:left="160"/>
              <w:spacing w:after="0" w:line="86" w:lineRule="exact"/>
              <w:rPr>
                <w:sz w:val="20"/>
                <w:szCs w:val="20"/>
                <w:color w:val="auto"/>
              </w:rPr>
            </w:pPr>
            <w:r>
              <w:rPr>
                <w:rFonts w:ascii="Arial" w:cs="Arial" w:eastAsia="Arial" w:hAnsi="Arial"/>
                <w:sz w:val="8"/>
                <w:szCs w:val="8"/>
                <w:color w:val="auto"/>
              </w:rPr>
              <w:t>Payment of note payable to related party through issuance of common stock</w:t>
            </w:r>
          </w:p>
        </w:tc>
        <w:tc>
          <w:tcPr>
            <w:tcW w:w="1240" w:type="dxa"/>
            <w:vAlign w:val="bottom"/>
            <w:tcBorders>
              <w:bottom w:val="single" w:sz="8" w:color="CFF0FC"/>
            </w:tcBorders>
          </w:tcPr>
          <w:p>
            <w:pPr>
              <w:spacing w:after="0"/>
              <w:rPr>
                <w:sz w:val="8"/>
                <w:szCs w:val="8"/>
                <w:color w:val="auto"/>
              </w:rPr>
            </w:pPr>
          </w:p>
        </w:tc>
        <w:tc>
          <w:tcPr>
            <w:tcW w:w="1180" w:type="dxa"/>
            <w:vAlign w:val="bottom"/>
            <w:tcBorders>
              <w:bottom w:val="single" w:sz="8" w:color="auto"/>
            </w:tcBorders>
          </w:tcPr>
          <w:p>
            <w:pPr>
              <w:jc w:val="right"/>
              <w:ind w:right="1078"/>
              <w:spacing w:after="0" w:line="86" w:lineRule="exact"/>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8,160</w:t>
            </w:r>
          </w:p>
        </w:tc>
        <w:tc>
          <w:tcPr>
            <w:tcW w:w="32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w:t>
            </w:r>
          </w:p>
        </w:tc>
        <w:tc>
          <w:tcPr>
            <w:tcW w:w="30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w:t>
            </w:r>
          </w:p>
        </w:tc>
        <w:tc>
          <w:tcPr>
            <w:tcW w:w="120" w:type="dxa"/>
            <w:vAlign w:val="bottom"/>
            <w:tcBorders>
              <w:bottom w:val="single" w:sz="8" w:color="CFF0FC"/>
            </w:tcBorders>
          </w:tcPr>
          <w:p>
            <w:pPr>
              <w:spacing w:after="0"/>
              <w:rPr>
                <w:sz w:val="8"/>
                <w:szCs w:val="8"/>
                <w:color w:val="auto"/>
              </w:rPr>
            </w:pPr>
          </w:p>
        </w:tc>
      </w:tr>
      <w:tr>
        <w:trPr>
          <w:trHeight w:val="119"/>
        </w:trPr>
        <w:tc>
          <w:tcPr>
            <w:tcW w:w="44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8"/>
                <w:szCs w:val="8"/>
                <w:color w:val="auto"/>
              </w:rPr>
              <w:t>Capitalization of interest on note payable to related party</w:t>
            </w:r>
          </w:p>
        </w:tc>
        <w:tc>
          <w:tcPr>
            <w:tcW w:w="124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1078"/>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3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10,716</w:t>
            </w:r>
          </w:p>
        </w:tc>
        <w:tc>
          <w:tcPr>
            <w:tcW w:w="3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FF0FC"/>
            </w:tcBorders>
            <w:shd w:val="clear" w:color="auto" w:fill="CFF0FC"/>
          </w:tcPr>
          <w:p>
            <w:pPr>
              <w:spacing w:after="0"/>
              <w:rPr>
                <w:sz w:val="10"/>
                <w:szCs w:val="10"/>
                <w:color w:val="auto"/>
              </w:rPr>
            </w:pPr>
          </w:p>
        </w:tc>
      </w:tr>
      <w:tr>
        <w:trPr>
          <w:trHeight w:val="93"/>
        </w:trPr>
        <w:tc>
          <w:tcPr>
            <w:tcW w:w="4400" w:type="dxa"/>
            <w:vAlign w:val="bottom"/>
          </w:tcPr>
          <w:p>
            <w:pPr>
              <w:ind w:left="160"/>
              <w:spacing w:after="0" w:line="86" w:lineRule="exact"/>
              <w:rPr>
                <w:sz w:val="20"/>
                <w:szCs w:val="20"/>
                <w:color w:val="auto"/>
              </w:rPr>
            </w:pPr>
            <w:r>
              <w:rPr>
                <w:rFonts w:ascii="Arial" w:cs="Arial" w:eastAsia="Arial" w:hAnsi="Arial"/>
                <w:sz w:val="8"/>
                <w:szCs w:val="8"/>
                <w:color w:val="auto"/>
              </w:rPr>
              <w:t>Non-cash construction in progress and property and equipment</w:t>
            </w:r>
          </w:p>
        </w:tc>
        <w:tc>
          <w:tcPr>
            <w:tcW w:w="2420" w:type="dxa"/>
            <w:vAlign w:val="bottom"/>
            <w:gridSpan w:val="2"/>
          </w:tcPr>
          <w:p>
            <w:pPr>
              <w:jc w:val="right"/>
              <w:ind w:right="1078"/>
              <w:spacing w:after="0" w:line="86" w:lineRule="exact"/>
              <w:rPr>
                <w:sz w:val="20"/>
                <w:szCs w:val="20"/>
                <w:color w:val="auto"/>
              </w:rPr>
            </w:pPr>
            <w:r>
              <w:rPr>
                <w:rFonts w:ascii="Arial" w:cs="Arial" w:eastAsia="Arial" w:hAnsi="Arial"/>
                <w:sz w:val="8"/>
                <w:szCs w:val="8"/>
                <w:color w:val="auto"/>
              </w:rPr>
              <w:t>$</w:t>
            </w:r>
          </w:p>
        </w:tc>
        <w:tc>
          <w:tcPr>
            <w:tcW w:w="840" w:type="dxa"/>
            <w:vAlign w:val="bottom"/>
            <w:gridSpan w:val="2"/>
          </w:tcPr>
          <w:p>
            <w:pPr>
              <w:jc w:val="right"/>
              <w:ind w:right="320"/>
              <w:spacing w:after="0" w:line="86" w:lineRule="exact"/>
              <w:rPr>
                <w:sz w:val="20"/>
                <w:szCs w:val="20"/>
                <w:color w:val="auto"/>
              </w:rPr>
            </w:pPr>
            <w:r>
              <w:rPr>
                <w:rFonts w:ascii="Arial" w:cs="Arial" w:eastAsia="Arial" w:hAnsi="Arial"/>
                <w:sz w:val="8"/>
                <w:szCs w:val="8"/>
                <w:color w:val="auto"/>
              </w:rPr>
              <w:t>—</w:t>
            </w: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1800" w:type="dxa"/>
            <w:vAlign w:val="bottom"/>
            <w:gridSpan w:val="2"/>
          </w:tcPr>
          <w:p>
            <w:pPr>
              <w:jc w:val="right"/>
              <w:ind w:right="320"/>
              <w:spacing w:after="0" w:line="86" w:lineRule="exact"/>
              <w:rPr>
                <w:sz w:val="20"/>
                <w:szCs w:val="20"/>
                <w:color w:val="auto"/>
              </w:rPr>
            </w:pPr>
            <w:r>
              <w:rPr>
                <w:rFonts w:ascii="Arial" w:cs="Arial" w:eastAsia="Arial" w:hAnsi="Arial"/>
                <w:sz w:val="8"/>
                <w:szCs w:val="8"/>
                <w:color w:val="auto"/>
              </w:rPr>
              <w:t>—</w:t>
            </w:r>
          </w:p>
        </w:tc>
        <w:tc>
          <w:tcPr>
            <w:tcW w:w="400" w:type="dxa"/>
            <w:vAlign w:val="bottom"/>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Pr>
          <w:p>
            <w:pPr>
              <w:jc w:val="right"/>
              <w:spacing w:after="0" w:line="86" w:lineRule="exact"/>
              <w:rPr>
                <w:sz w:val="20"/>
                <w:szCs w:val="20"/>
                <w:color w:val="auto"/>
              </w:rPr>
            </w:pPr>
            <w:r>
              <w:rPr>
                <w:rFonts w:ascii="Arial" w:cs="Arial" w:eastAsia="Arial" w:hAnsi="Arial"/>
                <w:sz w:val="8"/>
                <w:szCs w:val="8"/>
                <w:color w:val="auto"/>
              </w:rPr>
              <w:t>588</w:t>
            </w:r>
          </w:p>
        </w:tc>
        <w:tc>
          <w:tcPr>
            <w:tcW w:w="120" w:type="dxa"/>
            <w:vAlign w:val="bottom"/>
          </w:tcPr>
          <w:p>
            <w:pPr>
              <w:spacing w:after="0"/>
              <w:rPr>
                <w:sz w:val="8"/>
                <w:szCs w:val="8"/>
                <w:color w:val="auto"/>
              </w:rPr>
            </w:pPr>
          </w:p>
        </w:tc>
      </w:tr>
      <w:tr>
        <w:trPr>
          <w:trHeight w:val="90"/>
        </w:trPr>
        <w:tc>
          <w:tcPr>
            <w:tcW w:w="4400" w:type="dxa"/>
            <w:vAlign w:val="bottom"/>
            <w:tcBorders>
              <w:top w:val="single" w:sz="8" w:color="CFF0FC"/>
            </w:tcBorders>
            <w:shd w:val="clear" w:color="auto" w:fill="CFF0FC"/>
          </w:tcPr>
          <w:p>
            <w:pPr>
              <w:ind w:left="160"/>
              <w:spacing w:after="0" w:line="91" w:lineRule="exact"/>
              <w:rPr>
                <w:sz w:val="20"/>
                <w:szCs w:val="20"/>
                <w:color w:val="auto"/>
              </w:rPr>
            </w:pPr>
            <w:r>
              <w:rPr>
                <w:rFonts w:ascii="Arial" w:cs="Arial" w:eastAsia="Arial" w:hAnsi="Arial"/>
                <w:sz w:val="8"/>
                <w:szCs w:val="8"/>
                <w:color w:val="auto"/>
              </w:rPr>
              <w:t>Reclassification of deferred payments from collaboration to Sanofi Loan Facility and loss</w:t>
            </w:r>
          </w:p>
        </w:tc>
        <w:tc>
          <w:tcPr>
            <w:tcW w:w="1240" w:type="dxa"/>
            <w:vAlign w:val="bottom"/>
            <w:tcBorders>
              <w:top w:val="single" w:sz="8" w:color="CFF0FC"/>
            </w:tcBorders>
            <w:shd w:val="clear" w:color="auto" w:fill="CFF0FC"/>
          </w:tcPr>
          <w:p>
            <w:pPr>
              <w:spacing w:after="0"/>
              <w:rPr>
                <w:sz w:val="7"/>
                <w:szCs w:val="7"/>
                <w:color w:val="auto"/>
              </w:rPr>
            </w:pPr>
          </w:p>
        </w:tc>
        <w:tc>
          <w:tcPr>
            <w:tcW w:w="1180" w:type="dxa"/>
            <w:vAlign w:val="bottom"/>
            <w:tcBorders>
              <w:top w:val="single" w:sz="8" w:color="auto"/>
            </w:tcBorders>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150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130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r>
      <w:tr>
        <w:trPr>
          <w:trHeight w:val="119"/>
        </w:trPr>
        <w:tc>
          <w:tcPr>
            <w:tcW w:w="44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share obligation</w:t>
            </w:r>
          </w:p>
        </w:tc>
        <w:tc>
          <w:tcPr>
            <w:tcW w:w="124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1078"/>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3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3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5,174</w:t>
            </w:r>
          </w:p>
        </w:tc>
        <w:tc>
          <w:tcPr>
            <w:tcW w:w="120" w:type="dxa"/>
            <w:vAlign w:val="bottom"/>
            <w:tcBorders>
              <w:bottom w:val="single" w:sz="8" w:color="CFF0FC"/>
            </w:tcBorders>
            <w:shd w:val="clear" w:color="auto" w:fill="CFF0FC"/>
          </w:tcPr>
          <w:p>
            <w:pPr>
              <w:spacing w:after="0"/>
              <w:rPr>
                <w:sz w:val="10"/>
                <w:szCs w:val="10"/>
                <w:color w:val="auto"/>
              </w:rPr>
            </w:pPr>
          </w:p>
        </w:tc>
      </w:tr>
      <w:tr>
        <w:trPr>
          <w:trHeight w:val="93"/>
        </w:trPr>
        <w:tc>
          <w:tcPr>
            <w:tcW w:w="4400" w:type="dxa"/>
            <w:vAlign w:val="bottom"/>
            <w:tcBorders>
              <w:bottom w:val="single" w:sz="8" w:color="CFF0FC"/>
            </w:tcBorders>
          </w:tcPr>
          <w:p>
            <w:pPr>
              <w:ind w:left="160"/>
              <w:spacing w:after="0" w:line="86" w:lineRule="exact"/>
              <w:rPr>
                <w:sz w:val="20"/>
                <w:szCs w:val="20"/>
                <w:color w:val="auto"/>
              </w:rPr>
            </w:pPr>
            <w:r>
              <w:rPr>
                <w:rFonts w:ascii="Arial" w:cs="Arial" w:eastAsia="Arial" w:hAnsi="Arial"/>
                <w:sz w:val="8"/>
                <w:szCs w:val="8"/>
                <w:color w:val="auto"/>
              </w:rPr>
              <w:t>Reclassification of property and equipment to asset held for sale</w:t>
            </w:r>
          </w:p>
        </w:tc>
        <w:tc>
          <w:tcPr>
            <w:tcW w:w="1240" w:type="dxa"/>
            <w:vAlign w:val="bottom"/>
            <w:tcBorders>
              <w:bottom w:val="single" w:sz="8" w:color="CFF0FC"/>
            </w:tcBorders>
          </w:tcPr>
          <w:p>
            <w:pPr>
              <w:spacing w:after="0"/>
              <w:rPr>
                <w:sz w:val="8"/>
                <w:szCs w:val="8"/>
                <w:color w:val="auto"/>
              </w:rPr>
            </w:pPr>
          </w:p>
        </w:tc>
        <w:tc>
          <w:tcPr>
            <w:tcW w:w="1180" w:type="dxa"/>
            <w:vAlign w:val="bottom"/>
            <w:tcBorders>
              <w:bottom w:val="single" w:sz="8" w:color="auto"/>
            </w:tcBorders>
          </w:tcPr>
          <w:p>
            <w:pPr>
              <w:jc w:val="right"/>
              <w:ind w:right="1078"/>
              <w:spacing w:after="0" w:line="86" w:lineRule="exact"/>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w:t>
            </w:r>
          </w:p>
        </w:tc>
        <w:tc>
          <w:tcPr>
            <w:tcW w:w="32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w:t>
            </w:r>
          </w:p>
        </w:tc>
        <w:tc>
          <w:tcPr>
            <w:tcW w:w="30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17,294</w:t>
            </w:r>
          </w:p>
        </w:tc>
        <w:tc>
          <w:tcPr>
            <w:tcW w:w="120" w:type="dxa"/>
            <w:vAlign w:val="bottom"/>
            <w:tcBorders>
              <w:bottom w:val="single" w:sz="8" w:color="CFF0FC"/>
            </w:tcBorders>
          </w:tcPr>
          <w:p>
            <w:pPr>
              <w:spacing w:after="0"/>
              <w:rPr>
                <w:sz w:val="8"/>
                <w:szCs w:val="8"/>
                <w:color w:val="auto"/>
              </w:rPr>
            </w:pPr>
          </w:p>
        </w:tc>
      </w:tr>
      <w:tr>
        <w:trPr>
          <w:trHeight w:val="106"/>
        </w:trPr>
        <w:tc>
          <w:tcPr>
            <w:tcW w:w="44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8"/>
                <w:szCs w:val="8"/>
                <w:color w:val="auto"/>
              </w:rPr>
              <w:t>Reclassification of warrant liability to additional paid-in capital</w:t>
            </w:r>
          </w:p>
        </w:tc>
        <w:tc>
          <w:tcPr>
            <w:tcW w:w="124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jc w:val="right"/>
              <w:ind w:right="1078"/>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3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1,880</w:t>
            </w:r>
          </w:p>
        </w:tc>
        <w:tc>
          <w:tcPr>
            <w:tcW w:w="30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auto"/>
            </w:tcBorders>
            <w:shd w:val="clear" w:color="auto" w:fill="CFF0FC"/>
          </w:tcPr>
          <w:p>
            <w:pPr>
              <w:jc w:val="right"/>
              <w:ind w:right="33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FF0FC"/>
            </w:tcBorders>
            <w:shd w:val="clear" w:color="auto" w:fill="CFF0FC"/>
          </w:tcPr>
          <w:p>
            <w:pPr>
              <w:spacing w:after="0"/>
              <w:rPr>
                <w:sz w:val="9"/>
                <w:szCs w:val="9"/>
                <w:color w:val="auto"/>
              </w:rPr>
            </w:pPr>
          </w:p>
        </w:tc>
      </w:tr>
    </w:tbl>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notes to consolidated financial statements.</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b w:val="1"/>
          <w:bCs w:val="1"/>
          <w:color w:val="auto"/>
        </w:rPr>
        <w:t>MANNKIND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Business</w:t>
      </w:r>
    </w:p>
    <w:p>
      <w:pPr>
        <w:spacing w:after="0" w:line="82"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i w:val="1"/>
          <w:iCs w:val="1"/>
          <w:color w:val="auto"/>
        </w:rPr>
        <w:t xml:space="preserve">Business </w:t>
      </w:r>
      <w:r>
        <w:rPr>
          <w:rFonts w:ascii="Arial" w:cs="Arial" w:eastAsia="Arial" w:hAnsi="Arial"/>
          <w:sz w:val="12"/>
          <w:szCs w:val="12"/>
          <w:color w:val="auto"/>
        </w:rPr>
        <w:t>— MannKind Corporation and its Subsidiaries (the “Company”) is a biopharmaceutical company focused on the development and commercialization of inhaled therapeutic products for diseases such as diabetes and</w:t>
      </w:r>
      <w:r>
        <w:rPr>
          <w:rFonts w:ascii="Arial" w:cs="Arial" w:eastAsia="Arial" w:hAnsi="Arial"/>
          <w:sz w:val="12"/>
          <w:szCs w:val="12"/>
          <w:i w:val="1"/>
          <w:iCs w:val="1"/>
          <w:color w:val="auto"/>
        </w:rPr>
        <w:t xml:space="preserve"> </w:t>
      </w:r>
      <w:r>
        <w:rPr>
          <w:rFonts w:ascii="Arial" w:cs="Arial" w:eastAsia="Arial" w:hAnsi="Arial"/>
          <w:sz w:val="12"/>
          <w:szCs w:val="12"/>
          <w:color w:val="auto"/>
        </w:rPr>
        <w:t>pulmonary arterial hypertension. The Company’s only approved product, Afrezza (insulin human) Inhalation Powder, is a rapid-acting 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specialty sales force.</w:t>
      </w:r>
    </w:p>
    <w:p>
      <w:pPr>
        <w:spacing w:after="0" w:line="125" w:lineRule="exact"/>
        <w:rPr>
          <w:sz w:val="20"/>
          <w:szCs w:val="20"/>
          <w:color w:val="auto"/>
        </w:rPr>
      </w:pPr>
    </w:p>
    <w:p>
      <w:pPr>
        <w:ind w:right="320" w:firstLine="488"/>
        <w:spacing w:after="0" w:line="380" w:lineRule="auto"/>
        <w:rPr>
          <w:sz w:val="20"/>
          <w:szCs w:val="20"/>
          <w:color w:val="auto"/>
        </w:rPr>
      </w:pPr>
      <w:r>
        <w:rPr>
          <w:rFonts w:ascii="Arial" w:cs="Arial" w:eastAsia="Arial" w:hAnsi="Arial"/>
          <w:sz w:val="10"/>
          <w:szCs w:val="10"/>
          <w:i w:val="1"/>
          <w:iCs w:val="1"/>
          <w:color w:val="auto"/>
        </w:rPr>
        <w:t xml:space="preserve">Basis of Presentation </w:t>
      </w:r>
      <w:r>
        <w:rPr>
          <w:rFonts w:ascii="Arial" w:cs="Arial" w:eastAsia="Arial" w:hAnsi="Arial"/>
          <w:sz w:val="10"/>
          <w:szCs w:val="10"/>
          <w:color w:val="auto"/>
        </w:rPr>
        <w:t>- The accompanying consolidated financial statements have been prepared assuming that the Company will continue as a going concern which contemplates the realization of assets and satisfaction of</w:t>
      </w:r>
      <w:r>
        <w:rPr>
          <w:rFonts w:ascii="Arial" w:cs="Arial" w:eastAsia="Arial" w:hAnsi="Arial"/>
          <w:sz w:val="10"/>
          <w:szCs w:val="10"/>
          <w:i w:val="1"/>
          <w:iCs w:val="1"/>
          <w:color w:val="auto"/>
        </w:rPr>
        <w:t xml:space="preserve"> </w:t>
      </w:r>
      <w:r>
        <w:rPr>
          <w:rFonts w:ascii="Arial" w:cs="Arial" w:eastAsia="Arial" w:hAnsi="Arial"/>
          <w:sz w:val="10"/>
          <w:szCs w:val="10"/>
          <w:color w:val="auto"/>
        </w:rPr>
        <w:t>liabilities in the normal course of business. The Company is not currently profitable and has rarely generated positive net cash flow from operations. As of December 31, 2018, the Company had an accumulated deficit of $2.9 billion.</w:t>
      </w:r>
    </w:p>
    <w:p>
      <w:pPr>
        <w:spacing w:after="0" w:line="68" w:lineRule="exact"/>
        <w:rPr>
          <w:sz w:val="20"/>
          <w:szCs w:val="20"/>
          <w:color w:val="auto"/>
        </w:rPr>
      </w:pPr>
    </w:p>
    <w:p>
      <w:pPr>
        <w:ind w:right="40" w:firstLine="488"/>
        <w:spacing w:after="0" w:line="264" w:lineRule="auto"/>
        <w:rPr>
          <w:sz w:val="20"/>
          <w:szCs w:val="20"/>
          <w:color w:val="auto"/>
        </w:rPr>
      </w:pPr>
      <w:r>
        <w:rPr>
          <w:rFonts w:ascii="Arial" w:cs="Arial" w:eastAsia="Arial" w:hAnsi="Arial"/>
          <w:sz w:val="12"/>
          <w:szCs w:val="12"/>
          <w:color w:val="auto"/>
        </w:rPr>
        <w:t>At December 31, 2018, the Company’s capital resources consisted of cash and cash equivalents of $71.2 million and $0.5 million of restricted cash. The Company expects to continue to incur significant expenditures to support commercial manufacturing, sales and marketing of Afrezza, collaboration work and the development of product candidates in the Company’s pipeline. The facility agreement (as amended, the “Facility Agreement”) with Deerfield Private Design Fund II, L.P. and Deerfield Private Design International II, L.P. (collectively, “Deerfield”) that resulted in the issuance of 9.75% Senior Convertible Notes due 2019 (“2019 notes”) and 8.75% Senior Convertible Notes due 2019 (“Tranche B notes”) (see Note 7 — Borrowings) requires the Company to maintain at least $20.0 million in cash and cash equivalents as of October 31, 2018 and December 31, 2018 and $25.0 million in cash and cash equivalents as of the end of each fiscal quarter after December 31, 2018.</w:t>
      </w:r>
    </w:p>
    <w:p>
      <w:pPr>
        <w:spacing w:after="0" w:line="124"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As of December 31, 2018, the Company had $101.7 million principal amount of outstanding borrowings. The Company has entered into certain transaction related to these borrowings during 2017 and 2018 that are more fully described in Note 6 - Related Party Agreements and Note 7 – Borrowings.</w:t>
      </w:r>
    </w:p>
    <w:p>
      <w:pPr>
        <w:spacing w:after="0" w:line="115" w:lineRule="exact"/>
        <w:rPr>
          <w:sz w:val="20"/>
          <w:szCs w:val="20"/>
          <w:color w:val="auto"/>
        </w:rPr>
      </w:pPr>
    </w:p>
    <w:p>
      <w:pPr>
        <w:ind w:firstLine="488"/>
        <w:spacing w:after="0" w:line="255" w:lineRule="auto"/>
        <w:rPr>
          <w:sz w:val="20"/>
          <w:szCs w:val="20"/>
          <w:color w:val="auto"/>
        </w:rPr>
      </w:pPr>
      <w:r>
        <w:rPr>
          <w:rFonts w:ascii="Arial" w:cs="Arial" w:eastAsia="Arial" w:hAnsi="Arial"/>
          <w:sz w:val="12"/>
          <w:szCs w:val="12"/>
          <w:color w:val="auto"/>
        </w:rPr>
        <w:t>The Company’s currently available cash and financing sources will not be sufficient to continue to meet its current and anticipated cash requirements within one year from the date these financial statements were issued. The Company plans to raise additional capital, whether through a sale of equity or debt securities, strategic business collaboration agreements with other companies,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Successful completion of these plans is dependent on factors outside of the Company’s control. As such, management cannot be certain that such plans will be effectively implemented within one year after the date that the financial statements are issued. These factors raise substantial doubt about the Company’s ability to continue as a going concern. The financial statements do not include any adjustments that might result from the outcome of this uncertainty.</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2"/>
          <w:szCs w:val="12"/>
          <w:i w:val="1"/>
          <w:iCs w:val="1"/>
          <w:color w:val="auto"/>
        </w:rPr>
        <w:t xml:space="preserve">Principles of Consolidation </w:t>
      </w:r>
      <w:r>
        <w:rPr>
          <w:rFonts w:ascii="Arial" w:cs="Arial" w:eastAsia="Arial" w:hAnsi="Arial"/>
          <w:sz w:val="12"/>
          <w:szCs w:val="12"/>
          <w:color w:val="auto"/>
        </w:rPr>
        <w:t>— The consolidated financial statements include the accounts of the Company and its wholly-owned subsidiaries. Intercompany balances and transactions have been eliminated.</w:t>
      </w:r>
    </w:p>
    <w:p>
      <w:pPr>
        <w:spacing w:after="0" w:line="150" w:lineRule="exact"/>
        <w:rPr>
          <w:sz w:val="20"/>
          <w:szCs w:val="20"/>
          <w:color w:val="auto"/>
        </w:rPr>
      </w:pPr>
    </w:p>
    <w:p>
      <w:pPr>
        <w:ind w:right="60" w:firstLine="488"/>
        <w:spacing w:after="0" w:line="323" w:lineRule="auto"/>
        <w:rPr>
          <w:sz w:val="20"/>
          <w:szCs w:val="20"/>
          <w:color w:val="auto"/>
        </w:rPr>
      </w:pPr>
      <w:r>
        <w:rPr>
          <w:rFonts w:ascii="Arial" w:cs="Arial" w:eastAsia="Arial" w:hAnsi="Arial"/>
          <w:sz w:val="11"/>
          <w:szCs w:val="11"/>
          <w:i w:val="1"/>
          <w:iCs w:val="1"/>
          <w:color w:val="auto"/>
        </w:rPr>
        <w:t xml:space="preserve">Segment Information </w:t>
      </w:r>
      <w:r>
        <w:rPr>
          <w:rFonts w:ascii="Arial" w:cs="Arial" w:eastAsia="Arial" w:hAnsi="Arial"/>
          <w:sz w:val="11"/>
          <w:szCs w:val="11"/>
          <w:color w:val="auto"/>
        </w:rPr>
        <w:t>— Operating segments are identified as components of an enterprise about which separate discrete financial information is available for evaluation by the chief operating decision-maker in making decisions</w:t>
      </w:r>
      <w:r>
        <w:rPr>
          <w:rFonts w:ascii="Arial" w:cs="Arial" w:eastAsia="Arial" w:hAnsi="Arial"/>
          <w:sz w:val="11"/>
          <w:szCs w:val="11"/>
          <w:i w:val="1"/>
          <w:iCs w:val="1"/>
          <w:color w:val="auto"/>
        </w:rPr>
        <w:t xml:space="preserve"> </w:t>
      </w:r>
      <w:r>
        <w:rPr>
          <w:rFonts w:ascii="Arial" w:cs="Arial" w:eastAsia="Arial" w:hAnsi="Arial"/>
          <w:sz w:val="11"/>
          <w:szCs w:val="11"/>
          <w:color w:val="auto"/>
        </w:rPr>
        <w:t>regarding resource allocation and assessing performance. To date, the Company has viewed its operations and manages its business as one segment operating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2" w:lineRule="exact"/>
        <w:rPr>
          <w:sz w:val="20"/>
          <w:szCs w:val="20"/>
          <w:color w:val="auto"/>
        </w:rPr>
      </w:pPr>
    </w:p>
    <w:p>
      <w:pPr>
        <w:ind w:right="60" w:firstLine="488"/>
        <w:spacing w:after="0" w:line="320" w:lineRule="auto"/>
        <w:rPr>
          <w:sz w:val="20"/>
          <w:szCs w:val="20"/>
          <w:color w:val="auto"/>
        </w:rPr>
      </w:pPr>
      <w:r>
        <w:rPr>
          <w:rFonts w:ascii="Arial" w:cs="Arial" w:eastAsia="Arial" w:hAnsi="Arial"/>
          <w:sz w:val="10"/>
          <w:szCs w:val="10"/>
          <w:i w:val="1"/>
          <w:iCs w:val="1"/>
          <w:color w:val="auto"/>
        </w:rPr>
        <w:t xml:space="preserve">Financial Statement Estimates </w:t>
      </w:r>
      <w:r>
        <w:rPr>
          <w:rFonts w:ascii="Arial" w:cs="Arial" w:eastAsia="Arial" w:hAnsi="Arial"/>
          <w:sz w:val="10"/>
          <w:szCs w:val="10"/>
          <w:color w:val="auto"/>
        </w:rPr>
        <w:t>— The preparation of financial statements in conformity with accounting principles generally accepted in the United States of America (GAAP) requires management to make estimates and</w:t>
      </w:r>
      <w:r>
        <w:rPr>
          <w:rFonts w:ascii="Arial" w:cs="Arial" w:eastAsia="Arial" w:hAnsi="Arial"/>
          <w:sz w:val="10"/>
          <w:szCs w:val="10"/>
          <w:i w:val="1"/>
          <w:iCs w:val="1"/>
          <w:color w:val="auto"/>
        </w:rPr>
        <w:t xml:space="preserve"> </w:t>
      </w:r>
      <w:r>
        <w:rPr>
          <w:rFonts w:ascii="Arial" w:cs="Arial" w:eastAsia="Arial" w:hAnsi="Arial"/>
          <w:sz w:val="10"/>
          <w:szCs w:val="10"/>
          <w:color w:val="auto"/>
        </w:rPr>
        <w:t>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consolidated financial statements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71" w:name="page72"/>
    <w:bookmarkEnd w:id="71"/>
    <w:p>
      <w:pPr>
        <w:ind w:right="100" w:firstLine="488"/>
        <w:spacing w:after="0" w:line="320" w:lineRule="auto"/>
        <w:rPr>
          <w:sz w:val="20"/>
          <w:szCs w:val="20"/>
          <w:color w:val="auto"/>
        </w:rPr>
      </w:pPr>
      <w:r>
        <w:rPr>
          <w:rFonts w:ascii="Arial" w:cs="Arial" w:eastAsia="Arial" w:hAnsi="Arial"/>
          <w:sz w:val="10"/>
          <w:szCs w:val="10"/>
          <w:i w:val="1"/>
          <w:iCs w:val="1"/>
          <w:color w:val="auto"/>
        </w:rPr>
        <w:t xml:space="preserve">Revenue Recognition </w:t>
      </w:r>
      <w:r>
        <w:rPr>
          <w:rFonts w:ascii="Arial" w:cs="Arial" w:eastAsia="Arial" w:hAnsi="Arial"/>
          <w:sz w:val="10"/>
          <w:szCs w:val="10"/>
          <w:color w:val="auto"/>
        </w:rPr>
        <w:t>— The Company adopted Accounting Standards Codification (“ASC”) Topic 606 -</w:t>
      </w:r>
      <w:r>
        <w:rPr>
          <w:rFonts w:ascii="Arial" w:cs="Arial" w:eastAsia="Arial" w:hAnsi="Arial"/>
          <w:sz w:val="10"/>
          <w:szCs w:val="10"/>
          <w:i w:val="1"/>
          <w:iCs w:val="1"/>
          <w:color w:val="auto"/>
        </w:rPr>
        <w:t xml:space="preserve"> Revenue from Contracts with Customers </w:t>
      </w:r>
      <w:r>
        <w:rPr>
          <w:rFonts w:ascii="Arial" w:cs="Arial" w:eastAsia="Arial" w:hAnsi="Arial"/>
          <w:sz w:val="10"/>
          <w:szCs w:val="10"/>
          <w:color w:val="auto"/>
        </w:rPr>
        <w:t>(“the new revenue guidance”), on January 1, 2018. Under Topic 606, the</w:t>
      </w:r>
      <w:r>
        <w:rPr>
          <w:rFonts w:ascii="Arial" w:cs="Arial" w:eastAsia="Arial" w:hAnsi="Arial"/>
          <w:sz w:val="10"/>
          <w:szCs w:val="10"/>
          <w:i w:val="1"/>
          <w:iCs w:val="1"/>
          <w:color w:val="auto"/>
        </w:rPr>
        <w:t xml:space="preserve"> </w:t>
      </w:r>
      <w:r>
        <w:rPr>
          <w:rFonts w:ascii="Arial" w:cs="Arial" w:eastAsia="Arial" w:hAnsi="Arial"/>
          <w:sz w:val="10"/>
          <w:szCs w:val="10"/>
          <w:color w:val="auto"/>
        </w:rPr>
        <w:t>Company recognizes revenue when its customers obtain control of promised goods or services, in an amount that reflects the consideration which the Company expects to be entitled in exchange for those goods or services. See below for more information about the impact of adoption of the new revenue guidance. Upon adoption of the new revenue guidance, the Company moved from the sell-through model to a sell-to model for revenue related to commercial sales of Afrezza to wholesalers and now records revenue when its customers take control of the product along with an estimate of potential returns as variable consideration. For sales of Afrezza to specialty pharmacies, the Company previously recognized revenue at the time of shipment because specialty pharmacies generally purchase on demand and estimated returns are minimal. Therefore, there was no impact upon adoption for sales to specialty pharmacies.</w:t>
      </w:r>
    </w:p>
    <w:p>
      <w:pPr>
        <w:spacing w:after="0" w:line="98"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25" w:lineRule="exact"/>
        <w:rPr>
          <w:sz w:val="20"/>
          <w:szCs w:val="20"/>
          <w:color w:val="auto"/>
        </w:rPr>
      </w:pPr>
    </w:p>
    <w:p>
      <w:pPr>
        <w:ind w:right="340" w:firstLine="488"/>
        <w:spacing w:after="0" w:line="263" w:lineRule="auto"/>
        <w:rPr>
          <w:sz w:val="20"/>
          <w:szCs w:val="20"/>
          <w:color w:val="auto"/>
        </w:rPr>
      </w:pPr>
      <w:r>
        <w:rPr>
          <w:rFonts w:ascii="Arial" w:cs="Arial" w:eastAsia="Arial" w:hAnsi="Arial"/>
          <w:sz w:val="12"/>
          <w:szCs w:val="12"/>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three types of contracts with customers: contracts with wholesale distributors and specialty pharmacies for commercial product sales, collaboration arrangements, and arrangements with parties to whom it has sold intellectual property.</w:t>
      </w:r>
    </w:p>
    <w:p>
      <w:pPr>
        <w:spacing w:after="0" w:line="123" w:lineRule="exact"/>
        <w:rPr>
          <w:sz w:val="20"/>
          <w:szCs w:val="20"/>
          <w:color w:val="auto"/>
        </w:rPr>
      </w:pPr>
    </w:p>
    <w:p>
      <w:pPr>
        <w:ind w:firstLine="488"/>
        <w:spacing w:after="0" w:line="283" w:lineRule="auto"/>
        <w:rPr>
          <w:sz w:val="20"/>
          <w:szCs w:val="20"/>
          <w:color w:val="auto"/>
        </w:rPr>
      </w:pPr>
      <w:r>
        <w:rPr>
          <w:rFonts w:ascii="Arial" w:cs="Arial" w:eastAsia="Arial" w:hAnsi="Arial"/>
          <w:sz w:val="11"/>
          <w:szCs w:val="11"/>
          <w:color w:val="auto"/>
        </w:rPr>
        <w:t>Prior to Janaury 1, 2018, we invoiced our customers upon shipment of Afrezza to them and recorded an accounts receivable, with a corresponding liability for deferred revenue equal to the gross invoice price net of estimated gross-to-net adjustments. We were required to reliably estimate returns in a very narrow range in order to recognize revenue upon shipment. While we were able to estimate returns within a range, it was not sufficiently precise to meet the accounting requirements for the Income Statement upon shipment. Accordingly, we deferred recognition of revenue and the related estimated discounts and allowances on Afrezza product shipments until the right of return no longer existed, which occurs at the earlier of the time Afrezza is dispensed through patient prescriptions or expiration of the right of return. Through December 31, 2017, we recognized revenue based on Afrezza prescriptions dispensed, as estimated by syndicated data provided by a third party. We also analyzed additional data points to ensure that such third-party data was reasonable, including data related to inventory movements within the channel and ongoing prescription demand. In addition, the costs of Afrezza associated with the deferred revenue were recorded as deferred costs until such time as the related deferred revenue is recognized.</w:t>
      </w:r>
    </w:p>
    <w:p>
      <w:pPr>
        <w:spacing w:after="0" w:line="114" w:lineRule="exact"/>
        <w:rPr>
          <w:sz w:val="20"/>
          <w:szCs w:val="20"/>
          <w:color w:val="auto"/>
        </w:rPr>
      </w:pPr>
    </w:p>
    <w:p>
      <w:pPr>
        <w:ind w:right="40" w:firstLine="488"/>
        <w:spacing w:after="0" w:line="340" w:lineRule="auto"/>
        <w:rPr>
          <w:sz w:val="20"/>
          <w:szCs w:val="20"/>
          <w:color w:val="auto"/>
        </w:rPr>
      </w:pPr>
      <w:r>
        <w:rPr>
          <w:rFonts w:ascii="Arial" w:cs="Arial" w:eastAsia="Arial" w:hAnsi="Arial"/>
          <w:sz w:val="10"/>
          <w:szCs w:val="10"/>
          <w:i w:val="1"/>
          <w:iCs w:val="1"/>
          <w:color w:val="auto"/>
        </w:rPr>
        <w:t xml:space="preserve">Revenue Recognition – Net Revenue – Commercial Product Sales – </w:t>
      </w:r>
      <w:r>
        <w:rPr>
          <w:rFonts w:ascii="Arial" w:cs="Arial" w:eastAsia="Arial" w:hAnsi="Arial"/>
          <w:sz w:val="10"/>
          <w:szCs w:val="10"/>
          <w:color w:val="auto"/>
        </w:rPr>
        <w:t>The Company sells Afrezza to a limited number of wholesale distributors and specialty pharmacies in the U.S. (collectively, its “Customers”). These Customers</w:t>
      </w:r>
      <w:r>
        <w:rPr>
          <w:rFonts w:ascii="Arial" w:cs="Arial" w:eastAsia="Arial" w:hAnsi="Arial"/>
          <w:sz w:val="10"/>
          <w:szCs w:val="10"/>
          <w:i w:val="1"/>
          <w:iCs w:val="1"/>
          <w:color w:val="auto"/>
        </w:rPr>
        <w:t xml:space="preserve"> </w:t>
      </w:r>
      <w:r>
        <w:rPr>
          <w:rFonts w:ascii="Arial" w:cs="Arial" w:eastAsia="Arial" w:hAnsi="Arial"/>
          <w:sz w:val="10"/>
          <w:szCs w:val="10"/>
          <w:color w:val="auto"/>
        </w:rPr>
        <w:t>subsequently resell the Company’s product to retail pharmacies and certain medical centers or hospitals or in the case of specialty pharmacies, sell directly to patients. In addition to distribution agreements with Customers, the Company enters into arrangements with health care providers and payors that provide for government mandated and/or privately negotiated rebates, chargebacks, and discounts with respect to the purchase of the Company’s product.</w:t>
      </w:r>
    </w:p>
    <w:p>
      <w:pPr>
        <w:spacing w:after="0" w:line="88" w:lineRule="exact"/>
        <w:rPr>
          <w:sz w:val="20"/>
          <w:szCs w:val="20"/>
          <w:color w:val="auto"/>
        </w:rPr>
      </w:pPr>
    </w:p>
    <w:p>
      <w:pPr>
        <w:ind w:right="40" w:firstLine="488"/>
        <w:spacing w:after="0" w:line="279" w:lineRule="auto"/>
        <w:rPr>
          <w:sz w:val="20"/>
          <w:szCs w:val="20"/>
          <w:color w:val="auto"/>
        </w:rPr>
      </w:pPr>
      <w:r>
        <w:rPr>
          <w:rFonts w:ascii="Arial" w:cs="Arial" w:eastAsia="Arial" w:hAnsi="Arial"/>
          <w:sz w:val="12"/>
          <w:szCs w:val="12"/>
          <w:color w:val="auto"/>
        </w:rPr>
        <w:t>For the years ended December 31, 2018 and 2017, Afrezza net revenue from commercial product sales consisted of $17.3 million and $9.2 million, respectively. As of December 31, 2018, there was zero net deferred revenue due to the adoption of Topic 606. At December 31, 2017, the balance of net deferred revenue was $3.0 million on the Company’s consolidated balance sheet. For the year ended December 31, 2018 and 2017, shipments to three wholesale distributors represented 89% of total shipments. For the year ended December 31, 2016, the Company sold directly to ICS and Sanofi.</w:t>
      </w:r>
    </w:p>
    <w:p>
      <w:pPr>
        <w:spacing w:after="0" w:line="113" w:lineRule="exact"/>
        <w:rPr>
          <w:sz w:val="20"/>
          <w:szCs w:val="20"/>
          <w:color w:val="auto"/>
        </w:rPr>
      </w:pPr>
    </w:p>
    <w:p>
      <w:pPr>
        <w:jc w:val="both"/>
        <w:ind w:firstLine="488"/>
        <w:spacing w:after="0" w:line="323" w:lineRule="auto"/>
        <w:rPr>
          <w:sz w:val="20"/>
          <w:szCs w:val="20"/>
          <w:color w:val="auto"/>
        </w:rPr>
      </w:pPr>
      <w:r>
        <w:rPr>
          <w:rFonts w:ascii="Arial" w:cs="Arial" w:eastAsia="Arial" w:hAnsi="Arial"/>
          <w:sz w:val="11"/>
          <w:szCs w:val="11"/>
          <w:color w:val="auto"/>
        </w:rPr>
        <w:t>The Company, beginning January 1, 2018, recognizes revenue on product sales when the Customer obtains control of the Company's product, which occurs at a point in time (based on the terms of the relevant contracts which are at delivery for wholesale distributors and at shipment for specialty pharmacies). Product revenues are recorded net of applicable reserves for variable consideration, including discounts and allowances.</w:t>
      </w:r>
    </w:p>
    <w:p>
      <w:pPr>
        <w:spacing w:after="0" w:line="119" w:lineRule="exact"/>
        <w:rPr>
          <w:sz w:val="20"/>
          <w:szCs w:val="20"/>
          <w:color w:val="auto"/>
        </w:rPr>
      </w:pPr>
    </w:p>
    <w:p>
      <w:pPr>
        <w:jc w:val="both"/>
        <w:ind w:firstLine="488"/>
        <w:spacing w:after="0" w:line="259" w:lineRule="auto"/>
        <w:rPr>
          <w:sz w:val="20"/>
          <w:szCs w:val="20"/>
          <w:color w:val="auto"/>
        </w:rPr>
      </w:pPr>
      <w:r>
        <w:rPr>
          <w:rFonts w:ascii="Arial" w:cs="Arial" w:eastAsia="Arial" w:hAnsi="Arial"/>
          <w:sz w:val="12"/>
          <w:szCs w:val="12"/>
          <w:i w:val="1"/>
          <w:iCs w:val="1"/>
          <w:color w:val="auto"/>
        </w:rPr>
        <w:t xml:space="preserve">Voucher Program – </w:t>
      </w:r>
      <w:r>
        <w:rPr>
          <w:rFonts w:ascii="Arial" w:cs="Arial" w:eastAsia="Arial" w:hAnsi="Arial"/>
          <w:sz w:val="12"/>
          <w:szCs w:val="12"/>
          <w:color w:val="auto"/>
        </w:rPr>
        <w:t>Under the voucher program, potential new patients are given vouchers which they can provide to retailers for free product. The retailers provide the product to the patient for free and pay the wholesaler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product, who pays the Company. The retailers submit the vouchers to a program administrator who pays the retailer for the product. The administrator then invoices the Company for the amount of vouchers paid plus a fee. Accordingly, on a net basis, it is not probable that the Company will receive the consideration to which it is entitled from the sale of product under the voucher program. Therefore, the Company excludes such amounts from both gross and net revenue. The cost of product associated with the voucher program is included in cost of goods sold.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2" w:name="page73"/>
    <w:bookmarkEnd w:id="72"/>
    <w:p>
      <w:pPr>
        <w:ind w:right="20" w:firstLine="488"/>
        <w:spacing w:after="0" w:line="259" w:lineRule="auto"/>
        <w:rPr>
          <w:sz w:val="20"/>
          <w:szCs w:val="20"/>
          <w:color w:val="auto"/>
        </w:rPr>
      </w:pPr>
      <w:r>
        <w:rPr>
          <w:rFonts w:ascii="Arial" w:cs="Arial" w:eastAsia="Arial" w:hAnsi="Arial"/>
          <w:sz w:val="12"/>
          <w:szCs w:val="12"/>
          <w:i w:val="1"/>
          <w:iCs w:val="1"/>
          <w:color w:val="auto"/>
        </w:rPr>
        <w:t xml:space="preserve">Reserves for Variable Consideration </w:t>
      </w:r>
      <w:r>
        <w:rPr>
          <w:rFonts w:ascii="Arial" w:cs="Arial" w:eastAsia="Arial" w:hAnsi="Arial"/>
          <w:sz w:val="12"/>
          <w:szCs w:val="12"/>
          <w:color w:val="auto"/>
        </w:rPr>
        <w:t>— Revenues from product sales are recorded at the transaction price, which includes estimates of variable consideration for which reserves are established. Components of variable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 These reserves, as detailed below, are based on the amounts earned, or to be claimed on the related sales, and result in a reduction of accounts receivable or establishment of a current liability.</w:t>
      </w:r>
    </w:p>
    <w:p>
      <w:pPr>
        <w:spacing w:after="0" w:line="143" w:lineRule="exact"/>
        <w:rPr>
          <w:sz w:val="20"/>
          <w:szCs w:val="20"/>
          <w:color w:val="auto"/>
        </w:rPr>
      </w:pPr>
    </w:p>
    <w:p>
      <w:pPr>
        <w:jc w:val="both"/>
        <w:ind w:right="80" w:firstLine="488"/>
        <w:spacing w:after="0" w:line="263" w:lineRule="auto"/>
        <w:rPr>
          <w:sz w:val="20"/>
          <w:szCs w:val="20"/>
          <w:color w:val="auto"/>
        </w:rPr>
      </w:pPr>
      <w:r>
        <w:rPr>
          <w:rFonts w:ascii="Arial" w:cs="Arial" w:eastAsia="Arial" w:hAnsi="Arial"/>
          <w:sz w:val="12"/>
          <w:szCs w:val="12"/>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50" w:lineRule="exact"/>
        <w:rPr>
          <w:sz w:val="20"/>
          <w:szCs w:val="20"/>
          <w:color w:val="auto"/>
        </w:rPr>
      </w:pPr>
    </w:p>
    <w:p>
      <w:pPr>
        <w:ind w:right="80" w:firstLine="488"/>
        <w:spacing w:after="0" w:line="327" w:lineRule="auto"/>
        <w:rPr>
          <w:sz w:val="20"/>
          <w:szCs w:val="20"/>
          <w:color w:val="auto"/>
        </w:rPr>
      </w:pPr>
      <w:r>
        <w:rPr>
          <w:rFonts w:ascii="Arial" w:cs="Arial" w:eastAsia="Arial" w:hAnsi="Arial"/>
          <w:sz w:val="10"/>
          <w:szCs w:val="10"/>
          <w:color w:val="auto"/>
        </w:rPr>
        <w:t>The amount of variable consideration that is included in the transaction price is only to the extent that it is probable that a significant reversal in the amount of the cumulative revenue recognized under the contract will not occur in a future period. The Company’s analyses also contemplates application of the constraint in accordance with the guidance, under which it determined a material reversal of revenue would not occur in a future period for the estimates detailed below as of December 31, 2018 and, therefore, the transaction price was not reduced further during the year ended December 31, 2018.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21" w:lineRule="exact"/>
        <w:rPr>
          <w:sz w:val="20"/>
          <w:szCs w:val="20"/>
          <w:color w:val="auto"/>
        </w:rPr>
      </w:pPr>
    </w:p>
    <w:p>
      <w:pPr>
        <w:ind w:right="80" w:firstLine="488"/>
        <w:spacing w:after="0" w:line="259" w:lineRule="auto"/>
        <w:rPr>
          <w:sz w:val="20"/>
          <w:szCs w:val="20"/>
          <w:color w:val="auto"/>
        </w:rPr>
      </w:pPr>
      <w:r>
        <w:rPr>
          <w:rFonts w:ascii="Arial" w:cs="Arial" w:eastAsia="Arial" w:hAnsi="Arial"/>
          <w:sz w:val="12"/>
          <w:szCs w:val="12"/>
          <w:i w:val="1"/>
          <w:iCs w:val="1"/>
          <w:color w:val="auto"/>
        </w:rPr>
        <w:t xml:space="preserve">Trade Discounts and Allowances </w:t>
      </w:r>
      <w:r>
        <w:rPr>
          <w:rFonts w:ascii="Arial" w:cs="Arial" w:eastAsia="Arial" w:hAnsi="Arial"/>
          <w:sz w:val="12"/>
          <w:szCs w:val="12"/>
          <w:color w:val="auto"/>
        </w:rPr>
        <w:t>— The Company generally provides Customers with discounts which include incentive fees, such as prompt pay discounts, that are explicitly stated in the Company’s contracts and are recorded</w:t>
      </w:r>
      <w:r>
        <w:rPr>
          <w:rFonts w:ascii="Arial" w:cs="Arial" w:eastAsia="Arial" w:hAnsi="Arial"/>
          <w:sz w:val="12"/>
          <w:szCs w:val="12"/>
          <w:i w:val="1"/>
          <w:iCs w:val="1"/>
          <w:color w:val="auto"/>
        </w:rPr>
        <w:t xml:space="preserve"> </w:t>
      </w:r>
      <w:r>
        <w:rPr>
          <w:rFonts w:ascii="Arial" w:cs="Arial" w:eastAsia="Arial" w:hAnsi="Arial"/>
          <w:sz w:val="12"/>
          <w:szCs w:val="12"/>
          <w:color w:val="auto"/>
        </w:rPr>
        <w:t>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 to the Customers and, therefore, these payments have been recorded as a reduction of revenue and a reduction to accounts receivable, net.</w:t>
      </w:r>
    </w:p>
    <w:p>
      <w:pPr>
        <w:spacing w:after="0" w:line="143" w:lineRule="exact"/>
        <w:rPr>
          <w:sz w:val="20"/>
          <w:szCs w:val="20"/>
          <w:color w:val="auto"/>
        </w:rPr>
      </w:pPr>
    </w:p>
    <w:p>
      <w:pPr>
        <w:ind w:firstLine="488"/>
        <w:spacing w:after="0" w:line="290" w:lineRule="auto"/>
        <w:rPr>
          <w:sz w:val="20"/>
          <w:szCs w:val="20"/>
          <w:color w:val="auto"/>
        </w:rPr>
      </w:pPr>
      <w:r>
        <w:rPr>
          <w:rFonts w:ascii="Arial" w:cs="Arial" w:eastAsia="Arial" w:hAnsi="Arial"/>
          <w:sz w:val="11"/>
          <w:szCs w:val="11"/>
          <w:i w:val="1"/>
          <w:iCs w:val="1"/>
          <w:color w:val="auto"/>
        </w:rPr>
        <w:t xml:space="preserve">Product Returns </w:t>
      </w:r>
      <w:r>
        <w:rPr>
          <w:rFonts w:ascii="Arial" w:cs="Arial" w:eastAsia="Arial" w:hAnsi="Arial"/>
          <w:sz w:val="11"/>
          <w:szCs w:val="11"/>
          <w:color w:val="auto"/>
        </w:rPr>
        <w:t>— As of January 1, 2018, as a part of the adoption of Topic 606, the Company generally offers Customers a right of return for unopened product that has been purchased from the Company for a period beginning</w:t>
      </w:r>
      <w:r>
        <w:rPr>
          <w:rFonts w:ascii="Arial" w:cs="Arial" w:eastAsia="Arial" w:hAnsi="Arial"/>
          <w:sz w:val="11"/>
          <w:szCs w:val="11"/>
          <w:i w:val="1"/>
          <w:iCs w:val="1"/>
          <w:color w:val="auto"/>
        </w:rPr>
        <w:t xml:space="preserve"> </w:t>
      </w:r>
      <w:r>
        <w:rPr>
          <w:rFonts w:ascii="Arial" w:cs="Arial" w:eastAsia="Arial" w:hAnsi="Arial"/>
          <w:sz w:val="11"/>
          <w:szCs w:val="11"/>
          <w:color w:val="auto"/>
        </w:rPr>
        <w:t>six months prior to and ending 12 months after its expiration date. Such right of return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rate is estimated to be a low single-digit return rate.</w:t>
      </w:r>
    </w:p>
    <w:p>
      <w:pPr>
        <w:spacing w:after="0" w:line="136" w:lineRule="exact"/>
        <w:rPr>
          <w:sz w:val="20"/>
          <w:szCs w:val="20"/>
          <w:color w:val="auto"/>
        </w:rPr>
      </w:pPr>
    </w:p>
    <w:p>
      <w:pPr>
        <w:ind w:firstLine="488"/>
        <w:spacing w:after="0" w:line="283" w:lineRule="auto"/>
        <w:rPr>
          <w:sz w:val="20"/>
          <w:szCs w:val="20"/>
          <w:color w:val="auto"/>
        </w:rPr>
      </w:pPr>
      <w:r>
        <w:rPr>
          <w:rFonts w:ascii="Arial" w:cs="Arial" w:eastAsia="Arial" w:hAnsi="Arial"/>
          <w:sz w:val="11"/>
          <w:szCs w:val="11"/>
          <w:i w:val="1"/>
          <w:iCs w:val="1"/>
          <w:color w:val="auto"/>
        </w:rPr>
        <w:t xml:space="preserve">Provider Chargebacks and Discounts </w:t>
      </w:r>
      <w:r>
        <w:rPr>
          <w:rFonts w:ascii="Arial" w:cs="Arial" w:eastAsia="Arial" w:hAnsi="Arial"/>
          <w:sz w:val="11"/>
          <w:szCs w:val="11"/>
          <w:color w:val="auto"/>
        </w:rPr>
        <w:t>— Chargebacks for fees and discounts to providers represent the estimated obligations resulting from contractual commitments to sell products to qualified healthcare providers at prices</w:t>
      </w:r>
      <w:r>
        <w:rPr>
          <w:rFonts w:ascii="Arial" w:cs="Arial" w:eastAsia="Arial" w:hAnsi="Arial"/>
          <w:sz w:val="11"/>
          <w:szCs w:val="11"/>
          <w:i w:val="1"/>
          <w:iCs w:val="1"/>
          <w:color w:val="auto"/>
        </w:rPr>
        <w:t xml:space="preserve"> </w:t>
      </w:r>
      <w:r>
        <w:rPr>
          <w:rFonts w:ascii="Arial" w:cs="Arial" w:eastAsia="Arial" w:hAnsi="Arial"/>
          <w:sz w:val="11"/>
          <w:szCs w:val="11"/>
          <w:color w:val="auto"/>
        </w:rPr>
        <w:t>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41" w:lineRule="exact"/>
        <w:rPr>
          <w:sz w:val="20"/>
          <w:szCs w:val="20"/>
          <w:color w:val="auto"/>
        </w:rPr>
      </w:pPr>
    </w:p>
    <w:p>
      <w:pPr>
        <w:ind w:right="60" w:firstLine="488"/>
        <w:spacing w:after="0" w:line="257" w:lineRule="auto"/>
        <w:rPr>
          <w:sz w:val="20"/>
          <w:szCs w:val="20"/>
          <w:color w:val="auto"/>
        </w:rPr>
      </w:pPr>
      <w:r>
        <w:rPr>
          <w:rFonts w:ascii="Arial" w:cs="Arial" w:eastAsia="Arial" w:hAnsi="Arial"/>
          <w:sz w:val="12"/>
          <w:szCs w:val="12"/>
          <w:i w:val="1"/>
          <w:iCs w:val="1"/>
          <w:color w:val="auto"/>
        </w:rPr>
        <w:t xml:space="preserve">Government Rebates </w:t>
      </w:r>
      <w:r>
        <w:rPr>
          <w:rFonts w:ascii="Arial" w:cs="Arial" w:eastAsia="Arial" w:hAnsi="Arial"/>
          <w:sz w:val="12"/>
          <w:szCs w:val="12"/>
          <w:color w:val="auto"/>
        </w:rPr>
        <w:t>— The Company is subject to discount obligations under state Medicaid programs and Medicare. These reserves are recorded in the same period the related revenue is recognized, resulting in a reduction of</w:t>
      </w:r>
      <w:r>
        <w:rPr>
          <w:rFonts w:ascii="Arial" w:cs="Arial" w:eastAsia="Arial" w:hAnsi="Arial"/>
          <w:sz w:val="12"/>
          <w:szCs w:val="12"/>
          <w:i w:val="1"/>
          <w:iCs w:val="1"/>
          <w:color w:val="auto"/>
        </w:rPr>
        <w:t xml:space="preserve"> </w:t>
      </w:r>
      <w:r>
        <w:rPr>
          <w:rFonts w:ascii="Arial" w:cs="Arial" w:eastAsia="Arial" w:hAnsi="Arial"/>
          <w:sz w:val="12"/>
          <w:szCs w:val="12"/>
          <w:color w:val="auto"/>
        </w:rPr>
        <w:t>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144" w:lineRule="exact"/>
        <w:rPr>
          <w:sz w:val="20"/>
          <w:szCs w:val="20"/>
          <w:color w:val="auto"/>
        </w:rPr>
      </w:pPr>
    </w:p>
    <w:p>
      <w:pPr>
        <w:ind w:right="20" w:firstLine="488"/>
        <w:spacing w:after="0" w:line="263" w:lineRule="auto"/>
        <w:rPr>
          <w:sz w:val="20"/>
          <w:szCs w:val="20"/>
          <w:color w:val="auto"/>
        </w:rPr>
      </w:pPr>
      <w:r>
        <w:rPr>
          <w:rFonts w:ascii="Arial" w:cs="Arial" w:eastAsia="Arial" w:hAnsi="Arial"/>
          <w:sz w:val="12"/>
          <w:szCs w:val="12"/>
          <w:i w:val="1"/>
          <w:iCs w:val="1"/>
          <w:color w:val="auto"/>
        </w:rPr>
        <w:t xml:space="preserve">Payor Rebates </w:t>
      </w:r>
      <w:r>
        <w:rPr>
          <w:rFonts w:ascii="Arial" w:cs="Arial" w:eastAsia="Arial" w:hAnsi="Arial"/>
          <w:sz w:val="12"/>
          <w:szCs w:val="12"/>
          <w:color w:val="auto"/>
        </w:rPr>
        <w:t>— The Company contracts with certain private payor organizations, primarily insurance companies and pharmacy benefit managers, for the payment of rebates with respect to utilization of its products.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estimates these rebates and records such estimates in the same period the related revenue is recognized, resulting in a reduction of product revenue and the establishment of a current liability which is included in accrued expenses and other current liabilities.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73" w:name="page74"/>
    <w:bookmarkEnd w:id="73"/>
    <w:p>
      <w:pPr>
        <w:ind w:right="320" w:firstLine="488"/>
        <w:spacing w:after="0" w:line="290" w:lineRule="auto"/>
        <w:rPr>
          <w:sz w:val="20"/>
          <w:szCs w:val="20"/>
          <w:color w:val="auto"/>
        </w:rPr>
      </w:pPr>
      <w:r>
        <w:rPr>
          <w:rFonts w:ascii="Arial" w:cs="Arial" w:eastAsia="Arial" w:hAnsi="Arial"/>
          <w:sz w:val="11"/>
          <w:szCs w:val="11"/>
          <w:i w:val="1"/>
          <w:iCs w:val="1"/>
          <w:color w:val="auto"/>
        </w:rPr>
        <w:t xml:space="preserve">Other Incentives </w:t>
      </w:r>
      <w:r>
        <w:rPr>
          <w:rFonts w:ascii="Arial" w:cs="Arial" w:eastAsia="Arial" w:hAnsi="Arial"/>
          <w:sz w:val="11"/>
          <w:szCs w:val="11"/>
          <w:color w:val="auto"/>
        </w:rPr>
        <w:t>— Other incentives which the Company offers include voluntary patient support programs, such as the Company's co-pay assistance program, which are intended to provide financial assistance to qualified</w:t>
      </w:r>
      <w:r>
        <w:rPr>
          <w:rFonts w:ascii="Arial" w:cs="Arial" w:eastAsia="Arial" w:hAnsi="Arial"/>
          <w:sz w:val="11"/>
          <w:szCs w:val="11"/>
          <w:i w:val="1"/>
          <w:iCs w:val="1"/>
          <w:color w:val="auto"/>
        </w:rPr>
        <w:t xml:space="preserve"> </w:t>
      </w:r>
      <w:r>
        <w:rPr>
          <w:rFonts w:ascii="Arial" w:cs="Arial" w:eastAsia="Arial" w:hAnsi="Arial"/>
          <w:sz w:val="11"/>
          <w:szCs w:val="11"/>
          <w:color w:val="auto"/>
        </w:rPr>
        <w:t>commercially-insured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109"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i w:val="1"/>
          <w:iCs w:val="1"/>
          <w:color w:val="auto"/>
        </w:rPr>
        <w:t xml:space="preserve">Deferred Costs from Commercial Product Sales — </w:t>
      </w:r>
      <w:r>
        <w:rPr>
          <w:rFonts w:ascii="Arial" w:cs="Arial" w:eastAsia="Arial" w:hAnsi="Arial"/>
          <w:sz w:val="12"/>
          <w:szCs w:val="12"/>
          <w:color w:val="auto"/>
        </w:rPr>
        <w:t>Deferred costs from commercial product sales represents the cost of product (including labor, overhead and shipping costs to third party logistics providers) shipped to wholesale</w:t>
      </w:r>
      <w:r>
        <w:rPr>
          <w:rFonts w:ascii="Arial" w:cs="Arial" w:eastAsia="Arial" w:hAnsi="Arial"/>
          <w:sz w:val="12"/>
          <w:szCs w:val="12"/>
          <w:i w:val="1"/>
          <w:iCs w:val="1"/>
          <w:color w:val="auto"/>
        </w:rPr>
        <w:t xml:space="preserve"> </w:t>
      </w:r>
      <w:r>
        <w:rPr>
          <w:rFonts w:ascii="Arial" w:cs="Arial" w:eastAsia="Arial" w:hAnsi="Arial"/>
          <w:sz w:val="12"/>
          <w:szCs w:val="12"/>
          <w:color w:val="auto"/>
        </w:rPr>
        <w:t>distributors, but not dispensed by pharmacies to patients. If the Company estimates that inventory that has been shipped to wholesale distributors will be returned for credit because there is a risk of product expiry, deferred costs of commercial product sales is reduced and cost of goods sold is increased for the cost of such inventory. The Company had deferred costs from commercial products sales of $0.4 million as of December 31, 2017. On January 1, 2018, the Company adjusted its deferred costs from commercial products to zero as a result of the adoption of Topic 606.</w:t>
      </w:r>
    </w:p>
    <w:p>
      <w:pPr>
        <w:spacing w:after="0" w:line="125" w:lineRule="exact"/>
        <w:rPr>
          <w:sz w:val="20"/>
          <w:szCs w:val="20"/>
          <w:color w:val="auto"/>
        </w:rPr>
      </w:pPr>
    </w:p>
    <w:p>
      <w:pPr>
        <w:ind w:firstLine="488"/>
        <w:spacing w:after="0" w:line="253" w:lineRule="auto"/>
        <w:rPr>
          <w:sz w:val="20"/>
          <w:szCs w:val="20"/>
          <w:color w:val="auto"/>
        </w:rPr>
      </w:pPr>
      <w:r>
        <w:rPr>
          <w:rFonts w:ascii="Arial" w:cs="Arial" w:eastAsia="Arial" w:hAnsi="Arial"/>
          <w:sz w:val="12"/>
          <w:szCs w:val="12"/>
          <w:i w:val="1"/>
          <w:iCs w:val="1"/>
          <w:color w:val="auto"/>
        </w:rPr>
        <w:t xml:space="preserve">Revenue Recognition — Net Revenue — Collaborations and Services — </w:t>
      </w:r>
      <w:r>
        <w:rPr>
          <w:rFonts w:ascii="Arial" w:cs="Arial" w:eastAsia="Arial" w:hAnsi="Arial"/>
          <w:sz w:val="12"/>
          <w:szCs w:val="12"/>
          <w:color w:val="auto"/>
        </w:rPr>
        <w:t>The Company enters into licensing or research agreements under which the Company licenses certain rights to its product candidates to third parties or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conducting research services to third parties. The terms of these arrangements may include, but are not limited to payment to the Company of one or more of the following: nonrefundable, up-front license fees; development, regulatory, and commercial milestone payments; payments for manufacturing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The Company uses key assumptions to determine the stand-alone selling price, which may include development timelines, reimbursement rates for personnel costs, discount rates, and probabilities of technical and regulatory success. Given the significant estimates depend on the development plan, these estimates could change and impact the revenue recognition. Consideration received that does not meet the requirements to satisfy the revenue recognition criteria is recorded as deferred revenue. Current deferred revenue consists of amounts that are expected to be recognized as revenue in the next 12 months. Amounts that we expect will not be recognized within the next 12 months are classified as long-term deferred revenue. For the years ended December 31, 2018 and 2017 net revenue - collaborations and services consisted of $10.6 million and $0.3 million, respectively. For further information see Note 8 </w:t>
      </w:r>
      <w:r>
        <w:rPr>
          <w:rFonts w:ascii="Arial" w:cs="Arial" w:eastAsia="Arial" w:hAnsi="Arial"/>
          <w:sz w:val="12"/>
          <w:szCs w:val="12"/>
          <w:i w:val="1"/>
          <w:iCs w:val="1"/>
          <w:color w:val="auto"/>
        </w:rPr>
        <w:t>—</w:t>
      </w:r>
      <w:r>
        <w:rPr>
          <w:rFonts w:ascii="Arial" w:cs="Arial" w:eastAsia="Arial" w:hAnsi="Arial"/>
          <w:sz w:val="12"/>
          <w:szCs w:val="12"/>
          <w:color w:val="auto"/>
        </w:rPr>
        <w:t xml:space="preserve"> Collaboration and Licensing Agreements.</w:t>
      </w:r>
    </w:p>
    <w:p>
      <w:pPr>
        <w:spacing w:after="0" w:line="132"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w:t>
      </w:r>
    </w:p>
    <w:p>
      <w:pPr>
        <w:spacing w:after="0" w:line="125" w:lineRule="exact"/>
        <w:rPr>
          <w:sz w:val="20"/>
          <w:szCs w:val="20"/>
          <w:color w:val="auto"/>
        </w:rPr>
      </w:pPr>
    </w:p>
    <w:p>
      <w:pPr>
        <w:ind w:right="80" w:firstLine="488"/>
        <w:spacing w:after="0" w:line="290" w:lineRule="auto"/>
        <w:rPr>
          <w:sz w:val="20"/>
          <w:szCs w:val="20"/>
          <w:color w:val="auto"/>
        </w:rPr>
      </w:pPr>
      <w:r>
        <w:rPr>
          <w:rFonts w:ascii="Arial" w:cs="Arial" w:eastAsia="Arial" w:hAnsi="Arial"/>
          <w:sz w:val="11"/>
          <w:szCs w:val="11"/>
          <w:color w:val="auto"/>
        </w:rPr>
        <w:t>Whenever the Company determines that an arrangement should be accounted for over time as a single performance obligation,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If the Company determines that an arrangement has multiple performance obligations, the allocation of the transaction price is determined from observable market inputs and revenue is recognized based on the measurement of progress as the performance obligation is satisfied.</w:t>
      </w:r>
    </w:p>
    <w:p>
      <w:pPr>
        <w:spacing w:after="0" w:line="109" w:lineRule="exact"/>
        <w:rPr>
          <w:sz w:val="20"/>
          <w:szCs w:val="20"/>
          <w:color w:val="auto"/>
        </w:rPr>
      </w:pPr>
    </w:p>
    <w:p>
      <w:pPr>
        <w:ind w:right="60" w:firstLine="488"/>
        <w:spacing w:after="0" w:line="255" w:lineRule="auto"/>
        <w:rPr>
          <w:sz w:val="20"/>
          <w:szCs w:val="20"/>
          <w:color w:val="auto"/>
        </w:rPr>
      </w:pPr>
      <w:r>
        <w:rPr>
          <w:rFonts w:ascii="Arial" w:cs="Arial" w:eastAsia="Arial" w:hAnsi="Arial"/>
          <w:sz w:val="12"/>
          <w:szCs w:val="12"/>
          <w:color w:val="auto"/>
        </w:rPr>
        <w:t>The Company’s collaboration agreements typically entitle the Company to additional payments upon the achievement of development, regulatory approval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ratable method achieved at that date, and the remainder will be recorded as deferred revenue to be amortized over the remaining performance period.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29"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For collaborative agreements, the Company has concluded for accounting purposes they represent contracts with customers, and are not subject to accounting literature on collaborative arrangements. This is because the Company grants to collaboration partners licenses to its intellectual property, supplies bulk FDKP and provides research and development services,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74" w:name="page75"/>
    <w:bookmarkEnd w:id="74"/>
    <w:p>
      <w:pPr>
        <w:ind w:firstLine="488"/>
        <w:spacing w:after="0" w:line="259" w:lineRule="auto"/>
        <w:rPr>
          <w:sz w:val="20"/>
          <w:szCs w:val="20"/>
          <w:color w:val="auto"/>
        </w:rPr>
      </w:pPr>
      <w:r>
        <w:rPr>
          <w:rFonts w:ascii="Arial" w:cs="Arial" w:eastAsia="Arial" w:hAnsi="Arial"/>
          <w:sz w:val="12"/>
          <w:szCs w:val="12"/>
          <w:color w:val="auto"/>
        </w:rPr>
        <w:t>For collaboration agreements that allow collaboration partners to select additional optioned products, the Company evaluates whether such options contain material rights, (i.e. have exercise prices that are discounted compared to what the company would charge for a similar license to a new collaboration partner). The exercise price of these options includes a combination licensing fees, event-based milestone payments and royalties. When these amounts in aggregate are not offered at a discount that exceeds discounts available to other customers, the company concludes the option does not contain a material right, and considers grants of additional licensing rights upon option exercises to be separate contracts. The Company concluded there is no material right in these options.</w:t>
      </w:r>
    </w:p>
    <w:p>
      <w:pPr>
        <w:spacing w:after="0" w:line="125" w:lineRule="exact"/>
        <w:rPr>
          <w:sz w:val="20"/>
          <w:szCs w:val="20"/>
          <w:color w:val="auto"/>
        </w:rPr>
      </w:pPr>
    </w:p>
    <w:p>
      <w:pPr>
        <w:ind w:right="100" w:firstLine="488"/>
        <w:spacing w:after="0" w:line="320" w:lineRule="auto"/>
        <w:rPr>
          <w:sz w:val="20"/>
          <w:szCs w:val="20"/>
          <w:color w:val="auto"/>
        </w:rPr>
      </w:pPr>
      <w:r>
        <w:rPr>
          <w:rFonts w:ascii="Arial" w:cs="Arial" w:eastAsia="Arial" w:hAnsi="Arial"/>
          <w:sz w:val="10"/>
          <w:szCs w:val="10"/>
          <w:color w:val="auto"/>
        </w:rPr>
        <w:t>The Company follows detailed accounting guideance in measuring revenue and certain judgments affect the application of its revenue policy. For example, in connection with its existing collaboration agreements, the Company has recorded on its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 At December 31, 2018 and 2017, the Company had current deferred payment from collaborations of $36.9 million and $0.2 million, respectively and long-term deferred payment from collaborations of $10.7 million and $0.5 million, respectively, related to the Company’s collaborations.</w:t>
      </w:r>
    </w:p>
    <w:p>
      <w:pPr>
        <w:spacing w:after="0" w:line="98" w:lineRule="exact"/>
        <w:rPr>
          <w:sz w:val="20"/>
          <w:szCs w:val="20"/>
          <w:color w:val="auto"/>
        </w:rPr>
      </w:pPr>
    </w:p>
    <w:p>
      <w:pPr>
        <w:ind w:right="280" w:firstLine="488"/>
        <w:spacing w:after="0" w:line="263" w:lineRule="auto"/>
        <w:rPr>
          <w:sz w:val="20"/>
          <w:szCs w:val="20"/>
          <w:color w:val="auto"/>
        </w:rPr>
      </w:pPr>
      <w:r>
        <w:rPr>
          <w:rFonts w:ascii="Arial" w:cs="Arial" w:eastAsia="Arial" w:hAnsi="Arial"/>
          <w:sz w:val="12"/>
          <w:szCs w:val="12"/>
          <w:i w:val="1"/>
          <w:iCs w:val="1"/>
          <w:color w:val="auto"/>
        </w:rPr>
        <w:t xml:space="preserve">Revenue Recognition — Revenue — Other — </w:t>
      </w:r>
      <w:r>
        <w:rPr>
          <w:rFonts w:ascii="Arial" w:cs="Arial" w:eastAsia="Arial" w:hAnsi="Arial"/>
          <w:sz w:val="12"/>
          <w:szCs w:val="12"/>
          <w:color w:val="auto"/>
        </w:rPr>
        <w:t>In 2017, other revenue consisted of $1.7 million of revenue from bulk insulin sales and $0.6 million related to the sale of intellectual property to Shanghai Fosun Pharmaceutical</w:t>
      </w:r>
      <w:r>
        <w:rPr>
          <w:rFonts w:ascii="Arial" w:cs="Arial" w:eastAsia="Arial" w:hAnsi="Arial"/>
          <w:sz w:val="12"/>
          <w:szCs w:val="12"/>
          <w:i w:val="1"/>
          <w:iCs w:val="1"/>
          <w:color w:val="auto"/>
        </w:rPr>
        <w:t xml:space="preserve"> </w:t>
      </w:r>
      <w:r>
        <w:rPr>
          <w:rFonts w:ascii="Arial" w:cs="Arial" w:eastAsia="Arial" w:hAnsi="Arial"/>
          <w:sz w:val="12"/>
          <w:szCs w:val="12"/>
          <w:color w:val="auto"/>
        </w:rPr>
        <w:t>Industrial Development Co. Ltd (“Fosun”), which is accounted for under the multiple-deliverable revenue recognition guidance and more fully described in Note 9 – Sale of Intellectual Property. Revenue from bulk insulin sales are recognized after delivery and customer acceptance of the bulk insulin.</w:t>
      </w:r>
    </w:p>
    <w:p>
      <w:pPr>
        <w:spacing w:after="0" w:line="123" w:lineRule="exact"/>
        <w:rPr>
          <w:sz w:val="20"/>
          <w:szCs w:val="20"/>
          <w:color w:val="auto"/>
        </w:rPr>
      </w:pPr>
    </w:p>
    <w:p>
      <w:pPr>
        <w:ind w:right="60" w:firstLine="488"/>
        <w:spacing w:after="0" w:line="290" w:lineRule="auto"/>
        <w:rPr>
          <w:sz w:val="20"/>
          <w:szCs w:val="20"/>
          <w:color w:val="auto"/>
        </w:rPr>
      </w:pPr>
      <w:r>
        <w:rPr>
          <w:rFonts w:ascii="Arial" w:cs="Arial" w:eastAsia="Arial" w:hAnsi="Arial"/>
          <w:sz w:val="11"/>
          <w:szCs w:val="11"/>
          <w:i w:val="1"/>
          <w:iCs w:val="1"/>
          <w:color w:val="auto"/>
        </w:rPr>
        <w:t xml:space="preserve">Cost of Goods Sold — </w:t>
      </w:r>
      <w:r>
        <w:rPr>
          <w:rFonts w:ascii="Arial" w:cs="Arial" w:eastAsia="Arial" w:hAnsi="Arial"/>
          <w:sz w:val="11"/>
          <w:szCs w:val="11"/>
          <w:color w:val="auto"/>
        </w:rPr>
        <w:t>A significant component of cost of goods sold is current period manufacturing costs in excess of costs capitalized into inventory (excess capacity costs). These costs, in addition to the impact of the annual</w:t>
      </w:r>
      <w:r>
        <w:rPr>
          <w:rFonts w:ascii="Arial" w:cs="Arial" w:eastAsia="Arial" w:hAnsi="Arial"/>
          <w:sz w:val="11"/>
          <w:szCs w:val="11"/>
          <w:i w:val="1"/>
          <w:iCs w:val="1"/>
          <w:color w:val="auto"/>
        </w:rPr>
        <w:t xml:space="preserve"> </w:t>
      </w:r>
      <w:r>
        <w:rPr>
          <w:rFonts w:ascii="Arial" w:cs="Arial" w:eastAsia="Arial" w:hAnsi="Arial"/>
          <w:sz w:val="11"/>
          <w:szCs w:val="11"/>
          <w:color w:val="auto"/>
        </w:rPr>
        <w:t>revaluation of inventory to standard costs (and the annual revaluation of deferred costs of commercial sales to standard costs in 2017 and 2016), and write-offs of inventory (and write-offs of deferred costs of commercial sales in 2017 and 2016) are recorded as expenses in the period in which they are incurred, rather than as a portion of inventory costs. Cost of goods sold also includes the standard cost related to Afrezza sold during the period and related variances and realized currency gain or loss in connection with the Amphastar insulin contract. The cost of goods sold also excludes the write-off of the cost of insulin held in inventory at the end of 2015.</w:t>
      </w:r>
    </w:p>
    <w:p>
      <w:pPr>
        <w:spacing w:after="0" w:line="109" w:lineRule="exact"/>
        <w:rPr>
          <w:sz w:val="20"/>
          <w:szCs w:val="20"/>
          <w:color w:val="auto"/>
        </w:rPr>
      </w:pPr>
    </w:p>
    <w:p>
      <w:pPr>
        <w:ind w:right="20" w:firstLine="488"/>
        <w:spacing w:after="0" w:line="276" w:lineRule="auto"/>
        <w:rPr>
          <w:sz w:val="20"/>
          <w:szCs w:val="20"/>
          <w:color w:val="auto"/>
        </w:rPr>
      </w:pPr>
      <w:r>
        <w:rPr>
          <w:rFonts w:ascii="Arial" w:cs="Arial" w:eastAsia="Arial" w:hAnsi="Arial"/>
          <w:sz w:val="12"/>
          <w:szCs w:val="12"/>
          <w:i w:val="1"/>
          <w:iCs w:val="1"/>
          <w:color w:val="auto"/>
        </w:rPr>
        <w:t xml:space="preserve">Cash and Cash Equivalents </w:t>
      </w:r>
      <w:r>
        <w:rPr>
          <w:rFonts w:ascii="Arial" w:cs="Arial" w:eastAsia="Arial" w:hAnsi="Arial"/>
          <w:sz w:val="12"/>
          <w:szCs w:val="12"/>
          <w:color w:val="auto"/>
        </w:rPr>
        <w:t>— The Company considers all highly liquid investments with original or remaining maturities of 90 days or less at the time of purchase, that are readily convertible into cash to be cash equivalents. As</w:t>
      </w:r>
      <w:r>
        <w:rPr>
          <w:rFonts w:ascii="Arial" w:cs="Arial" w:eastAsia="Arial" w:hAnsi="Arial"/>
          <w:sz w:val="12"/>
          <w:szCs w:val="12"/>
          <w:i w:val="1"/>
          <w:iCs w:val="1"/>
          <w:color w:val="auto"/>
        </w:rPr>
        <w:t xml:space="preserve"> </w:t>
      </w:r>
      <w:r>
        <w:rPr>
          <w:rFonts w:ascii="Arial" w:cs="Arial" w:eastAsia="Arial" w:hAnsi="Arial"/>
          <w:sz w:val="12"/>
          <w:szCs w:val="12"/>
          <w:color w:val="auto"/>
        </w:rPr>
        <w:t>of December 31, 2018 and 2017, cash equivalents were comprised of money market accounts with maturities less than 90 days from the date of purchase.</w:t>
      </w:r>
    </w:p>
    <w:p>
      <w:pPr>
        <w:spacing w:after="0" w:line="115" w:lineRule="exact"/>
        <w:rPr>
          <w:sz w:val="20"/>
          <w:szCs w:val="20"/>
          <w:color w:val="auto"/>
        </w:rPr>
      </w:pPr>
    </w:p>
    <w:p>
      <w:pPr>
        <w:ind w:firstLine="488"/>
        <w:spacing w:after="0" w:line="380" w:lineRule="auto"/>
        <w:rPr>
          <w:sz w:val="20"/>
          <w:szCs w:val="20"/>
          <w:color w:val="auto"/>
        </w:rPr>
      </w:pPr>
      <w:r>
        <w:rPr>
          <w:rFonts w:ascii="Arial" w:cs="Arial" w:eastAsia="Arial" w:hAnsi="Arial"/>
          <w:sz w:val="10"/>
          <w:szCs w:val="10"/>
          <w:i w:val="1"/>
          <w:iCs w:val="1"/>
          <w:color w:val="auto"/>
        </w:rPr>
        <w:t xml:space="preserve">Restricted Cash </w:t>
      </w:r>
      <w:r>
        <w:rPr>
          <w:rFonts w:ascii="Arial" w:cs="Arial" w:eastAsia="Arial" w:hAnsi="Arial"/>
          <w:sz w:val="10"/>
          <w:szCs w:val="10"/>
          <w:color w:val="auto"/>
        </w:rPr>
        <w:t>– The Company records restricted cash when cash and cash equivalents are restricted as to withdrawal or usage. The Company presents amounts of restricted cash that will be available for use within 12 months of</w:t>
      </w:r>
      <w:r>
        <w:rPr>
          <w:rFonts w:ascii="Arial" w:cs="Arial" w:eastAsia="Arial" w:hAnsi="Arial"/>
          <w:sz w:val="10"/>
          <w:szCs w:val="10"/>
          <w:i w:val="1"/>
          <w:iCs w:val="1"/>
          <w:color w:val="auto"/>
        </w:rPr>
        <w:t xml:space="preserve"> </w:t>
      </w:r>
      <w:r>
        <w:rPr>
          <w:rFonts w:ascii="Arial" w:cs="Arial" w:eastAsia="Arial" w:hAnsi="Arial"/>
          <w:sz w:val="10"/>
          <w:szCs w:val="10"/>
          <w:color w:val="auto"/>
        </w:rPr>
        <w:t>the reporting date as restricted cash in current assets. Restricted cash amounts that will not be available for use in the Company’s operations within 12 months of the reporting date are presented as restricted cash in long term assets.</w:t>
      </w:r>
    </w:p>
    <w:p>
      <w:pPr>
        <w:spacing w:after="0" w:line="68" w:lineRule="exact"/>
        <w:rPr>
          <w:sz w:val="20"/>
          <w:szCs w:val="20"/>
          <w:color w:val="auto"/>
        </w:rPr>
      </w:pPr>
    </w:p>
    <w:p>
      <w:pPr>
        <w:ind w:right="480" w:firstLine="488"/>
        <w:spacing w:after="0" w:line="276" w:lineRule="auto"/>
        <w:rPr>
          <w:sz w:val="20"/>
          <w:szCs w:val="20"/>
          <w:color w:val="auto"/>
        </w:rPr>
      </w:pPr>
      <w:r>
        <w:rPr>
          <w:rFonts w:ascii="Arial" w:cs="Arial" w:eastAsia="Arial" w:hAnsi="Arial"/>
          <w:sz w:val="12"/>
          <w:szCs w:val="12"/>
          <w:i w:val="1"/>
          <w:iCs w:val="1"/>
          <w:color w:val="auto"/>
        </w:rPr>
        <w:t xml:space="preserve">Concentration of Credit Risk </w:t>
      </w:r>
      <w:r>
        <w:rPr>
          <w:rFonts w:ascii="Arial" w:cs="Arial" w:eastAsia="Arial" w:hAnsi="Arial"/>
          <w:sz w:val="12"/>
          <w:szCs w:val="12"/>
          <w:color w:val="auto"/>
        </w:rPr>
        <w:t>— Financial instruments which potentially subject the Company to concentration of credit risk consist of cash and cash equivalents. Cash and cash equivalents are held in high credit quality</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institutions. Cash equivalents consist of interest-bearing money market accounts and U.S. treasury securities, which are regularly monitored by management.</w:t>
      </w:r>
    </w:p>
    <w:p>
      <w:pPr>
        <w:spacing w:after="0" w:line="115"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i w:val="1"/>
          <w:iCs w:val="1"/>
          <w:color w:val="auto"/>
        </w:rPr>
        <w:t xml:space="preserve">Accounts Receivable and Allowance for Doubtful Accounts </w:t>
      </w:r>
      <w:r>
        <w:rPr>
          <w:rFonts w:ascii="Arial" w:cs="Arial" w:eastAsia="Arial" w:hAnsi="Arial"/>
          <w:sz w:val="12"/>
          <w:szCs w:val="12"/>
          <w:color w:val="auto"/>
        </w:rPr>
        <w:t>— Accounts receivable are recorded at the invoiced amount and are not interest bearing. Accounts receivable are presented net of an allowance for doubtful accounts if</w:t>
      </w:r>
      <w:r>
        <w:rPr>
          <w:rFonts w:ascii="Arial" w:cs="Arial" w:eastAsia="Arial" w:hAnsi="Arial"/>
          <w:sz w:val="12"/>
          <w:szCs w:val="12"/>
          <w:i w:val="1"/>
          <w:iCs w:val="1"/>
          <w:color w:val="auto"/>
        </w:rPr>
        <w:t xml:space="preserve"> </w:t>
      </w:r>
      <w:r>
        <w:rPr>
          <w:rFonts w:ascii="Arial" w:cs="Arial" w:eastAsia="Arial" w:hAnsi="Arial"/>
          <w:sz w:val="12"/>
          <w:szCs w:val="12"/>
          <w:color w:val="auto"/>
        </w:rPr>
        <w:t>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25" w:lineRule="exact"/>
        <w:rPr>
          <w:sz w:val="20"/>
          <w:szCs w:val="20"/>
          <w:color w:val="auto"/>
        </w:rPr>
      </w:pPr>
    </w:p>
    <w:p>
      <w:pPr>
        <w:ind w:right="40" w:firstLine="488"/>
        <w:spacing w:after="0" w:line="255" w:lineRule="auto"/>
        <w:rPr>
          <w:sz w:val="20"/>
          <w:szCs w:val="20"/>
          <w:color w:val="auto"/>
        </w:rPr>
      </w:pPr>
      <w:r>
        <w:rPr>
          <w:rFonts w:ascii="Arial" w:cs="Arial" w:eastAsia="Arial" w:hAnsi="Arial"/>
          <w:sz w:val="12"/>
          <w:szCs w:val="12"/>
          <w:i w:val="1"/>
          <w:iCs w:val="1"/>
          <w:color w:val="auto"/>
        </w:rPr>
        <w:t xml:space="preserve">Inventories </w:t>
      </w:r>
      <w:r>
        <w:rPr>
          <w:rFonts w:ascii="Arial" w:cs="Arial" w:eastAsia="Arial" w:hAnsi="Arial"/>
          <w:sz w:val="12"/>
          <w:szCs w:val="12"/>
          <w:color w:val="auto"/>
        </w:rPr>
        <w:t>— Inventories are stated at the lower of cost or net realizable value. The Company determines the cost of inventory using the first-in, first-out, or FIFO, method. The Company capitalizes inventory costs associated</w:t>
      </w:r>
      <w:r>
        <w:rPr>
          <w:rFonts w:ascii="Arial" w:cs="Arial" w:eastAsia="Arial" w:hAnsi="Arial"/>
          <w:sz w:val="12"/>
          <w:szCs w:val="12"/>
          <w:i w:val="1"/>
          <w:iCs w:val="1"/>
          <w:color w:val="auto"/>
        </w:rPr>
        <w:t xml:space="preserve"> </w:t>
      </w:r>
      <w:r>
        <w:rPr>
          <w:rFonts w:ascii="Arial" w:cs="Arial" w:eastAsia="Arial" w:hAnsi="Arial"/>
          <w:sz w:val="12"/>
          <w:szCs w:val="12"/>
          <w:color w:val="auto"/>
        </w:rPr>
        <w:t>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inventory also excludes the cost of insulin which was previously written off, in association with the insulin purchase agreement.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5" w:name="page76"/>
    <w:bookmarkEnd w:id="75"/>
    <w:p>
      <w:pPr>
        <w:jc w:val="both"/>
        <w:ind w:firstLine="488"/>
        <w:spacing w:after="0" w:line="263" w:lineRule="auto"/>
        <w:rPr>
          <w:sz w:val="20"/>
          <w:szCs w:val="20"/>
          <w:color w:val="auto"/>
        </w:rPr>
      </w:pPr>
      <w:r>
        <w:rPr>
          <w:rFonts w:ascii="Arial" w:cs="Arial" w:eastAsia="Arial" w:hAnsi="Arial"/>
          <w:sz w:val="12"/>
          <w:szCs w:val="12"/>
          <w:color w:val="auto"/>
        </w:rPr>
        <w:t>The Company analyzed its inventory levels to identify inventory that may expire or has a cost basis in excess of its estimated realizable value. The Company performed an assessment of projected sales and evaluated the lower of cost or net realizable value and the potential excess inventory on hand at December 31, 2018 and 2017. As a result of these assessments, the Company recorded a $2.2 million and $3.0 million charge for the years ended December 31, 2018 and 2017, respectively, to write-off inventory that may expire prior to sale. For the year ended December 31, 2016 there were no write-offs to inventory.</w:t>
      </w:r>
    </w:p>
    <w:p>
      <w:pPr>
        <w:spacing w:after="0" w:line="123" w:lineRule="exact"/>
        <w:rPr>
          <w:sz w:val="20"/>
          <w:szCs w:val="20"/>
          <w:color w:val="auto"/>
        </w:rPr>
      </w:pPr>
    </w:p>
    <w:p>
      <w:pPr>
        <w:ind w:right="220" w:firstLine="488"/>
        <w:spacing w:after="0" w:line="276" w:lineRule="auto"/>
        <w:rPr>
          <w:sz w:val="20"/>
          <w:szCs w:val="20"/>
          <w:color w:val="auto"/>
        </w:rPr>
      </w:pPr>
      <w:r>
        <w:rPr>
          <w:rFonts w:ascii="Arial" w:cs="Arial" w:eastAsia="Arial" w:hAnsi="Arial"/>
          <w:sz w:val="12"/>
          <w:szCs w:val="12"/>
          <w:i w:val="1"/>
          <w:iCs w:val="1"/>
          <w:color w:val="auto"/>
        </w:rPr>
        <w:t xml:space="preserve">Leases </w:t>
      </w:r>
      <w:r>
        <w:rPr>
          <w:rFonts w:ascii="Arial" w:cs="Arial" w:eastAsia="Arial" w:hAnsi="Arial"/>
          <w:sz w:val="12"/>
          <w:szCs w:val="12"/>
          <w:color w:val="auto"/>
        </w:rPr>
        <w:t>– The Company records rent expense for leases that contain scheduled rent increases on a straight-line basis over the lease term which begins with the point at which the Company obtains control and possession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leased property.</w:t>
      </w:r>
    </w:p>
    <w:p>
      <w:pPr>
        <w:spacing w:after="0" w:line="133" w:lineRule="exact"/>
        <w:rPr>
          <w:sz w:val="20"/>
          <w:szCs w:val="20"/>
          <w:color w:val="auto"/>
        </w:rPr>
      </w:pPr>
    </w:p>
    <w:p>
      <w:pPr>
        <w:ind w:right="80" w:firstLine="488"/>
        <w:spacing w:after="0" w:line="276" w:lineRule="auto"/>
        <w:rPr>
          <w:sz w:val="20"/>
          <w:szCs w:val="20"/>
          <w:color w:val="auto"/>
        </w:rPr>
      </w:pPr>
      <w:r>
        <w:rPr>
          <w:rFonts w:ascii="Arial" w:cs="Arial" w:eastAsia="Arial" w:hAnsi="Arial"/>
          <w:sz w:val="12"/>
          <w:szCs w:val="12"/>
          <w:i w:val="1"/>
          <w:iCs w:val="1"/>
          <w:color w:val="auto"/>
        </w:rPr>
        <w:t xml:space="preserve">Prepaid Expenses and Other Current Assets — </w:t>
      </w:r>
      <w:r>
        <w:rPr>
          <w:rFonts w:ascii="Arial" w:cs="Arial" w:eastAsia="Arial" w:hAnsi="Arial"/>
          <w:sz w:val="12"/>
          <w:szCs w:val="12"/>
          <w:color w:val="auto"/>
        </w:rPr>
        <w:t>As of December 31, 2018 and 2017, prepaid expenses and other current assets primarily consist of prepaid expenses for goods and services to be received and includes a certificate</w:t>
      </w:r>
      <w:r>
        <w:rPr>
          <w:rFonts w:ascii="Arial" w:cs="Arial" w:eastAsia="Arial" w:hAnsi="Arial"/>
          <w:sz w:val="12"/>
          <w:szCs w:val="12"/>
          <w:i w:val="1"/>
          <w:iCs w:val="1"/>
          <w:color w:val="auto"/>
        </w:rPr>
        <w:t xml:space="preserve"> </w:t>
      </w:r>
      <w:r>
        <w:rPr>
          <w:rFonts w:ascii="Arial" w:cs="Arial" w:eastAsia="Arial" w:hAnsi="Arial"/>
          <w:sz w:val="12"/>
          <w:szCs w:val="12"/>
          <w:color w:val="auto"/>
        </w:rPr>
        <w:t>of deposit for $0.4 million as collateral as required by an agreement with the bank.</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2"/>
          <w:szCs w:val="12"/>
          <w:i w:val="1"/>
          <w:iCs w:val="1"/>
          <w:color w:val="auto"/>
        </w:rPr>
        <w:t xml:space="preserve">Assets Held for Sale — </w:t>
      </w:r>
      <w:r>
        <w:rPr>
          <w:rFonts w:ascii="Arial" w:cs="Arial" w:eastAsia="Arial" w:hAnsi="Arial"/>
          <w:sz w:val="12"/>
          <w:szCs w:val="12"/>
          <w:color w:val="auto"/>
        </w:rPr>
        <w:t>The Company classifies long-lived assets anticipated to be sold within one year as held for sale at the lower of their carrying value or fair value less estimated selling costs.</w:t>
      </w:r>
    </w:p>
    <w:p>
      <w:pPr>
        <w:spacing w:after="0" w:line="150" w:lineRule="exact"/>
        <w:rPr>
          <w:sz w:val="20"/>
          <w:szCs w:val="20"/>
          <w:color w:val="auto"/>
        </w:rPr>
      </w:pPr>
    </w:p>
    <w:p>
      <w:pPr>
        <w:ind w:right="160" w:firstLine="488"/>
        <w:spacing w:after="0" w:line="276" w:lineRule="auto"/>
        <w:rPr>
          <w:sz w:val="20"/>
          <w:szCs w:val="20"/>
          <w:color w:val="auto"/>
        </w:rPr>
      </w:pPr>
      <w:r>
        <w:rPr>
          <w:rFonts w:ascii="Arial" w:cs="Arial" w:eastAsia="Arial" w:hAnsi="Arial"/>
          <w:sz w:val="12"/>
          <w:szCs w:val="12"/>
          <w:i w:val="1"/>
          <w:iCs w:val="1"/>
          <w:color w:val="auto"/>
        </w:rPr>
        <w:t xml:space="preserve">Property and Equipment </w:t>
      </w:r>
      <w:r>
        <w:rPr>
          <w:rFonts w:ascii="Arial" w:cs="Arial" w:eastAsia="Arial" w:hAnsi="Arial"/>
          <w:sz w:val="12"/>
          <w:szCs w:val="12"/>
          <w:color w:val="auto"/>
        </w:rPr>
        <w:t>— Property and equipment are depreciated using the straight-line method over the estimated useful lives of the related assets. Building improvements are amortized over the estimated useful life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improvements. Maintenance and repairs are expensed as incurred. Assets under construction are not depreciated until placed into service.</w:t>
      </w:r>
    </w:p>
    <w:p>
      <w:pPr>
        <w:spacing w:after="0" w:line="115" w:lineRule="exact"/>
        <w:rPr>
          <w:sz w:val="20"/>
          <w:szCs w:val="20"/>
          <w:color w:val="auto"/>
        </w:rPr>
      </w:pPr>
    </w:p>
    <w:p>
      <w:pPr>
        <w:ind w:right="480" w:firstLine="488"/>
        <w:spacing w:after="0" w:line="276" w:lineRule="auto"/>
        <w:rPr>
          <w:sz w:val="20"/>
          <w:szCs w:val="20"/>
          <w:color w:val="auto"/>
        </w:rPr>
      </w:pPr>
      <w:r>
        <w:rPr>
          <w:rFonts w:ascii="Arial" w:cs="Arial" w:eastAsia="Arial" w:hAnsi="Arial"/>
          <w:sz w:val="12"/>
          <w:szCs w:val="12"/>
          <w:i w:val="1"/>
          <w:iCs w:val="1"/>
          <w:color w:val="auto"/>
        </w:rPr>
        <w:t xml:space="preserve">Impairment of Long-Lived Assets </w:t>
      </w:r>
      <w:r>
        <w:rPr>
          <w:rFonts w:ascii="Arial" w:cs="Arial" w:eastAsia="Arial" w:hAnsi="Arial"/>
          <w:sz w:val="12"/>
          <w:szCs w:val="12"/>
          <w:color w:val="auto"/>
        </w:rPr>
        <w:t>— The Company evaluates long-lived assets for impairment whenever events or changes in circumstances indicate that the carrying value of an asset may not be recoverable. Assets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to be impaired if the carrying value may not be recoverable.</w:t>
      </w:r>
    </w:p>
    <w:p>
      <w:pPr>
        <w:spacing w:after="0" w:line="115" w:lineRule="exact"/>
        <w:rPr>
          <w:sz w:val="20"/>
          <w:szCs w:val="20"/>
          <w:color w:val="auto"/>
        </w:rPr>
      </w:pPr>
    </w:p>
    <w:p>
      <w:pPr>
        <w:ind w:right="240" w:firstLine="488"/>
        <w:spacing w:after="0" w:line="276" w:lineRule="auto"/>
        <w:rPr>
          <w:sz w:val="20"/>
          <w:szCs w:val="20"/>
          <w:color w:val="auto"/>
        </w:rPr>
      </w:pPr>
      <w:r>
        <w:rPr>
          <w:rFonts w:ascii="Arial" w:cs="Arial" w:eastAsia="Arial" w:hAnsi="Arial"/>
          <w:sz w:val="12"/>
          <w:szCs w:val="12"/>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recorded asset impairments of $0.2 million and $1.3 million for the years ended December 31, 2017 and 2016, respectively (see Note 4 — Property and Equipment).</w:t>
      </w:r>
    </w:p>
    <w:p>
      <w:pPr>
        <w:spacing w:after="0" w:line="150" w:lineRule="exact"/>
        <w:rPr>
          <w:sz w:val="20"/>
          <w:szCs w:val="20"/>
          <w:color w:val="auto"/>
        </w:rPr>
      </w:pPr>
    </w:p>
    <w:p>
      <w:pPr>
        <w:ind w:right="60" w:firstLine="488"/>
        <w:spacing w:after="0" w:line="298" w:lineRule="auto"/>
        <w:rPr>
          <w:sz w:val="20"/>
          <w:szCs w:val="20"/>
          <w:color w:val="auto"/>
        </w:rPr>
      </w:pPr>
      <w:r>
        <w:rPr>
          <w:rFonts w:ascii="Arial" w:cs="Arial" w:eastAsia="Arial" w:hAnsi="Arial"/>
          <w:sz w:val="11"/>
          <w:szCs w:val="11"/>
          <w:i w:val="1"/>
          <w:iCs w:val="1"/>
          <w:color w:val="auto"/>
        </w:rPr>
        <w:t xml:space="preserve">Recognized Loss on Purchase Commitments — </w:t>
      </w:r>
      <w:r>
        <w:rPr>
          <w:rFonts w:ascii="Arial" w:cs="Arial" w:eastAsia="Arial" w:hAnsi="Arial"/>
          <w:sz w:val="11"/>
          <w:szCs w:val="11"/>
          <w:color w:val="auto"/>
        </w:rPr>
        <w:t>The Company assesses whether losses on long term purchase commitments should be accrued. Losses that are expected to arise from firm, non-cancellable, commitments for the</w:t>
      </w:r>
      <w:r>
        <w:rPr>
          <w:rFonts w:ascii="Arial" w:cs="Arial" w:eastAsia="Arial" w:hAnsi="Arial"/>
          <w:sz w:val="11"/>
          <w:szCs w:val="11"/>
          <w:i w:val="1"/>
          <w:iCs w:val="1"/>
          <w:color w:val="auto"/>
        </w:rPr>
        <w:t xml:space="preserve"> </w:t>
      </w:r>
      <w:r>
        <w:rPr>
          <w:rFonts w:ascii="Arial" w:cs="Arial" w:eastAsia="Arial" w:hAnsi="Arial"/>
          <w:sz w:val="11"/>
          <w:szCs w:val="11"/>
          <w:color w:val="auto"/>
        </w:rPr>
        <w:t>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consolidated statement of operations.</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balance of the recognized loss on insulin purchase commitments as of December 31 2018 and 2017 was $98.3 million and $109.3 million, respectively.</w:t>
      </w:r>
    </w:p>
    <w:p>
      <w:pPr>
        <w:spacing w:after="0" w:line="150" w:lineRule="exact"/>
        <w:rPr>
          <w:sz w:val="20"/>
          <w:szCs w:val="20"/>
          <w:color w:val="auto"/>
        </w:rPr>
      </w:pPr>
    </w:p>
    <w:p>
      <w:pPr>
        <w:ind w:right="40" w:firstLine="488"/>
        <w:spacing w:after="0" w:line="264" w:lineRule="auto"/>
        <w:rPr>
          <w:sz w:val="20"/>
          <w:szCs w:val="20"/>
          <w:color w:val="auto"/>
        </w:rPr>
      </w:pPr>
      <w:r>
        <w:rPr>
          <w:rFonts w:ascii="Arial" w:cs="Arial" w:eastAsia="Arial" w:hAnsi="Arial"/>
          <w:sz w:val="12"/>
          <w:szCs w:val="12"/>
          <w:i w:val="1"/>
          <w:iCs w:val="1"/>
          <w:color w:val="auto"/>
        </w:rPr>
        <w:t xml:space="preserve">Milestone Rights Liability </w:t>
      </w:r>
      <w:r>
        <w:rPr>
          <w:rFonts w:ascii="Arial" w:cs="Arial" w:eastAsia="Arial" w:hAnsi="Arial"/>
          <w:sz w:val="12"/>
          <w:szCs w:val="12"/>
          <w:color w:val="auto"/>
        </w:rPr>
        <w:t>— On July 1, 2013, in conjunction with the execution of the Facility Agreement, the Company issued Milestone Rights to the Milestone Purchasers. The Milestone Rights provide the Milestone</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Purchasers certain rights to receive payments of up to $90.0 million, of which $75.0 million remain payable as of December 31, 2018, upon the occurrence of specified strategic and sales milestones, including the achievement of specified net sales figures. The Company analyzed the Milestone Rights and determined that the Milestone Agreement does not meet the definition of a freestanding derivative. Since the Company has not elected to apply the fair value option to the Milestone Agreement, the Company recorded the Milestone Rights at their estimated initial fair value and accounted for the Milestone Rights as a liability.</w:t>
      </w:r>
    </w:p>
    <w:p>
      <w:pPr>
        <w:spacing w:after="0" w:line="122" w:lineRule="exact"/>
        <w:rPr>
          <w:sz w:val="20"/>
          <w:szCs w:val="20"/>
          <w:color w:val="auto"/>
        </w:rPr>
      </w:pPr>
    </w:p>
    <w:p>
      <w:pPr>
        <w:ind w:right="60" w:firstLine="488"/>
        <w:spacing w:after="0" w:line="280" w:lineRule="auto"/>
        <w:rPr>
          <w:sz w:val="20"/>
          <w:szCs w:val="20"/>
          <w:color w:val="auto"/>
        </w:rPr>
      </w:pPr>
      <w:r>
        <w:rPr>
          <w:rFonts w:ascii="Arial" w:cs="Arial" w:eastAsia="Arial" w:hAnsi="Arial"/>
          <w:sz w:val="11"/>
          <w:szCs w:val="11"/>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Borrowings). As of December 31, 2018 and 2017, the remaining liability balance was $8.9 million.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6" w:name="page77"/>
    <w:bookmarkEnd w:id="76"/>
    <w:p>
      <w:pPr>
        <w:ind w:right="280" w:firstLine="488"/>
        <w:spacing w:after="0" w:line="259" w:lineRule="auto"/>
        <w:rPr>
          <w:sz w:val="20"/>
          <w:szCs w:val="20"/>
          <w:color w:val="auto"/>
        </w:rPr>
      </w:pPr>
      <w:r>
        <w:rPr>
          <w:rFonts w:ascii="Arial" w:cs="Arial" w:eastAsia="Arial" w:hAnsi="Arial"/>
          <w:sz w:val="12"/>
          <w:szCs w:val="12"/>
          <w:i w:val="1"/>
          <w:iCs w:val="1"/>
          <w:color w:val="auto"/>
        </w:rPr>
        <w:t xml:space="preserve">Fair Value of Financial Instruments </w:t>
      </w:r>
      <w:r>
        <w:rPr>
          <w:rFonts w:ascii="Arial" w:cs="Arial" w:eastAsia="Arial" w:hAnsi="Arial"/>
          <w:sz w:val="12"/>
          <w:szCs w:val="12"/>
          <w:color w:val="auto"/>
        </w:rPr>
        <w:t>—The Company applies various valuation approaches in determining the fair value of its financial assets and liabilities within a hierarchy that maximizes the use of observable inputs and</w:t>
      </w:r>
      <w:r>
        <w:rPr>
          <w:rFonts w:ascii="Arial" w:cs="Arial" w:eastAsia="Arial" w:hAnsi="Arial"/>
          <w:sz w:val="12"/>
          <w:szCs w:val="12"/>
          <w:i w:val="1"/>
          <w:iCs w:val="1"/>
          <w:color w:val="auto"/>
        </w:rPr>
        <w:t xml:space="preserve"> </w:t>
      </w:r>
      <w:r>
        <w:rPr>
          <w:rFonts w:ascii="Arial" w:cs="Arial" w:eastAsia="Arial" w:hAnsi="Arial"/>
          <w:sz w:val="12"/>
          <w:szCs w:val="12"/>
          <w:color w:val="auto"/>
        </w:rPr>
        <w:t>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Level 1 — Quoted prices for identical instruments in active markets.</w:t>
      </w:r>
    </w:p>
    <w:p>
      <w:pPr>
        <w:spacing w:after="0" w:line="78" w:lineRule="exact"/>
        <w:rPr>
          <w:sz w:val="20"/>
          <w:szCs w:val="20"/>
          <w:color w:val="auto"/>
        </w:rPr>
      </w:pPr>
    </w:p>
    <w:p>
      <w:pPr>
        <w:ind w:left="960" w:right="40" w:hanging="445"/>
        <w:spacing w:after="0" w:line="276" w:lineRule="auto"/>
        <w:rPr>
          <w:sz w:val="20"/>
          <w:szCs w:val="20"/>
          <w:color w:val="auto"/>
        </w:rPr>
      </w:pPr>
      <w:r>
        <w:rPr>
          <w:rFonts w:ascii="Arial" w:cs="Arial" w:eastAsia="Arial" w:hAnsi="Arial"/>
          <w:sz w:val="12"/>
          <w:szCs w:val="12"/>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Level 3 — Significant inputs to the valuation model are unobservable.</w:t>
      </w:r>
    </w:p>
    <w:p>
      <w:pPr>
        <w:spacing w:after="0" w:line="150" w:lineRule="exact"/>
        <w:rPr>
          <w:sz w:val="20"/>
          <w:szCs w:val="20"/>
          <w:color w:val="auto"/>
        </w:rPr>
      </w:pPr>
    </w:p>
    <w:p>
      <w:pPr>
        <w:ind w:right="20" w:firstLine="488"/>
        <w:spacing w:after="0" w:line="263"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 The provisions for federal, foreign, state and local income taxes are calculated on pre-tax income based on current tax law and include the cumulative effect of any changes in tax rates from those used previously</w:t>
      </w:r>
      <w:r>
        <w:rPr>
          <w:rFonts w:ascii="Arial" w:cs="Arial" w:eastAsia="Arial" w:hAnsi="Arial"/>
          <w:sz w:val="12"/>
          <w:szCs w:val="12"/>
          <w:i w:val="1"/>
          <w:iCs w:val="1"/>
          <w:color w:val="auto"/>
        </w:rPr>
        <w:t xml:space="preserve"> </w:t>
      </w:r>
      <w:r>
        <w:rPr>
          <w:rFonts w:ascii="Arial" w:cs="Arial" w:eastAsia="Arial" w:hAnsi="Arial"/>
          <w:sz w:val="12"/>
          <w:szCs w:val="12"/>
          <w:color w:val="auto"/>
        </w:rPr>
        <w:t>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23"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Income tax positions are considered for uncertainty.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125" w:lineRule="exact"/>
        <w:rPr>
          <w:sz w:val="20"/>
          <w:szCs w:val="20"/>
          <w:color w:val="auto"/>
        </w:rPr>
      </w:pPr>
    </w:p>
    <w:p>
      <w:pPr>
        <w:ind w:firstLine="488"/>
        <w:spacing w:after="0" w:line="290" w:lineRule="auto"/>
        <w:rPr>
          <w:sz w:val="20"/>
          <w:szCs w:val="20"/>
          <w:color w:val="auto"/>
        </w:rPr>
      </w:pPr>
      <w:r>
        <w:rPr>
          <w:rFonts w:ascii="Arial" w:cs="Arial" w:eastAsia="Arial" w:hAnsi="Arial"/>
          <w:sz w:val="11"/>
          <w:szCs w:val="11"/>
          <w:color w:val="auto"/>
        </w:rPr>
        <w:t>Significant management judgment is involved in determining the provision for income taxes, deferred tax assets, deferred tax liabilities, and any valuation allowance recorded against deferred tax assets. Due to uncertainties related to the realization of the Company’s deferred tax assets as a result of its history of operating losses, a full valuation allowance has been established against the total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See Note 16 – Income Taxes for disclosure on the tax laws enacted in December 2017.</w:t>
      </w:r>
    </w:p>
    <w:p>
      <w:pPr>
        <w:spacing w:after="0" w:line="109" w:lineRule="exact"/>
        <w:rPr>
          <w:sz w:val="20"/>
          <w:szCs w:val="20"/>
          <w:color w:val="auto"/>
        </w:rPr>
      </w:pPr>
    </w:p>
    <w:p>
      <w:pPr>
        <w:ind w:right="80" w:firstLine="488"/>
        <w:spacing w:after="0" w:line="257" w:lineRule="auto"/>
        <w:rPr>
          <w:sz w:val="20"/>
          <w:szCs w:val="20"/>
          <w:color w:val="auto"/>
        </w:rPr>
      </w:pPr>
      <w:r>
        <w:rPr>
          <w:rFonts w:ascii="Arial" w:cs="Arial" w:eastAsia="Arial" w:hAnsi="Arial"/>
          <w:sz w:val="12"/>
          <w:szCs w:val="12"/>
          <w:i w:val="1"/>
          <w:iCs w:val="1"/>
          <w:color w:val="auto"/>
        </w:rPr>
        <w:t xml:space="preserve">Contingencies </w:t>
      </w:r>
      <w:r>
        <w:rPr>
          <w:rFonts w:ascii="Arial" w:cs="Arial" w:eastAsia="Arial" w:hAnsi="Arial"/>
          <w:sz w:val="12"/>
          <w:szCs w:val="12"/>
          <w:color w:val="auto"/>
        </w:rPr>
        <w:t>— The Company records a loss contingency for a liability when it is both probable that a liability has been incurred and the amount of the loss can be reasonably estimated. These accruals represent management’s</w:t>
      </w:r>
      <w:r>
        <w:rPr>
          <w:rFonts w:ascii="Arial" w:cs="Arial" w:eastAsia="Arial" w:hAnsi="Arial"/>
          <w:sz w:val="12"/>
          <w:szCs w:val="12"/>
          <w:i w:val="1"/>
          <w:iCs w:val="1"/>
          <w:color w:val="auto"/>
        </w:rPr>
        <w:t xml:space="preserve"> </w:t>
      </w:r>
      <w:r>
        <w:rPr>
          <w:rFonts w:ascii="Arial" w:cs="Arial" w:eastAsia="Arial" w:hAnsi="Arial"/>
          <w:sz w:val="12"/>
          <w:szCs w:val="12"/>
          <w:color w:val="auto"/>
        </w:rPr>
        <w:t>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26" w:lineRule="exact"/>
        <w:rPr>
          <w:sz w:val="20"/>
          <w:szCs w:val="20"/>
          <w:color w:val="auto"/>
        </w:rPr>
      </w:pPr>
    </w:p>
    <w:p>
      <w:pPr>
        <w:ind w:right="20" w:firstLine="488"/>
        <w:spacing w:after="0" w:line="257" w:lineRule="auto"/>
        <w:rPr>
          <w:sz w:val="20"/>
          <w:szCs w:val="20"/>
          <w:color w:val="auto"/>
        </w:rPr>
      </w:pPr>
      <w:r>
        <w:rPr>
          <w:rFonts w:ascii="Arial" w:cs="Arial" w:eastAsia="Arial" w:hAnsi="Arial"/>
          <w:sz w:val="12"/>
          <w:szCs w:val="12"/>
          <w:i w:val="1"/>
          <w:iCs w:val="1"/>
          <w:color w:val="auto"/>
        </w:rPr>
        <w:t xml:space="preserve">Stock-Based Compensation </w:t>
      </w:r>
      <w:r>
        <w:rPr>
          <w:rFonts w:ascii="Arial" w:cs="Arial" w:eastAsia="Arial" w:hAnsi="Arial"/>
          <w:sz w:val="12"/>
          <w:szCs w:val="12"/>
          <w:color w:val="auto"/>
        </w:rPr>
        <w:t>— Share-based payments to employees, including grants of stock options, restricted stock units, performance-based awards and the compensatory elements of employee stock purchase plans, are</w:t>
      </w:r>
      <w:r>
        <w:rPr>
          <w:rFonts w:ascii="Arial" w:cs="Arial" w:eastAsia="Arial" w:hAnsi="Arial"/>
          <w:sz w:val="12"/>
          <w:szCs w:val="12"/>
          <w:i w:val="1"/>
          <w:iCs w:val="1"/>
          <w:color w:val="auto"/>
        </w:rPr>
        <w:t xml:space="preserve"> </w:t>
      </w:r>
      <w:r>
        <w:rPr>
          <w:rFonts w:ascii="Arial" w:cs="Arial" w:eastAsia="Arial" w:hAnsi="Arial"/>
          <w:sz w:val="12"/>
          <w:szCs w:val="12"/>
          <w:color w:val="auto"/>
        </w:rPr>
        <w:t>recognized in the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26" w:lineRule="exact"/>
        <w:rPr>
          <w:sz w:val="20"/>
          <w:szCs w:val="20"/>
          <w:color w:val="auto"/>
        </w:rPr>
      </w:pPr>
    </w:p>
    <w:p>
      <w:pPr>
        <w:jc w:val="both"/>
        <w:ind w:right="60" w:firstLine="488"/>
        <w:spacing w:after="0" w:line="263" w:lineRule="auto"/>
        <w:rPr>
          <w:sz w:val="20"/>
          <w:szCs w:val="20"/>
          <w:color w:val="auto"/>
        </w:rPr>
      </w:pPr>
      <w:r>
        <w:rPr>
          <w:rFonts w:ascii="Arial" w:cs="Arial" w:eastAsia="Arial" w:hAnsi="Arial"/>
          <w:sz w:val="12"/>
          <w:szCs w:val="12"/>
          <w:i w:val="1"/>
          <w:iCs w:val="1"/>
          <w:color w:val="auto"/>
        </w:rPr>
        <w:t xml:space="preserve">Warrants </w:t>
      </w:r>
      <w:r>
        <w:rPr>
          <w:rFonts w:ascii="Arial" w:cs="Arial" w:eastAsia="Arial" w:hAnsi="Arial"/>
          <w:sz w:val="12"/>
          <w:szCs w:val="12"/>
          <w:color w:val="auto"/>
        </w:rPr>
        <w:t>— The Company accounts for its warrants as either equity or liabilities based upon the characteristics and provisions of each instrument and evaluation of sufficient authorized shares available to satisfy the obligations.</w:t>
      </w:r>
      <w:r>
        <w:rPr>
          <w:rFonts w:ascii="Arial" w:cs="Arial" w:eastAsia="Arial" w:hAnsi="Arial"/>
          <w:sz w:val="12"/>
          <w:szCs w:val="12"/>
          <w:i w:val="1"/>
          <w:iCs w:val="1"/>
          <w:color w:val="auto"/>
        </w:rPr>
        <w:t xml:space="preserve"> </w:t>
      </w:r>
      <w:r>
        <w:rPr>
          <w:rFonts w:ascii="Arial" w:cs="Arial" w:eastAsia="Arial" w:hAnsi="Arial"/>
          <w:sz w:val="12"/>
          <w:szCs w:val="12"/>
          <w:color w:val="auto"/>
        </w:rPr>
        <w:t>Warrants classified as derivative liabilities are recorded on the Company’s consolidated balance sheets at their fair value on the date of issuance and are revalued at each subsequent balance sheet date, with fair value changes recognized in the consolidated statements of operations.</w:t>
      </w:r>
    </w:p>
    <w:p>
      <w:pPr>
        <w:spacing w:after="0" w:line="123" w:lineRule="exact"/>
        <w:rPr>
          <w:sz w:val="20"/>
          <w:szCs w:val="20"/>
          <w:color w:val="auto"/>
        </w:rPr>
      </w:pPr>
    </w:p>
    <w:p>
      <w:pPr>
        <w:jc w:val="both"/>
        <w:ind w:right="320" w:firstLine="488"/>
        <w:spacing w:after="0" w:line="263" w:lineRule="auto"/>
        <w:rPr>
          <w:sz w:val="20"/>
          <w:szCs w:val="20"/>
          <w:color w:val="auto"/>
        </w:rPr>
      </w:pPr>
      <w:r>
        <w:rPr>
          <w:rFonts w:ascii="Arial" w:cs="Arial" w:eastAsia="Arial" w:hAnsi="Arial"/>
          <w:sz w:val="12"/>
          <w:szCs w:val="12"/>
          <w:i w:val="1"/>
          <w:iCs w:val="1"/>
          <w:color w:val="auto"/>
        </w:rPr>
        <w:t xml:space="preserve">Comprehensive Income (Loss) </w:t>
      </w:r>
      <w:r>
        <w:rPr>
          <w:rFonts w:ascii="Arial" w:cs="Arial" w:eastAsia="Arial" w:hAnsi="Arial"/>
          <w:sz w:val="12"/>
          <w:szCs w:val="12"/>
          <w:color w:val="auto"/>
        </w:rPr>
        <w:t>— Other comprehensive income (loss) requires that all components of comprehensive income (loss) to be reported in the financial statements in the period in which they are recognized. Other</w:t>
      </w:r>
      <w:r>
        <w:rPr>
          <w:rFonts w:ascii="Arial" w:cs="Arial" w:eastAsia="Arial" w:hAnsi="Arial"/>
          <w:sz w:val="12"/>
          <w:szCs w:val="12"/>
          <w:i w:val="1"/>
          <w:iCs w:val="1"/>
          <w:color w:val="auto"/>
        </w:rPr>
        <w:t xml:space="preserve"> </w:t>
      </w:r>
      <w:r>
        <w:rPr>
          <w:rFonts w:ascii="Arial" w:cs="Arial" w:eastAsia="Arial" w:hAnsi="Arial"/>
          <w:sz w:val="12"/>
          <w:szCs w:val="12"/>
          <w:color w:val="auto"/>
        </w:rPr>
        <w:t>comprehensive income (loss) includes certain changes in stockholders’ equity that are excluded from net income (loss). Specifically, the Company includes unrealized gains and losses on foreign exchange translation gains and losses resulting from translating cash and cash accounts in foreign currencies in accumulated other comprehensive loss on the consolidated balance sheets.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7" w:name="page78"/>
    <w:bookmarkEnd w:id="77"/>
    <w:p>
      <w:pPr>
        <w:jc w:val="both"/>
        <w:ind w:right="280" w:firstLine="488"/>
        <w:spacing w:after="0" w:line="263" w:lineRule="auto"/>
        <w:rPr>
          <w:sz w:val="20"/>
          <w:szCs w:val="20"/>
          <w:color w:val="auto"/>
        </w:rPr>
      </w:pPr>
      <w:r>
        <w:rPr>
          <w:rFonts w:ascii="Arial" w:cs="Arial" w:eastAsia="Arial" w:hAnsi="Arial"/>
          <w:sz w:val="12"/>
          <w:szCs w:val="12"/>
          <w:i w:val="1"/>
          <w:iCs w:val="1"/>
          <w:color w:val="auto"/>
        </w:rPr>
        <w:t xml:space="preserve">Research and Development Expenses </w:t>
      </w:r>
      <w:r>
        <w:rPr>
          <w:rFonts w:ascii="Arial" w:cs="Arial" w:eastAsia="Arial" w:hAnsi="Arial"/>
          <w:sz w:val="12"/>
          <w:szCs w:val="12"/>
          <w:color w:val="auto"/>
        </w:rPr>
        <w:t>— Research and development expenses consist of costs associated with the clinical trials of the Company’s product candidates, development supplies and other development materials,</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w:t>
      </w:r>
    </w:p>
    <w:p>
      <w:pPr>
        <w:spacing w:after="0" w:line="123" w:lineRule="exact"/>
        <w:rPr>
          <w:sz w:val="20"/>
          <w:szCs w:val="20"/>
          <w:color w:val="auto"/>
        </w:rPr>
      </w:pPr>
    </w:p>
    <w:p>
      <w:pPr>
        <w:ind w:firstLine="488"/>
        <w:spacing w:after="0" w:line="283" w:lineRule="auto"/>
        <w:rPr>
          <w:sz w:val="20"/>
          <w:szCs w:val="20"/>
          <w:color w:val="auto"/>
        </w:rPr>
      </w:pPr>
      <w:r>
        <w:rPr>
          <w:rFonts w:ascii="Arial" w:cs="Arial" w:eastAsia="Arial" w:hAnsi="Arial"/>
          <w:sz w:val="11"/>
          <w:szCs w:val="11"/>
          <w:i w:val="1"/>
          <w:iCs w:val="1"/>
          <w:color w:val="auto"/>
        </w:rPr>
        <w:t xml:space="preserve">Clinical Trial Expenses </w:t>
      </w:r>
      <w:r>
        <w:rPr>
          <w:rFonts w:ascii="Arial" w:cs="Arial" w:eastAsia="Arial" w:hAnsi="Arial"/>
          <w:sz w:val="11"/>
          <w:szCs w:val="11"/>
          <w:color w:val="auto"/>
        </w:rPr>
        <w:t>— Clinical trial expenses, which are reflected in research and development expenses in the accompanying consolidated statements of operations, result from obligations under contracts with vendors,</w:t>
      </w:r>
      <w:r>
        <w:rPr>
          <w:rFonts w:ascii="Arial" w:cs="Arial" w:eastAsia="Arial" w:hAnsi="Arial"/>
          <w:sz w:val="11"/>
          <w:szCs w:val="11"/>
          <w:i w:val="1"/>
          <w:iCs w:val="1"/>
          <w:color w:val="auto"/>
        </w:rPr>
        <w:t xml:space="preserve"> </w:t>
      </w:r>
      <w:r>
        <w:rPr>
          <w:rFonts w:ascii="Arial" w:cs="Arial" w:eastAsia="Arial" w:hAnsi="Arial"/>
          <w:sz w:val="11"/>
          <w:szCs w:val="11"/>
          <w:color w:val="auto"/>
        </w:rPr>
        <w:t>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consolidated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141" w:lineRule="exact"/>
        <w:rPr>
          <w:sz w:val="20"/>
          <w:szCs w:val="20"/>
          <w:color w:val="auto"/>
        </w:rPr>
      </w:pPr>
    </w:p>
    <w:p>
      <w:pPr>
        <w:ind w:right="80" w:firstLine="488"/>
        <w:spacing w:after="0" w:line="276"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 Interest costs are expensed as incurred, except to the extent such interest is related to construction in progress, in which case interest is capitalized. There were no capitalized interest costs for the years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2018 and 2017.</w:t>
      </w:r>
    </w:p>
    <w:p>
      <w:pPr>
        <w:spacing w:after="0" w:line="115" w:lineRule="exact"/>
        <w:rPr>
          <w:sz w:val="20"/>
          <w:szCs w:val="20"/>
          <w:color w:val="auto"/>
        </w:rPr>
      </w:pPr>
    </w:p>
    <w:p>
      <w:pPr>
        <w:ind w:firstLine="488"/>
        <w:spacing w:after="0" w:line="298" w:lineRule="auto"/>
        <w:rPr>
          <w:sz w:val="20"/>
          <w:szCs w:val="20"/>
          <w:color w:val="auto"/>
        </w:rPr>
      </w:pPr>
      <w:r>
        <w:rPr>
          <w:rFonts w:ascii="Arial" w:cs="Arial" w:eastAsia="Arial" w:hAnsi="Arial"/>
          <w:sz w:val="11"/>
          <w:szCs w:val="11"/>
          <w:i w:val="1"/>
          <w:iCs w:val="1"/>
          <w:color w:val="auto"/>
        </w:rPr>
        <w:t xml:space="preserve">Net Income (Loss) Per Share of Common Stock </w:t>
      </w:r>
      <w:r>
        <w:rPr>
          <w:rFonts w:ascii="Arial" w:cs="Arial" w:eastAsia="Arial" w:hAnsi="Arial"/>
          <w:sz w:val="11"/>
          <w:szCs w:val="11"/>
          <w:color w:val="auto"/>
        </w:rPr>
        <w:t>— Basic net income or loss per share excludes dilution for potentially dilutive securities and is computed by dividing net income or loss by the weighted average number of</w:t>
      </w:r>
      <w:r>
        <w:rPr>
          <w:rFonts w:ascii="Arial" w:cs="Arial" w:eastAsia="Arial" w:hAnsi="Arial"/>
          <w:sz w:val="11"/>
          <w:szCs w:val="11"/>
          <w:i w:val="1"/>
          <w:iCs w:val="1"/>
          <w:color w:val="auto"/>
        </w:rPr>
        <w:t xml:space="preserve"> </w:t>
      </w:r>
      <w:r>
        <w:rPr>
          <w:rFonts w:ascii="Arial" w:cs="Arial" w:eastAsia="Arial" w:hAnsi="Arial"/>
          <w:sz w:val="11"/>
          <w:szCs w:val="11"/>
          <w:color w:val="auto"/>
        </w:rPr>
        <w:t>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05" w:lineRule="exact"/>
        <w:rPr>
          <w:sz w:val="20"/>
          <w:szCs w:val="20"/>
          <w:color w:val="auto"/>
        </w:rPr>
      </w:pPr>
    </w:p>
    <w:p>
      <w:pPr>
        <w:ind w:firstLine="488"/>
        <w:spacing w:after="0" w:line="257" w:lineRule="auto"/>
        <w:rPr>
          <w:sz w:val="20"/>
          <w:szCs w:val="20"/>
          <w:color w:val="auto"/>
        </w:rPr>
      </w:pPr>
      <w:r>
        <w:rPr>
          <w:rFonts w:ascii="Arial" w:cs="Arial" w:eastAsia="Arial" w:hAnsi="Arial"/>
          <w:sz w:val="12"/>
          <w:szCs w:val="12"/>
          <w:color w:val="auto"/>
        </w:rPr>
        <w:t>In May 2014, the FASB issued Accounting Standards Update (ASU) No. 2014-09, Revenue from Contracts with Customers (Topic 606). The standard requires a company to recognize revenue to depict the transfer of goods or services when transferred to customers in an amount that reflects the consideration it expects to be entitled to receive in exchange for those goods or services. In August 2015, the FASB issued ASU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In March 2016, the FASB issued additional ASUs which clarified certain aspects of the new guidance. The new guidance also requires disclosures about the nature, timing and uncertainty of revenue and cash flows arising from customer contracts, including significant judgments and changes in judgments.</w:t>
      </w:r>
    </w:p>
    <w:p>
      <w:pPr>
        <w:spacing w:after="0" w:line="126"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The Company applied the new revenue guidance using the modified retrospective approach to all contracts with the cumulative effect of initial application recognized as of January 1, 2018. Revenue amounts and comparative information prior to this adoption date have not been retrospectively adjusted and continue to be accounted for under the previous accounting guidance.</w:t>
      </w:r>
    </w:p>
    <w:p>
      <w:pPr>
        <w:spacing w:after="0" w:line="115"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The previous accounting guidance required the Company to reliably estimate returns in order to recognize revenue upon shipment. While the Company could estimate returns within a range, it was not sufficiently precise to meet those requirements. Accordingly, under the previous guidance, the Company deferred recognition of revenue on Afrezza product deliveries to wholesalers until the right of return no longer existed, which occurred at the earlier of the time Afrezza was dispensed from pharmacies to patients or expiration of the right of return. Therefore, for deliveries to wholesalers, the Company recognized revenue based on estimated Afrezza patient prescriptions dispensed, a sell-through model.</w:t>
      </w:r>
    </w:p>
    <w:p>
      <w:pPr>
        <w:spacing w:after="0" w:line="125" w:lineRule="exact"/>
        <w:rPr>
          <w:sz w:val="20"/>
          <w:szCs w:val="20"/>
          <w:color w:val="auto"/>
        </w:rPr>
      </w:pPr>
    </w:p>
    <w:p>
      <w:pPr>
        <w:ind w:right="160" w:firstLine="488"/>
        <w:spacing w:after="0" w:line="263" w:lineRule="auto"/>
        <w:rPr>
          <w:sz w:val="20"/>
          <w:szCs w:val="20"/>
          <w:color w:val="auto"/>
        </w:rPr>
      </w:pPr>
      <w:r>
        <w:rPr>
          <w:rFonts w:ascii="Arial" w:cs="Arial" w:eastAsia="Arial" w:hAnsi="Arial"/>
          <w:sz w:val="12"/>
          <w:szCs w:val="12"/>
          <w:color w:val="auto"/>
        </w:rPr>
        <w:t>Upon adoption of the new revenue guidance, the Company moved from the sell-through model to a sell-to model for revenue related to commercial sales of Afrezza to wholesalers and now records revenue when its customers take control of the product along with an estimate of potential returns as variable consideration. For sales of Afrezza to specialty pharmacies, the Company previously recognized revenue at the time of shipment because specialty pharmacies generally purchase on demand and estimated returns are minimal. Therefore, there was no impact upon adoption for sales to specialty pharmacies.</w:t>
      </w:r>
    </w:p>
    <w:p>
      <w:pPr>
        <w:spacing w:after="0" w:line="123" w:lineRule="exact"/>
        <w:rPr>
          <w:sz w:val="20"/>
          <w:szCs w:val="20"/>
          <w:color w:val="auto"/>
        </w:rPr>
      </w:pPr>
    </w:p>
    <w:p>
      <w:pPr>
        <w:ind w:right="220" w:firstLine="488"/>
        <w:spacing w:after="0" w:line="259" w:lineRule="auto"/>
        <w:rPr>
          <w:sz w:val="20"/>
          <w:szCs w:val="20"/>
          <w:color w:val="auto"/>
        </w:rPr>
      </w:pPr>
      <w:r>
        <w:rPr>
          <w:rFonts w:ascii="Arial" w:cs="Arial" w:eastAsia="Arial" w:hAnsi="Arial"/>
          <w:sz w:val="12"/>
          <w:szCs w:val="12"/>
          <w:color w:val="auto"/>
        </w:rPr>
        <w:t xml:space="preserve">Additionally, the Company has historically entered into collaborative agreements and sales of intellectual property to third parties under which periodic payments have been received. In February 2017, the FASB issued ASU 2017-05 </w:t>
      </w:r>
      <w:r>
        <w:rPr>
          <w:rFonts w:ascii="Arial" w:cs="Arial" w:eastAsia="Arial" w:hAnsi="Arial"/>
          <w:sz w:val="12"/>
          <w:szCs w:val="12"/>
          <w:i w:val="1"/>
          <w:iCs w:val="1"/>
          <w:color w:val="auto"/>
        </w:rPr>
        <w:t>Clarifying the Scope of Asset Derecognition Guidance and Accounting for Partial Sales of Nonfinancial Assets to ASC Subtopic 610-20, Other Income-Gains and Losses from the Derecognition of Nonfinancial Assets</w:t>
      </w:r>
      <w:r>
        <w:rPr>
          <w:rFonts w:ascii="Arial" w:cs="Arial" w:eastAsia="Arial" w:hAnsi="Arial"/>
          <w:sz w:val="12"/>
          <w:szCs w:val="12"/>
          <w:color w:val="auto"/>
        </w:rPr>
        <w:t xml:space="preserve"> which further clarified the new revenue recognition guidance under Topic 606. The Company adopted the guidance on January 1, 2018 using the modified retrospective method. There was no impact upon adoption related to these arrangements. These transactions are more fully described in Note 8 – Collaboration Arrangements and Note 9 - Sale of Intellectual Property.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19" w:right="239" w:bottom="1440" w:gutter="0" w:footer="0" w:header="0"/>
        </w:sectPr>
      </w:pPr>
    </w:p>
    <w:bookmarkStart w:id="78" w:name="page79"/>
    <w:bookmarkEnd w:id="78"/>
    <w:p>
      <w:pPr>
        <w:ind w:left="488"/>
        <w:spacing w:after="0"/>
        <w:rPr>
          <w:sz w:val="20"/>
          <w:szCs w:val="20"/>
          <w:color w:val="auto"/>
        </w:rPr>
      </w:pPr>
      <w:r>
        <w:rPr>
          <w:rFonts w:ascii="Arial" w:cs="Arial" w:eastAsia="Arial" w:hAnsi="Arial"/>
          <w:sz w:val="12"/>
          <w:szCs w:val="12"/>
          <w:color w:val="auto"/>
        </w:rPr>
        <w:t>The cumulative effect of the changes made to the consolidated January 1, 2018 balance sheet for the adoption of the new revenue guidance was as follows (in thousands):</w:t>
      </w:r>
    </w:p>
    <w:p>
      <w:pPr>
        <w:spacing w:after="0" w:line="138" w:lineRule="exact"/>
        <w:rPr>
          <w:sz w:val="20"/>
          <w:szCs w:val="20"/>
          <w:color w:val="auto"/>
        </w:rPr>
      </w:pPr>
    </w:p>
    <w:tbl>
      <w:tblPr>
        <w:tblLayout w:type="fixed"/>
        <w:tblInd w:w="114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85"/>
              </w:rPr>
              <w:t>Adjustments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gridSpan w:val="2"/>
          </w:tcPr>
          <w:p>
            <w:pPr>
              <w:jc w:val="center"/>
              <w:ind w:right="640"/>
              <w:spacing w:after="0" w:line="99" w:lineRule="exact"/>
              <w:rPr>
                <w:sz w:val="20"/>
                <w:szCs w:val="20"/>
                <w:color w:val="auto"/>
              </w:rPr>
            </w:pPr>
            <w:r>
              <w:rPr>
                <w:rFonts w:ascii="Arial" w:cs="Arial" w:eastAsia="Arial" w:hAnsi="Arial"/>
                <w:sz w:val="10"/>
                <w:szCs w:val="10"/>
                <w:b w:val="1"/>
                <w:bCs w:val="1"/>
                <w:color w:val="auto"/>
                <w:w w:val="84"/>
              </w:rPr>
              <w:t>due to new</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2"/>
          </w:tcPr>
          <w:p>
            <w:pPr>
              <w:jc w:val="right"/>
              <w:ind w:right="660"/>
              <w:spacing w:after="0" w:line="99" w:lineRule="exact"/>
              <w:rPr>
                <w:sz w:val="20"/>
                <w:szCs w:val="20"/>
                <w:color w:val="auto"/>
              </w:rPr>
            </w:pPr>
            <w:r>
              <w:rPr>
                <w:rFonts w:ascii="Arial" w:cs="Arial" w:eastAsia="Arial" w:hAnsi="Arial"/>
                <w:sz w:val="10"/>
                <w:szCs w:val="10"/>
                <w:b w:val="1"/>
                <w:bCs w:val="1"/>
                <w:color w:val="auto"/>
              </w:rPr>
              <w:t>Balance at</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gridSpan w:val="2"/>
          </w:tcPr>
          <w:p>
            <w:pPr>
              <w:jc w:val="center"/>
              <w:ind w:right="640"/>
              <w:spacing w:after="0" w:line="99" w:lineRule="exact"/>
              <w:rPr>
                <w:sz w:val="20"/>
                <w:szCs w:val="20"/>
                <w:color w:val="auto"/>
              </w:rPr>
            </w:pPr>
            <w:r>
              <w:rPr>
                <w:rFonts w:ascii="Arial" w:cs="Arial" w:eastAsia="Arial" w:hAnsi="Arial"/>
                <w:sz w:val="10"/>
                <w:szCs w:val="10"/>
                <w:b w:val="1"/>
                <w:bCs w:val="1"/>
                <w:color w:val="auto"/>
                <w:w w:val="83"/>
              </w:rPr>
              <w:t>revenue</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right"/>
              <w:ind w:right="620"/>
              <w:spacing w:after="0" w:line="99" w:lineRule="exact"/>
              <w:rPr>
                <w:sz w:val="20"/>
                <w:szCs w:val="20"/>
                <w:color w:val="auto"/>
              </w:rPr>
            </w:pPr>
            <w:r>
              <w:rPr>
                <w:rFonts w:ascii="Arial" w:cs="Arial" w:eastAsia="Arial" w:hAnsi="Arial"/>
                <w:sz w:val="10"/>
                <w:szCs w:val="10"/>
                <w:b w:val="1"/>
                <w:bCs w:val="1"/>
                <w:color w:val="auto"/>
              </w:rPr>
              <w:t>Balance at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w w:val="99"/>
              </w:rPr>
              <w:t>December 31, 2017</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tcPr>
          <w:p>
            <w:pPr>
              <w:jc w:val="center"/>
              <w:ind w:right="620"/>
              <w:spacing w:after="0" w:line="114" w:lineRule="exact"/>
              <w:rPr>
                <w:sz w:val="20"/>
                <w:szCs w:val="20"/>
                <w:color w:val="auto"/>
              </w:rPr>
            </w:pPr>
            <w:r>
              <w:rPr>
                <w:rFonts w:ascii="Arial" w:cs="Arial" w:eastAsia="Arial" w:hAnsi="Arial"/>
                <w:sz w:val="10"/>
                <w:szCs w:val="10"/>
                <w:b w:val="1"/>
                <w:bCs w:val="1"/>
                <w:color w:val="auto"/>
                <w:w w:val="86"/>
              </w:rPr>
              <w:t>guidance</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520"/>
              <w:spacing w:after="0" w:line="114" w:lineRule="exact"/>
              <w:rPr>
                <w:sz w:val="20"/>
                <w:szCs w:val="20"/>
                <w:color w:val="auto"/>
              </w:rPr>
            </w:pPr>
            <w:r>
              <w:rPr>
                <w:rFonts w:ascii="Arial" w:cs="Arial" w:eastAsia="Arial" w:hAnsi="Arial"/>
                <w:sz w:val="10"/>
                <w:szCs w:val="10"/>
                <w:b w:val="1"/>
                <w:bCs w:val="1"/>
                <w:color w:val="auto"/>
              </w:rPr>
              <w:t>January 1, 2018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top w:val="single" w:sz="8" w:color="CFF0FC"/>
            </w:tcBorders>
            <w:gridSpan w:val="3"/>
            <w:shd w:val="clear" w:color="auto" w:fill="CFF0FC"/>
          </w:tcPr>
          <w:p>
            <w:pPr>
              <w:spacing w:after="0" w:line="115" w:lineRule="exact"/>
              <w:rPr>
                <w:sz w:val="20"/>
                <w:szCs w:val="20"/>
                <w:color w:val="auto"/>
              </w:rPr>
            </w:pPr>
            <w:r>
              <w:rPr>
                <w:rFonts w:ascii="Arial" w:cs="Arial" w:eastAsia="Arial" w:hAnsi="Arial"/>
                <w:sz w:val="12"/>
                <w:szCs w:val="12"/>
                <w:b w:val="1"/>
                <w:bCs w:val="1"/>
                <w:color w:val="auto"/>
              </w:rPr>
              <w:t>Assets</w:t>
            </w:r>
          </w:p>
        </w:tc>
        <w:tc>
          <w:tcPr>
            <w:tcW w:w="100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2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320" w:type="dxa"/>
            <w:vAlign w:val="bottom"/>
            <w:tcBorders>
              <w:right w:val="single" w:sz="8" w:color="CFF0FC"/>
            </w:tcBorders>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4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960" w:type="dxa"/>
            <w:vAlign w:val="bottom"/>
            <w:gridSpan w:val="4"/>
          </w:tcPr>
          <w:p>
            <w:pPr>
              <w:spacing w:after="0"/>
              <w:rPr>
                <w:sz w:val="20"/>
                <w:szCs w:val="20"/>
                <w:color w:val="auto"/>
              </w:rPr>
            </w:pPr>
            <w:r>
              <w:rPr>
                <w:rFonts w:ascii="Arial" w:cs="Arial" w:eastAsia="Arial" w:hAnsi="Arial"/>
                <w:sz w:val="12"/>
                <w:szCs w:val="12"/>
                <w:color w:val="auto"/>
              </w:rPr>
              <w:t>Accounts receivable, net</w:t>
            </w: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2,789</w:t>
            </w:r>
          </w:p>
        </w:tc>
        <w:tc>
          <w:tcPr>
            <w:tcW w:w="1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160"/>
              <w:spacing w:after="0" w:line="153" w:lineRule="exact"/>
              <w:rPr>
                <w:sz w:val="20"/>
                <w:szCs w:val="20"/>
                <w:color w:val="auto"/>
              </w:rPr>
            </w:pPr>
            <w:r>
              <w:rPr>
                <w:rFonts w:ascii="Arial" w:cs="Arial" w:eastAsia="Arial" w:hAnsi="Arial"/>
                <w:sz w:val="11"/>
                <w:szCs w:val="11"/>
                <w:color w:val="auto"/>
              </w:rPr>
              <w:t xml:space="preserve">(111) </w:t>
            </w:r>
            <w:r>
              <w:rPr>
                <w:rFonts w:ascii="Arial" w:cs="Arial" w:eastAsia="Arial" w:hAnsi="Arial"/>
                <w:sz w:val="17"/>
                <w:szCs w:val="17"/>
                <w:color w:val="auto"/>
                <w:vertAlign w:val="superscript"/>
              </w:rPr>
              <w:t>(1)</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2,678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Deferred costs from commercial product</w:t>
            </w: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(2)</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sales</w:t>
            </w: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(405)</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gridSpan w:val="2"/>
            <w:shd w:val="clear" w:color="auto" w:fill="CFF0FC"/>
          </w:tcPr>
          <w:p>
            <w:pPr>
              <w:spacing w:after="0" w:line="126" w:lineRule="exact"/>
              <w:rPr>
                <w:sz w:val="20"/>
                <w:szCs w:val="20"/>
                <w:color w:val="auto"/>
              </w:rPr>
            </w:pPr>
            <w:r>
              <w:rPr>
                <w:rFonts w:ascii="Arial" w:cs="Arial" w:eastAsia="Arial" w:hAnsi="Arial"/>
                <w:sz w:val="12"/>
                <w:szCs w:val="12"/>
                <w:b w:val="1"/>
                <w:bCs w:val="1"/>
                <w:color w:val="auto"/>
                <w:w w:val="86"/>
              </w:rPr>
              <w:t>Liabilities</w:t>
            </w:r>
          </w:p>
        </w:tc>
        <w:tc>
          <w:tcPr>
            <w:tcW w:w="24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60" w:type="dxa"/>
            <w:vAlign w:val="bottom"/>
            <w:gridSpan w:val="4"/>
          </w:tcPr>
          <w:p>
            <w:pPr>
              <w:spacing w:after="0"/>
              <w:rPr>
                <w:sz w:val="20"/>
                <w:szCs w:val="20"/>
                <w:color w:val="auto"/>
              </w:rPr>
            </w:pPr>
            <w:r>
              <w:rPr>
                <w:rFonts w:ascii="Arial" w:cs="Arial" w:eastAsia="Arial" w:hAnsi="Arial"/>
                <w:sz w:val="12"/>
                <w:szCs w:val="12"/>
                <w:color w:val="auto"/>
              </w:rPr>
              <w:t>Accrued expenses and other current</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0"/>
                <w:szCs w:val="10"/>
                <w:color w:val="auto"/>
              </w:rPr>
              <w:t>(3)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gridSpan w:val="3"/>
          </w:tcPr>
          <w:p>
            <w:pPr>
              <w:ind w:left="80"/>
              <w:spacing w:after="0"/>
              <w:rPr>
                <w:sz w:val="20"/>
                <w:szCs w:val="20"/>
                <w:color w:val="auto"/>
              </w:rPr>
            </w:pPr>
            <w:r>
              <w:rPr>
                <w:rFonts w:ascii="Arial" w:cs="Arial" w:eastAsia="Arial" w:hAnsi="Arial"/>
                <w:sz w:val="12"/>
                <w:szCs w:val="12"/>
                <w:color w:val="auto"/>
              </w:rPr>
              <w:t>liabilities</w:t>
            </w: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12,449</w:t>
            </w:r>
          </w:p>
        </w:tc>
        <w:tc>
          <w:tcPr>
            <w:tcW w:w="1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649</w:t>
            </w:r>
          </w:p>
        </w:tc>
        <w:tc>
          <w:tcPr>
            <w:tcW w:w="36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13,098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Deferred revenue, net</w:t>
            </w: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60"/>
              <w:spacing w:after="0" w:line="154" w:lineRule="exact"/>
              <w:rPr>
                <w:sz w:val="20"/>
                <w:szCs w:val="20"/>
                <w:color w:val="auto"/>
              </w:rPr>
            </w:pPr>
            <w:r>
              <w:rPr>
                <w:rFonts w:ascii="Arial" w:cs="Arial" w:eastAsia="Arial" w:hAnsi="Arial"/>
                <w:sz w:val="11"/>
                <w:szCs w:val="11"/>
                <w:color w:val="auto"/>
              </w:rPr>
              <w:t xml:space="preserve">(3,038) </w:t>
            </w:r>
            <w:r>
              <w:rPr>
                <w:rFonts w:ascii="Arial" w:cs="Arial" w:eastAsia="Arial" w:hAnsi="Arial"/>
                <w:sz w:val="17"/>
                <w:szCs w:val="17"/>
                <w:color w:val="auto"/>
                <w:vertAlign w:val="subscript"/>
              </w:rPr>
              <w:t>(4)</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3"/>
            <w:shd w:val="clear" w:color="auto" w:fill="CFF0FC"/>
          </w:tcPr>
          <w:p>
            <w:pPr>
              <w:spacing w:after="0" w:line="126" w:lineRule="exact"/>
              <w:rPr>
                <w:sz w:val="20"/>
                <w:szCs w:val="20"/>
                <w:color w:val="auto"/>
              </w:rPr>
            </w:pPr>
            <w:r>
              <w:rPr>
                <w:rFonts w:ascii="Arial" w:cs="Arial" w:eastAsia="Arial" w:hAnsi="Arial"/>
                <w:sz w:val="12"/>
                <w:szCs w:val="12"/>
                <w:b w:val="1"/>
                <w:bCs w:val="1"/>
                <w:color w:val="auto"/>
              </w:rPr>
              <w:t>Equity</w:t>
            </w:r>
          </w:p>
        </w:tc>
        <w:tc>
          <w:tcPr>
            <w:tcW w:w="10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4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gridSpan w:val="4"/>
          </w:tcPr>
          <w:p>
            <w:pPr>
              <w:spacing w:after="0"/>
              <w:rPr>
                <w:sz w:val="20"/>
                <w:szCs w:val="20"/>
                <w:color w:val="auto"/>
              </w:rPr>
            </w:pPr>
            <w:r>
              <w:rPr>
                <w:rFonts w:ascii="Arial" w:cs="Arial" w:eastAsia="Arial" w:hAnsi="Arial"/>
                <w:sz w:val="12"/>
                <w:szCs w:val="12"/>
                <w:color w:val="auto"/>
              </w:rPr>
              <w:t>Accumulated deficit</w:t>
            </w: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(2,854,898)</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2"/>
                <w:szCs w:val="12"/>
                <w:color w:val="auto"/>
              </w:rPr>
              <w:t xml:space="preserve">1,873  </w:t>
            </w:r>
            <w:r>
              <w:rPr>
                <w:rFonts w:ascii="Arial" w:cs="Arial" w:eastAsia="Arial" w:hAnsi="Arial"/>
                <w:sz w:val="19"/>
                <w:szCs w:val="19"/>
                <w:color w:val="auto"/>
                <w:vertAlign w:val="superscript"/>
              </w:rPr>
              <w:t>(5)</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2"/>
                <w:szCs w:val="12"/>
                <w:color w:val="auto"/>
              </w:rPr>
              <w:t>(2,853,025)</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88" w:hanging="488"/>
        <w:spacing w:after="0"/>
        <w:tabs>
          <w:tab w:leader="none" w:pos="488" w:val="left"/>
        </w:tabs>
        <w:numPr>
          <w:ilvl w:val="0"/>
          <w:numId w:val="30"/>
        </w:numPr>
        <w:rPr>
          <w:rFonts w:ascii="Arial" w:cs="Arial" w:eastAsia="Arial" w:hAnsi="Arial"/>
          <w:sz w:val="12"/>
          <w:szCs w:val="12"/>
          <w:i w:val="1"/>
          <w:iCs w:val="1"/>
          <w:color w:val="auto"/>
        </w:rPr>
      </w:pPr>
      <w:r>
        <w:rPr>
          <w:rFonts w:ascii="Arial" w:cs="Arial" w:eastAsia="Arial" w:hAnsi="Arial"/>
          <w:sz w:val="12"/>
          <w:szCs w:val="12"/>
          <w:i w:val="1"/>
          <w:iCs w:val="1"/>
          <w:color w:val="auto"/>
        </w:rPr>
        <w:t>To establish a reserve for product returns</w:t>
      </w:r>
    </w:p>
    <w:p>
      <w:pPr>
        <w:spacing w:after="0" w:line="14" w:lineRule="exact"/>
        <w:rPr>
          <w:rFonts w:ascii="Arial" w:cs="Arial" w:eastAsia="Arial" w:hAnsi="Arial"/>
          <w:sz w:val="12"/>
          <w:szCs w:val="12"/>
          <w:i w:val="1"/>
          <w:iCs w:val="1"/>
          <w:color w:val="auto"/>
        </w:rPr>
      </w:pPr>
    </w:p>
    <w:p>
      <w:pPr>
        <w:ind w:left="488" w:hanging="488"/>
        <w:spacing w:after="0"/>
        <w:tabs>
          <w:tab w:leader="none" w:pos="488" w:val="left"/>
        </w:tabs>
        <w:numPr>
          <w:ilvl w:val="0"/>
          <w:numId w:val="30"/>
        </w:numPr>
        <w:rPr>
          <w:rFonts w:ascii="Arial" w:cs="Arial" w:eastAsia="Arial" w:hAnsi="Arial"/>
          <w:sz w:val="12"/>
          <w:szCs w:val="12"/>
          <w:i w:val="1"/>
          <w:iCs w:val="1"/>
          <w:color w:val="auto"/>
        </w:rPr>
      </w:pPr>
      <w:r>
        <w:rPr>
          <w:rFonts w:ascii="Arial" w:cs="Arial" w:eastAsia="Arial" w:hAnsi="Arial"/>
          <w:sz w:val="12"/>
          <w:szCs w:val="12"/>
          <w:i w:val="1"/>
          <w:iCs w:val="1"/>
          <w:color w:val="auto"/>
        </w:rPr>
        <w:t>To eliminate deferred costs from commercial product sales previously required by the sell-through method</w:t>
      </w:r>
    </w:p>
    <w:p>
      <w:pPr>
        <w:spacing w:after="0" w:line="6" w:lineRule="exact"/>
        <w:rPr>
          <w:rFonts w:ascii="Arial" w:cs="Arial" w:eastAsia="Arial" w:hAnsi="Arial"/>
          <w:sz w:val="12"/>
          <w:szCs w:val="12"/>
          <w:i w:val="1"/>
          <w:iCs w:val="1"/>
          <w:color w:val="auto"/>
        </w:rPr>
      </w:pPr>
    </w:p>
    <w:p>
      <w:pPr>
        <w:ind w:left="488" w:hanging="488"/>
        <w:spacing w:after="0"/>
        <w:tabs>
          <w:tab w:leader="none" w:pos="488" w:val="left"/>
        </w:tabs>
        <w:numPr>
          <w:ilvl w:val="0"/>
          <w:numId w:val="30"/>
        </w:numPr>
        <w:rPr>
          <w:rFonts w:ascii="Arial" w:cs="Arial" w:eastAsia="Arial" w:hAnsi="Arial"/>
          <w:sz w:val="12"/>
          <w:szCs w:val="12"/>
          <w:i w:val="1"/>
          <w:iCs w:val="1"/>
          <w:color w:val="auto"/>
        </w:rPr>
      </w:pPr>
      <w:r>
        <w:rPr>
          <w:rFonts w:ascii="Arial" w:cs="Arial" w:eastAsia="Arial" w:hAnsi="Arial"/>
          <w:sz w:val="12"/>
          <w:szCs w:val="12"/>
          <w:i w:val="1"/>
          <w:iCs w:val="1"/>
          <w:color w:val="auto"/>
        </w:rPr>
        <w:t>To record additional accrual for estimated voucher payments related to inventory remaining in the distribution channel at January 1, 2018</w:t>
      </w:r>
    </w:p>
    <w:p>
      <w:pPr>
        <w:spacing w:after="0" w:line="6" w:lineRule="exact"/>
        <w:rPr>
          <w:rFonts w:ascii="Arial" w:cs="Arial" w:eastAsia="Arial" w:hAnsi="Arial"/>
          <w:sz w:val="12"/>
          <w:szCs w:val="12"/>
          <w:i w:val="1"/>
          <w:iCs w:val="1"/>
          <w:color w:val="auto"/>
        </w:rPr>
      </w:pPr>
    </w:p>
    <w:p>
      <w:pPr>
        <w:ind w:left="488" w:hanging="488"/>
        <w:spacing w:after="0"/>
        <w:tabs>
          <w:tab w:leader="none" w:pos="488" w:val="left"/>
        </w:tabs>
        <w:numPr>
          <w:ilvl w:val="0"/>
          <w:numId w:val="30"/>
        </w:numPr>
        <w:rPr>
          <w:rFonts w:ascii="Arial" w:cs="Arial" w:eastAsia="Arial" w:hAnsi="Arial"/>
          <w:sz w:val="12"/>
          <w:szCs w:val="12"/>
          <w:i w:val="1"/>
          <w:iCs w:val="1"/>
          <w:color w:val="auto"/>
        </w:rPr>
      </w:pPr>
      <w:r>
        <w:rPr>
          <w:rFonts w:ascii="Arial" w:cs="Arial" w:eastAsia="Arial" w:hAnsi="Arial"/>
          <w:sz w:val="12"/>
          <w:szCs w:val="12"/>
          <w:i w:val="1"/>
          <w:iCs w:val="1"/>
          <w:color w:val="auto"/>
        </w:rPr>
        <w:t>To eliminate deferred revenue previously required by the sell-through method</w:t>
      </w:r>
    </w:p>
    <w:p>
      <w:pPr>
        <w:spacing w:after="0" w:line="6" w:lineRule="exact"/>
        <w:rPr>
          <w:rFonts w:ascii="Arial" w:cs="Arial" w:eastAsia="Arial" w:hAnsi="Arial"/>
          <w:sz w:val="12"/>
          <w:szCs w:val="12"/>
          <w:i w:val="1"/>
          <w:iCs w:val="1"/>
          <w:color w:val="auto"/>
        </w:rPr>
      </w:pPr>
    </w:p>
    <w:p>
      <w:pPr>
        <w:ind w:left="488" w:hanging="488"/>
        <w:spacing w:after="0"/>
        <w:tabs>
          <w:tab w:leader="none" w:pos="488" w:val="left"/>
        </w:tabs>
        <w:numPr>
          <w:ilvl w:val="0"/>
          <w:numId w:val="30"/>
        </w:numPr>
        <w:rPr>
          <w:rFonts w:ascii="Arial" w:cs="Arial" w:eastAsia="Arial" w:hAnsi="Arial"/>
          <w:sz w:val="12"/>
          <w:szCs w:val="12"/>
          <w:i w:val="1"/>
          <w:iCs w:val="1"/>
          <w:color w:val="auto"/>
        </w:rPr>
      </w:pPr>
      <w:r>
        <w:rPr>
          <w:rFonts w:ascii="Arial" w:cs="Arial" w:eastAsia="Arial" w:hAnsi="Arial"/>
          <w:sz w:val="12"/>
          <w:szCs w:val="12"/>
          <w:i w:val="1"/>
          <w:iCs w:val="1"/>
          <w:color w:val="auto"/>
        </w:rPr>
        <w:t>To record the net impact of (1)-(4) in opening accumulated deficit</w:t>
      </w:r>
    </w:p>
    <w:p>
      <w:pPr>
        <w:spacing w:after="0" w:line="303"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732917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348"/>
          </w:cols>
          <w:pgMar w:left="212" w:top="419" w:right="1339" w:bottom="1440" w:gutter="0" w:footer="0" w:header="0"/>
        </w:sectPr>
      </w:pPr>
    </w:p>
    <w:bookmarkStart w:id="79" w:name="page80"/>
    <w:bookmarkEnd w:id="79"/>
    <w:p>
      <w:pPr>
        <w:ind w:left="480"/>
        <w:spacing w:after="0"/>
        <w:rPr>
          <w:sz w:val="20"/>
          <w:szCs w:val="20"/>
          <w:color w:val="auto"/>
        </w:rPr>
      </w:pPr>
      <w:r>
        <w:rPr>
          <w:rFonts w:ascii="Arial" w:cs="Arial" w:eastAsia="Arial" w:hAnsi="Arial"/>
          <w:sz w:val="12"/>
          <w:szCs w:val="12"/>
          <w:color w:val="auto"/>
        </w:rPr>
        <w:t>In accordance with the new revenue guidance, the disclosure of the impact of adoption on the consolidated balance sheet consolidated statement of operations and cash flows was as follows (in thousands):</w:t>
      </w:r>
    </w:p>
    <w:p>
      <w:pPr>
        <w:spacing w:after="0" w:line="159" w:lineRule="exact"/>
        <w:rPr>
          <w:sz w:val="20"/>
          <w:szCs w:val="20"/>
          <w:color w:val="auto"/>
        </w:rPr>
      </w:pPr>
    </w:p>
    <w:p>
      <w:pPr>
        <w:ind w:left="1140"/>
        <w:spacing w:after="0"/>
        <w:rPr>
          <w:sz w:val="20"/>
          <w:szCs w:val="20"/>
          <w:color w:val="auto"/>
        </w:rPr>
      </w:pPr>
      <w:r>
        <w:rPr>
          <w:rFonts w:ascii="Arial" w:cs="Arial" w:eastAsia="Arial" w:hAnsi="Arial"/>
          <w:sz w:val="12"/>
          <w:szCs w:val="12"/>
          <w:b w:val="1"/>
          <w:bCs w:val="1"/>
          <w:i w:val="1"/>
          <w:iCs w:val="1"/>
          <w:color w:val="auto"/>
        </w:rPr>
        <w:t>Consolidated Balance Sheet</w:t>
      </w:r>
    </w:p>
    <w:p>
      <w:pPr>
        <w:spacing w:after="0" w:line="53"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6"/>
              </w:rPr>
              <w:t>For the year December 31, 2018</w:t>
            </w: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jc w:val="center"/>
              <w:ind w:right="185"/>
              <w:spacing w:after="0" w:line="83" w:lineRule="exact"/>
              <w:rPr>
                <w:sz w:val="20"/>
                <w:szCs w:val="20"/>
                <w:color w:val="auto"/>
              </w:rPr>
            </w:pPr>
            <w:r>
              <w:rPr>
                <w:rFonts w:ascii="Arial" w:cs="Arial" w:eastAsia="Arial" w:hAnsi="Arial"/>
                <w:sz w:val="8"/>
                <w:szCs w:val="8"/>
                <w:b w:val="1"/>
                <w:bCs w:val="1"/>
                <w:color w:val="auto"/>
              </w:rPr>
              <w:t>Balances without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5"/>
              </w:rPr>
              <w:t>adoption of Topic</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right"/>
              <w:ind w:right="620"/>
              <w:spacing w:after="0" w:line="114" w:lineRule="exact"/>
              <w:rPr>
                <w:sz w:val="20"/>
                <w:szCs w:val="20"/>
                <w:color w:val="auto"/>
              </w:rPr>
            </w:pPr>
            <w:r>
              <w:rPr>
                <w:rFonts w:ascii="Arial" w:cs="Arial" w:eastAsia="Arial" w:hAnsi="Arial"/>
                <w:sz w:val="10"/>
                <w:szCs w:val="10"/>
                <w:b w:val="1"/>
                <w:bCs w:val="1"/>
                <w:color w:val="auto"/>
              </w:rPr>
              <w:t>As Reported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9"/>
              </w:rPr>
              <w:t>Adjustments</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jc w:val="center"/>
              <w:ind w:right="185"/>
              <w:spacing w:after="0" w:line="114" w:lineRule="exact"/>
              <w:rPr>
                <w:sz w:val="20"/>
                <w:szCs w:val="20"/>
                <w:color w:val="auto"/>
              </w:rPr>
            </w:pPr>
            <w:r>
              <w:rPr>
                <w:rFonts w:ascii="Arial" w:cs="Arial" w:eastAsia="Arial" w:hAnsi="Arial"/>
                <w:sz w:val="10"/>
                <w:szCs w:val="10"/>
                <w:b w:val="1"/>
                <w:bCs w:val="1"/>
                <w:color w:val="auto"/>
                <w:w w:val="83"/>
              </w:rPr>
              <w:t>606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Borders>
              <w:top w:val="single" w:sz="8" w:color="CFF0FC"/>
            </w:tcBorders>
            <w:gridSpan w:val="4"/>
            <w:shd w:val="clear" w:color="auto" w:fill="CFF0FC"/>
          </w:tcPr>
          <w:p>
            <w:pPr>
              <w:spacing w:after="0" w:line="115" w:lineRule="exact"/>
              <w:rPr>
                <w:sz w:val="20"/>
                <w:szCs w:val="20"/>
                <w:color w:val="auto"/>
              </w:rPr>
            </w:pPr>
            <w:r>
              <w:rPr>
                <w:rFonts w:ascii="Arial" w:cs="Arial" w:eastAsia="Arial" w:hAnsi="Arial"/>
                <w:sz w:val="12"/>
                <w:szCs w:val="12"/>
                <w:b w:val="1"/>
                <w:bCs w:val="1"/>
                <w:color w:val="auto"/>
              </w:rPr>
              <w:t>Assets</w:t>
            </w:r>
          </w:p>
        </w:tc>
        <w:tc>
          <w:tcPr>
            <w:tcW w:w="106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4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3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320" w:type="dxa"/>
            <w:vAlign w:val="bottom"/>
            <w:tcBorders>
              <w:right w:val="single" w:sz="8" w:color="CFF0FC"/>
            </w:tcBorders>
            <w:shd w:val="clear" w:color="auto" w:fill="000000"/>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020" w:type="dxa"/>
            <w:vAlign w:val="bottom"/>
            <w:gridSpan w:val="5"/>
          </w:tcPr>
          <w:p>
            <w:pPr>
              <w:spacing w:after="0"/>
              <w:rPr>
                <w:sz w:val="20"/>
                <w:szCs w:val="20"/>
                <w:color w:val="auto"/>
              </w:rPr>
            </w:pPr>
            <w:r>
              <w:rPr>
                <w:rFonts w:ascii="Arial" w:cs="Arial" w:eastAsia="Arial" w:hAnsi="Arial"/>
                <w:sz w:val="12"/>
                <w:szCs w:val="12"/>
                <w:color w:val="auto"/>
              </w:rPr>
              <w:t>Accounts receivable, net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4,017</w:t>
            </w:r>
          </w:p>
        </w:tc>
        <w:tc>
          <w:tcPr>
            <w:tcW w:w="12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314</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4,331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Deferred costs from commercial product</w:t>
            </w: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shd w:val="clear" w:color="auto" w:fill="CFF0FC"/>
          </w:tcPr>
          <w:p>
            <w:pPr>
              <w:ind w:left="80"/>
              <w:spacing w:after="0"/>
              <w:rPr>
                <w:sz w:val="20"/>
                <w:szCs w:val="20"/>
                <w:color w:val="auto"/>
              </w:rPr>
            </w:pPr>
            <w:r>
              <w:rPr>
                <w:rFonts w:ascii="Arial" w:cs="Arial" w:eastAsia="Arial" w:hAnsi="Arial"/>
                <w:sz w:val="12"/>
                <w:szCs w:val="12"/>
                <w:color w:val="auto"/>
              </w:rPr>
              <w:t>sales</w:t>
            </w: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right w:val="single" w:sz="8" w:color="CFF0FC"/>
            </w:tcBorders>
            <w:gridSpan w:val="2"/>
            <w:shd w:val="clear" w:color="auto" w:fill="CFF0FC"/>
          </w:tcPr>
          <w:p>
            <w:pPr>
              <w:spacing w:after="0" w:line="126" w:lineRule="exact"/>
              <w:rPr>
                <w:sz w:val="20"/>
                <w:szCs w:val="20"/>
                <w:color w:val="auto"/>
              </w:rPr>
            </w:pPr>
            <w:r>
              <w:rPr>
                <w:rFonts w:ascii="Arial" w:cs="Arial" w:eastAsia="Arial" w:hAnsi="Arial"/>
                <w:sz w:val="12"/>
                <w:szCs w:val="12"/>
                <w:b w:val="1"/>
                <w:bCs w:val="1"/>
                <w:color w:val="auto"/>
                <w:w w:val="83"/>
              </w:rPr>
              <w:t>Liabilities</w:t>
            </w:r>
          </w:p>
        </w:tc>
        <w:tc>
          <w:tcPr>
            <w:tcW w:w="2500" w:type="dxa"/>
            <w:vAlign w:val="bottom"/>
            <w:tcBorders>
              <w:bottom w:val="single" w:sz="8" w:color="CFF0FC"/>
            </w:tcBorders>
            <w:gridSpan w:val="2"/>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3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20" w:type="dxa"/>
            <w:vAlign w:val="bottom"/>
            <w:gridSpan w:val="5"/>
          </w:tcPr>
          <w:p>
            <w:pPr>
              <w:spacing w:after="0"/>
              <w:rPr>
                <w:sz w:val="20"/>
                <w:szCs w:val="20"/>
                <w:color w:val="auto"/>
              </w:rPr>
            </w:pPr>
            <w:r>
              <w:rPr>
                <w:rFonts w:ascii="Arial" w:cs="Arial" w:eastAsia="Arial" w:hAnsi="Arial"/>
                <w:sz w:val="12"/>
                <w:szCs w:val="12"/>
                <w:color w:val="auto"/>
              </w:rPr>
              <w:t>Accrued expenses and other current</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tcPr>
          <w:p>
            <w:pPr>
              <w:ind w:left="80"/>
              <w:spacing w:after="0"/>
              <w:rPr>
                <w:sz w:val="20"/>
                <w:szCs w:val="20"/>
                <w:color w:val="auto"/>
              </w:rPr>
            </w:pPr>
            <w:r>
              <w:rPr>
                <w:rFonts w:ascii="Arial" w:cs="Arial" w:eastAsia="Arial" w:hAnsi="Arial"/>
                <w:sz w:val="12"/>
                <w:szCs w:val="12"/>
                <w:color w:val="auto"/>
              </w:rPr>
              <w:t>liabilities</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15,022</w:t>
            </w:r>
          </w:p>
        </w:tc>
        <w:tc>
          <w:tcPr>
            <w:tcW w:w="12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(751)</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14,271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Deferred revenue, net</w:t>
            </w: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3,937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000" w:type="dxa"/>
            <w:vAlign w:val="bottom"/>
            <w:gridSpan w:val="4"/>
            <w:shd w:val="clear" w:color="auto" w:fill="CFF0FC"/>
          </w:tcPr>
          <w:p>
            <w:pPr>
              <w:spacing w:after="0" w:line="126" w:lineRule="exact"/>
              <w:rPr>
                <w:sz w:val="20"/>
                <w:szCs w:val="20"/>
                <w:color w:val="auto"/>
              </w:rPr>
            </w:pPr>
            <w:r>
              <w:rPr>
                <w:rFonts w:ascii="Arial" w:cs="Arial" w:eastAsia="Arial" w:hAnsi="Arial"/>
                <w:sz w:val="12"/>
                <w:szCs w:val="12"/>
                <w:b w:val="1"/>
                <w:bCs w:val="1"/>
                <w:color w:val="auto"/>
              </w:rPr>
              <w:t>Equity</w:t>
            </w:r>
          </w:p>
        </w:tc>
        <w:tc>
          <w:tcPr>
            <w:tcW w:w="10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020" w:type="dxa"/>
            <w:vAlign w:val="bottom"/>
            <w:gridSpan w:val="5"/>
          </w:tcPr>
          <w:p>
            <w:pPr>
              <w:spacing w:after="0"/>
              <w:rPr>
                <w:sz w:val="20"/>
                <w:szCs w:val="20"/>
                <w:color w:val="auto"/>
              </w:rPr>
            </w:pPr>
            <w:r>
              <w:rPr>
                <w:rFonts w:ascii="Arial" w:cs="Arial" w:eastAsia="Arial" w:hAnsi="Arial"/>
                <w:sz w:val="12"/>
                <w:szCs w:val="12"/>
                <w:color w:val="auto"/>
              </w:rPr>
              <w:t>Accumulated deficit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(2,940,000)</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(1,997)</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(2,941,997)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20" w:type="dxa"/>
            <w:vAlign w:val="bottom"/>
            <w:gridSpan w:val="5"/>
          </w:tcPr>
          <w:p>
            <w:pPr>
              <w:spacing w:after="0"/>
              <w:rPr>
                <w:sz w:val="20"/>
                <w:szCs w:val="20"/>
                <w:color w:val="auto"/>
              </w:rPr>
            </w:pPr>
            <w:r>
              <w:rPr>
                <w:rFonts w:ascii="Arial" w:cs="Arial" w:eastAsia="Arial" w:hAnsi="Arial"/>
                <w:sz w:val="12"/>
                <w:szCs w:val="12"/>
                <w:b w:val="1"/>
                <w:bCs w:val="1"/>
                <w:i w:val="1"/>
                <w:iCs w:val="1"/>
                <w:color w:val="auto"/>
              </w:rPr>
              <w:t>Consolidated Statement of</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tcPr>
          <w:p>
            <w:pPr>
              <w:ind w:left="80"/>
              <w:spacing w:after="0"/>
              <w:rPr>
                <w:sz w:val="20"/>
                <w:szCs w:val="20"/>
                <w:color w:val="auto"/>
              </w:rPr>
            </w:pPr>
            <w:r>
              <w:rPr>
                <w:rFonts w:ascii="Arial" w:cs="Arial" w:eastAsia="Arial" w:hAnsi="Arial"/>
                <w:sz w:val="12"/>
                <w:szCs w:val="12"/>
                <w:b w:val="1"/>
                <w:bCs w:val="1"/>
                <w:i w:val="1"/>
                <w:iCs w:val="1"/>
                <w:color w:val="auto"/>
              </w:rPr>
              <w:t>Operations</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6"/>
              </w:rPr>
              <w:t>For the year December 31, 2018</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jc w:val="center"/>
              <w:ind w:right="185"/>
              <w:spacing w:after="0" w:line="83" w:lineRule="exact"/>
              <w:rPr>
                <w:sz w:val="20"/>
                <w:szCs w:val="20"/>
                <w:color w:val="auto"/>
              </w:rPr>
            </w:pPr>
            <w:r>
              <w:rPr>
                <w:rFonts w:ascii="Arial" w:cs="Arial" w:eastAsia="Arial" w:hAnsi="Arial"/>
                <w:sz w:val="8"/>
                <w:szCs w:val="8"/>
                <w:b w:val="1"/>
                <w:bCs w:val="1"/>
                <w:color w:val="auto"/>
              </w:rPr>
              <w:t>Balances without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3"/>
              </w:rPr>
              <w:t>adoption of Topic</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right"/>
              <w:ind w:right="620"/>
              <w:spacing w:after="0" w:line="114" w:lineRule="exact"/>
              <w:rPr>
                <w:sz w:val="20"/>
                <w:szCs w:val="20"/>
                <w:color w:val="auto"/>
              </w:rPr>
            </w:pPr>
            <w:r>
              <w:rPr>
                <w:rFonts w:ascii="Arial" w:cs="Arial" w:eastAsia="Arial" w:hAnsi="Arial"/>
                <w:sz w:val="10"/>
                <w:szCs w:val="10"/>
                <w:b w:val="1"/>
                <w:bCs w:val="1"/>
                <w:color w:val="auto"/>
              </w:rPr>
              <w:t>As Reported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9"/>
              </w:rPr>
              <w:t>Adjustments</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jc w:val="center"/>
              <w:ind w:right="185"/>
              <w:spacing w:after="0" w:line="114" w:lineRule="exact"/>
              <w:rPr>
                <w:sz w:val="20"/>
                <w:szCs w:val="20"/>
                <w:color w:val="auto"/>
              </w:rPr>
            </w:pPr>
            <w:r>
              <w:rPr>
                <w:rFonts w:ascii="Arial" w:cs="Arial" w:eastAsia="Arial" w:hAnsi="Arial"/>
                <w:sz w:val="10"/>
                <w:szCs w:val="10"/>
                <w:b w:val="1"/>
                <w:bCs w:val="1"/>
                <w:color w:val="auto"/>
                <w:w w:val="83"/>
              </w:rPr>
              <w:t>606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Borders>
              <w:top w:val="single" w:sz="8" w:color="CFF0FC"/>
            </w:tcBorders>
            <w:gridSpan w:val="4"/>
            <w:shd w:val="clear" w:color="auto" w:fill="CFF0FC"/>
          </w:tcPr>
          <w:p>
            <w:pPr>
              <w:spacing w:after="0" w:line="115" w:lineRule="exact"/>
              <w:rPr>
                <w:sz w:val="20"/>
                <w:szCs w:val="20"/>
                <w:color w:val="auto"/>
              </w:rPr>
            </w:pPr>
            <w:r>
              <w:rPr>
                <w:rFonts w:ascii="Arial" w:cs="Arial" w:eastAsia="Arial" w:hAnsi="Arial"/>
                <w:sz w:val="12"/>
                <w:szCs w:val="12"/>
                <w:b w:val="1"/>
                <w:bCs w:val="1"/>
                <w:color w:val="auto"/>
              </w:rPr>
              <w:t>Revenue</w:t>
            </w:r>
          </w:p>
        </w:tc>
        <w:tc>
          <w:tcPr>
            <w:tcW w:w="106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4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3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FF0FC"/>
            </w:tcBorders>
            <w:shd w:val="clear" w:color="auto" w:fill="000000"/>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020" w:type="dxa"/>
            <w:vAlign w:val="bottom"/>
            <w:gridSpan w:val="5"/>
          </w:tcPr>
          <w:p>
            <w:pPr>
              <w:spacing w:after="0"/>
              <w:rPr>
                <w:sz w:val="20"/>
                <w:szCs w:val="20"/>
                <w:color w:val="auto"/>
              </w:rPr>
            </w:pPr>
            <w:r>
              <w:rPr>
                <w:rFonts w:ascii="Arial" w:cs="Arial" w:eastAsia="Arial" w:hAnsi="Arial"/>
                <w:sz w:val="12"/>
                <w:szCs w:val="12"/>
                <w:color w:val="auto"/>
              </w:rPr>
              <w:t>Net revenue - commercial product sales</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17,276</w:t>
            </w:r>
          </w:p>
        </w:tc>
        <w:tc>
          <w:tcPr>
            <w:tcW w:w="12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(486)</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16,790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82"/>
              </w:rPr>
              <w:t>Expenses</w:t>
            </w:r>
          </w:p>
        </w:tc>
        <w:tc>
          <w:tcPr>
            <w:tcW w:w="250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Cost of goods sold</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19,402</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(754)</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20" w:type="dxa"/>
            <w:vAlign w:val="bottom"/>
            <w:gridSpan w:val="5"/>
          </w:tcPr>
          <w:p>
            <w:pPr>
              <w:spacing w:after="0"/>
              <w:rPr>
                <w:sz w:val="20"/>
                <w:szCs w:val="20"/>
                <w:color w:val="auto"/>
              </w:rPr>
            </w:pPr>
            <w:r>
              <w:rPr>
                <w:rFonts w:ascii="Arial" w:cs="Arial" w:eastAsia="Arial" w:hAnsi="Arial"/>
                <w:sz w:val="12"/>
                <w:szCs w:val="12"/>
                <w:color w:val="auto"/>
              </w:rPr>
              <w:t>Net loss</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(86,975)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(87,242)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86"/>
              </w:rPr>
              <w:t>For the year ended December 31, 2018</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jc w:val="center"/>
              <w:ind w:right="185"/>
              <w:spacing w:after="0" w:line="83" w:lineRule="exact"/>
              <w:rPr>
                <w:sz w:val="20"/>
                <w:szCs w:val="20"/>
                <w:color w:val="auto"/>
              </w:rPr>
            </w:pPr>
            <w:r>
              <w:rPr>
                <w:rFonts w:ascii="Arial" w:cs="Arial" w:eastAsia="Arial" w:hAnsi="Arial"/>
                <w:sz w:val="8"/>
                <w:szCs w:val="8"/>
                <w:b w:val="1"/>
                <w:bCs w:val="1"/>
                <w:color w:val="auto"/>
              </w:rPr>
              <w:t>Balances without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3"/>
              </w:rPr>
              <w:t>adoption of Topic</w:t>
            </w:r>
          </w:p>
        </w:tc>
        <w:tc>
          <w:tcPr>
            <w:tcW w:w="0" w:type="dxa"/>
            <w:vAlign w:val="bottom"/>
          </w:tcPr>
          <w:p>
            <w:pPr>
              <w:spacing w:after="0"/>
              <w:rPr>
                <w:sz w:val="1"/>
                <w:szCs w:val="1"/>
                <w:color w:val="auto"/>
              </w:rPr>
            </w:pPr>
          </w:p>
        </w:tc>
      </w:tr>
      <w:tr>
        <w:trPr>
          <w:trHeight w:val="114"/>
        </w:trPr>
        <w:tc>
          <w:tcPr>
            <w:tcW w:w="194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89"/>
              </w:rPr>
              <w:t>Cash Flows from Operating Activities</w:t>
            </w:r>
          </w:p>
        </w:tc>
        <w:tc>
          <w:tcPr>
            <w:tcW w:w="108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right"/>
              <w:ind w:right="620"/>
              <w:spacing w:after="0" w:line="114" w:lineRule="exact"/>
              <w:rPr>
                <w:sz w:val="20"/>
                <w:szCs w:val="20"/>
                <w:color w:val="auto"/>
              </w:rPr>
            </w:pPr>
            <w:r>
              <w:rPr>
                <w:rFonts w:ascii="Arial" w:cs="Arial" w:eastAsia="Arial" w:hAnsi="Arial"/>
                <w:sz w:val="10"/>
                <w:szCs w:val="10"/>
                <w:b w:val="1"/>
                <w:bCs w:val="1"/>
                <w:color w:val="auto"/>
              </w:rPr>
              <w:t>As Reported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9"/>
              </w:rPr>
              <w:t>Adjustments</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jc w:val="center"/>
              <w:ind w:right="185"/>
              <w:spacing w:after="0" w:line="114" w:lineRule="exact"/>
              <w:rPr>
                <w:sz w:val="20"/>
                <w:szCs w:val="20"/>
                <w:color w:val="auto"/>
              </w:rPr>
            </w:pPr>
            <w:r>
              <w:rPr>
                <w:rFonts w:ascii="Arial" w:cs="Arial" w:eastAsia="Arial" w:hAnsi="Arial"/>
                <w:sz w:val="10"/>
                <w:szCs w:val="10"/>
                <w:b w:val="1"/>
                <w:bCs w:val="1"/>
                <w:color w:val="auto"/>
                <w:w w:val="83"/>
              </w:rPr>
              <w:t>606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940" w:type="dxa"/>
            <w:vAlign w:val="bottom"/>
            <w:tcBorders>
              <w:bottom w:val="single" w:sz="8" w:color="auto"/>
            </w:tcBorders>
            <w:gridSpan w:val="4"/>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Net loss</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(86,975)</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(267)</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(87,242)</w:t>
            </w:r>
          </w:p>
        </w:tc>
        <w:tc>
          <w:tcPr>
            <w:tcW w:w="0" w:type="dxa"/>
            <w:vAlign w:val="bottom"/>
          </w:tcPr>
          <w:p>
            <w:pPr>
              <w:spacing w:after="0"/>
              <w:rPr>
                <w:sz w:val="1"/>
                <w:szCs w:val="1"/>
                <w:color w:val="auto"/>
              </w:rPr>
            </w:pPr>
          </w:p>
        </w:tc>
      </w:tr>
      <w:tr>
        <w:trPr>
          <w:trHeight w:val="153"/>
        </w:trPr>
        <w:tc>
          <w:tcPr>
            <w:tcW w:w="3020" w:type="dxa"/>
            <w:vAlign w:val="bottom"/>
            <w:gridSpan w:val="5"/>
          </w:tcPr>
          <w:p>
            <w:pPr>
              <w:spacing w:after="0"/>
              <w:rPr>
                <w:sz w:val="20"/>
                <w:szCs w:val="20"/>
                <w:color w:val="auto"/>
              </w:rPr>
            </w:pPr>
            <w:r>
              <w:rPr>
                <w:rFonts w:ascii="Arial" w:cs="Arial" w:eastAsia="Arial" w:hAnsi="Arial"/>
                <w:sz w:val="12"/>
                <w:szCs w:val="12"/>
                <w:color w:val="auto"/>
              </w:rPr>
              <w:t>Change in:</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Accounts receivable, net</w:t>
            </w: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(1,339)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20" w:type="dxa"/>
            <w:vAlign w:val="bottom"/>
            <w:gridSpan w:val="5"/>
          </w:tcPr>
          <w:p>
            <w:pPr>
              <w:spacing w:after="0"/>
              <w:rPr>
                <w:sz w:val="20"/>
                <w:szCs w:val="20"/>
                <w:color w:val="auto"/>
              </w:rPr>
            </w:pPr>
            <w:r>
              <w:rPr>
                <w:rFonts w:ascii="Arial" w:cs="Arial" w:eastAsia="Arial" w:hAnsi="Arial"/>
                <w:sz w:val="12"/>
                <w:szCs w:val="12"/>
                <w:color w:val="auto"/>
              </w:rPr>
              <w:t>Deferred costs from commercial product</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tcPr>
          <w:p>
            <w:pPr>
              <w:ind w:left="80"/>
              <w:spacing w:after="0"/>
              <w:rPr>
                <w:sz w:val="20"/>
                <w:szCs w:val="20"/>
                <w:color w:val="auto"/>
              </w:rPr>
            </w:pPr>
            <w:r>
              <w:rPr>
                <w:rFonts w:ascii="Arial" w:cs="Arial" w:eastAsia="Arial" w:hAnsi="Arial"/>
                <w:sz w:val="12"/>
                <w:szCs w:val="12"/>
                <w:color w:val="auto"/>
              </w:rPr>
              <w:t>sales</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470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Accrued expenses and other current</w:t>
            </w: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shd w:val="clear" w:color="auto" w:fill="CFF0FC"/>
          </w:tcPr>
          <w:p>
            <w:pPr>
              <w:ind w:left="80"/>
              <w:spacing w:after="0"/>
              <w:rPr>
                <w:sz w:val="20"/>
                <w:szCs w:val="20"/>
                <w:color w:val="auto"/>
              </w:rPr>
            </w:pPr>
            <w:r>
              <w:rPr>
                <w:rFonts w:ascii="Arial" w:cs="Arial" w:eastAsia="Arial" w:hAnsi="Arial"/>
                <w:sz w:val="12"/>
                <w:szCs w:val="12"/>
                <w:color w:val="auto"/>
              </w:rPr>
              <w:t>liabilities</w:t>
            </w: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2,249</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(751)</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20" w:type="dxa"/>
            <w:vAlign w:val="bottom"/>
            <w:gridSpan w:val="5"/>
          </w:tcPr>
          <w:p>
            <w:pPr>
              <w:spacing w:after="0"/>
              <w:rPr>
                <w:sz w:val="20"/>
                <w:szCs w:val="20"/>
                <w:color w:val="auto"/>
              </w:rPr>
            </w:pPr>
            <w:r>
              <w:rPr>
                <w:rFonts w:ascii="Arial" w:cs="Arial" w:eastAsia="Arial" w:hAnsi="Arial"/>
                <w:sz w:val="12"/>
                <w:szCs w:val="12"/>
                <w:color w:val="auto"/>
              </w:rPr>
              <w:t>Deferred revenue, net</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(899)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(899)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Cash (used in) provided by operating</w:t>
            </w: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gridSpan w:val="4"/>
            <w:shd w:val="clear" w:color="auto" w:fill="CFF0FC"/>
          </w:tcPr>
          <w:p>
            <w:pPr>
              <w:ind w:left="80"/>
              <w:spacing w:after="0"/>
              <w:rPr>
                <w:sz w:val="20"/>
                <w:szCs w:val="20"/>
                <w:color w:val="auto"/>
              </w:rPr>
            </w:pPr>
            <w:r>
              <w:rPr>
                <w:rFonts w:ascii="Arial" w:cs="Arial" w:eastAsia="Arial" w:hAnsi="Arial"/>
                <w:sz w:val="12"/>
                <w:szCs w:val="12"/>
                <w:color w:val="auto"/>
              </w:rPr>
              <w:t>activities</w:t>
            </w: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(37,731)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(36,611)</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firstLine="488"/>
        <w:spacing w:after="0" w:line="263" w:lineRule="auto"/>
        <w:rPr>
          <w:sz w:val="20"/>
          <w:szCs w:val="20"/>
          <w:color w:val="auto"/>
        </w:rPr>
      </w:pPr>
      <w:r>
        <w:rPr>
          <w:rFonts w:ascii="Arial" w:cs="Arial" w:eastAsia="Arial" w:hAnsi="Arial"/>
          <w:sz w:val="12"/>
          <w:szCs w:val="12"/>
          <w:i w:val="1"/>
          <w:iCs w:val="1"/>
          <w:color w:val="auto"/>
        </w:rPr>
        <w:t xml:space="preserve">Recently Issued Accounting Standards </w:t>
      </w:r>
      <w:r>
        <w:rPr>
          <w:rFonts w:ascii="Arial" w:cs="Arial" w:eastAsia="Arial" w:hAnsi="Arial"/>
          <w:sz w:val="12"/>
          <w:szCs w:val="12"/>
          <w:color w:val="auto"/>
        </w:rPr>
        <w:t>— From time to time, new accounting pronouncements are issued by the Financial Accounting Standards Board (FASB) or other standard setting bodies that are adopted by the Company as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419" w:right="259" w:bottom="1440" w:gutter="0" w:footer="0" w:header="0"/>
        </w:sectPr>
      </w:pPr>
    </w:p>
    <w:bookmarkStart w:id="80" w:name="page81"/>
    <w:bookmarkEnd w:id="80"/>
    <w:p>
      <w:pPr>
        <w:ind w:right="60" w:firstLine="488"/>
        <w:spacing w:after="0" w:line="255" w:lineRule="auto"/>
        <w:rPr>
          <w:sz w:val="20"/>
          <w:szCs w:val="20"/>
          <w:color w:val="auto"/>
        </w:rPr>
      </w:pPr>
      <w:r>
        <w:rPr>
          <w:rFonts w:ascii="Arial" w:cs="Arial" w:eastAsia="Arial" w:hAnsi="Arial"/>
          <w:sz w:val="12"/>
          <w:szCs w:val="12"/>
          <w:color w:val="auto"/>
        </w:rPr>
        <w:t>In February of 2016, the FASB issued ASU 2016-02, “Leases (Topic 842)” and in July of 2018, the FASB issued ASU 2018-11, “Leases (Topic 842): Targeted Improvements.” The updated guidance requires lessees to recognize lease assets and lease liabilities for most operating leases. In addition, the updated guidance provides lessors with an election to combine the lease and non-lease components of a contract, if certain conditions are met, and account for the combined component in accordance with the new revenue guidance in ASU 2014-09 if the non-lease component is the prominent component of the contract. The updated guidance is effective for interim and annual periods beginning after December 15, 2018 and requires using a modified retrospective transition method. However, the Company has elected to apply a practical expedient offered in the updated guidance which allows entities to apply the guidance on January 1, 2019 and comparative periods are not restated. In transition, lessees and lessors are required to recognize and measure leases starting at the effective date using an optional approach. The new standard will be effective on January 1, 2019 and will result in an increase of assets and liabilities of approximately $5.0 million.</w:t>
      </w:r>
    </w:p>
    <w:p>
      <w:pPr>
        <w:spacing w:after="0" w:line="129" w:lineRule="exact"/>
        <w:rPr>
          <w:sz w:val="20"/>
          <w:szCs w:val="20"/>
          <w:color w:val="auto"/>
        </w:rPr>
      </w:pPr>
    </w:p>
    <w:p>
      <w:pPr>
        <w:ind w:right="140" w:firstLine="488"/>
        <w:spacing w:after="0" w:line="259" w:lineRule="auto"/>
        <w:rPr>
          <w:sz w:val="20"/>
          <w:szCs w:val="20"/>
          <w:color w:val="auto"/>
        </w:rPr>
      </w:pPr>
      <w:r>
        <w:rPr>
          <w:rFonts w:ascii="Arial" w:cs="Arial" w:eastAsia="Arial" w:hAnsi="Arial"/>
          <w:sz w:val="12"/>
          <w:szCs w:val="12"/>
          <w:color w:val="auto"/>
        </w:rPr>
        <w:t xml:space="preserve">In July 2017, the FASB issued ASU No. 2017-11, </w:t>
      </w:r>
      <w:r>
        <w:rPr>
          <w:rFonts w:ascii="Arial" w:cs="Arial" w:eastAsia="Arial" w:hAnsi="Arial"/>
          <w:sz w:val="12"/>
          <w:szCs w:val="12"/>
          <w:i w:val="1"/>
          <w:iCs w:val="1"/>
          <w:color w:val="auto"/>
        </w:rPr>
        <w:t>Earnings per Share (Topic 260) and Derivatives and Hedging (Topic 815)</w:t>
      </w:r>
      <w:r>
        <w:rPr>
          <w:rFonts w:ascii="Arial" w:cs="Arial" w:eastAsia="Arial" w:hAnsi="Arial"/>
          <w:sz w:val="12"/>
          <w:szCs w:val="12"/>
          <w:color w:val="auto"/>
        </w:rPr>
        <w:t>: Accounting for Certain Financial Instruments with Down Round Provisions. This ASU addresses the complexity and cost of accounting for certain financial instruments with down round features that require fair value measurement of the entire instrument or conversion option and requires entities that present earnings per share in accordance with Topic 260 to recognize the effect of the down round feature when it is triggered. ASU 2017-11 is effective for fiscal years beginning January 1, 2019, including interim periods within those periods. The adoption of this standard is not expected to materially impact the Company’s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Inventories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Inventories consist of the following (in thousands):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7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0"/>
                <w:szCs w:val="10"/>
                <w:b w:val="1"/>
                <w:bCs w:val="1"/>
                <w:color w:val="auto"/>
              </w:rPr>
              <w:t>December 31,</w:t>
            </w:r>
          </w:p>
        </w:tc>
        <w:tc>
          <w:tcPr>
            <w:tcW w:w="10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2780" w:type="dxa"/>
            <w:vAlign w:val="bottom"/>
            <w:tcBorders>
              <w:bottom w:val="single" w:sz="8" w:color="CFF0FC"/>
            </w:tcBorders>
          </w:tcPr>
          <w:p>
            <w:pPr>
              <w:spacing w:after="0"/>
              <w:rPr>
                <w:sz w:val="8"/>
                <w:szCs w:val="8"/>
                <w:color w:val="auto"/>
              </w:rPr>
            </w:pPr>
          </w:p>
        </w:tc>
        <w:tc>
          <w:tcPr>
            <w:tcW w:w="1980" w:type="dxa"/>
            <w:vAlign w:val="bottom"/>
            <w:tcBorders>
              <w:bottom w:val="single" w:sz="8" w:color="CFF0FC"/>
            </w:tcBorders>
          </w:tcPr>
          <w:p>
            <w:pPr>
              <w:spacing w:after="0"/>
              <w:rPr>
                <w:sz w:val="8"/>
                <w:szCs w:val="8"/>
                <w:color w:val="auto"/>
              </w:rPr>
            </w:pPr>
          </w:p>
        </w:tc>
        <w:tc>
          <w:tcPr>
            <w:tcW w:w="1020" w:type="dxa"/>
            <w:vAlign w:val="bottom"/>
            <w:tcBorders>
              <w:bottom w:val="single" w:sz="8" w:color="auto"/>
            </w:tcBorders>
          </w:tcPr>
          <w:p>
            <w:pPr>
              <w:jc w:val="right"/>
              <w:ind w:right="131"/>
              <w:spacing w:after="0" w:line="97" w:lineRule="exact"/>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602"/>
              <w:spacing w:after="0" w:line="97" w:lineRule="exact"/>
              <w:rPr>
                <w:sz w:val="20"/>
                <w:szCs w:val="20"/>
                <w:color w:val="auto"/>
              </w:rPr>
            </w:pPr>
            <w:r>
              <w:rPr>
                <w:rFonts w:ascii="Arial" w:cs="Arial" w:eastAsia="Arial" w:hAnsi="Arial"/>
                <w:sz w:val="10"/>
                <w:szCs w:val="10"/>
                <w:b w:val="1"/>
                <w:bCs w:val="1"/>
                <w:color w:val="auto"/>
              </w:rPr>
              <w:t>2017</w:t>
            </w:r>
          </w:p>
        </w:tc>
        <w:tc>
          <w:tcPr>
            <w:tcW w:w="80" w:type="dxa"/>
            <w:vAlign w:val="bottom"/>
            <w:tcBorders>
              <w:bottom w:val="single" w:sz="8" w:color="CFF0FC"/>
            </w:tcBorders>
          </w:tcPr>
          <w:p>
            <w:pPr>
              <w:spacing w:after="0"/>
              <w:rPr>
                <w:sz w:val="8"/>
                <w:szCs w:val="8"/>
                <w:color w:val="auto"/>
              </w:rPr>
            </w:pPr>
          </w:p>
        </w:tc>
      </w:tr>
      <w:tr>
        <w:trPr>
          <w:trHeight w:val="142"/>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Raw materials</w:t>
            </w:r>
          </w:p>
        </w:tc>
        <w:tc>
          <w:tcPr>
            <w:tcW w:w="3000" w:type="dxa"/>
            <w:vAlign w:val="bottom"/>
            <w:gridSpan w:val="2"/>
            <w:shd w:val="clear" w:color="auto" w:fill="CFF0FC"/>
          </w:tcPr>
          <w:p>
            <w:pPr>
              <w:jc w:val="right"/>
              <w:ind w:right="911"/>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1,337</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572</w:t>
            </w:r>
          </w:p>
        </w:tc>
        <w:tc>
          <w:tcPr>
            <w:tcW w:w="80" w:type="dxa"/>
            <w:vAlign w:val="bottom"/>
            <w:shd w:val="clear" w:color="auto" w:fill="CFF0FC"/>
          </w:tcPr>
          <w:p>
            <w:pPr>
              <w:spacing w:after="0"/>
              <w:rPr>
                <w:sz w:val="12"/>
                <w:szCs w:val="12"/>
                <w:color w:val="auto"/>
              </w:rPr>
            </w:pPr>
          </w:p>
        </w:tc>
      </w:tr>
      <w:tr>
        <w:trPr>
          <w:trHeight w:val="153"/>
        </w:trPr>
        <w:tc>
          <w:tcPr>
            <w:tcW w:w="2780" w:type="dxa"/>
            <w:vAlign w:val="bottom"/>
          </w:tcPr>
          <w:p>
            <w:pPr>
              <w:spacing w:after="0"/>
              <w:rPr>
                <w:sz w:val="20"/>
                <w:szCs w:val="20"/>
                <w:color w:val="auto"/>
              </w:rPr>
            </w:pPr>
            <w:r>
              <w:rPr>
                <w:rFonts w:ascii="Arial" w:cs="Arial" w:eastAsia="Arial" w:hAnsi="Arial"/>
                <w:sz w:val="12"/>
                <w:szCs w:val="12"/>
                <w:color w:val="auto"/>
              </w:rPr>
              <w:t>Work-in-process</w:t>
            </w:r>
          </w:p>
        </w:tc>
        <w:tc>
          <w:tcPr>
            <w:tcW w:w="1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1,605</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1,273</w:t>
            </w:r>
          </w:p>
        </w:tc>
        <w:tc>
          <w:tcPr>
            <w:tcW w:w="80" w:type="dxa"/>
            <w:vAlign w:val="bottom"/>
          </w:tcPr>
          <w:p>
            <w:pPr>
              <w:spacing w:after="0"/>
              <w:rPr>
                <w:sz w:val="13"/>
                <w:szCs w:val="13"/>
                <w:color w:val="auto"/>
              </w:rPr>
            </w:pPr>
          </w:p>
        </w:tc>
      </w:tr>
      <w:tr>
        <w:trPr>
          <w:trHeight w:val="153"/>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Finished goods</w:t>
            </w:r>
          </w:p>
        </w:tc>
        <w:tc>
          <w:tcPr>
            <w:tcW w:w="198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655</w:t>
            </w:r>
          </w:p>
        </w:tc>
        <w:tc>
          <w:tcPr>
            <w:tcW w:w="20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812</w:t>
            </w:r>
          </w:p>
        </w:tc>
        <w:tc>
          <w:tcPr>
            <w:tcW w:w="80" w:type="dxa"/>
            <w:vAlign w:val="bottom"/>
            <w:shd w:val="clear" w:color="auto" w:fill="CFF0FC"/>
          </w:tcPr>
          <w:p>
            <w:pPr>
              <w:spacing w:after="0"/>
              <w:rPr>
                <w:sz w:val="13"/>
                <w:szCs w:val="13"/>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2"/>
                <w:szCs w:val="12"/>
                <w:color w:val="auto"/>
              </w:rPr>
              <w:t>Total inventory</w:t>
            </w:r>
          </w:p>
        </w:tc>
        <w:tc>
          <w:tcPr>
            <w:tcW w:w="1980" w:type="dxa"/>
            <w:vAlign w:val="bottom"/>
          </w:tcPr>
          <w:p>
            <w:pPr>
              <w:spacing w:after="0"/>
              <w:rPr>
                <w:sz w:val="12"/>
                <w:szCs w:val="12"/>
                <w:color w:val="auto"/>
              </w:rPr>
            </w:pPr>
          </w:p>
        </w:tc>
        <w:tc>
          <w:tcPr>
            <w:tcW w:w="1020" w:type="dxa"/>
            <w:vAlign w:val="bottom"/>
            <w:tcBorders>
              <w:bottom w:val="single" w:sz="8" w:color="auto"/>
            </w:tcBorders>
          </w:tcPr>
          <w:p>
            <w:pPr>
              <w:jc w:val="right"/>
              <w:ind w:right="91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3,597</w:t>
            </w:r>
          </w:p>
        </w:tc>
        <w:tc>
          <w:tcPr>
            <w:tcW w:w="200" w:type="dxa"/>
            <w:vAlign w:val="bottom"/>
          </w:tcPr>
          <w:p>
            <w:pPr>
              <w:spacing w:after="0"/>
              <w:rPr>
                <w:sz w:val="12"/>
                <w:szCs w:val="1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2,657</w:t>
            </w:r>
          </w:p>
        </w:tc>
        <w:tc>
          <w:tcPr>
            <w:tcW w:w="80" w:type="dxa"/>
            <w:vAlign w:val="bottom"/>
          </w:tcPr>
          <w:p>
            <w:pPr>
              <w:spacing w:after="0"/>
              <w:rPr>
                <w:sz w:val="12"/>
                <w:szCs w:val="12"/>
                <w:color w:val="auto"/>
              </w:rPr>
            </w:pPr>
          </w:p>
        </w:tc>
      </w:tr>
    </w:tbl>
    <w:p>
      <w:pPr>
        <w:spacing w:after="0" w:line="135" w:lineRule="exact"/>
        <w:rPr>
          <w:sz w:val="20"/>
          <w:szCs w:val="20"/>
          <w:color w:val="auto"/>
        </w:rPr>
      </w:pPr>
    </w:p>
    <w:p>
      <w:pPr>
        <w:ind w:right="220" w:firstLine="488"/>
        <w:spacing w:after="0" w:line="327" w:lineRule="auto"/>
        <w:rPr>
          <w:sz w:val="20"/>
          <w:szCs w:val="20"/>
          <w:color w:val="auto"/>
        </w:rPr>
      </w:pPr>
      <w:r>
        <w:rPr>
          <w:rFonts w:ascii="Arial" w:cs="Arial" w:eastAsia="Arial" w:hAnsi="Arial"/>
          <w:sz w:val="10"/>
          <w:szCs w:val="10"/>
          <w:color w:val="auto"/>
        </w:rPr>
        <w:t>Work-in-process and finished goods as of December 31, 2018 and 2017 include conversion costs but not insulin cost because the insulin used in its production was previously written off. The Company analyzed its inventory levels to identify inventory that may expire or has a cost basis in excess of its estimated realizable value. The Company performed an assessment of projected sales and evaluated the lower of cost or net realizable value and the potential excess inventory on hand at December 31, 2018. During the year ended December 31, 2018 and 2017, the Company recorded a write-down of inventory of approximately $2.2 million and $3.0 million, respectively. Inventory that was forecasted to become obsolete due to expiration is recorded in costs of goods sold in the accompanying consolidated statements of operations. There was no write-down of inventory for the year ended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Property and Equipment</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Property and equipment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Arial" w:cs="Arial" w:eastAsia="Arial" w:hAnsi="Arial"/>
                <w:sz w:val="10"/>
                <w:szCs w:val="10"/>
                <w:b w:val="1"/>
                <w:bCs w:val="1"/>
                <w:color w:val="auto"/>
                <w:w w:val="86"/>
              </w:rPr>
              <w:t>Estimated Useful</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December 31,</w:t>
            </w: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4300" w:type="dxa"/>
            <w:vAlign w:val="bottom"/>
            <w:tcBorders>
              <w:bottom w:val="single" w:sz="8" w:color="CFF0FC"/>
            </w:tcBorders>
          </w:tcPr>
          <w:p>
            <w:pPr>
              <w:spacing w:after="0"/>
              <w:rPr>
                <w:sz w:val="8"/>
                <w:szCs w:val="8"/>
                <w:color w:val="auto"/>
              </w:rPr>
            </w:pPr>
          </w:p>
        </w:tc>
        <w:tc>
          <w:tcPr>
            <w:tcW w:w="1100" w:type="dxa"/>
            <w:vAlign w:val="bottom"/>
            <w:tcBorders>
              <w:bottom w:val="single" w:sz="8" w:color="auto"/>
            </w:tcBorders>
          </w:tcPr>
          <w:p>
            <w:pPr>
              <w:jc w:val="center"/>
              <w:ind w:left="252"/>
              <w:spacing w:after="0" w:line="97" w:lineRule="exact"/>
              <w:rPr>
                <w:sz w:val="20"/>
                <w:szCs w:val="20"/>
                <w:color w:val="auto"/>
              </w:rPr>
            </w:pPr>
            <w:r>
              <w:rPr>
                <w:rFonts w:ascii="Arial" w:cs="Arial" w:eastAsia="Arial" w:hAnsi="Arial"/>
                <w:sz w:val="10"/>
                <w:szCs w:val="10"/>
                <w:b w:val="1"/>
                <w:bCs w:val="1"/>
                <w:color w:val="auto"/>
                <w:w w:val="88"/>
              </w:rPr>
              <w:t>Life (Years)</w:t>
            </w: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jc w:val="right"/>
              <w:ind w:right="582"/>
              <w:spacing w:after="0" w:line="97" w:lineRule="exact"/>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581"/>
              <w:spacing w:after="0" w:line="97"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FF0FC"/>
            </w:tcBorders>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FF0FC"/>
          </w:tcPr>
          <w:p>
            <w:pPr>
              <w:jc w:val="right"/>
              <w:ind w:right="23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w:t>
            </w:r>
          </w:p>
        </w:tc>
        <w:tc>
          <w:tcPr>
            <w:tcW w:w="1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w:t>
            </w: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40" w:type="dxa"/>
            <w:vAlign w:val="bottom"/>
            <w:gridSpan w:val="3"/>
          </w:tcPr>
          <w:p>
            <w:pPr>
              <w:ind w:left="1140"/>
              <w:spacing w:after="0"/>
              <w:rPr>
                <w:sz w:val="20"/>
                <w:szCs w:val="20"/>
                <w:color w:val="auto"/>
              </w:rPr>
            </w:pPr>
            <w:r>
              <w:rPr>
                <w:rFonts w:ascii="Arial" w:cs="Arial" w:eastAsia="Arial" w:hAnsi="Arial"/>
                <w:sz w:val="12"/>
                <w:szCs w:val="12"/>
                <w:color w:val="auto"/>
              </w:rPr>
              <w:t>Buildings</w:t>
            </w:r>
          </w:p>
        </w:tc>
        <w:tc>
          <w:tcPr>
            <w:tcW w:w="340" w:type="dxa"/>
            <w:vAlign w:val="bottom"/>
          </w:tcPr>
          <w:p>
            <w:pPr>
              <w:jc w:val="right"/>
              <w:spacing w:after="0"/>
              <w:rPr>
                <w:sz w:val="20"/>
                <w:szCs w:val="20"/>
                <w:color w:val="auto"/>
              </w:rPr>
            </w:pPr>
            <w:r>
              <w:rPr>
                <w:rFonts w:ascii="Arial" w:cs="Arial" w:eastAsia="Arial" w:hAnsi="Arial"/>
                <w:sz w:val="12"/>
                <w:szCs w:val="12"/>
                <w:color w:val="auto"/>
                <w:w w:val="97"/>
              </w:rPr>
              <w:t>39-40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17,389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17,389</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Building improvements</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34,967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34,957</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40" w:type="dxa"/>
            <w:vAlign w:val="bottom"/>
            <w:gridSpan w:val="3"/>
          </w:tcPr>
          <w:p>
            <w:pPr>
              <w:ind w:left="1140"/>
              <w:spacing w:after="0"/>
              <w:rPr>
                <w:sz w:val="20"/>
                <w:szCs w:val="20"/>
                <w:color w:val="auto"/>
              </w:rPr>
            </w:pPr>
            <w:r>
              <w:rPr>
                <w:rFonts w:ascii="Arial" w:cs="Arial" w:eastAsia="Arial" w:hAnsi="Arial"/>
                <w:sz w:val="12"/>
                <w:szCs w:val="12"/>
                <w:color w:val="auto"/>
              </w:rPr>
              <w:t>Machinery and equipment</w:t>
            </w:r>
          </w:p>
        </w:tc>
        <w:tc>
          <w:tcPr>
            <w:tcW w:w="340" w:type="dxa"/>
            <w:vAlign w:val="bottom"/>
          </w:tcPr>
          <w:p>
            <w:pPr>
              <w:jc w:val="right"/>
              <w:spacing w:after="0"/>
              <w:rPr>
                <w:sz w:val="20"/>
                <w:szCs w:val="20"/>
                <w:color w:val="auto"/>
              </w:rPr>
            </w:pPr>
            <w:r>
              <w:rPr>
                <w:rFonts w:ascii="Arial" w:cs="Arial" w:eastAsia="Arial" w:hAnsi="Arial"/>
                <w:sz w:val="12"/>
                <w:szCs w:val="12"/>
                <w:color w:val="auto"/>
              </w:rPr>
              <w:t>3-15</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61,217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62,681</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Furniture, fixtures and office equipment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3,556</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40" w:type="dxa"/>
            <w:vAlign w:val="bottom"/>
            <w:gridSpan w:val="3"/>
          </w:tcPr>
          <w:p>
            <w:pPr>
              <w:ind w:left="1140"/>
              <w:spacing w:after="0"/>
              <w:rPr>
                <w:sz w:val="20"/>
                <w:szCs w:val="20"/>
                <w:color w:val="auto"/>
              </w:rPr>
            </w:pPr>
            <w:r>
              <w:rPr>
                <w:rFonts w:ascii="Arial" w:cs="Arial" w:eastAsia="Arial" w:hAnsi="Arial"/>
                <w:sz w:val="12"/>
                <w:szCs w:val="12"/>
                <w:color w:val="auto"/>
              </w:rPr>
              <w:t>Computer equipment and software</w:t>
            </w:r>
          </w:p>
        </w:tc>
        <w:tc>
          <w:tcPr>
            <w:tcW w:w="34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8,355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8,416</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Construction in progress</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126,099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127,874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(100,497)</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(100,952)</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ind w:left="1140"/>
              <w:spacing w:after="0"/>
              <w:rPr>
                <w:sz w:val="20"/>
                <w:szCs w:val="20"/>
                <w:color w:val="auto"/>
              </w:rPr>
            </w:pPr>
            <w:r>
              <w:rPr>
                <w:rFonts w:ascii="Arial" w:cs="Arial" w:eastAsia="Arial" w:hAnsi="Arial"/>
                <w:sz w:val="12"/>
                <w:szCs w:val="12"/>
                <w:color w:val="auto"/>
              </w:rPr>
              <w:t>Total property and equipment, net</w:t>
            </w: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25,602</w:t>
            </w:r>
          </w:p>
        </w:tc>
        <w:tc>
          <w:tcPr>
            <w:tcW w:w="120" w:type="dxa"/>
            <w:vAlign w:val="bottom"/>
          </w:tcPr>
          <w:p>
            <w:pPr>
              <w:spacing w:after="0"/>
              <w:rPr>
                <w:sz w:val="12"/>
                <w:szCs w:val="12"/>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26,922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6540" w:type="dxa"/>
            <w:vAlign w:val="bottom"/>
            <w:gridSpan w:val="3"/>
          </w:tcPr>
          <w:p>
            <w:pPr>
              <w:jc w:val="right"/>
              <w:ind w:right="692"/>
              <w:spacing w:after="0"/>
              <w:rPr>
                <w:sz w:val="20"/>
                <w:szCs w:val="20"/>
                <w:color w:val="auto"/>
              </w:rPr>
            </w:pPr>
            <w:r>
              <w:rPr>
                <w:rFonts w:ascii="Arial" w:cs="Arial" w:eastAsia="Arial" w:hAnsi="Arial"/>
                <w:sz w:val="12"/>
                <w:szCs w:val="12"/>
                <w:color w:val="auto"/>
              </w:rPr>
              <w:t>78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9A9A9A"/>
            </w:tcBorders>
          </w:tcPr>
          <w:p>
            <w:pPr>
              <w:spacing w:after="0"/>
              <w:rPr>
                <w:sz w:val="19"/>
                <w:szCs w:val="19"/>
                <w:color w:val="auto"/>
              </w:rPr>
            </w:pPr>
          </w:p>
        </w:tc>
        <w:tc>
          <w:tcPr>
            <w:tcW w:w="43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5" w:right="179" w:bottom="1440" w:gutter="0" w:footer="0" w:header="0"/>
        </w:sectPr>
      </w:pPr>
    </w:p>
    <w:bookmarkStart w:id="81" w:name="page82"/>
    <w:bookmarkEnd w:id="81"/>
    <w:p>
      <w:pPr>
        <w:ind w:right="120" w:firstLine="488"/>
        <w:spacing w:after="0" w:line="276" w:lineRule="auto"/>
        <w:rPr>
          <w:sz w:val="20"/>
          <w:szCs w:val="20"/>
          <w:color w:val="auto"/>
        </w:rPr>
      </w:pPr>
      <w:r>
        <w:rPr>
          <w:rFonts w:ascii="Arial" w:cs="Arial" w:eastAsia="Arial" w:hAnsi="Arial"/>
          <w:sz w:val="12"/>
          <w:szCs w:val="12"/>
          <w:color w:val="auto"/>
        </w:rPr>
        <w:t>Depreciation expense related to property and equipment for the years ended December 31, 2018, 2017 and 2016, was $1.7 million, $1.8 million and $2.4 million, respectively. The Company disposed of $2.1 million of furniture and fixtures, manufacturing equipment and laboratory equipment as it was no longer in service. The net book value was de minimis.</w:t>
      </w:r>
    </w:p>
    <w:p>
      <w:pPr>
        <w:spacing w:after="0" w:line="133" w:lineRule="exact"/>
        <w:rPr>
          <w:sz w:val="20"/>
          <w:szCs w:val="20"/>
          <w:color w:val="auto"/>
        </w:rPr>
      </w:pPr>
    </w:p>
    <w:p>
      <w:pPr>
        <w:ind w:right="40" w:firstLine="488"/>
        <w:spacing w:after="0" w:line="257" w:lineRule="auto"/>
        <w:rPr>
          <w:sz w:val="20"/>
          <w:szCs w:val="20"/>
          <w:color w:val="auto"/>
        </w:rPr>
      </w:pPr>
      <w:r>
        <w:rPr>
          <w:rFonts w:ascii="Arial" w:cs="Arial" w:eastAsia="Arial" w:hAnsi="Arial"/>
          <w:sz w:val="12"/>
          <w:szCs w:val="12"/>
          <w:color w:val="auto"/>
        </w:rPr>
        <w:t>On January 6, 2017, the Company and Rexford Industrial Realty, L.P. (“Rexford”) entered into an Agreement of Purchase and Sale and Joint Escrow Instructions (the “Purchase Agreement”), pursuant to which the Company agreed to sell and Rexford agreed to purchase certain parcels of real estate owned by the Company in Valencia, California and certain related improvements, personal property, equipment, supplies and fixtures (collectively, the “Property”) for $17.3 million. This asset in the amount of $16.7 million was classified as held for sale as of December 31, 2016. The sale and purchase of the Property for $17.3 million pursuant to the terms of the Purchase Agreement, as amended, was completed on February 17, 2017. Net proceeds were $16.7 million after deducting broker’s commission and other fees of approximately $0.6 million paid by the Company. Net proceeds received approximated the carrying value of the asset held for sale.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Accrued Expenses and Other Current Liabilities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Accrued expenses and other current liabilities are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4100" w:type="dxa"/>
            <w:vAlign w:val="bottom"/>
            <w:tcBorders>
              <w:bottom w:val="single" w:sz="8" w:color="CFF0FC"/>
            </w:tcBorders>
          </w:tcPr>
          <w:p>
            <w:pPr>
              <w:spacing w:after="0"/>
              <w:rPr>
                <w:sz w:val="8"/>
                <w:szCs w:val="8"/>
                <w:color w:val="auto"/>
              </w:rPr>
            </w:pPr>
          </w:p>
        </w:tc>
        <w:tc>
          <w:tcPr>
            <w:tcW w:w="144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03"/>
              <w:spacing w:after="0" w:line="97" w:lineRule="exact"/>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2017</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Salary and related expenses</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8,110</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20" w:type="dxa"/>
            <w:vAlign w:val="bottom"/>
            <w:gridSpan w:val="2"/>
          </w:tcPr>
          <w:p>
            <w:pPr>
              <w:ind w:left="1720"/>
              <w:spacing w:after="0"/>
              <w:rPr>
                <w:sz w:val="20"/>
                <w:szCs w:val="20"/>
                <w:color w:val="auto"/>
              </w:rPr>
            </w:pPr>
            <w:r>
              <w:rPr>
                <w:rFonts w:ascii="Arial" w:cs="Arial" w:eastAsia="Arial" w:hAnsi="Arial"/>
                <w:sz w:val="12"/>
                <w:szCs w:val="12"/>
                <w:color w:val="auto"/>
              </w:rPr>
              <w:t>Current portion of milestone rights liability</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1,643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Professional fees</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741</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gridSpan w:val="2"/>
          </w:tcPr>
          <w:p>
            <w:pPr>
              <w:ind w:left="1720"/>
              <w:spacing w:after="0"/>
              <w:rPr>
                <w:sz w:val="20"/>
                <w:szCs w:val="20"/>
                <w:color w:val="auto"/>
              </w:rPr>
            </w:pPr>
            <w:r>
              <w:rPr>
                <w:rFonts w:ascii="Arial" w:cs="Arial" w:eastAsia="Arial" w:hAnsi="Arial"/>
                <w:sz w:val="12"/>
                <w:szCs w:val="12"/>
                <w:color w:val="auto"/>
              </w:rPr>
              <w:t>Discounts and allowances for commercial product sales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2,656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Sales and marketing services</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gridSpan w:val="2"/>
          </w:tcPr>
          <w:p>
            <w:pPr>
              <w:ind w:left="1720"/>
              <w:spacing w:after="0"/>
              <w:rPr>
                <w:sz w:val="20"/>
                <w:szCs w:val="20"/>
                <w:color w:val="auto"/>
              </w:rPr>
            </w:pPr>
            <w:r>
              <w:rPr>
                <w:rFonts w:ascii="Arial" w:cs="Arial" w:eastAsia="Arial" w:hAnsi="Arial"/>
                <w:sz w:val="12"/>
                <w:szCs w:val="12"/>
                <w:color w:val="auto"/>
              </w:rPr>
              <w:t>Restructuring</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Accrued interest</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492</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gridSpan w:val="2"/>
          </w:tcPr>
          <w:p>
            <w:pPr>
              <w:ind w:left="1720"/>
              <w:spacing w:after="0"/>
              <w:rPr>
                <w:sz w:val="20"/>
                <w:szCs w:val="20"/>
                <w:color w:val="auto"/>
              </w:rPr>
            </w:pPr>
            <w:r>
              <w:rPr>
                <w:rFonts w:ascii="Arial" w:cs="Arial" w:eastAsia="Arial" w:hAnsi="Arial"/>
                <w:sz w:val="12"/>
                <w:szCs w:val="12"/>
                <w:color w:val="auto"/>
              </w:rPr>
              <w:t>Deferred Lease Liability</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14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1,035</w:t>
            </w:r>
          </w:p>
        </w:tc>
        <w:tc>
          <w:tcPr>
            <w:tcW w:w="2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gridSpan w:val="2"/>
          </w:tcPr>
          <w:p>
            <w:pPr>
              <w:ind w:left="1720"/>
              <w:spacing w:after="0"/>
              <w:rPr>
                <w:sz w:val="20"/>
                <w:szCs w:val="20"/>
                <w:color w:val="auto"/>
              </w:rPr>
            </w:pPr>
            <w:r>
              <w:rPr>
                <w:rFonts w:ascii="Arial" w:cs="Arial" w:eastAsia="Arial" w:hAnsi="Arial"/>
                <w:sz w:val="12"/>
                <w:szCs w:val="12"/>
                <w:color w:val="auto"/>
              </w:rPr>
              <w:t>Accrued expenses and other current liabilities</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15,022</w:t>
            </w:r>
          </w:p>
        </w:tc>
        <w:tc>
          <w:tcPr>
            <w:tcW w:w="20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12,449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5820" w:type="dxa"/>
            <w:vAlign w:val="bottom"/>
            <w:gridSpan w:val="2"/>
          </w:tcPr>
          <w:p>
            <w:pPr>
              <w:spacing w:after="0"/>
              <w:rPr>
                <w:sz w:val="20"/>
                <w:szCs w:val="20"/>
                <w:color w:val="auto"/>
              </w:rPr>
            </w:pPr>
            <w:r>
              <w:rPr>
                <w:rFonts w:ascii="Arial" w:cs="Arial" w:eastAsia="Arial" w:hAnsi="Arial"/>
                <w:sz w:val="12"/>
                <w:szCs w:val="12"/>
                <w:b w:val="1"/>
                <w:bCs w:val="1"/>
                <w:color w:val="auto"/>
              </w:rPr>
              <w:t>6. Related-Party Arrangements</w:t>
            </w:r>
          </w:p>
        </w:tc>
        <w:tc>
          <w:tcPr>
            <w:tcW w:w="1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8"/>
              </w:rPr>
              <w:t>December 31,</w:t>
            </w:r>
          </w:p>
        </w:tc>
        <w:tc>
          <w:tcPr>
            <w:tcW w:w="2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4"/>
        </w:trPr>
        <w:tc>
          <w:tcPr>
            <w:tcW w:w="1720" w:type="dxa"/>
            <w:vAlign w:val="bottom"/>
          </w:tcPr>
          <w:p>
            <w:pPr>
              <w:spacing w:after="0"/>
              <w:rPr>
                <w:sz w:val="9"/>
                <w:szCs w:val="9"/>
                <w:color w:val="auto"/>
              </w:rPr>
            </w:pPr>
          </w:p>
        </w:tc>
        <w:tc>
          <w:tcPr>
            <w:tcW w:w="4100" w:type="dxa"/>
            <w:vAlign w:val="bottom"/>
            <w:tcBorders>
              <w:bottom w:val="single" w:sz="8" w:color="CFF0FC"/>
            </w:tcBorders>
          </w:tcPr>
          <w:p>
            <w:pPr>
              <w:spacing w:after="0"/>
              <w:rPr>
                <w:sz w:val="9"/>
                <w:szCs w:val="9"/>
                <w:color w:val="auto"/>
              </w:rPr>
            </w:pPr>
          </w:p>
        </w:tc>
        <w:tc>
          <w:tcPr>
            <w:tcW w:w="14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403"/>
              <w:spacing w:after="0" w:line="114" w:lineRule="exact"/>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02"/>
              <w:spacing w:after="0" w:line="114" w:lineRule="exact"/>
              <w:rPr>
                <w:sz w:val="20"/>
                <w:szCs w:val="20"/>
                <w:color w:val="auto"/>
              </w:rPr>
            </w:pPr>
            <w:r>
              <w:rPr>
                <w:rFonts w:ascii="Arial" w:cs="Arial" w:eastAsia="Arial" w:hAnsi="Arial"/>
                <w:sz w:val="10"/>
                <w:szCs w:val="10"/>
                <w:b w:val="1"/>
                <w:bCs w:val="1"/>
                <w:color w:val="auto"/>
              </w:rPr>
              <w:t>2017</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Principal amount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71,506</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79,666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20" w:type="dxa"/>
            <w:vAlign w:val="bottom"/>
            <w:gridSpan w:val="2"/>
          </w:tcPr>
          <w:p>
            <w:pPr>
              <w:ind w:left="1720"/>
              <w:spacing w:after="0"/>
              <w:rPr>
                <w:sz w:val="20"/>
                <w:szCs w:val="20"/>
                <w:color w:val="auto"/>
              </w:rPr>
            </w:pPr>
            <w:r>
              <w:rPr>
                <w:rFonts w:ascii="Arial" w:cs="Arial" w:eastAsia="Arial" w:hAnsi="Arial"/>
                <w:sz w:val="12"/>
                <w:szCs w:val="12"/>
                <w:color w:val="auto"/>
              </w:rPr>
              <w:t>Unamortized premium</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Unaccreted debt issuance costs</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(56)</w:t>
            </w:r>
          </w:p>
        </w:tc>
        <w:tc>
          <w:tcPr>
            <w:tcW w:w="2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1720"/>
              <w:spacing w:after="0"/>
              <w:rPr>
                <w:sz w:val="20"/>
                <w:szCs w:val="20"/>
                <w:color w:val="auto"/>
              </w:rPr>
            </w:pPr>
            <w:r>
              <w:rPr>
                <w:rFonts w:ascii="Arial" w:cs="Arial" w:eastAsia="Arial" w:hAnsi="Arial"/>
                <w:sz w:val="12"/>
                <w:szCs w:val="12"/>
                <w:color w:val="auto"/>
              </w:rPr>
              <w:t>Net carrying amount</w:t>
            </w: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72,089</w:t>
            </w:r>
          </w:p>
        </w:tc>
        <w:tc>
          <w:tcPr>
            <w:tcW w:w="20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79,666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firstLine="488"/>
        <w:spacing w:after="0" w:line="257" w:lineRule="auto"/>
        <w:rPr>
          <w:sz w:val="20"/>
          <w:szCs w:val="20"/>
          <w:color w:val="auto"/>
        </w:rPr>
      </w:pPr>
      <w:r>
        <w:rPr>
          <w:rFonts w:ascii="Arial" w:cs="Arial" w:eastAsia="Arial" w:hAnsi="Arial"/>
          <w:sz w:val="12"/>
          <w:szCs w:val="12"/>
          <w:color w:val="auto"/>
        </w:rPr>
        <w:t>In October 2007, the Company entered into The Mann Group Loan Arrangement, which has been amended from time to time. On October 31, 2013, the promissory note underlying The Mann Group Loan Arrangement, described in the Company’s consolidated balance sheets as Note Payable to Related Party,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 At various times over the years that the Mann Group Loan Arrangement has been outstanding, the Company and The Mann Group have agreed to exchange portions of the outstanding principal for shares of the Company’s common stock.</w:t>
      </w:r>
    </w:p>
    <w:p>
      <w:pPr>
        <w:spacing w:after="0" w:line="126" w:lineRule="exact"/>
        <w:rPr>
          <w:sz w:val="20"/>
          <w:szCs w:val="20"/>
          <w:color w:val="auto"/>
        </w:rPr>
      </w:pPr>
    </w:p>
    <w:p>
      <w:pPr>
        <w:ind w:right="160" w:firstLine="488"/>
        <w:spacing w:after="0" w:line="290" w:lineRule="auto"/>
        <w:rPr>
          <w:sz w:val="20"/>
          <w:szCs w:val="20"/>
          <w:color w:val="auto"/>
        </w:rPr>
      </w:pPr>
      <w:r>
        <w:rPr>
          <w:rFonts w:ascii="Arial" w:cs="Arial" w:eastAsia="Arial" w:hAnsi="Arial"/>
          <w:sz w:val="11"/>
          <w:szCs w:val="11"/>
          <w:color w:val="auto"/>
        </w:rPr>
        <w:t>On June 27, 2017, the Company entered into an agreement with The Mann Group, pursuant to which the parties agreed to, among other things, (i) capitalize $10.7 million of accrued and unpaid interest as of June 30, 2017, resulting in such amount being classified as outstanding principal under The Mann Group Loan Arrangement; (ii) advance to the Company approximately $19.4 million of cash, the remaining amount available for borrowing by the Company under The Mann Group Loan Arrangement after the foregoing capitalization of accrued and unpaid interest; and (iii) defer all interest payable on the outstanding principal until July 1, 2018, unless such payments are otherwise permitted under the subordination agreement with Deerfield, and subject to further deferral pursuant to the terms of the subordination agreement with Deerfield which terms are more fully disclosed below.</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82" w:name="page83"/>
    <w:bookmarkEnd w:id="82"/>
    <w:p>
      <w:pPr>
        <w:ind w:firstLine="488"/>
        <w:spacing w:after="0" w:line="257" w:lineRule="auto"/>
        <w:rPr>
          <w:sz w:val="20"/>
          <w:szCs w:val="20"/>
          <w:color w:val="auto"/>
        </w:rPr>
      </w:pPr>
      <w:r>
        <w:rPr>
          <w:rFonts w:ascii="Arial" w:cs="Arial" w:eastAsia="Arial" w:hAnsi="Arial"/>
          <w:sz w:val="12"/>
          <w:szCs w:val="12"/>
          <w:color w:val="auto"/>
        </w:rPr>
        <w:t>On March 11, 2018, the Company amended and restated the Mann Group Loan Arrangement with The Mann Group to, among other things, (i) reflect the current outstanding principal balance of the existing loan of $71.5 million, after giving effect to the partial cancellation of principal in exchange for shares of the Company’s common stock described below; (ii) extend the maturity date of the loan to July 1, 2021; (iii) for periods beginning after April 1, 2018 require interest to compound quarterly; and (iv) permit the principal and any accrued and unpaid interest under the Mann Group Loan Arrangement to be converted, at the option of The Mann Group, at any time on or prior to close of business on the business day immediately preceding the stated maturity date, into shares of the Company’s common stock. The conversion rate of 250 shares per $1,000 principal amount of the Note, which is equal to $4.00 per share subject to adjustment under certain circumstances as described in the Mann Group Loan Arrangement.</w:t>
      </w:r>
    </w:p>
    <w:p>
      <w:pPr>
        <w:spacing w:after="0" w:line="126" w:lineRule="exact"/>
        <w:rPr>
          <w:sz w:val="20"/>
          <w:szCs w:val="20"/>
          <w:color w:val="auto"/>
        </w:rPr>
      </w:pPr>
    </w:p>
    <w:p>
      <w:pPr>
        <w:ind w:right="20" w:firstLine="488"/>
        <w:spacing w:after="0" w:line="276" w:lineRule="auto"/>
        <w:rPr>
          <w:sz w:val="20"/>
          <w:szCs w:val="20"/>
          <w:color w:val="auto"/>
        </w:rPr>
      </w:pPr>
      <w:r>
        <w:rPr>
          <w:rFonts w:ascii="Arial" w:cs="Arial" w:eastAsia="Arial" w:hAnsi="Arial"/>
          <w:sz w:val="12"/>
          <w:szCs w:val="12"/>
          <w:color w:val="auto"/>
        </w:rPr>
        <w:t>The Company analyzed this amendment and concluded that the transaction represented an extinguishment of the related party note and recorded a $0.8 million loss on extinguishment of debt. As a result of the extinguishment the Company recorded a debt premium of $0.8 million and debt issuance costs of $0.1 million during 2018.</w:t>
      </w:r>
    </w:p>
    <w:p>
      <w:pPr>
        <w:spacing w:after="0" w:line="115" w:lineRule="exact"/>
        <w:rPr>
          <w:sz w:val="20"/>
          <w:szCs w:val="20"/>
          <w:color w:val="auto"/>
        </w:rPr>
      </w:pPr>
    </w:p>
    <w:p>
      <w:pPr>
        <w:ind w:right="60" w:firstLine="488"/>
        <w:spacing w:after="0" w:line="259" w:lineRule="auto"/>
        <w:rPr>
          <w:sz w:val="20"/>
          <w:szCs w:val="20"/>
          <w:color w:val="auto"/>
        </w:rPr>
      </w:pPr>
      <w:r>
        <w:rPr>
          <w:rFonts w:ascii="Arial" w:cs="Arial" w:eastAsia="Arial" w:hAnsi="Arial"/>
          <w:sz w:val="12"/>
          <w:szCs w:val="12"/>
          <w:color w:val="auto"/>
        </w:rPr>
        <w:t>On March 11, 2018, the Company and The Mann Group entered into a common stock purchase agreement pursuant to which the Company agreed to issue to The Mann Group and The Mann Group agreed to purchase 3,000,000 shares of the Company’s common stock at a price per share of $2.72, which represented the closing price of the Company’s common stock on March 9, 2018. As payment for the purchase price for the shares, The Mann Group agreed to cancel $8.2 million in principal amount under the Mann Group Loan Arrangement, with the principal payment to be reflected in the amended and restated Mann Group Loan Arrangement. The purchased shares were issued in a private placement.</w:t>
      </w:r>
    </w:p>
    <w:p>
      <w:pPr>
        <w:spacing w:after="0" w:line="125" w:lineRule="exact"/>
        <w:rPr>
          <w:sz w:val="20"/>
          <w:szCs w:val="20"/>
          <w:color w:val="auto"/>
        </w:rPr>
      </w:pPr>
    </w:p>
    <w:p>
      <w:pPr>
        <w:ind w:right="40" w:firstLine="488"/>
        <w:spacing w:after="0" w:line="312" w:lineRule="auto"/>
        <w:rPr>
          <w:sz w:val="20"/>
          <w:szCs w:val="20"/>
          <w:color w:val="auto"/>
        </w:rPr>
      </w:pPr>
      <w:r>
        <w:rPr>
          <w:rFonts w:ascii="Arial" w:cs="Arial" w:eastAsia="Arial" w:hAnsi="Arial"/>
          <w:sz w:val="10"/>
          <w:szCs w:val="10"/>
          <w:color w:val="auto"/>
        </w:rPr>
        <w:t>Interest, at a fixed rate of 5.84%, is due and payable quarterly in arrears on the first day of each calendar quarter for the preceding quarter, or at such other time as the Company and The Mann Group mutually agree. The Mann Group can require the Company to prepay up to $200.0 million in advances that have been outstanding for at least 12 months, less approximately $105.0 million aggregate principal amount that has been cancelled in connection with three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01" w:lineRule="exact"/>
        <w:rPr>
          <w:sz w:val="20"/>
          <w:szCs w:val="20"/>
          <w:color w:val="auto"/>
        </w:rPr>
      </w:pPr>
    </w:p>
    <w:p>
      <w:pPr>
        <w:ind w:firstLine="488"/>
        <w:spacing w:after="0" w:line="323" w:lineRule="auto"/>
        <w:rPr>
          <w:sz w:val="20"/>
          <w:szCs w:val="20"/>
          <w:color w:val="auto"/>
        </w:rPr>
      </w:pPr>
      <w:r>
        <w:rPr>
          <w:rFonts w:ascii="Arial" w:cs="Arial" w:eastAsia="Arial" w:hAnsi="Arial"/>
          <w:sz w:val="11"/>
          <w:szCs w:val="11"/>
          <w:color w:val="auto"/>
        </w:rPr>
        <w:t>As of December 31, 2018 and 2017, the Company had accrued unpaid interest related to the above note of $6.8 million and $2.3 million, respectively. As of December 31, 2018 and 2017, there was no additional amount available for future borrowings. Interest expense (excluding the amortization of debt premium and debt issuance costs) for the years ended December 31, 2018 and 2017 are as follows (in thousands):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86"/>
              </w:rPr>
              <w:t>For the Year Ended December 31,</w:t>
            </w: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4160" w:type="dxa"/>
            <w:vAlign w:val="bottom"/>
            <w:tcBorders>
              <w:bottom w:val="single" w:sz="8" w:color="CFF0FC"/>
            </w:tcBorders>
          </w:tcPr>
          <w:p>
            <w:pPr>
              <w:spacing w:after="0"/>
              <w:rPr>
                <w:sz w:val="12"/>
                <w:szCs w:val="12"/>
                <w:color w:val="auto"/>
              </w:rPr>
            </w:pPr>
          </w:p>
        </w:tc>
        <w:tc>
          <w:tcPr>
            <w:tcW w:w="18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w w:val="89"/>
              </w:rPr>
              <w:t>2017</w:t>
            </w:r>
          </w:p>
        </w:tc>
        <w:tc>
          <w:tcPr>
            <w:tcW w:w="100" w:type="dxa"/>
            <w:vAlign w:val="bottom"/>
            <w:tcBorders>
              <w:bottom w:val="single" w:sz="8" w:color="CFF0FC"/>
            </w:tcBorders>
          </w:tcPr>
          <w:p>
            <w:pPr>
              <w:spacing w:after="0"/>
              <w:rPr>
                <w:sz w:val="12"/>
                <w:szCs w:val="12"/>
                <w:color w:val="auto"/>
              </w:rPr>
            </w:pPr>
          </w:p>
        </w:tc>
      </w:tr>
      <w:tr>
        <w:trPr>
          <w:trHeight w:val="142"/>
        </w:trPr>
        <w:tc>
          <w:tcPr>
            <w:tcW w:w="416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on note payable to related party</w:t>
            </w:r>
          </w:p>
        </w:tc>
        <w:tc>
          <w:tcPr>
            <w:tcW w:w="2680" w:type="dxa"/>
            <w:vAlign w:val="bottom"/>
            <w:gridSpan w:val="2"/>
            <w:shd w:val="clear" w:color="auto" w:fill="CFF0FC"/>
          </w:tcPr>
          <w:p>
            <w:pPr>
              <w:jc w:val="right"/>
              <w:ind w:right="73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4,304</w:t>
            </w:r>
          </w:p>
        </w:tc>
        <w:tc>
          <w:tcPr>
            <w:tcW w:w="840" w:type="dxa"/>
            <w:vAlign w:val="bottom"/>
            <w:gridSpan w:val="2"/>
            <w:shd w:val="clear" w:color="auto" w:fill="CFF0FC"/>
          </w:tcPr>
          <w:p>
            <w:pPr>
              <w:jc w:val="right"/>
              <w:ind w:right="5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3,782</w:t>
            </w:r>
          </w:p>
        </w:tc>
        <w:tc>
          <w:tcPr>
            <w:tcW w:w="100" w:type="dxa"/>
            <w:vAlign w:val="bottom"/>
            <w:shd w:val="clear" w:color="auto" w:fill="CFF0FC"/>
          </w:tcPr>
          <w:p>
            <w:pPr>
              <w:spacing w:after="0"/>
              <w:rPr>
                <w:sz w:val="12"/>
                <w:szCs w:val="12"/>
                <w:color w:val="auto"/>
              </w:rPr>
            </w:pPr>
          </w:p>
        </w:tc>
      </w:tr>
      <w:tr>
        <w:trPr>
          <w:trHeight w:val="27"/>
        </w:trPr>
        <w:tc>
          <w:tcPr>
            <w:tcW w:w="4160" w:type="dxa"/>
            <w:vAlign w:val="bottom"/>
            <w:shd w:val="clear" w:color="auto" w:fill="CFF0FC"/>
          </w:tcPr>
          <w:p>
            <w:pPr>
              <w:spacing w:after="0"/>
              <w:rPr>
                <w:sz w:val="2"/>
                <w:szCs w:val="2"/>
                <w:color w:val="auto"/>
              </w:rPr>
            </w:pPr>
          </w:p>
        </w:tc>
        <w:tc>
          <w:tcPr>
            <w:tcW w:w="186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3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Amortization of the premium and accretion of debt issuance costs related to the related party notes for the years ended December 31, 2018 and 2017 are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For the Year Ended December 31,</w:t>
            </w: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CFF0FC"/>
            </w:tcBorders>
          </w:tcPr>
          <w:p>
            <w:pPr>
              <w:spacing w:after="0"/>
              <w:rPr>
                <w:sz w:val="12"/>
                <w:szCs w:val="12"/>
                <w:color w:val="auto"/>
              </w:rPr>
            </w:pPr>
          </w:p>
        </w:tc>
        <w:tc>
          <w:tcPr>
            <w:tcW w:w="20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84"/>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Amortization of debt premium</w:t>
            </w:r>
          </w:p>
        </w:tc>
        <w:tc>
          <w:tcPr>
            <w:tcW w:w="2900" w:type="dxa"/>
            <w:vAlign w:val="bottom"/>
            <w:gridSpan w:val="2"/>
            <w:shd w:val="clear" w:color="auto" w:fill="CFF0FC"/>
          </w:tcPr>
          <w:p>
            <w:pPr>
              <w:jc w:val="right"/>
              <w:ind w:right="71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9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Accretion expense - debt issuance cost</w:t>
            </w:r>
          </w:p>
        </w:tc>
        <w:tc>
          <w:tcPr>
            <w:tcW w:w="20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20" w:type="dxa"/>
            <w:vAlign w:val="bottom"/>
            <w:vMerge w:val="continue"/>
          </w:tcPr>
          <w:p>
            <w:pPr>
              <w:spacing w:after="0"/>
              <w:rPr>
                <w:sz w:val="12"/>
                <w:szCs w:val="12"/>
                <w:color w:val="auto"/>
              </w:rPr>
            </w:pPr>
          </w:p>
        </w:tc>
        <w:tc>
          <w:tcPr>
            <w:tcW w:w="2900" w:type="dxa"/>
            <w:vAlign w:val="bottom"/>
            <w:gridSpan w:val="2"/>
          </w:tcPr>
          <w:p>
            <w:pPr>
              <w:jc w:val="right"/>
              <w:ind w:right="712"/>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19</w:t>
            </w:r>
          </w:p>
        </w:tc>
        <w:tc>
          <w:tcPr>
            <w:tcW w:w="260" w:type="dxa"/>
            <w:vAlign w:val="bottom"/>
          </w:tcPr>
          <w:p>
            <w:pPr>
              <w:spacing w:after="0"/>
              <w:rPr>
                <w:sz w:val="12"/>
                <w:szCs w:val="12"/>
                <w:color w:val="auto"/>
              </w:rPr>
            </w:pPr>
          </w:p>
        </w:tc>
        <w:tc>
          <w:tcPr>
            <w:tcW w:w="600" w:type="dxa"/>
            <w:vAlign w:val="bottom"/>
          </w:tcPr>
          <w:p>
            <w:pPr>
              <w:jc w:val="right"/>
              <w:ind w:right="49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In May 2015, the Company entered into a sublease agreement with the Alfred Mann Foundation for Scientific Research (the “Mann Foundation”), a California not for-profit corporation. The lease was for approximately 12,500 square feet of office space in Valencia, California, which expired in April 2017 and was renewed on a month-to-month basis at a rate of $20,000 per month until August 31, 2017 when the Company moved into its new corporate headquarters (see Note 14 — Commitments and Contingencies).There was no lease payment made to the Mann Foundation for the year ended December 31, 2018. Lease payments to the Mann Foundation for the years ended December 31, 2017 and 2016 were $0.2 million, and $0.3 million, respectively.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83" w:name="page84"/>
    <w:bookmarkEnd w:id="83"/>
    <w:p>
      <w:pPr>
        <w:ind w:left="8" w:firstLine="488"/>
        <w:spacing w:after="0" w:line="276" w:lineRule="auto"/>
        <w:rPr>
          <w:sz w:val="20"/>
          <w:szCs w:val="20"/>
          <w:color w:val="auto"/>
        </w:rPr>
      </w:pPr>
      <w:r>
        <w:rPr>
          <w:rFonts w:ascii="Arial" w:cs="Arial" w:eastAsia="Arial" w:hAnsi="Arial"/>
          <w:sz w:val="12"/>
          <w:szCs w:val="12"/>
          <w:color w:val="auto"/>
        </w:rPr>
        <w:t>The Company has entered into indemnification agreements with each of its directors and executive officers, in addition to the indemnification provided for in its amended and restated certificate of incorporation and amended and restated bylaws (see Note 14 — Commitments and Contingencies).</w:t>
      </w:r>
    </w:p>
    <w:p>
      <w:pPr>
        <w:spacing w:after="0" w:line="115" w:lineRule="exact"/>
        <w:rPr>
          <w:sz w:val="20"/>
          <w:szCs w:val="20"/>
          <w:color w:val="auto"/>
        </w:rPr>
      </w:pPr>
    </w:p>
    <w:p>
      <w:pPr>
        <w:ind w:left="8" w:right="360" w:firstLine="488"/>
        <w:spacing w:after="0" w:line="276" w:lineRule="auto"/>
        <w:rPr>
          <w:sz w:val="20"/>
          <w:szCs w:val="20"/>
          <w:color w:val="auto"/>
        </w:rPr>
      </w:pPr>
      <w:r>
        <w:rPr>
          <w:rFonts w:ascii="Arial" w:cs="Arial" w:eastAsia="Arial" w:hAnsi="Arial"/>
          <w:sz w:val="12"/>
          <w:szCs w:val="12"/>
          <w:color w:val="auto"/>
        </w:rPr>
        <w:t>On October 10, 2017, the Company entered into securities purchase agreements (the “Purchase Agreements”) with certain institutional investors and a charitable foundation (collectively, the “Purchasers”). Included in this offering were 166,600 shares issued to a charitable foundation associated with the Chairman of the Company’s board of directors.</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7. Borrowings</w:t>
      </w:r>
    </w:p>
    <w:p>
      <w:pPr>
        <w:spacing w:after="0" w:line="82" w:lineRule="exact"/>
        <w:rPr>
          <w:sz w:val="20"/>
          <w:szCs w:val="20"/>
          <w:color w:val="auto"/>
        </w:rPr>
      </w:pPr>
    </w:p>
    <w:p>
      <w:pPr>
        <w:ind w:left="488"/>
        <w:spacing w:after="0"/>
        <w:rPr>
          <w:sz w:val="20"/>
          <w:szCs w:val="20"/>
          <w:color w:val="auto"/>
        </w:rPr>
      </w:pPr>
      <w:r>
        <w:rPr>
          <w:rFonts w:ascii="Arial" w:cs="Arial" w:eastAsia="Arial" w:hAnsi="Arial"/>
          <w:sz w:val="12"/>
          <w:szCs w:val="12"/>
          <w:color w:val="auto"/>
        </w:rPr>
        <w:t>Borrowings consist of the following (in thousands):</w:t>
      </w:r>
    </w:p>
    <w:p>
      <w:pPr>
        <w:spacing w:after="0" w:line="206" w:lineRule="exact"/>
        <w:rPr>
          <w:sz w:val="20"/>
          <w:szCs w:val="20"/>
          <w:color w:val="auto"/>
        </w:rPr>
      </w:pPr>
    </w:p>
    <w:tbl>
      <w:tblPr>
        <w:tblLayout w:type="fixed"/>
        <w:tblInd w:w="1728"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CFF0FC"/>
            </w:tcBorders>
          </w:tcPr>
          <w:p>
            <w:pPr>
              <w:spacing w:after="0"/>
              <w:rPr>
                <w:sz w:val="8"/>
                <w:szCs w:val="8"/>
                <w:color w:val="auto"/>
              </w:rPr>
            </w:pPr>
          </w:p>
        </w:tc>
        <w:tc>
          <w:tcPr>
            <w:tcW w:w="1320" w:type="dxa"/>
            <w:vAlign w:val="bottom"/>
            <w:tcBorders>
              <w:bottom w:val="single" w:sz="8" w:color="CFF0FC"/>
            </w:tcBorders>
          </w:tcPr>
          <w:p>
            <w:pPr>
              <w:spacing w:after="0"/>
              <w:rPr>
                <w:sz w:val="8"/>
                <w:szCs w:val="8"/>
                <w:color w:val="auto"/>
              </w:rPr>
            </w:pPr>
          </w:p>
        </w:tc>
        <w:tc>
          <w:tcPr>
            <w:tcW w:w="82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81"/>
              <w:spacing w:after="0" w:line="97" w:lineRule="exact"/>
              <w:rPr>
                <w:sz w:val="20"/>
                <w:szCs w:val="20"/>
                <w:color w:val="auto"/>
              </w:rPr>
            </w:pPr>
            <w:r>
              <w:rPr>
                <w:rFonts w:ascii="Arial" w:cs="Arial" w:eastAsia="Arial" w:hAnsi="Arial"/>
                <w:sz w:val="10"/>
                <w:szCs w:val="10"/>
                <w:b w:val="1"/>
                <w:bCs w:val="1"/>
                <w:color w:val="auto"/>
              </w:rPr>
              <w:t>2017</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92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Facility Financing Obligation (2019 Notes and</w:t>
            </w:r>
          </w:p>
        </w:tc>
        <w:tc>
          <w:tcPr>
            <w:tcW w:w="1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CFF0FC"/>
          </w:tcPr>
          <w:p>
            <w:pPr>
              <w:ind w:left="80"/>
              <w:spacing w:after="0"/>
              <w:rPr>
                <w:sz w:val="20"/>
                <w:szCs w:val="20"/>
                <w:color w:val="auto"/>
              </w:rPr>
            </w:pPr>
            <w:r>
              <w:rPr>
                <w:rFonts w:ascii="Arial" w:cs="Arial" w:eastAsia="Arial" w:hAnsi="Arial"/>
                <w:sz w:val="12"/>
                <w:szCs w:val="12"/>
                <w:b w:val="1"/>
                <w:bCs w:val="1"/>
                <w:color w:val="auto"/>
              </w:rPr>
              <w:t>Tranche B Notes)</w:t>
            </w:r>
          </w:p>
        </w:tc>
        <w:tc>
          <w:tcPr>
            <w:tcW w:w="1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Principal amount</w:t>
            </w:r>
          </w:p>
        </w:tc>
        <w:tc>
          <w:tcPr>
            <w:tcW w:w="2140" w:type="dxa"/>
            <w:vAlign w:val="bottom"/>
            <w:gridSpan w:val="2"/>
          </w:tcPr>
          <w:p>
            <w:pPr>
              <w:jc w:val="right"/>
              <w:ind w:right="71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11,495</w:t>
            </w:r>
          </w:p>
        </w:tc>
        <w:tc>
          <w:tcPr>
            <w:tcW w:w="100" w:type="dxa"/>
            <w:vAlign w:val="bottom"/>
          </w:tcPr>
          <w:p>
            <w:pPr>
              <w:spacing w:after="0"/>
              <w:rPr>
                <w:sz w:val="13"/>
                <w:szCs w:val="13"/>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54,407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Unamortized debt issuance costs and debt discount</w:t>
            </w:r>
          </w:p>
        </w:tc>
        <w:tc>
          <w:tcPr>
            <w:tcW w:w="1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(197)</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(1,662)</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60"/>
              <w:spacing w:after="0"/>
              <w:rPr>
                <w:sz w:val="20"/>
                <w:szCs w:val="20"/>
                <w:color w:val="auto"/>
              </w:rPr>
            </w:pPr>
            <w:r>
              <w:rPr>
                <w:rFonts w:ascii="Arial" w:cs="Arial" w:eastAsia="Arial" w:hAnsi="Arial"/>
                <w:sz w:val="12"/>
                <w:szCs w:val="12"/>
                <w:color w:val="auto"/>
              </w:rPr>
              <w:t>Net carrying amount</w:t>
            </w:r>
          </w:p>
        </w:tc>
        <w:tc>
          <w:tcPr>
            <w:tcW w:w="1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20" w:type="dxa"/>
            <w:vAlign w:val="bottom"/>
            <w:vMerge w:val="continue"/>
          </w:tcPr>
          <w:p>
            <w:pPr>
              <w:spacing w:after="0"/>
              <w:rPr>
                <w:sz w:val="12"/>
                <w:szCs w:val="12"/>
                <w:color w:val="auto"/>
              </w:rPr>
            </w:pPr>
          </w:p>
        </w:tc>
        <w:tc>
          <w:tcPr>
            <w:tcW w:w="2140" w:type="dxa"/>
            <w:vAlign w:val="bottom"/>
            <w:gridSpan w:val="2"/>
          </w:tcPr>
          <w:p>
            <w:pPr>
              <w:jc w:val="right"/>
              <w:ind w:right="71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11,298</w:t>
            </w:r>
          </w:p>
        </w:tc>
        <w:tc>
          <w:tcPr>
            <w:tcW w:w="100" w:type="dxa"/>
            <w:vAlign w:val="bottom"/>
          </w:tcPr>
          <w:p>
            <w:pPr>
              <w:spacing w:after="0"/>
              <w:rPr>
                <w:sz w:val="12"/>
                <w:szCs w:val="12"/>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52,745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Senior Convertible Notes (2021 Notes)</w:t>
            </w:r>
          </w:p>
        </w:tc>
        <w:tc>
          <w:tcPr>
            <w:tcW w:w="13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Principal amount</w:t>
            </w:r>
          </w:p>
        </w:tc>
        <w:tc>
          <w:tcPr>
            <w:tcW w:w="2140" w:type="dxa"/>
            <w:vAlign w:val="bottom"/>
            <w:gridSpan w:val="2"/>
          </w:tcPr>
          <w:p>
            <w:pPr>
              <w:jc w:val="right"/>
              <w:ind w:right="71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18,690</w:t>
            </w:r>
          </w:p>
        </w:tc>
        <w:tc>
          <w:tcPr>
            <w:tcW w:w="100" w:type="dxa"/>
            <w:vAlign w:val="bottom"/>
          </w:tcPr>
          <w:p>
            <w:pPr>
              <w:spacing w:after="0"/>
              <w:rPr>
                <w:sz w:val="13"/>
                <w:szCs w:val="13"/>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23,690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Unamortized premium</w:t>
            </w:r>
          </w:p>
        </w:tc>
        <w:tc>
          <w:tcPr>
            <w:tcW w:w="13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rPr>
                <w:sz w:val="20"/>
                <w:szCs w:val="20"/>
                <w:color w:val="auto"/>
              </w:rPr>
            </w:pPr>
            <w:r>
              <w:rPr>
                <w:rFonts w:ascii="Arial" w:cs="Arial" w:eastAsia="Arial" w:hAnsi="Arial"/>
                <w:sz w:val="12"/>
                <w:szCs w:val="12"/>
                <w:color w:val="auto"/>
              </w:rPr>
              <w:t>Net carrying amount</w:t>
            </w:r>
          </w:p>
        </w:tc>
        <w:tc>
          <w:tcPr>
            <w:tcW w:w="2140" w:type="dxa"/>
            <w:vAlign w:val="bottom"/>
            <w:gridSpan w:val="2"/>
          </w:tcPr>
          <w:p>
            <w:pPr>
              <w:jc w:val="right"/>
              <w:ind w:right="71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19,099</w:t>
            </w:r>
          </w:p>
        </w:tc>
        <w:tc>
          <w:tcPr>
            <w:tcW w:w="100" w:type="dxa"/>
            <w:vAlign w:val="bottom"/>
          </w:tcPr>
          <w:p>
            <w:pPr>
              <w:spacing w:after="0"/>
              <w:rPr>
                <w:sz w:val="12"/>
                <w:szCs w:val="12"/>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24,411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Note payable to related party - net carrying</w:t>
            </w:r>
          </w:p>
        </w:tc>
        <w:tc>
          <w:tcPr>
            <w:tcW w:w="13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CFF0FC"/>
          </w:tcPr>
          <w:p>
            <w:pPr>
              <w:ind w:left="80"/>
              <w:spacing w:after="0"/>
              <w:rPr>
                <w:sz w:val="20"/>
                <w:szCs w:val="20"/>
                <w:color w:val="auto"/>
              </w:rPr>
            </w:pPr>
            <w:r>
              <w:rPr>
                <w:rFonts w:ascii="Arial" w:cs="Arial" w:eastAsia="Arial" w:hAnsi="Arial"/>
                <w:sz w:val="12"/>
                <w:szCs w:val="12"/>
                <w:b w:val="1"/>
                <w:bCs w:val="1"/>
                <w:color w:val="auto"/>
              </w:rPr>
              <w:t>amount</w:t>
            </w:r>
          </w:p>
        </w:tc>
        <w:tc>
          <w:tcPr>
            <w:tcW w:w="2140" w:type="dxa"/>
            <w:vAlign w:val="bottom"/>
            <w:gridSpan w:val="2"/>
            <w:shd w:val="clear" w:color="auto" w:fill="CFF0FC"/>
          </w:tcPr>
          <w:p>
            <w:pPr>
              <w:jc w:val="right"/>
              <w:ind w:right="712"/>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72,089</w:t>
            </w:r>
          </w:p>
        </w:tc>
        <w:tc>
          <w:tcPr>
            <w:tcW w:w="10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79,666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92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8" w:right="200" w:firstLine="488"/>
        <w:spacing w:after="0" w:line="323" w:lineRule="auto"/>
        <w:rPr>
          <w:sz w:val="20"/>
          <w:szCs w:val="20"/>
          <w:color w:val="auto"/>
        </w:rPr>
      </w:pPr>
      <w:r>
        <w:rPr>
          <w:rFonts w:ascii="Arial" w:cs="Arial" w:eastAsia="Arial" w:hAnsi="Arial"/>
          <w:sz w:val="11"/>
          <w:szCs w:val="11"/>
          <w:color w:val="auto"/>
        </w:rPr>
        <w:t>In addition to the Mann Group Loan Arrangement described in Note 6, as of December 31, 2018, the Company’s outstanding borrowings consisted of $18.7 million principal amount of the Senior Convertible Notes due 2021 bearing interest at 5.75% per annum and maturing on October 23, 2021, as well as $11.5 million principal amount of the Facility Financing Obligation, which is comprised of the following:</w:t>
      </w:r>
    </w:p>
    <w:p>
      <w:pPr>
        <w:spacing w:after="0" w:line="20" w:lineRule="exact"/>
        <w:rPr>
          <w:sz w:val="20"/>
          <w:szCs w:val="20"/>
          <w:color w:val="auto"/>
        </w:rPr>
      </w:pPr>
    </w:p>
    <w:p>
      <w:pPr>
        <w:ind w:left="968" w:hanging="482"/>
        <w:spacing w:after="0" w:line="238" w:lineRule="auto"/>
        <w:tabs>
          <w:tab w:leader="none" w:pos="968" w:val="left"/>
        </w:tabs>
        <w:numPr>
          <w:ilvl w:val="0"/>
          <w:numId w:val="31"/>
        </w:numPr>
        <w:rPr>
          <w:rFonts w:ascii="Arial" w:cs="Arial" w:eastAsia="Arial" w:hAnsi="Arial"/>
          <w:sz w:val="14"/>
          <w:szCs w:val="14"/>
          <w:color w:val="auto"/>
        </w:rPr>
      </w:pPr>
      <w:r>
        <w:rPr>
          <w:rFonts w:ascii="Arial" w:cs="Arial" w:eastAsia="Arial" w:hAnsi="Arial"/>
          <w:sz w:val="12"/>
          <w:szCs w:val="12"/>
          <w:color w:val="auto"/>
        </w:rPr>
        <w:t>A principal amount of $9.0 million of 2019 notes due and payable in July 2019 and bearing interest at 9.75% per annum. Interest is payable in cash quarterly in arrears in the last business day of March, June, September and December of each year; and</w:t>
      </w:r>
    </w:p>
    <w:p>
      <w:pPr>
        <w:spacing w:after="0" w:line="63" w:lineRule="exact"/>
        <w:rPr>
          <w:rFonts w:ascii="Arial" w:cs="Arial" w:eastAsia="Arial" w:hAnsi="Arial"/>
          <w:sz w:val="14"/>
          <w:szCs w:val="14"/>
          <w:color w:val="auto"/>
        </w:rPr>
      </w:pPr>
    </w:p>
    <w:p>
      <w:pPr>
        <w:ind w:left="968" w:right="240" w:hanging="482"/>
        <w:spacing w:after="0" w:line="268" w:lineRule="auto"/>
        <w:tabs>
          <w:tab w:leader="none" w:pos="968" w:val="left"/>
        </w:tabs>
        <w:numPr>
          <w:ilvl w:val="0"/>
          <w:numId w:val="31"/>
        </w:numPr>
        <w:rPr>
          <w:rFonts w:ascii="Arial" w:cs="Arial" w:eastAsia="Arial" w:hAnsi="Arial"/>
          <w:sz w:val="14"/>
          <w:szCs w:val="14"/>
          <w:color w:val="auto"/>
        </w:rPr>
      </w:pPr>
      <w:r>
        <w:rPr>
          <w:rFonts w:ascii="Arial" w:cs="Arial" w:eastAsia="Arial" w:hAnsi="Arial"/>
          <w:sz w:val="12"/>
          <w:szCs w:val="12"/>
          <w:color w:val="auto"/>
        </w:rPr>
        <w:t>A principal amount of $2.5 million of Tranche B notes due and payable in May 2019 and bearing interest at 8.75% per annum. Interest is payable in cash quarterly in arrears on the last business day of March, June, September and December of each year.</w:t>
      </w:r>
    </w:p>
    <w:p>
      <w:pPr>
        <w:spacing w:after="0" w:line="134" w:lineRule="exact"/>
        <w:rPr>
          <w:sz w:val="20"/>
          <w:szCs w:val="20"/>
          <w:color w:val="auto"/>
        </w:rPr>
      </w:pPr>
    </w:p>
    <w:p>
      <w:pPr>
        <w:ind w:left="488"/>
        <w:spacing w:after="0"/>
        <w:rPr>
          <w:sz w:val="20"/>
          <w:szCs w:val="20"/>
          <w:color w:val="auto"/>
        </w:rPr>
      </w:pPr>
      <w:r>
        <w:rPr>
          <w:rFonts w:ascii="Arial" w:cs="Arial" w:eastAsia="Arial" w:hAnsi="Arial"/>
          <w:sz w:val="12"/>
          <w:szCs w:val="12"/>
          <w:color w:val="auto"/>
        </w:rPr>
        <w:t>These borrowings are further described below:</w:t>
      </w:r>
    </w:p>
    <w:p>
      <w:pPr>
        <w:spacing w:after="0" w:line="168" w:lineRule="exact"/>
        <w:rPr>
          <w:sz w:val="20"/>
          <w:szCs w:val="20"/>
          <w:color w:val="auto"/>
        </w:rPr>
      </w:pPr>
    </w:p>
    <w:p>
      <w:pPr>
        <w:ind w:left="8" w:right="20" w:firstLine="488"/>
        <w:spacing w:after="0" w:line="269" w:lineRule="auto"/>
        <w:rPr>
          <w:sz w:val="20"/>
          <w:szCs w:val="20"/>
          <w:color w:val="auto"/>
        </w:rPr>
      </w:pPr>
      <w:r>
        <w:rPr>
          <w:rFonts w:ascii="Arial" w:cs="Arial" w:eastAsia="Arial" w:hAnsi="Arial"/>
          <w:sz w:val="12"/>
          <w:szCs w:val="12"/>
          <w:i w:val="1"/>
          <w:iCs w:val="1"/>
          <w:color w:val="auto"/>
        </w:rPr>
        <w:t xml:space="preserve">Facility Financing Obligation (2019 Notes and Tranche B Notes) </w:t>
      </w:r>
      <w:r>
        <w:rPr>
          <w:rFonts w:ascii="Arial" w:cs="Arial" w:eastAsia="Arial" w:hAnsi="Arial"/>
          <w:sz w:val="12"/>
          <w:szCs w:val="12"/>
          <w:color w:val="auto"/>
        </w:rPr>
        <w:t>– As of December 31, 2018, there were $9.0 million principal amount of 2019 notes and $2.5 million principal amount of Tranche B notes outstanding. As of</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2017, there were $39.4 million principal amount of 2019 notes and $15.0 million principal amount of Tranche B notes outstanding. The 2019 notes accrue interest at annual rate of 9.75% and the Tranche B notes accrue interest at an annual rate of 8.75%. Interest is paid quarterly in arrears on the last day of each March, June, September and December. The Facility Financing Obligation principal repayment schedule is comprised of payments which began on July 1, 2016 and end in July 2019. As of December 31, 2018, the future payment for the year ending December 31, 2019 is $11.5 million.</w:t>
      </w:r>
    </w:p>
    <w:p>
      <w:pPr>
        <w:spacing w:after="0" w:line="138" w:lineRule="exact"/>
        <w:rPr>
          <w:sz w:val="20"/>
          <w:szCs w:val="20"/>
          <w:color w:val="auto"/>
        </w:rPr>
      </w:pPr>
    </w:p>
    <w:p>
      <w:pPr>
        <w:ind w:left="488"/>
        <w:spacing w:after="0"/>
        <w:rPr>
          <w:sz w:val="20"/>
          <w:szCs w:val="20"/>
          <w:color w:val="auto"/>
        </w:rPr>
      </w:pPr>
      <w:r>
        <w:rPr>
          <w:rFonts w:ascii="Arial" w:cs="Arial" w:eastAsia="Arial" w:hAnsi="Arial"/>
          <w:sz w:val="11"/>
          <w:szCs w:val="11"/>
          <w:color w:val="auto"/>
        </w:rPr>
        <w:t>On April 18, 2017, the Company entered into an Exchange Agreement with Deerfield pursuant to which the Company agreed to, among other things, (i) repay $4.0 million principal amount under the Tranche B notes;</w:t>
      </w:r>
    </w:p>
    <w:p>
      <w:pPr>
        <w:spacing w:after="0" w:line="26" w:lineRule="exact"/>
        <w:rPr>
          <w:sz w:val="20"/>
          <w:szCs w:val="20"/>
          <w:color w:val="auto"/>
        </w:rPr>
      </w:pPr>
    </w:p>
    <w:p>
      <w:pPr>
        <w:ind w:left="8" w:right="180" w:hanging="8"/>
        <w:spacing w:after="0" w:line="306" w:lineRule="auto"/>
        <w:tabs>
          <w:tab w:leader="none" w:pos="185" w:val="left"/>
        </w:tabs>
        <w:numPr>
          <w:ilvl w:val="0"/>
          <w:numId w:val="32"/>
        </w:numPr>
        <w:rPr>
          <w:rFonts w:ascii="Arial" w:cs="Arial" w:eastAsia="Arial" w:hAnsi="Arial"/>
          <w:sz w:val="11"/>
          <w:szCs w:val="11"/>
          <w:color w:val="auto"/>
        </w:rPr>
      </w:pPr>
      <w:r>
        <w:rPr>
          <w:rFonts w:ascii="Arial" w:cs="Arial" w:eastAsia="Arial" w:hAnsi="Arial"/>
          <w:sz w:val="11"/>
          <w:szCs w:val="11"/>
          <w:color w:val="auto"/>
        </w:rPr>
        <w:t>exchange $1.0 million principal amount under the Tranche B notes for 869,565 shares of the Company’s common stock (the “Tranche B Exchange Shares”); and (iii) exchange $5.0 million principal amount under the 2019 notes for 4,347,826 shares of the Company’s common stock (together with the “Tranche B Exchange Shares,” the “April Exchange Shares”). The exchange price for the April Exchange Shares was $1.15 per share.</w:t>
      </w:r>
    </w:p>
    <w:p>
      <w:pPr>
        <w:spacing w:after="0" w:line="26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732917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419" w:right="239" w:bottom="1440" w:gutter="0" w:footer="0" w:header="0"/>
        </w:sectPr>
      </w:pPr>
    </w:p>
    <w:bookmarkStart w:id="84" w:name="page85"/>
    <w:bookmarkEnd w:id="84"/>
    <w:p>
      <w:pPr>
        <w:ind w:right="120" w:firstLine="488"/>
        <w:spacing w:after="0" w:line="257" w:lineRule="auto"/>
        <w:rPr>
          <w:sz w:val="20"/>
          <w:szCs w:val="20"/>
          <w:color w:val="auto"/>
        </w:rPr>
      </w:pPr>
      <w:r>
        <w:rPr>
          <w:rFonts w:ascii="Arial" w:cs="Arial" w:eastAsia="Arial" w:hAnsi="Arial"/>
          <w:sz w:val="12"/>
          <w:szCs w:val="12"/>
          <w:color w:val="auto"/>
        </w:rPr>
        <w:t>The Company determined that, since the principal amount repaid and exchanged under the Tranche B notes and the principal amount exchanged under the 2019 notes represented the principal amount that would have otherwise become due and payable in May and July of 2017 under the Tranche B notes and 2019 notes, respectively, the extinguishment of the May and July 2017 payments was not considered to be a troubled debt restructuring. Accordingly, the Company accounted for the transaction by recording a loss on extinguishment of debt of $0.3 million at April 18, 2017 which was calculated as the difference between the reacquisition price and the net carrying value of the related debt. The reacquisition price was calculated using the $4.0 million cash repayment and the fair value of the April Exchange Shares on April 18, 2017. The fair value of the April Exchange Shares was determined to be $1.22 per share representing the closing trading price of the Company’s common stock on The Nasdaq Global Market on April 18, 2017.</w:t>
      </w:r>
    </w:p>
    <w:p>
      <w:pPr>
        <w:spacing w:after="0" w:line="126" w:lineRule="exact"/>
        <w:rPr>
          <w:sz w:val="20"/>
          <w:szCs w:val="20"/>
          <w:color w:val="auto"/>
        </w:rPr>
      </w:pPr>
    </w:p>
    <w:p>
      <w:pPr>
        <w:ind w:right="40" w:firstLine="488"/>
        <w:spacing w:after="0" w:line="279" w:lineRule="auto"/>
        <w:rPr>
          <w:sz w:val="20"/>
          <w:szCs w:val="20"/>
          <w:color w:val="auto"/>
        </w:rPr>
      </w:pPr>
      <w:r>
        <w:rPr>
          <w:rFonts w:ascii="Arial" w:cs="Arial" w:eastAsia="Arial" w:hAnsi="Arial"/>
          <w:sz w:val="11"/>
          <w:szCs w:val="11"/>
          <w:color w:val="auto"/>
        </w:rPr>
        <w:t>On June 29, 2017, the Company entered into the Third Amendment to the Facility Agreement with Deerfield, pursuant to which the Company agreed to, among other things, (i) exchange $5.0 million principal amount under the Company’s 2019 notes for 3,584,230 shares of the Company’s common stock (the “June Exchange Shares”) at an exchange price of $1.395 per share and (ii) amend the Facility Agreement with Deerfield, to (A) defer the payment of $10.0 million in principal amount of the 2019 notes from the original July 18, 2017 due date to August 31, 2017, which was further deferred to October 31, 2017 upon the Company’s delivery on August 31, 2017 and October 30, 2017 of a written certification to Deerfield that certain conditions had been met, including that no event of default under the Facility Agreement had occurred, Michael E. Castagna remains the Company’s Chief Executive Officer, the Company received the advance from The Mann Group (see Note 6 — Related-Party Arrangements), the Company had at least $10.0 million in cash and cash equivalents on hand, no material adverse effect on the Company had occurred, the engagement letter between the Company and Greenhill &amp; Co., Inc. (“Greenhill”) remained in full force and effect and Greenhill had remained actively engaged in exploring capital structure and financial alternatives on behalf of the Company in accordance with such engagement letter (collectively, the “Extension Conditions”), and (B) amend the Company’s financial covenant under the Facility Agreement to provide that, if the Extension Conditions remain satisfied, the obligation under the Facility Agreement to maintain at least $25.0 million in cash and cash equivalents as of the end of each quarter, was reduced to $10.0 million as of August 31, 2017, September 30, 2017, October 31, 2017 and December 31, 2017 if certain conditions were met. We met the conditions at each of these month-ends.</w:t>
      </w:r>
    </w:p>
    <w:p>
      <w:pPr>
        <w:spacing w:after="0" w:line="118" w:lineRule="exact"/>
        <w:rPr>
          <w:sz w:val="20"/>
          <w:szCs w:val="20"/>
          <w:color w:val="auto"/>
        </w:rPr>
      </w:pPr>
    </w:p>
    <w:p>
      <w:pPr>
        <w:ind w:firstLine="488"/>
        <w:spacing w:after="0" w:line="257" w:lineRule="auto"/>
        <w:rPr>
          <w:sz w:val="20"/>
          <w:szCs w:val="20"/>
          <w:color w:val="auto"/>
        </w:rPr>
      </w:pPr>
      <w:r>
        <w:rPr>
          <w:rFonts w:ascii="Arial" w:cs="Arial" w:eastAsia="Arial" w:hAnsi="Arial"/>
          <w:sz w:val="12"/>
          <w:szCs w:val="12"/>
          <w:color w:val="auto"/>
        </w:rPr>
        <w:t>The Company determined that since the principal amount repaid and exchanged under the 2019 notes represented the principal amount that would have otherwise become due and payable under the 2019 notes, the $5.0 million prepayment was not considered to be a troubled debt restructuring. Accordingly, the Company accounted for the transaction by recording a loss on extinguishment of debt of $0.5 million on June 29, 2017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reacquisition price was calculated using the fair value of the June Exchange Shares on June 29, 2017. The fair value of the June Exchange Shares was determined to be $1.45 per share representing the closing trading price of the Company’s common stock on The Nasdaq Global Market on June 29, 2017.</w:t>
      </w:r>
    </w:p>
    <w:p>
      <w:pPr>
        <w:spacing w:after="0" w:line="126" w:lineRule="exact"/>
        <w:rPr>
          <w:sz w:val="20"/>
          <w:szCs w:val="20"/>
          <w:color w:val="auto"/>
        </w:rPr>
      </w:pPr>
    </w:p>
    <w:p>
      <w:pPr>
        <w:ind w:right="60" w:firstLine="488"/>
        <w:spacing w:after="0" w:line="281" w:lineRule="auto"/>
        <w:rPr>
          <w:sz w:val="20"/>
          <w:szCs w:val="20"/>
          <w:color w:val="auto"/>
        </w:rPr>
      </w:pPr>
      <w:r>
        <w:rPr>
          <w:rFonts w:ascii="Arial" w:cs="Arial" w:eastAsia="Arial" w:hAnsi="Arial"/>
          <w:sz w:val="11"/>
          <w:szCs w:val="11"/>
          <w:color w:val="auto"/>
        </w:rPr>
        <w:t>On October 23, 2017, the Company entered into a Fourth Amendment to the Facility Agreement with Deerfield, pursuant to which the parties (i) deferred the payment of $10.0 million in principal amount (the “October Payment”) of the Facility Financing Obligation from October 31, 2017 to January 15, 2018, with the Company depositing an amount of cash equal to the October Payment into an escrow account until the October Payment has been satisfied in full (subject to early release to the extent that portions of the October Payment are satisfied through the exchange of principal for shares of the Company’s common stock), and (ii) amended and restated the Facility Financing Obligation and the Tranche B notes to provide that Deerfield may convert the principal amount under such notes from time to time into an aggregate of up to 4,000,000 shares of the Company’s common stock after the effective date of the Fourth Amendment. The conversion price will be the greater of (i) the average of the volume weighted average price per share of the Company’s common stock for the three trading day period immediately preceding the date of any election by Deerfield to convert principal amounts of such notes and (ii) $3.25 per share, subject to adjustment under certain circumstances. Any conversions of principal by Deerfield under such notes will be applied first to reduce the October Payment, and after the October Payment has been satisfied, to reduce other principal payments due.</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1"/>
          <w:szCs w:val="11"/>
          <w:color w:val="auto"/>
        </w:rPr>
        <w:t>The Company determined that the Fourth Amendment did not include any concessions and that the addition of the conversion option was not substantive and therefore it was not considered to be a troubled debt restructuring.</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Accordingly, the Company accounted for the transaction as a modification. On November 6, 2017 Deerfield converted 1,720,846 shares under the conversion feature at a price of $3.25 per share, redeeming $5,592,750 of principal.</w:t>
      </w:r>
    </w:p>
    <w:p>
      <w:pPr>
        <w:spacing w:after="0" w:line="180" w:lineRule="exact"/>
        <w:rPr>
          <w:sz w:val="20"/>
          <w:szCs w:val="20"/>
          <w:color w:val="auto"/>
        </w:rPr>
      </w:pPr>
    </w:p>
    <w:p>
      <w:pPr>
        <w:ind w:right="320" w:firstLine="488"/>
        <w:spacing w:after="0" w:line="263" w:lineRule="auto"/>
        <w:rPr>
          <w:sz w:val="20"/>
          <w:szCs w:val="20"/>
          <w:color w:val="auto"/>
        </w:rPr>
      </w:pPr>
      <w:r>
        <w:rPr>
          <w:rFonts w:ascii="Arial" w:cs="Arial" w:eastAsia="Arial" w:hAnsi="Arial"/>
          <w:sz w:val="12"/>
          <w:szCs w:val="12"/>
          <w:color w:val="auto"/>
        </w:rPr>
        <w:t>On January 15, 2018, the Company entered into a Fifth Amendment to the Facility Agreement with Deerfield, pursuant to which the parties deferred the payment date for the $4.4 million remaining October 2017 Tranche 4 Principal Payment from January 15, 2018 to January 19, 2018. Concurrent with this amendment the Company entered into a First Amendment to Escrow Agreement to extend the escrow period to January 19, 2018 to align with the amended payment date under the Fifth Amendment.</w:t>
      </w:r>
    </w:p>
    <w:p>
      <w:pPr>
        <w:spacing w:after="0" w:line="141" w:lineRule="exact"/>
        <w:rPr>
          <w:sz w:val="20"/>
          <w:szCs w:val="20"/>
          <w:color w:val="auto"/>
        </w:rPr>
      </w:pPr>
    </w:p>
    <w:p>
      <w:pPr>
        <w:ind w:firstLine="488"/>
        <w:spacing w:after="0" w:line="263" w:lineRule="auto"/>
        <w:rPr>
          <w:sz w:val="20"/>
          <w:szCs w:val="20"/>
          <w:color w:val="auto"/>
        </w:rPr>
      </w:pPr>
      <w:r>
        <w:rPr>
          <w:rFonts w:ascii="Arial" w:cs="Arial" w:eastAsia="Arial" w:hAnsi="Arial"/>
          <w:sz w:val="12"/>
          <w:szCs w:val="12"/>
          <w:color w:val="auto"/>
        </w:rPr>
        <w:t>On January 18, 2018, the Company entered into an Exchange and Sixth Amendment to Facility Agreement with Deerfield, pursuant to which, among other things, the Company agreed to issue to Deerfield an aggregate of 1,267,972 shares of its common stock, in exchange for $3.2 million of the 2019 notes, an exchange rate of $2.49 per share. In addition, the parties deferred the payment date for the $1.3 million remaining principal amount of the 2019 notes (the “Remaining Payment”) from January 19, 2018 to May 6, 2018.</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85" w:name="page86"/>
    <w:bookmarkEnd w:id="85"/>
    <w:p>
      <w:pPr>
        <w:ind w:left="8" w:right="160" w:firstLine="488"/>
        <w:spacing w:after="0" w:line="327" w:lineRule="auto"/>
        <w:rPr>
          <w:sz w:val="20"/>
          <w:szCs w:val="20"/>
          <w:color w:val="auto"/>
        </w:rPr>
      </w:pPr>
      <w:r>
        <w:rPr>
          <w:rFonts w:ascii="Arial" w:cs="Arial" w:eastAsia="Arial" w:hAnsi="Arial"/>
          <w:sz w:val="10"/>
          <w:szCs w:val="10"/>
          <w:color w:val="auto"/>
        </w:rPr>
        <w:t>The Company and Deerfield also amended the outstanding Facility Financing Obligation to provide that Deerfield may, subject to the terms of the Sixth Amendment, convert principal amounts of the Facility Financing Obligation from time to time into an aggregate of up to 10,000,000 shares of the Company’s common stock (excluding the exchange shares issued to Deerfield on January 18, 2018). The conversion price was set at the greater of (i) the average of the volume weighted average price per share of the Company’s common stock for the three trading day period immediately preceding the date of any election by Deerfield to convert principal amounts and (ii) $2.75 per share, subject to adjustment under certain circumstances described in the Facility Financing Obligation. Any conversions of principal will be applied first to reduce the Remaining Payment, and thereafter to reduce other principal payments.</w:t>
      </w:r>
    </w:p>
    <w:p>
      <w:pPr>
        <w:spacing w:after="0" w:line="121" w:lineRule="exact"/>
        <w:rPr>
          <w:sz w:val="20"/>
          <w:szCs w:val="20"/>
          <w:color w:val="auto"/>
        </w:rPr>
      </w:pPr>
    </w:p>
    <w:p>
      <w:pPr>
        <w:ind w:left="8" w:right="160" w:firstLine="488"/>
        <w:spacing w:after="0" w:line="276" w:lineRule="auto"/>
        <w:rPr>
          <w:sz w:val="20"/>
          <w:szCs w:val="20"/>
          <w:color w:val="auto"/>
        </w:rPr>
      </w:pPr>
      <w:r>
        <w:rPr>
          <w:rFonts w:ascii="Arial" w:cs="Arial" w:eastAsia="Arial" w:hAnsi="Arial"/>
          <w:sz w:val="12"/>
          <w:szCs w:val="12"/>
          <w:color w:val="auto"/>
        </w:rPr>
        <w:t>In connection with the Sixth Amendment, the Company also entered into a Second Amendment to Escrow Agreement, dated January 18, 2018, with Deerfield and US Bank, pursuant to which the parties extended the period of the escrow established thereunder to May 6, 2018, corresponding to the extended payment date.</w:t>
      </w:r>
    </w:p>
    <w:p>
      <w:pPr>
        <w:spacing w:after="0" w:line="133" w:lineRule="exact"/>
        <w:rPr>
          <w:sz w:val="20"/>
          <w:szCs w:val="20"/>
          <w:color w:val="auto"/>
        </w:rPr>
      </w:pPr>
    </w:p>
    <w:p>
      <w:pPr>
        <w:ind w:left="8" w:right="520" w:firstLine="488"/>
        <w:spacing w:after="0" w:line="276" w:lineRule="auto"/>
        <w:rPr>
          <w:sz w:val="20"/>
          <w:szCs w:val="20"/>
          <w:color w:val="auto"/>
        </w:rPr>
      </w:pPr>
      <w:r>
        <w:rPr>
          <w:rFonts w:ascii="Arial" w:cs="Arial" w:eastAsia="Arial" w:hAnsi="Arial"/>
          <w:sz w:val="12"/>
          <w:szCs w:val="12"/>
          <w:color w:val="auto"/>
        </w:rPr>
        <w:t>The Company determined that the Fifth and Sixth Amendments did not include any concessions and that the change of the conversion option was not substantive and therefore it was not considered to be a troubled debt restructuring. Accordingly, the Company accounted for the transaction as a modification.</w:t>
      </w:r>
    </w:p>
    <w:p>
      <w:pPr>
        <w:spacing w:after="0" w:line="142" w:lineRule="exact"/>
        <w:rPr>
          <w:sz w:val="20"/>
          <w:szCs w:val="20"/>
          <w:color w:val="auto"/>
        </w:rPr>
      </w:pPr>
    </w:p>
    <w:p>
      <w:pPr>
        <w:ind w:left="8" w:right="60" w:firstLine="488"/>
        <w:spacing w:after="0" w:line="263" w:lineRule="auto"/>
        <w:rPr>
          <w:sz w:val="20"/>
          <w:szCs w:val="20"/>
          <w:color w:val="auto"/>
        </w:rPr>
      </w:pPr>
      <w:r>
        <w:rPr>
          <w:rFonts w:ascii="Arial" w:cs="Arial" w:eastAsia="Arial" w:hAnsi="Arial"/>
          <w:sz w:val="12"/>
          <w:szCs w:val="12"/>
          <w:color w:val="auto"/>
        </w:rPr>
        <w:t>On March 6, 2018 Deerfield converted the remaining $1.3 million of principal amount due under the 2019 notes for 441,618 shares of the Company’s common stock. The fair value of these exchange shares was determined to be $2.83 per share representing the average of the volume weighted average price per share of the Company’s common stock for the three trading day period immediately preceding the date of the election by Deerfield to convert as reported on the Nasdaq Global Market. The Escrow Agreement with Deerfield and US Bank, was terminated as the required payment was satisfied in full as of March 12, 2018.</w:t>
      </w:r>
    </w:p>
    <w:p>
      <w:pPr>
        <w:spacing w:after="0" w:line="150" w:lineRule="exact"/>
        <w:rPr>
          <w:sz w:val="20"/>
          <w:szCs w:val="20"/>
          <w:color w:val="auto"/>
        </w:rPr>
      </w:pPr>
    </w:p>
    <w:p>
      <w:pPr>
        <w:ind w:left="8" w:right="60" w:firstLine="488"/>
        <w:spacing w:after="0" w:line="298" w:lineRule="auto"/>
        <w:rPr>
          <w:sz w:val="20"/>
          <w:szCs w:val="20"/>
          <w:color w:val="auto"/>
        </w:rPr>
      </w:pPr>
      <w:r>
        <w:rPr>
          <w:rFonts w:ascii="Arial" w:cs="Arial" w:eastAsia="Arial" w:hAnsi="Arial"/>
          <w:sz w:val="11"/>
          <w:szCs w:val="11"/>
          <w:color w:val="auto"/>
        </w:rPr>
        <w:t>On March 12, 2018 the Company entered into an Exchange Agreement with Deerfield pursuant to which the Company agreed to, among other things, exchange $5.0 million of principal amount of the Tranche B notes for 1,838,236 shares of the Company’s common stock. The fair value of these exchange shares was determined to be $2.72 per share representing the closing price of the Company’s common stock on March 9, 2018 as reported on the Nasdaq Global Market. The principal amount being exchanged under the Tranche B notes represents the principal amount that would have otherwise become due and payable in May 2018.</w:t>
      </w:r>
    </w:p>
    <w:p>
      <w:pPr>
        <w:spacing w:after="0" w:line="105" w:lineRule="exact"/>
        <w:rPr>
          <w:sz w:val="20"/>
          <w:szCs w:val="20"/>
          <w:color w:val="auto"/>
        </w:rPr>
      </w:pPr>
    </w:p>
    <w:p>
      <w:pPr>
        <w:ind w:left="8" w:firstLine="488"/>
        <w:spacing w:after="0" w:line="301" w:lineRule="auto"/>
        <w:rPr>
          <w:sz w:val="20"/>
          <w:szCs w:val="20"/>
          <w:color w:val="auto"/>
        </w:rPr>
      </w:pPr>
      <w:r>
        <w:rPr>
          <w:rFonts w:ascii="Arial" w:cs="Arial" w:eastAsia="Arial" w:hAnsi="Arial"/>
          <w:sz w:val="11"/>
          <w:szCs w:val="11"/>
          <w:color w:val="auto"/>
        </w:rPr>
        <w:t>On June 8, 2018, the Company entered into an Exchange and Seventh Amendment to Facility Agreement with Deerfield, pursuant to which, among other things, (i) the Company issued to Deerfield 3,061,224 shares of the Company’s common stock in exchange for the cancellation of (a) $3.0 million of $5.0 million principal amount of 2019 notes that was due and payable on July 1, 2018 and (b) $3.0 million of $5 million principal amount of Tranche B notes that was due and payable on December 31, 2019, (ii) the Company’s obligation under the Facility Agreement to maintain at least $25.0 million in cash as of the end of each quarter was reduced to $20 million through December 31, 2018,</w:t>
      </w:r>
    </w:p>
    <w:p>
      <w:pPr>
        <w:spacing w:after="0" w:line="1" w:lineRule="exact"/>
        <w:rPr>
          <w:sz w:val="20"/>
          <w:szCs w:val="20"/>
          <w:color w:val="auto"/>
        </w:rPr>
      </w:pPr>
    </w:p>
    <w:p>
      <w:pPr>
        <w:ind w:left="8" w:right="260" w:hanging="8"/>
        <w:spacing w:after="0" w:line="255" w:lineRule="auto"/>
        <w:tabs>
          <w:tab w:leader="none" w:pos="21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minimum price at which the Facility Financing Obligation may be converted into shares of the Company’s common stock was reduced from $2.75 to $2.01 per share and (iv) the parties agreed that, on or after June 8, 2018, the Facility Financing Obligation may be converted into a maximum of 9,558,382 shares of the Company’s common stock. The fair value of the exchange shares issued to Deerfield on June 8, 2018 was determined to be $1.96 per share, representing the closing price of the Company’s common stock on June 8, 2018 as reported on the Nasdaq Global Market.</w:t>
      </w:r>
    </w:p>
    <w:p>
      <w:pPr>
        <w:spacing w:after="0" w:line="128" w:lineRule="exact"/>
        <w:rPr>
          <w:sz w:val="20"/>
          <w:szCs w:val="20"/>
          <w:color w:val="auto"/>
        </w:rPr>
      </w:pPr>
    </w:p>
    <w:p>
      <w:pPr>
        <w:ind w:left="488"/>
        <w:spacing w:after="0"/>
        <w:rPr>
          <w:sz w:val="20"/>
          <w:szCs w:val="20"/>
          <w:color w:val="auto"/>
        </w:rPr>
      </w:pPr>
      <w:r>
        <w:rPr>
          <w:rFonts w:ascii="Arial" w:cs="Arial" w:eastAsia="Arial" w:hAnsi="Arial"/>
          <w:sz w:val="10"/>
          <w:szCs w:val="10"/>
          <w:color w:val="auto"/>
        </w:rPr>
        <w:t>On July 12, 2018, the Company entered into an Exchange and Eighth Amendment to Facility Agreement with Deerfield, pursuant to which the parties amended the Facility Agreement to, among other things, (i) issue to Deerfield</w:t>
      </w:r>
    </w:p>
    <w:p>
      <w:pPr>
        <w:spacing w:after="0" w:line="47" w:lineRule="exact"/>
        <w:rPr>
          <w:sz w:val="20"/>
          <w:szCs w:val="20"/>
          <w:color w:val="auto"/>
        </w:rPr>
      </w:pPr>
    </w:p>
    <w:p>
      <w:pPr>
        <w:ind w:left="8" w:right="60"/>
        <w:spacing w:after="0" w:line="286" w:lineRule="auto"/>
        <w:rPr>
          <w:sz w:val="20"/>
          <w:szCs w:val="20"/>
          <w:color w:val="auto"/>
        </w:rPr>
      </w:pPr>
      <w:r>
        <w:rPr>
          <w:rFonts w:ascii="Arial" w:cs="Arial" w:eastAsia="Arial" w:hAnsi="Arial"/>
          <w:sz w:val="11"/>
          <w:szCs w:val="11"/>
          <w:color w:val="auto"/>
        </w:rPr>
        <w:t>7,367,839 shares of the Company’s common stock in exchange for the cancellation of (a) $7.0 million of $10.0 million principal amount of 2019 notes that was due and payable on July 18, 2018, (b) $3.0 million of $5.0 million principal amount of 2019 notes that was due and payable on December 31, 2019 and (c) $2.0 million of $2.0 million principal amount of Tranche B notes that was due and payable on December 31, 2019, (ii) defer the payment of $3.0 million in principal amount of 2019 notes from July 18, 2018 to August 31, 2018, (iii) reduce the minimum price at which the remaining notes issued under the Facility Agreement may be converted into shares of the Company’s common stock from $2.01 to $1.80 per share and (iv) provide that, on or after July 12, 2018, such remaining notes may be converted into a maximum of 5,750,000 shares of the Company’s common stock. The fair value of the exchanged shares on July 12, 2018 was determined to be $1.80 per share, representing the closing price of the Company’s common stock on July 12, 2018 with de minimis price differences and no extinguishment gain or loss was recognized.</w:t>
      </w:r>
    </w:p>
    <w:p>
      <w:pPr>
        <w:spacing w:after="0" w:line="111" w:lineRule="exact"/>
        <w:rPr>
          <w:sz w:val="20"/>
          <w:szCs w:val="20"/>
          <w:color w:val="auto"/>
        </w:rPr>
      </w:pPr>
    </w:p>
    <w:p>
      <w:pPr>
        <w:ind w:left="8" w:right="60" w:firstLine="488"/>
        <w:spacing w:after="0" w:line="380" w:lineRule="auto"/>
        <w:rPr>
          <w:sz w:val="20"/>
          <w:szCs w:val="20"/>
          <w:color w:val="auto"/>
        </w:rPr>
      </w:pPr>
      <w:r>
        <w:rPr>
          <w:rFonts w:ascii="Arial" w:cs="Arial" w:eastAsia="Arial" w:hAnsi="Arial"/>
          <w:sz w:val="10"/>
          <w:szCs w:val="10"/>
          <w:color w:val="auto"/>
        </w:rPr>
        <w:t>On September 5, 2018, the Company entered into a Ninth Amendment to Facility Agreement (the “Ninth Deerfield Amendment”) with Deerfield, pursuant to which the parties amended the Facility Agreement to, among other things, further defer the payment of $3.0 million in principal amount of 2019 notes from August 31, 2018 to September 30, 2018, which was amended in the tenth amendment and such payment was made to Deerfield on October 18, 2018.</w:t>
      </w:r>
    </w:p>
    <w:p>
      <w:pPr>
        <w:spacing w:after="0" w:line="23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732917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5" w:right="199" w:bottom="1440" w:gutter="0" w:footer="0" w:header="0"/>
        </w:sectPr>
      </w:pPr>
    </w:p>
    <w:bookmarkStart w:id="86" w:name="page87"/>
    <w:bookmarkEnd w:id="86"/>
    <w:p>
      <w:pPr>
        <w:ind w:firstLine="488"/>
        <w:spacing w:after="0" w:line="257" w:lineRule="auto"/>
        <w:rPr>
          <w:sz w:val="20"/>
          <w:szCs w:val="20"/>
          <w:color w:val="auto"/>
        </w:rPr>
      </w:pPr>
      <w:r>
        <w:rPr>
          <w:rFonts w:ascii="Arial" w:cs="Arial" w:eastAsia="Arial" w:hAnsi="Arial"/>
          <w:sz w:val="12"/>
          <w:szCs w:val="12"/>
          <w:color w:val="auto"/>
        </w:rPr>
        <w:t>Following the Ninth Deerfield Amendment, in September 2018 Deerfield converted $8.0 million in principal amount of 2019 notes and $2.5 million in principal amount of Tranche B notes into an aggregate of 5,749,500 shares of the Company’s common stock in two transactions on September 6 and September 7, 2018. Accordingly, the Company accounted for the transactions by recording a loss on extinguishment of debt of $0.7 million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fair value of the Exchange Shares was determined to be $2.04 and $1.78 per share representing the closing trading price of the Company’s common stock on The Nasdaq Global Market on September 6 and September 7, 2018, respectively.</w:t>
      </w:r>
    </w:p>
    <w:p>
      <w:pPr>
        <w:spacing w:after="0" w:line="126"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On September 26, 2018, the Company entered into a Tenth Amendment to Facility Agreement with Deerfield, pursuant to which the parties amended the Facility Agreement, to, among other things, (i) further defer the payment of $3.0 million in principal amount of 2019 notes from September 30, 2018 until the earlier of October 31, 2018 or the first business day following the date the Company receives an upfront payment of $45.0 million from UT (See Note 8 – Collaboration Arrangements), and (ii) provide that the Company shall be obligated to maintain at least $20.0 million in cash and cash equivalents as of October 31, 2018 and December 31, 2018 and $25.0 million in cash and cash equivalents as of the end of each fiscal quarter after December 31, 2018. Subsequently, such payment was made to Deerfield on October 18, 2018.</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On July 1, 2013, in conjunction with the execution of the Facility Agreement, the Company issued Milestone Rights to the Milestone Purchasers.</w:t>
      </w:r>
    </w:p>
    <w:p>
      <w:pPr>
        <w:spacing w:after="0" w:line="150" w:lineRule="exact"/>
        <w:rPr>
          <w:sz w:val="20"/>
          <w:szCs w:val="20"/>
          <w:color w:val="auto"/>
        </w:rPr>
      </w:pPr>
    </w:p>
    <w:p>
      <w:pPr>
        <w:ind w:right="100" w:firstLine="488"/>
        <w:spacing w:after="0" w:line="290" w:lineRule="auto"/>
        <w:rPr>
          <w:sz w:val="20"/>
          <w:szCs w:val="20"/>
          <w:color w:val="auto"/>
        </w:rPr>
      </w:pPr>
      <w:r>
        <w:rPr>
          <w:rFonts w:ascii="Arial" w:cs="Arial" w:eastAsia="Arial" w:hAnsi="Arial"/>
          <w:sz w:val="11"/>
          <w:szCs w:val="11"/>
          <w:color w:val="auto"/>
        </w:rPr>
        <w:t>As of December 31, 2018 and 2017, the remaining Milestone Rights liability balance was $8.9 million. The Company currently estimates that it will reach the next milestone in the second quarter of 2019, at which point the Company will be required to make a $5.0 million payment. The carrying value of the Milestone Rights liability related to this $5 million payment is $1.6 million, which represents the fair value related to this payment that was determined in 2013 (the most recent measurement date). Accordingly, $1.6 million in value related to the next milestone payment was recorded in accrued expenses and other current liabilities as of December 31, 2018. Furthermore, $7.2 million was recorded in Milestone Rights liability and other liabilities, which is non-current, in the accompanying consolidated balance sheets as of December 31, 2018 and 2017, respectively.</w:t>
      </w:r>
    </w:p>
    <w:p>
      <w:pPr>
        <w:spacing w:after="0" w:line="109" w:lineRule="exact"/>
        <w:rPr>
          <w:sz w:val="20"/>
          <w:szCs w:val="20"/>
          <w:color w:val="auto"/>
        </w:rPr>
      </w:pPr>
    </w:p>
    <w:p>
      <w:pPr>
        <w:ind w:firstLine="488"/>
        <w:spacing w:after="0" w:line="380" w:lineRule="auto"/>
        <w:rPr>
          <w:sz w:val="20"/>
          <w:szCs w:val="20"/>
          <w:color w:val="auto"/>
        </w:rPr>
      </w:pPr>
      <w:r>
        <w:rPr>
          <w:rFonts w:ascii="Arial" w:cs="Arial" w:eastAsia="Arial" w:hAnsi="Arial"/>
          <w:sz w:val="10"/>
          <w:szCs w:val="10"/>
          <w:color w:val="auto"/>
        </w:rPr>
        <w:t>Accretion of debt issuance cost and debt discount in connection with the Facility Agreement does not include the acceleration of the debt discount and issuance costs related to the transactions disclosed above as the amounts were included in the loss on extinguishment of debt in the consolidated statement of operations. Accretion of debt issuance cost and debt discount during the years ended December 31, 2018, 2017 and 2016 were as follows (in thousands):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December 31,</w:t>
            </w: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640" w:type="dxa"/>
            <w:vAlign w:val="bottom"/>
            <w:tcBorders>
              <w:bottom w:val="single" w:sz="8" w:color="CFF0FC"/>
            </w:tcBorders>
          </w:tcPr>
          <w:p>
            <w:pPr>
              <w:spacing w:after="0"/>
              <w:rPr>
                <w:sz w:val="8"/>
                <w:szCs w:val="8"/>
                <w:color w:val="auto"/>
              </w:rPr>
            </w:pPr>
          </w:p>
        </w:tc>
        <w:tc>
          <w:tcPr>
            <w:tcW w:w="178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84"/>
              <w:spacing w:after="0" w:line="97" w:lineRule="exact"/>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06"/>
              <w:spacing w:after="0" w:line="97"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8"/>
                <w:szCs w:val="8"/>
                <w:color w:val="auto"/>
              </w:rPr>
            </w:pPr>
          </w:p>
        </w:tc>
        <w:tc>
          <w:tcPr>
            <w:tcW w:w="1080" w:type="dxa"/>
            <w:vAlign w:val="bottom"/>
            <w:tcBorders>
              <w:bottom w:val="single" w:sz="8" w:color="auto"/>
            </w:tcBorders>
          </w:tcPr>
          <w:p>
            <w:pPr>
              <w:jc w:val="right"/>
              <w:ind w:right="404"/>
              <w:spacing w:after="0" w:line="97"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Accretion expense - debt issuance cost</w:t>
            </w: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Accretion expense - debt discount</w:t>
            </w:r>
          </w:p>
        </w:tc>
        <w:tc>
          <w:tcPr>
            <w:tcW w:w="1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40" w:type="dxa"/>
            <w:vAlign w:val="bottom"/>
            <w:vMerge w:val="continue"/>
          </w:tcPr>
          <w:p>
            <w:pPr>
              <w:spacing w:after="0"/>
              <w:rPr>
                <w:sz w:val="12"/>
                <w:szCs w:val="12"/>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1,155</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1,700</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240" w:firstLine="488"/>
        <w:spacing w:after="0" w:line="323" w:lineRule="auto"/>
        <w:rPr>
          <w:sz w:val="20"/>
          <w:szCs w:val="20"/>
          <w:color w:val="auto"/>
        </w:rPr>
      </w:pPr>
      <w:r>
        <w:rPr>
          <w:rFonts w:ascii="Arial" w:cs="Arial" w:eastAsia="Arial" w:hAnsi="Arial"/>
          <w:sz w:val="11"/>
          <w:szCs w:val="11"/>
          <w:color w:val="auto"/>
        </w:rPr>
        <w:t>The Facility Agreement includes customary representations, warranties and covenants, including a restriction on the incurrence of additional indebtedness. As discussed in Note 1 – Description of Business, the Company will need to raise additional capital to support its current operating plans. In the event of non-compliance, Deerfield may declare all or any portion of the Facility Financing Obligation to be immediately due and payable.</w:t>
      </w:r>
    </w:p>
    <w:p>
      <w:pPr>
        <w:spacing w:after="0" w:line="92" w:lineRule="exact"/>
        <w:rPr>
          <w:sz w:val="20"/>
          <w:szCs w:val="20"/>
          <w:color w:val="auto"/>
        </w:rPr>
      </w:pPr>
    </w:p>
    <w:p>
      <w:pPr>
        <w:ind w:right="300" w:firstLine="488"/>
        <w:spacing w:after="0" w:line="323" w:lineRule="auto"/>
        <w:rPr>
          <w:sz w:val="20"/>
          <w:szCs w:val="20"/>
          <w:color w:val="auto"/>
        </w:rPr>
      </w:pPr>
      <w:r>
        <w:rPr>
          <w:rFonts w:ascii="Arial" w:cs="Arial" w:eastAsia="Arial" w:hAnsi="Arial"/>
          <w:sz w:val="11"/>
          <w:szCs w:val="11"/>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 The Company initially recorded the Milestone Rights at their estimated fair value.</w:t>
      </w:r>
    </w:p>
    <w:p>
      <w:pPr>
        <w:spacing w:after="0" w:line="92" w:lineRule="exact"/>
        <w:rPr>
          <w:sz w:val="20"/>
          <w:szCs w:val="20"/>
          <w:color w:val="auto"/>
        </w:rPr>
      </w:pPr>
    </w:p>
    <w:p>
      <w:pPr>
        <w:ind w:right="180" w:firstLine="488"/>
        <w:spacing w:after="0" w:line="257" w:lineRule="auto"/>
        <w:rPr>
          <w:sz w:val="20"/>
          <w:szCs w:val="20"/>
          <w:color w:val="auto"/>
        </w:rPr>
      </w:pPr>
      <w:r>
        <w:rPr>
          <w:rFonts w:ascii="Arial" w:cs="Arial" w:eastAsia="Arial" w:hAnsi="Arial"/>
          <w:sz w:val="12"/>
          <w:szCs w:val="12"/>
          <w:color w:val="auto"/>
        </w:rPr>
        <w:t>In connection with the Facility Agreement and Milestone Agreement, the Company and its subsidiary, MannKind LLC, entered into a Guaranty and Security 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Facility Financing Obligation in full, if applicable.</w:t>
      </w:r>
    </w:p>
    <w:p>
      <w:pPr>
        <w:spacing w:after="0" w:line="126" w:lineRule="exact"/>
        <w:rPr>
          <w:sz w:val="20"/>
          <w:szCs w:val="20"/>
          <w:color w:val="auto"/>
        </w:rPr>
      </w:pPr>
    </w:p>
    <w:p>
      <w:pPr>
        <w:jc w:val="both"/>
        <w:ind w:right="60" w:firstLine="488"/>
        <w:spacing w:after="0" w:line="263" w:lineRule="auto"/>
        <w:rPr>
          <w:sz w:val="20"/>
          <w:szCs w:val="20"/>
          <w:color w:val="auto"/>
        </w:rPr>
      </w:pPr>
      <w:r>
        <w:rPr>
          <w:rFonts w:ascii="Arial" w:cs="Arial" w:eastAsia="Arial" w:hAnsi="Arial"/>
          <w:sz w:val="12"/>
          <w:szCs w:val="12"/>
          <w:color w:val="auto"/>
        </w:rPr>
        <w:t xml:space="preserve">The Company identified and evaluated a number of embedded features in the notes issued under the Facility Agreement to 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value as of December 31, 2018 and 2017.</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87" w:name="page88"/>
    <w:bookmarkEnd w:id="87"/>
    <w:p>
      <w:pPr>
        <w:ind w:firstLine="488"/>
        <w:spacing w:after="0" w:line="286" w:lineRule="auto"/>
        <w:rPr>
          <w:sz w:val="20"/>
          <w:szCs w:val="20"/>
          <w:color w:val="auto"/>
        </w:rPr>
      </w:pPr>
      <w:r>
        <w:rPr>
          <w:rFonts w:ascii="Arial" w:cs="Arial" w:eastAsia="Arial" w:hAnsi="Arial"/>
          <w:sz w:val="11"/>
          <w:szCs w:val="11"/>
          <w:i w:val="1"/>
          <w:iCs w:val="1"/>
          <w:color w:val="auto"/>
        </w:rPr>
        <w:t xml:space="preserve">Senior Convertible Notes Due 2021 </w:t>
      </w:r>
      <w:r>
        <w:rPr>
          <w:rFonts w:ascii="Arial" w:cs="Arial" w:eastAsia="Arial" w:hAnsi="Arial"/>
          <w:sz w:val="11"/>
          <w:szCs w:val="11"/>
          <w:color w:val="auto"/>
        </w:rPr>
        <w:t>— On October 23, 2017, the Company entered into exchange agreements with the holders of the Company’s 5.75% Senior Convertible Notes due 2018 (the “2018 notes”), pursuant to which</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agreed to exchange all of the outstanding 2018 notes in the aggregate principal amount of $27.7 million for (i) $23.7 million aggregate principal amount of new 5.75% Senior Convertible notes due 2021 (the “2021 notes”) and (ii) an aggregate of 973,236 shares of its common stock. In addition, the conversion rate was adjusted from $34 per share to $5.15 per share. The senior convertible notes were issued at the closing of the exchange on October 23, 2017. The Company analyzed this exchange and concluded that the exchange represents an extinguishment of the 2018 notes and recorded a $0.8 million loss on extinguishment of debt during 2017. In addition unamortized debt issuance costs of $0.3 million and unamortized debt premium of $0.2 million were also written-off during the last quarter of fiscal year 2017.</w:t>
      </w:r>
    </w:p>
    <w:p>
      <w:pPr>
        <w:spacing w:after="0" w:line="129"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On May 25, 2018, the Company entered into a privately-negotiated exchange agreement (the “Exchange Agreement”) with certain holders of its senior convertible notes, pursuant to which the Company agreed to issue 2,250,000 shares of its common stock in exchange for the cancellation of $5.0 million principal amount of the senior convertible notes and unpaid accrued interest thereon. The exchange price for these exchange shares was $2.2567 per share. The exchange was completed on May 31, 2018. As a result, the Company recognized approximately $0.8 million as extinguishment gain which was calculated based on the difference between the reacquisition price and the net carrying amount of the payment on the debt.</w:t>
      </w:r>
    </w:p>
    <w:p>
      <w:pPr>
        <w:spacing w:after="0" w:line="125" w:lineRule="exact"/>
        <w:rPr>
          <w:sz w:val="20"/>
          <w:szCs w:val="20"/>
          <w:color w:val="auto"/>
        </w:rPr>
      </w:pPr>
    </w:p>
    <w:p>
      <w:pPr>
        <w:ind w:right="80" w:firstLine="488"/>
        <w:spacing w:after="0" w:line="281" w:lineRule="auto"/>
        <w:rPr>
          <w:sz w:val="20"/>
          <w:szCs w:val="20"/>
          <w:color w:val="auto"/>
        </w:rPr>
      </w:pPr>
      <w:r>
        <w:rPr>
          <w:rFonts w:ascii="Arial" w:cs="Arial" w:eastAsia="Arial" w:hAnsi="Arial"/>
          <w:sz w:val="11"/>
          <w:szCs w:val="11"/>
          <w:color w:val="auto"/>
        </w:rPr>
        <w:t>As of December 31, 2018 and 2017, there was $18.7 million and $23.7 million principal amount of senior convertible notes outstanding, respectively. The senior convertible notes are the Company’s general, unsecured, senior obligations, except that they are subordinated in right of payment to the Facility Financing Obligation. The senior convertible notes rank equally in right of payment with the Company’s other unsecured senior debt. The senior convertible notes bear interest at the rate of 5.75% per year on the principal amount, payable semiannually in arrears in cash or, at the option of the Company if certain conditions are met, in shares of the Company’s common stock (the “Interest Shares”), on February 15 and August 15 of each year, beginning February 15, 2018, with interest accruing from August 15, 2017. To date, the interest on the Company’s senior convertible notes have been paid in cash and in converted shares. The Company converted $0.5 million accrued interest for 475,520 shares and the fair value of the exchange was $1.13 per share, representing the closing price of the Company’s common stock on August 14, 2018 per the Nasdaq Global Market. The aggregate number of Interest Shares that the Company may issue may not exceed 13,648,300, unless the Company receives stockholder approval to issue Interest Shares in excess of such a number in accordance with the listing standards of the Nasdaq Global Market. Accrued interest related to these notes is recorded in accrued expenses and other current liabilities on the accompanying consolidated balance sheets.</w:t>
      </w:r>
    </w:p>
    <w:p>
      <w:pPr>
        <w:spacing w:after="0" w:line="134" w:lineRule="exact"/>
        <w:rPr>
          <w:sz w:val="20"/>
          <w:szCs w:val="20"/>
          <w:color w:val="auto"/>
        </w:rPr>
      </w:pPr>
    </w:p>
    <w:p>
      <w:pPr>
        <w:ind w:right="120" w:firstLine="488"/>
        <w:spacing w:after="0" w:line="263" w:lineRule="auto"/>
        <w:rPr>
          <w:sz w:val="20"/>
          <w:szCs w:val="20"/>
          <w:color w:val="auto"/>
        </w:rPr>
      </w:pPr>
      <w:r>
        <w:rPr>
          <w:rFonts w:ascii="Arial" w:cs="Arial" w:eastAsia="Arial" w:hAnsi="Arial"/>
          <w:sz w:val="12"/>
          <w:szCs w:val="12"/>
          <w:color w:val="auto"/>
        </w:rPr>
        <w:t>The senior convertible notes are convertible, at the option of the holder, at any time on or prior to the close of business on the business day immediately preceding the stated maturity date, into shares of the Company’s common stock at an initial conversion rate of 194.1748 shares per $1,000 principal amount of senior convertible notes, which is equal to the initial conversion price of approximately $5.15 per share. The conversion rate is subject to adjustment under certain circumstances described in an indenture governing the senior convertible notes.</w:t>
      </w:r>
    </w:p>
    <w:p>
      <w:pPr>
        <w:spacing w:after="0" w:line="123" w:lineRule="exact"/>
        <w:rPr>
          <w:sz w:val="20"/>
          <w:szCs w:val="20"/>
          <w:color w:val="auto"/>
        </w:rPr>
      </w:pPr>
    </w:p>
    <w:p>
      <w:pPr>
        <w:ind w:right="40" w:firstLine="488"/>
        <w:spacing w:after="0" w:line="276" w:lineRule="auto"/>
        <w:rPr>
          <w:sz w:val="20"/>
          <w:szCs w:val="20"/>
          <w:color w:val="auto"/>
        </w:rPr>
      </w:pPr>
      <w:r>
        <w:rPr>
          <w:rFonts w:ascii="Arial" w:cs="Arial" w:eastAsia="Arial" w:hAnsi="Arial"/>
          <w:sz w:val="12"/>
          <w:szCs w:val="12"/>
          <w:color w:val="auto"/>
        </w:rPr>
        <w:t>If the Company undergoes certain fundamental changes, except in certain circumstances, each holder of senior convertible notes will have the option to require the Company to repurchase all or any portion of that holder’s senior convertible notes. The fundamental change repurchase price will be 100% of the principal amount of the senior convertible notes to be repurchased plus accrued and unpaid interest, if any.</w:t>
      </w:r>
    </w:p>
    <w:p>
      <w:pPr>
        <w:spacing w:after="0" w:line="115" w:lineRule="exact"/>
        <w:rPr>
          <w:sz w:val="20"/>
          <w:szCs w:val="20"/>
          <w:color w:val="auto"/>
        </w:rPr>
      </w:pPr>
    </w:p>
    <w:p>
      <w:pPr>
        <w:ind w:firstLine="488"/>
        <w:spacing w:after="0" w:line="281" w:lineRule="auto"/>
        <w:rPr>
          <w:sz w:val="20"/>
          <w:szCs w:val="20"/>
          <w:color w:val="auto"/>
        </w:rPr>
      </w:pPr>
      <w:r>
        <w:rPr>
          <w:rFonts w:ascii="Arial" w:cs="Arial" w:eastAsia="Arial" w:hAnsi="Arial"/>
          <w:sz w:val="11"/>
          <w:szCs w:val="11"/>
          <w:color w:val="auto"/>
        </w:rPr>
        <w:t>The Company may elect at its option to cause all or any portion of the senior convertible notes to be mandatorily converted in whole or in part at any time prior to the close of business on the business day immediately preceding the maturity date, if the last reported sale price of its common stock exceeds 120% of the conversion price then in effect for at least 10 trading days in any 20 consecutive trading day period, ending within five business days prior to the date of the mandatory conversion notice. The redemption price is equal the sum of 100% of the principal amount of the senior convertible notes to be redeemed, plus accrued and unpaid interest. Under the terms of the indenture, the conversion option can be net-share settled and the maximum number of shares that could be required to be delivered under the indenture is fixed and less than the number of authorized and unissued shares less the maximum number of shares that could be required to be delivered during the term of the senior convertible notes under existing commitments. Applying the Company’s sequencing policy, the Company performed an analysis at the time of the offering of the senior convertible notes and each reporting date since and has concluded that the number of available authorized shares at the time of the offering and each reporting date since was sufficient to deliver the number of shares that could be required to be delivered during the term of the senior convertible notes under existing commitments.</w:t>
      </w:r>
    </w:p>
    <w:p>
      <w:pPr>
        <w:spacing w:after="0" w:line="116"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The senior convertible notes provide that upon an acceleration of certain indebtedness, including the Facility Financing Obligation issued to Deerfield pursuant to the Facility Agreement, the holders may elect to accelerate the Company’s repayment obligations under the notes if such acceleration is not cured, waived, rescinded or annulled.</w:t>
      </w:r>
    </w:p>
    <w:p>
      <w:pPr>
        <w:spacing w:after="0" w:line="124" w:lineRule="exact"/>
        <w:rPr>
          <w:sz w:val="20"/>
          <w:szCs w:val="20"/>
          <w:color w:val="auto"/>
        </w:rPr>
      </w:pPr>
    </w:p>
    <w:p>
      <w:pPr>
        <w:ind w:right="540" w:firstLine="488"/>
        <w:spacing w:after="0" w:line="276" w:lineRule="auto"/>
        <w:rPr>
          <w:sz w:val="20"/>
          <w:szCs w:val="20"/>
          <w:color w:val="auto"/>
        </w:rPr>
      </w:pPr>
      <w:r>
        <w:rPr>
          <w:rFonts w:ascii="Arial" w:cs="Arial" w:eastAsia="Arial" w:hAnsi="Arial"/>
          <w:sz w:val="12"/>
          <w:szCs w:val="12"/>
          <w:color w:val="auto"/>
        </w:rPr>
        <w:t>As a result of the exchange of the senior convertible notes during the last quarter of 2017, the Company recorded approximately $0.8 million in debt premium, which is recorded with the senior convertible notes, in the accompanying consolidated balance sheets. The premium is being accreted to interest expense using the effective interest method over the term of the senior convertible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88" w:name="page89"/>
    <w:bookmarkEnd w:id="88"/>
    <w:p>
      <w:pPr>
        <w:ind w:left="480"/>
        <w:spacing w:after="0"/>
        <w:rPr>
          <w:sz w:val="20"/>
          <w:szCs w:val="20"/>
          <w:color w:val="auto"/>
        </w:rPr>
      </w:pPr>
      <w:r>
        <w:rPr>
          <w:rFonts w:ascii="Arial" w:cs="Arial" w:eastAsia="Arial" w:hAnsi="Arial"/>
          <w:sz w:val="12"/>
          <w:szCs w:val="12"/>
          <w:color w:val="auto"/>
        </w:rPr>
        <w:t>Amortization of the premium and accretion of debt issuance costs related to the 2021 notes for the years ended December 31, 2018, 2017 and 2016 are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December 31,</w:t>
            </w: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640" w:type="dxa"/>
            <w:vAlign w:val="bottom"/>
            <w:tcBorders>
              <w:bottom w:val="single" w:sz="8" w:color="CFF0FC"/>
            </w:tcBorders>
          </w:tcPr>
          <w:p>
            <w:pPr>
              <w:spacing w:after="0"/>
              <w:rPr>
                <w:sz w:val="8"/>
                <w:szCs w:val="8"/>
                <w:color w:val="auto"/>
              </w:rPr>
            </w:pPr>
          </w:p>
        </w:tc>
        <w:tc>
          <w:tcPr>
            <w:tcW w:w="1780" w:type="dxa"/>
            <w:vAlign w:val="bottom"/>
            <w:tcBorders>
              <w:bottom w:val="single" w:sz="8" w:color="CFF0FC"/>
            </w:tcBorders>
          </w:tcPr>
          <w:p>
            <w:pPr>
              <w:spacing w:after="0"/>
              <w:rPr>
                <w:sz w:val="8"/>
                <w:szCs w:val="8"/>
                <w:color w:val="auto"/>
              </w:rPr>
            </w:pPr>
          </w:p>
        </w:tc>
        <w:tc>
          <w:tcPr>
            <w:tcW w:w="740" w:type="dxa"/>
            <w:vAlign w:val="bottom"/>
            <w:tcBorders>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2018</w:t>
            </w: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06"/>
              <w:spacing w:after="0" w:line="97"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8"/>
                <w:szCs w:val="8"/>
                <w:color w:val="auto"/>
              </w:rPr>
            </w:pPr>
          </w:p>
        </w:tc>
        <w:tc>
          <w:tcPr>
            <w:tcW w:w="1080" w:type="dxa"/>
            <w:vAlign w:val="bottom"/>
            <w:tcBorders>
              <w:bottom w:val="single" w:sz="8" w:color="auto"/>
            </w:tcBorders>
          </w:tcPr>
          <w:p>
            <w:pPr>
              <w:jc w:val="right"/>
              <w:ind w:right="404"/>
              <w:spacing w:after="0" w:line="97"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Amortization of debt premium</w:t>
            </w:r>
          </w:p>
        </w:tc>
        <w:tc>
          <w:tcPr>
            <w:tcW w:w="252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Accretion expense - debt issuance cost</w:t>
            </w:r>
          </w:p>
        </w:tc>
        <w:tc>
          <w:tcPr>
            <w:tcW w:w="17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40" w:type="dxa"/>
            <w:vAlign w:val="bottom"/>
            <w:vMerge w:val="continue"/>
          </w:tcPr>
          <w:p>
            <w:pPr>
              <w:spacing w:after="0"/>
              <w:rPr>
                <w:sz w:val="12"/>
                <w:szCs w:val="12"/>
                <w:color w:val="auto"/>
              </w:rPr>
            </w:pPr>
          </w:p>
        </w:tc>
        <w:tc>
          <w:tcPr>
            <w:tcW w:w="2520" w:type="dxa"/>
            <w:vAlign w:val="bottom"/>
            <w:gridSpan w:val="2"/>
          </w:tcPr>
          <w:p>
            <w:pPr>
              <w:jc w:val="right"/>
              <w:ind w:right="632"/>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4</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227</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Refer to Note 6 — Related-Party Arrangements for information regarding the Note payable to related party.</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Collaboration and Licensing Arrangements</w:t>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Revenue from collaborations and services for the years ended December 31, 2018, 2017 and 2016 are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392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2018</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12"/>
                <w:szCs w:val="12"/>
                <w:color w:val="auto"/>
              </w:rPr>
            </w:pPr>
          </w:p>
        </w:tc>
      </w:tr>
      <w:tr>
        <w:trPr>
          <w:trHeight w:val="142"/>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United Therapeutics Agreement</w:t>
            </w:r>
          </w:p>
        </w:tc>
        <w:tc>
          <w:tcPr>
            <w:tcW w:w="218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6,386</w:t>
            </w:r>
          </w:p>
        </w:tc>
        <w:tc>
          <w:tcPr>
            <w:tcW w:w="1080" w:type="dxa"/>
            <w:vAlign w:val="bottom"/>
            <w:gridSpan w:val="2"/>
            <w:shd w:val="clear" w:color="auto" w:fill="CFF0FC"/>
          </w:tcPr>
          <w:p>
            <w:pPr>
              <w:jc w:val="right"/>
              <w:ind w:right="732"/>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United Therapeutics Research Agreement</w:t>
            </w: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3,758</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Receptor Collaboration and License Agreement</w:t>
            </w:r>
          </w:p>
        </w:tc>
        <w:tc>
          <w:tcPr>
            <w:tcW w:w="1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341</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250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Cipla Distribution Agreement</w:t>
            </w: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98</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Sanofi License Agreement and Supply Agreement</w:t>
            </w:r>
          </w:p>
        </w:tc>
        <w:tc>
          <w:tcPr>
            <w:tcW w:w="150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171,965</w:t>
            </w:r>
          </w:p>
        </w:tc>
        <w:tc>
          <w:tcPr>
            <w:tcW w:w="100" w:type="dxa"/>
            <w:vAlign w:val="bottom"/>
            <w:shd w:val="clear" w:color="auto" w:fill="CFF0FC"/>
          </w:tcPr>
          <w:p>
            <w:pPr>
              <w:spacing w:after="0"/>
              <w:rPr>
                <w:sz w:val="13"/>
                <w:szCs w:val="13"/>
                <w:color w:val="auto"/>
              </w:rPr>
            </w:pPr>
          </w:p>
        </w:tc>
      </w:tr>
      <w:tr>
        <w:trPr>
          <w:trHeight w:val="142"/>
        </w:trPr>
        <w:tc>
          <w:tcPr>
            <w:tcW w:w="3920" w:type="dxa"/>
            <w:vAlign w:val="bottom"/>
          </w:tcPr>
          <w:p>
            <w:pPr>
              <w:spacing w:after="0"/>
              <w:rPr>
                <w:sz w:val="12"/>
                <w:szCs w:val="12"/>
                <w:color w:val="auto"/>
              </w:rPr>
            </w:pPr>
          </w:p>
        </w:tc>
        <w:tc>
          <w:tcPr>
            <w:tcW w:w="2180" w:type="dxa"/>
            <w:vAlign w:val="bottom"/>
            <w:gridSpan w:val="2"/>
          </w:tcPr>
          <w:p>
            <w:pPr>
              <w:jc w:val="right"/>
              <w:ind w:right="572"/>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10,583</w:t>
            </w:r>
          </w:p>
        </w:tc>
        <w:tc>
          <w:tcPr>
            <w:tcW w:w="1080" w:type="dxa"/>
            <w:vAlign w:val="bottom"/>
            <w:gridSpan w:val="2"/>
          </w:tcPr>
          <w:p>
            <w:pPr>
              <w:jc w:val="right"/>
              <w:ind w:right="732"/>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w w:val="99"/>
              </w:rPr>
              <w:t>250</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171,965</w:t>
            </w:r>
          </w:p>
        </w:tc>
        <w:tc>
          <w:tcPr>
            <w:tcW w:w="100" w:type="dxa"/>
            <w:vAlign w:val="bottom"/>
          </w:tcPr>
          <w:p>
            <w:pPr>
              <w:spacing w:after="0"/>
              <w:rPr>
                <w:sz w:val="12"/>
                <w:szCs w:val="12"/>
                <w:color w:val="auto"/>
              </w:rPr>
            </w:pPr>
          </w:p>
        </w:tc>
      </w:tr>
      <w:tr>
        <w:trPr>
          <w:trHeight w:val="27"/>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2" w:lineRule="exact"/>
        <w:rPr>
          <w:sz w:val="20"/>
          <w:szCs w:val="20"/>
          <w:color w:val="auto"/>
        </w:rPr>
      </w:pPr>
    </w:p>
    <w:p>
      <w:pPr>
        <w:ind w:right="20" w:firstLine="488"/>
        <w:spacing w:after="0" w:line="263" w:lineRule="auto"/>
        <w:rPr>
          <w:sz w:val="20"/>
          <w:szCs w:val="20"/>
          <w:color w:val="auto"/>
        </w:rPr>
      </w:pPr>
      <w:r>
        <w:rPr>
          <w:rFonts w:ascii="Arial" w:cs="Arial" w:eastAsia="Arial" w:hAnsi="Arial"/>
          <w:sz w:val="12"/>
          <w:szCs w:val="12"/>
          <w:i w:val="1"/>
          <w:iCs w:val="1"/>
          <w:color w:val="auto"/>
        </w:rPr>
        <w:t xml:space="preserve">United Therapeutics License Agreement </w:t>
      </w:r>
      <w:r>
        <w:rPr>
          <w:rFonts w:ascii="Arial" w:cs="Arial" w:eastAsia="Arial" w:hAnsi="Arial"/>
          <w:sz w:val="12"/>
          <w:szCs w:val="12"/>
          <w:color w:val="auto"/>
        </w:rPr>
        <w:t>– In September 2018, the Company and UT entered into an exclusive global license and collaboration agreement for the rights to the Company’s dry powder formulation of treprostinil and</w:t>
      </w:r>
      <w:r>
        <w:rPr>
          <w:rFonts w:ascii="Arial" w:cs="Arial" w:eastAsia="Arial" w:hAnsi="Arial"/>
          <w:sz w:val="12"/>
          <w:szCs w:val="12"/>
          <w:i w:val="1"/>
          <w:iCs w:val="1"/>
          <w:color w:val="auto"/>
        </w:rPr>
        <w:t xml:space="preserve"> </w:t>
      </w:r>
      <w:r>
        <w:rPr>
          <w:rFonts w:ascii="Arial" w:cs="Arial" w:eastAsia="Arial" w:hAnsi="Arial"/>
          <w:sz w:val="12"/>
          <w:szCs w:val="12"/>
          <w:color w:val="auto"/>
        </w:rPr>
        <w:t>associated inhalation delivery devices. Under the UT License Agreement, UT will be responsible for global development, regulatory and commercial activities with respect to TreT. The Company will manufacture clinical supplies and initial commercial supplies of TreT, and long-term commercial supplies may be manufactured by UT.</w:t>
      </w:r>
    </w:p>
    <w:p>
      <w:pPr>
        <w:spacing w:after="0" w:line="123" w:lineRule="exact"/>
        <w:rPr>
          <w:sz w:val="20"/>
          <w:szCs w:val="20"/>
          <w:color w:val="auto"/>
        </w:rPr>
      </w:pPr>
    </w:p>
    <w:p>
      <w:pPr>
        <w:ind w:firstLine="488"/>
        <w:spacing w:after="0" w:line="280" w:lineRule="auto"/>
        <w:rPr>
          <w:sz w:val="20"/>
          <w:szCs w:val="20"/>
          <w:color w:val="auto"/>
        </w:rPr>
      </w:pPr>
      <w:r>
        <w:rPr>
          <w:rFonts w:ascii="Arial" w:cs="Arial" w:eastAsia="Arial" w:hAnsi="Arial"/>
          <w:sz w:val="11"/>
          <w:szCs w:val="11"/>
          <w:color w:val="auto"/>
        </w:rPr>
        <w:t>The UT License Agreement became effective on October 15, 2018 and under the terms of the agreement, the Company received an upfront payment of $45.0 million on October 16, 2018 and may receive potential milestone payments of up to $50.0 million upon the achievement of specified development targets. The Company will also be entitled to receive low double-digit royalties on net sales of TreT.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The Company, in accordance with the new revenue recognition requirements that become effective for the Company on January 1, 2018, recognized revenue on a ratable basis from October 16, 2018 through the estimated date when its performance obligation under UT License Agreement will be substantially completed December 31, 2021. During the year ended December 31, 2018, the Company recognized $6.4 million as revenue - collaborations and services. The $38.6 million balance of the upfront payment was deferred as follows: $30.5 million as deferred payments from collaborations – current and $8.1 million as deferred payment from collaboration – long term. Deferred revenue is classified as part of current or long-term liability in the accompanying consolidated balance sheets based on the Company’s estimate of the portion of the performance obligation regarding that revenue will be completed within the next 12 months.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 has evaluated the agreement in accordance with the new revenue recognition requirements that became effective for the Company on January 1, 2018:</w:t>
      </w:r>
    </w:p>
    <w:p>
      <w:pPr>
        <w:spacing w:after="0" w:line="15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2"/>
          <w:szCs w:val="12"/>
          <w:color w:val="auto"/>
        </w:rPr>
        <w:t>At the inception of the agreement, the Company identified one distinct, performance obligation. The Company determined that the key deliverables include the license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covered to include products with other active ingredients is not a material right, and thus, not a performance obligation at the onset of the agreement. The consideration for the option will be accounted for if and when they are exercised.</w:t>
      </w:r>
    </w:p>
    <w:p>
      <w:pPr>
        <w:spacing w:after="0" w:line="12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2"/>
          <w:szCs w:val="12"/>
          <w:color w:val="auto"/>
        </w:rPr>
        <w:t>The Company expected UT to complete development plan and the remaining milestone events totaling approximately $97.5 million which includes an upfront payment, four milestone event payments based on the achievement of development targets, and various pass-through costs. The Company has allocated the total $97.5 million transaction price to its one distinct, stand ready, performance obligation for the license and the associated services. Future commercial supply remains at UT’s option, is valued at a stand-alone selling price and is therefore not accounted for the current arrangement. The Company believes that this method best reflects the measure of progress toward complete satisfaction of the performance obligation.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89" w:name="page90"/>
    <w:bookmarkEnd w:id="89"/>
    <w:p>
      <w:pPr>
        <w:ind w:right="40" w:firstLine="488"/>
        <w:spacing w:after="0" w:line="283" w:lineRule="auto"/>
        <w:rPr>
          <w:sz w:val="20"/>
          <w:szCs w:val="20"/>
          <w:color w:val="auto"/>
        </w:rPr>
      </w:pPr>
      <w:r>
        <w:rPr>
          <w:rFonts w:ascii="Arial" w:cs="Arial" w:eastAsia="Arial" w:hAnsi="Arial"/>
          <w:sz w:val="11"/>
          <w:szCs w:val="11"/>
          <w:i w:val="1"/>
          <w:iCs w:val="1"/>
          <w:color w:val="auto"/>
        </w:rPr>
        <w:t xml:space="preserve">United Therapeutics Research Agreement </w:t>
      </w:r>
      <w:r>
        <w:rPr>
          <w:rFonts w:ascii="Arial" w:cs="Arial" w:eastAsia="Arial" w:hAnsi="Arial"/>
          <w:sz w:val="11"/>
          <w:szCs w:val="11"/>
          <w:color w:val="auto"/>
        </w:rPr>
        <w:t>– In September 2018, the Company and UT also entered into a Research Agreement for the conduct of research and consulting services in connection with multiple potential products,</w:t>
      </w:r>
      <w:r>
        <w:rPr>
          <w:rFonts w:ascii="Arial" w:cs="Arial" w:eastAsia="Arial" w:hAnsi="Arial"/>
          <w:sz w:val="11"/>
          <w:szCs w:val="11"/>
          <w:i w:val="1"/>
          <w:iCs w:val="1"/>
          <w:color w:val="auto"/>
        </w:rPr>
        <w:t xml:space="preserve"> </w:t>
      </w:r>
      <w:r>
        <w:rPr>
          <w:rFonts w:ascii="Arial" w:cs="Arial" w:eastAsia="Arial" w:hAnsi="Arial"/>
          <w:sz w:val="11"/>
          <w:szCs w:val="11"/>
          <w:color w:val="auto"/>
        </w:rPr>
        <w:t>including evaluating the feasibility of preparing a dry powder formulation of a compound for the treatment of pulmonary hypertension outside the scope of the UT License Agreement. In addition, UT, at its option, may obtain a license to develop, manufacture and commercialize products based on specified compounds within the drug classes covered by the Research Agreement. Each specified compound advanced into development and commercialization under such a license would be subject to the payment to the Company of additional milestone payments of up to $30.0 million and a low double-digit royalty on net sales of such products. The Company received an upfront payment of $10.0 million, which it will recognize as revenue as the performance obligations under the Research Agreement are satisfied. During the year ended December 31, 2018, the Company recognized $3.8 million as revenue - collaborations and services; the $10.0 million payment received was deferred with $6.0 million as deferred payments from collaborations – current and $0.2 million as deferred payment from collaboration – long term.</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 has evaluated the agreement in accordance with the new revenue recognition requirements that became effective for the Company on January 1, 2018:</w:t>
      </w:r>
    </w:p>
    <w:p>
      <w:pPr>
        <w:spacing w:after="0" w:line="150" w:lineRule="exact"/>
        <w:rPr>
          <w:sz w:val="20"/>
          <w:szCs w:val="20"/>
          <w:color w:val="auto"/>
        </w:rPr>
      </w:pPr>
    </w:p>
    <w:p>
      <w:pPr>
        <w:ind w:right="80" w:firstLine="449"/>
        <w:spacing w:after="0" w:line="259" w:lineRule="auto"/>
        <w:rPr>
          <w:sz w:val="20"/>
          <w:szCs w:val="20"/>
          <w:color w:val="auto"/>
        </w:rPr>
      </w:pPr>
      <w:r>
        <w:rPr>
          <w:rFonts w:ascii="Arial" w:cs="Arial" w:eastAsia="Arial" w:hAnsi="Arial"/>
          <w:sz w:val="12"/>
          <w:szCs w:val="12"/>
          <w:color w:val="auto"/>
        </w:rPr>
        <w:t>At the inception of the agreement, the Company identified two distinct performance obligations. The Company determined that the key deliverables of each performance obligation include (i) the development of a product prototype (including a technical feasibility report); (ii) engineering consulting services. Due to the separately identifiable nature of these obligations, the Company has determined that these deliverables represent two distinct performance obligations. The Company also determined that UT’s option to expand the scope to include specific drug classes covered by the agreement is not a material right, and thus, not a performance obligation at the onset of the agreement. The consideration for the option will be accounted for if and when they are exercised.</w:t>
      </w:r>
    </w:p>
    <w:p>
      <w:pPr>
        <w:spacing w:after="0" w:line="125" w:lineRule="exact"/>
        <w:rPr>
          <w:sz w:val="20"/>
          <w:szCs w:val="20"/>
          <w:color w:val="auto"/>
        </w:rPr>
      </w:pPr>
    </w:p>
    <w:p>
      <w:pPr>
        <w:ind w:firstLine="449"/>
        <w:spacing w:after="0" w:line="286" w:lineRule="auto"/>
        <w:rPr>
          <w:sz w:val="20"/>
          <w:szCs w:val="20"/>
          <w:color w:val="auto"/>
        </w:rPr>
      </w:pPr>
      <w:r>
        <w:rPr>
          <w:rFonts w:ascii="Arial" w:cs="Arial" w:eastAsia="Arial" w:hAnsi="Arial"/>
          <w:sz w:val="11"/>
          <w:szCs w:val="11"/>
          <w:color w:val="auto"/>
        </w:rPr>
        <w:t>The Company determined a total transaction price of $10.0 million which includes an upfront, one-time non-refundable payment. 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is recognized using a proportional performance method (based on an estimated percentage of the Company’s efforts required in relation toward overall satisfaction of the obligation). The Company believes that this method best reflects the measure of progress toward complete satisfaction of the performance obligation. The revenue for the engineering consulting services is recognized using a ratable method until the obligation is satisfied and the Company believes that this method best reflects the measure of progress toward complete satisfaction of the performance obligation.</w:t>
      </w:r>
    </w:p>
    <w:p>
      <w:pPr>
        <w:spacing w:after="0" w:line="111" w:lineRule="exact"/>
        <w:rPr>
          <w:sz w:val="20"/>
          <w:szCs w:val="20"/>
          <w:color w:val="auto"/>
        </w:rPr>
      </w:pPr>
    </w:p>
    <w:p>
      <w:pPr>
        <w:ind w:right="60" w:firstLine="449"/>
        <w:spacing w:after="0" w:line="263" w:lineRule="auto"/>
        <w:rPr>
          <w:sz w:val="20"/>
          <w:szCs w:val="20"/>
          <w:color w:val="auto"/>
        </w:rPr>
      </w:pPr>
      <w:r>
        <w:rPr>
          <w:rFonts w:ascii="Arial" w:cs="Arial" w:eastAsia="Arial" w:hAnsi="Arial"/>
          <w:sz w:val="12"/>
          <w:szCs w:val="12"/>
          <w:i w:val="1"/>
          <w:iCs w:val="1"/>
          <w:color w:val="auto"/>
        </w:rPr>
        <w:t xml:space="preserve">Receptor Collaboration and License Agreement </w:t>
      </w:r>
      <w:r>
        <w:rPr>
          <w:rFonts w:ascii="Arial" w:cs="Arial" w:eastAsia="Arial" w:hAnsi="Arial"/>
          <w:sz w:val="12"/>
          <w:szCs w:val="12"/>
          <w:color w:val="auto"/>
        </w:rPr>
        <w:t>— In 2016, the Company entered into a Collaboration and License Agreement (the “CLA”) with Receptor pursuant to which the Company performed initial formulation studies on</w:t>
      </w:r>
      <w:r>
        <w:rPr>
          <w:rFonts w:ascii="Arial" w:cs="Arial" w:eastAsia="Arial" w:hAnsi="Arial"/>
          <w:sz w:val="12"/>
          <w:szCs w:val="12"/>
          <w:i w:val="1"/>
          <w:iCs w:val="1"/>
          <w:color w:val="auto"/>
        </w:rPr>
        <w:t xml:space="preserve"> </w:t>
      </w:r>
      <w:r>
        <w:rPr>
          <w:rFonts w:ascii="Arial" w:cs="Arial" w:eastAsia="Arial" w:hAnsi="Arial"/>
          <w:sz w:val="12"/>
          <w:szCs w:val="12"/>
          <w:color w:val="auto"/>
        </w:rPr>
        <w:t>compounds identified by Receptor and Receptor obtained the option to acquire an exclusive license to develop, manufacture and commercialize certain products that use the Company’s technology to deliver the compounds via oral inhalation.</w:t>
      </w:r>
    </w:p>
    <w:p>
      <w:pPr>
        <w:spacing w:after="0" w:line="123" w:lineRule="exact"/>
        <w:rPr>
          <w:sz w:val="20"/>
          <w:szCs w:val="20"/>
          <w:color w:val="auto"/>
        </w:rPr>
      </w:pPr>
    </w:p>
    <w:p>
      <w:pPr>
        <w:ind w:right="200" w:firstLine="488"/>
        <w:spacing w:after="0" w:line="323" w:lineRule="auto"/>
        <w:rPr>
          <w:sz w:val="20"/>
          <w:szCs w:val="20"/>
          <w:color w:val="auto"/>
        </w:rPr>
      </w:pPr>
      <w:r>
        <w:rPr>
          <w:rFonts w:ascii="Arial" w:cs="Arial" w:eastAsia="Arial" w:hAnsi="Arial"/>
          <w:sz w:val="11"/>
          <w:szCs w:val="11"/>
          <w:color w:val="auto"/>
        </w:rPr>
        <w:t>On December 30, 2016 Receptor exercised its option and paid the Company a $1.0 million nonrefundable option exercise and license fee. Under the Receptor License, the Company may also receive nonrefundable milestone payments upon the completion of certain technology transfer activities and the achievement of specified sales targets as well as royalties upon Receptor’s and its sublicensees’ sale of products.</w:t>
      </w:r>
    </w:p>
    <w:p>
      <w:pPr>
        <w:spacing w:after="0" w:line="92" w:lineRule="exact"/>
        <w:rPr>
          <w:sz w:val="20"/>
          <w:szCs w:val="20"/>
          <w:color w:val="auto"/>
        </w:rPr>
      </w:pPr>
    </w:p>
    <w:p>
      <w:pPr>
        <w:ind w:right="220" w:firstLine="488"/>
        <w:spacing w:after="0" w:line="263" w:lineRule="auto"/>
        <w:rPr>
          <w:sz w:val="20"/>
          <w:szCs w:val="20"/>
          <w:color w:val="auto"/>
        </w:rPr>
      </w:pPr>
      <w:r>
        <w:rPr>
          <w:rFonts w:ascii="Arial" w:cs="Arial" w:eastAsia="Arial" w:hAnsi="Arial"/>
          <w:sz w:val="12"/>
          <w:szCs w:val="12"/>
          <w:color w:val="auto"/>
        </w:rPr>
        <w:t>The $1.0 million license fee received in 2016 was recorded in deferred revenue from collaboration as of December 31, 2016 and is being recognized in net revenue — collaborations over four years, the estimated period over which the Company was required to satisfy the remaining performance obligations. The remaining performance obligations are to provide certain technology transfer activities and to maintain certain patents. Deferred payments from collaboration related to this contract was $0.5 million at December 31, 2018 of which $0.3 million was recorded in current liabilities.</w:t>
      </w:r>
    </w:p>
    <w:p>
      <w:pPr>
        <w:spacing w:after="0" w:line="123"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Therefore, the receipt of such payments is highly susceptible to factors outside of the Company’s influence, the uncertainty regarding the receipt of these payments is not expected to be resolved for years, and the Company has limited experience with similar contracts. There was no change to the accounting for this contract as a result of the initial application of the new revenue guidance. See Note 1 – Description of Business and Summary of Significant Accounting Policies for additional information on the Company’s revenue recognition accounting policy.</w:t>
      </w:r>
    </w:p>
    <w:p>
      <w:pPr>
        <w:spacing w:after="0" w:line="125" w:lineRule="exact"/>
        <w:rPr>
          <w:sz w:val="20"/>
          <w:szCs w:val="20"/>
          <w:color w:val="auto"/>
        </w:rPr>
      </w:pPr>
    </w:p>
    <w:p>
      <w:pPr>
        <w:ind w:right="300" w:firstLine="488"/>
        <w:spacing w:after="0" w:line="276" w:lineRule="auto"/>
        <w:rPr>
          <w:sz w:val="20"/>
          <w:szCs w:val="20"/>
          <w:color w:val="auto"/>
        </w:rPr>
      </w:pPr>
      <w:r>
        <w:rPr>
          <w:rFonts w:ascii="Arial" w:cs="Arial" w:eastAsia="Arial" w:hAnsi="Arial"/>
          <w:sz w:val="12"/>
          <w:szCs w:val="12"/>
          <w:color w:val="auto"/>
        </w:rPr>
        <w:t xml:space="preserve">In 2017, the Company entered into a manufacturing and supply agreement with Receptor pursuant to which the Company will provide certain raw materials to Receptor and agreed to provide certain additional research and formulation consulting services to Receptor. For the year ended December 31, 2018 and 2017 the additional research and formulation services provided to Receptor were </w:t>
      </w:r>
      <w:r>
        <w:rPr>
          <w:rFonts w:ascii="Arial" w:cs="Arial" w:eastAsia="Arial" w:hAnsi="Arial"/>
          <w:sz w:val="12"/>
          <w:szCs w:val="12"/>
          <w:i w:val="1"/>
          <w:iCs w:val="1"/>
          <w:color w:val="auto"/>
        </w:rPr>
        <w:t>de minimis</w:t>
      </w:r>
      <w:r>
        <w:rPr>
          <w:rFonts w:ascii="Arial" w:cs="Arial" w:eastAsia="Arial" w:hAnsi="Arial"/>
          <w:sz w:val="12"/>
          <w:szCs w:val="12"/>
          <w:color w:val="auto"/>
        </w:rPr>
        <w:t>.</w:t>
      </w:r>
    </w:p>
    <w:p>
      <w:pPr>
        <w:spacing w:after="0" w:line="115" w:lineRule="exact"/>
        <w:rPr>
          <w:sz w:val="20"/>
          <w:szCs w:val="20"/>
          <w:color w:val="auto"/>
        </w:rPr>
      </w:pPr>
    </w:p>
    <w:p>
      <w:pPr>
        <w:ind w:right="240" w:firstLine="488"/>
        <w:spacing w:after="0" w:line="269" w:lineRule="auto"/>
        <w:rPr>
          <w:sz w:val="20"/>
          <w:szCs w:val="20"/>
          <w:color w:val="auto"/>
        </w:rPr>
      </w:pPr>
      <w:r>
        <w:rPr>
          <w:rFonts w:ascii="Arial" w:cs="Arial" w:eastAsia="Arial" w:hAnsi="Arial"/>
          <w:sz w:val="12"/>
          <w:szCs w:val="12"/>
          <w:i w:val="1"/>
          <w:iCs w:val="1"/>
          <w:color w:val="auto"/>
        </w:rPr>
        <w:t xml:space="preserve">Cipla Distribution Agreement </w:t>
      </w:r>
      <w:r>
        <w:rPr>
          <w:rFonts w:ascii="Arial" w:cs="Arial" w:eastAsia="Arial" w:hAnsi="Arial"/>
          <w:sz w:val="12"/>
          <w:szCs w:val="12"/>
          <w:color w:val="auto"/>
        </w:rPr>
        <w:t>— In May 2018, the Company and Cipla Ltd. (“Cipla”) entered into an exclusive agreement for the marketing and distribution of Afrezza in India and the Company received a $2.2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certain additional regulatory milestone payments, minimum purchase commitment revenue and royalties on Afrezza sales in India once cumulative gross sales have reached a specified threshold.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19" w:right="239" w:bottom="1440" w:gutter="0" w:footer="0" w:header="0"/>
        </w:sectPr>
      </w:pPr>
    </w:p>
    <w:bookmarkStart w:id="90" w:name="page91"/>
    <w:bookmarkEnd w:id="90"/>
    <w:p>
      <w:pPr>
        <w:jc w:val="both"/>
        <w:ind w:right="240" w:firstLine="488"/>
        <w:spacing w:after="0" w:line="298" w:lineRule="auto"/>
        <w:rPr>
          <w:sz w:val="20"/>
          <w:szCs w:val="20"/>
          <w:color w:val="auto"/>
        </w:rPr>
      </w:pPr>
      <w:r>
        <w:rPr>
          <w:rFonts w:ascii="Arial" w:cs="Arial" w:eastAsia="Arial" w:hAnsi="Arial"/>
          <w:sz w:val="11"/>
          <w:szCs w:val="11"/>
          <w:color w:val="auto"/>
        </w:rPr>
        <w:t>The nonrefundable licensing fee was recorded in deferred revenue and is being recognized in net revenue – collaborations over 15 years, representing the estimated period to satisfy the performance obligation. The additional potential milestone payments represent variable consideration for which the Company has not recognized any revenue because of the uncertainly of obtaining market approval. The Company also recognized $0.2 million as income tax expense for a payment made to the India tax authority. Deferred payments from collaboration related to this contract was $2.1 million at December 31, 2018 of which $0.1 million was recorded in current liabilities.</w:t>
      </w:r>
    </w:p>
    <w:p>
      <w:pPr>
        <w:spacing w:after="0" w:line="105" w:lineRule="exact"/>
        <w:rPr>
          <w:sz w:val="20"/>
          <w:szCs w:val="20"/>
          <w:color w:val="auto"/>
        </w:rPr>
      </w:pPr>
    </w:p>
    <w:p>
      <w:pPr>
        <w:ind w:right="100" w:firstLine="488"/>
        <w:spacing w:after="0" w:line="259" w:lineRule="auto"/>
        <w:rPr>
          <w:sz w:val="20"/>
          <w:szCs w:val="20"/>
          <w:color w:val="auto"/>
        </w:rPr>
      </w:pPr>
      <w:r>
        <w:rPr>
          <w:rFonts w:ascii="Arial" w:cs="Arial" w:eastAsia="Arial" w:hAnsi="Arial"/>
          <w:sz w:val="12"/>
          <w:szCs w:val="12"/>
          <w:i w:val="1"/>
          <w:iCs w:val="1"/>
          <w:color w:val="auto"/>
        </w:rPr>
        <w:t xml:space="preserve">Biomm Supply and Distribution Agreement </w:t>
      </w:r>
      <w:r>
        <w:rPr>
          <w:rFonts w:ascii="Arial" w:cs="Arial" w:eastAsia="Arial" w:hAnsi="Arial"/>
          <w:sz w:val="12"/>
          <w:szCs w:val="12"/>
          <w:color w:val="auto"/>
        </w:rPr>
        <w:t>– In May 2017, the Company and Biomm S.A. entered into a supply and distribution agreement for the commercialization of Afrezza in Brazil. Under this agreement, Biomm is</w:t>
      </w:r>
      <w:r>
        <w:rPr>
          <w:rFonts w:ascii="Arial" w:cs="Arial" w:eastAsia="Arial" w:hAnsi="Arial"/>
          <w:sz w:val="12"/>
          <w:szCs w:val="12"/>
          <w:i w:val="1"/>
          <w:iCs w:val="1"/>
          <w:color w:val="auto"/>
        </w:rPr>
        <w:t xml:space="preserve"> </w:t>
      </w:r>
      <w:r>
        <w:rPr>
          <w:rFonts w:ascii="Arial" w:cs="Arial" w:eastAsia="Arial" w:hAnsi="Arial"/>
          <w:sz w:val="12"/>
          <w:szCs w:val="12"/>
          <w:color w:val="auto"/>
        </w:rPr>
        <w:t>responsible for preparing and filing the necessary applications for regulatory approval of Afrezza in Brazil, including from the Agência Nacional de Vigilância Sanitária and, with respect to pricing matters, from the Camara de Regulação de Mercado de Medicamentos. Upon satisfactory approval from these regulatory bodies, the parties will finalize the economic terms of the collaboration; thereafter, the Company will manufacture and supply Afrezza to Biomm, and Biomm will be responsible for promoting and distributing Afrezza within Brazil.</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assessed the adoption of the new revenue guidance (Topic 606) compared to Topic 605 for all collaborations and services revenue as listed above and determined the impact to be de minimis.</w:t>
      </w:r>
    </w:p>
    <w:p>
      <w:pPr>
        <w:spacing w:after="0" w:line="168" w:lineRule="exact"/>
        <w:rPr>
          <w:sz w:val="20"/>
          <w:szCs w:val="20"/>
          <w:color w:val="auto"/>
        </w:rPr>
      </w:pPr>
    </w:p>
    <w:p>
      <w:pPr>
        <w:ind w:right="80" w:firstLine="488"/>
        <w:spacing w:after="0" w:line="279" w:lineRule="auto"/>
        <w:rPr>
          <w:sz w:val="20"/>
          <w:szCs w:val="20"/>
          <w:color w:val="auto"/>
        </w:rPr>
      </w:pPr>
      <w:r>
        <w:rPr>
          <w:rFonts w:ascii="Arial" w:cs="Arial" w:eastAsia="Arial" w:hAnsi="Arial"/>
          <w:sz w:val="12"/>
          <w:szCs w:val="12"/>
          <w:color w:val="auto"/>
        </w:rPr>
        <w:t>In 2016, the Company entered into a settlement agreement with Sanofi. The settlement was accounted for in 2016, except for a $30.6 million cash payment received under an insulin put option agreement which reduced the receivable from Sanofi in the first quarter of 2017. The amount of revenue recognized was the upfront payment of $150.0 million and two milestone payments of $25.0 million each, offset by $64.9 million of net loss share with Sanofi, as well as $17.5 million in sales of Afrezza and $19.4 million in sales of bulk insulin, both to Sanofi.</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Sale of Intellectual Property</w:t>
      </w:r>
    </w:p>
    <w:p>
      <w:pPr>
        <w:spacing w:after="0" w:line="82" w:lineRule="exact"/>
        <w:rPr>
          <w:sz w:val="20"/>
          <w:szCs w:val="20"/>
          <w:color w:val="auto"/>
        </w:rPr>
      </w:pPr>
    </w:p>
    <w:p>
      <w:pPr>
        <w:ind w:right="20" w:firstLine="488"/>
        <w:spacing w:after="0" w:line="255" w:lineRule="auto"/>
        <w:rPr>
          <w:sz w:val="20"/>
          <w:szCs w:val="20"/>
          <w:color w:val="auto"/>
        </w:rPr>
      </w:pPr>
      <w:r>
        <w:rPr>
          <w:rFonts w:ascii="Arial" w:cs="Arial" w:eastAsia="Arial" w:hAnsi="Arial"/>
          <w:sz w:val="12"/>
          <w:szCs w:val="12"/>
          <w:color w:val="auto"/>
        </w:rPr>
        <w:t>In April, 2017 the Company entered into an agreement to sell certain oncology assets and patents to Fosun. Fosun paid the Company a one-time nonrefundable payment of $0.6 million net of taxes in June 2017 and is required to pay royalties on net sales of products by Fosun and its affiliates and other consideration based on revenues from any licensees. The Company accounted for the transaction as a sale of assets. The Company recorded the $0.6 million in payments received in revenue – other during the second quarter of 2017 as the Company had performed substantially all of its obligations as of June 30, 2017. The royalties and other consideration referred to above represent variable consideration for which the Company has not recognized any revenue because it is uncertain whether and in what period Fosun will be able to sublicense this technology or have the ability to develop, manufacture or sell product utilizing this technology. Therefore receipt of such payments is highly susceptible to factors outside the Company’s influence, the uncertainty regarding the receipt of these payments is not expected to be resolved for years, and the Company has limited experience with similar contracts.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Fair Value of Financial Instruments</w:t>
      </w:r>
    </w:p>
    <w:p>
      <w:pPr>
        <w:spacing w:after="0" w:line="82"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53" w:lineRule="exact"/>
        <w:rPr>
          <w:sz w:val="20"/>
          <w:szCs w:val="20"/>
          <w:color w:val="auto"/>
        </w:rPr>
      </w:pPr>
    </w:p>
    <w:p>
      <w:pPr>
        <w:ind w:right="20" w:firstLine="488"/>
        <w:spacing w:after="0" w:line="263" w:lineRule="auto"/>
        <w:rPr>
          <w:sz w:val="20"/>
          <w:szCs w:val="20"/>
          <w:color w:val="auto"/>
        </w:rPr>
      </w:pPr>
      <w:r>
        <w:rPr>
          <w:rFonts w:ascii="Arial" w:cs="Arial" w:eastAsia="Arial" w:hAnsi="Arial"/>
          <w:sz w:val="12"/>
          <w:szCs w:val="12"/>
          <w:color w:val="auto"/>
        </w:rPr>
        <w:t>The carrying amounts reported in the accompanying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note payable to principal stockholder (also referred to as The Mann Group Loan Arrangement), senior convertible notes, the Facility Financing Obligation, the milestone rights liability and the warrant liability are disclosed below.</w:t>
      </w:r>
    </w:p>
    <w:p>
      <w:pPr>
        <w:spacing w:after="0" w:line="123"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i w:val="1"/>
          <w:iCs w:val="1"/>
          <w:color w:val="auto"/>
        </w:rPr>
        <w:t>Cash Equivalents and Restricted Cash</w:t>
      </w:r>
      <w:r>
        <w:rPr>
          <w:rFonts w:ascii="Arial" w:cs="Arial" w:eastAsia="Arial" w:hAnsi="Arial"/>
          <w:sz w:val="12"/>
          <w:szCs w:val="12"/>
          <w:color w:val="auto"/>
        </w:rPr>
        <w:t>— Cash equivalents and restricted cash consist of highly liquid investments with original or remaining maturities of 90 days or less at the time of purchase that are readily convertible into</w:t>
      </w:r>
      <w:r>
        <w:rPr>
          <w:rFonts w:ascii="Arial" w:cs="Arial" w:eastAsia="Arial" w:hAnsi="Arial"/>
          <w:sz w:val="12"/>
          <w:szCs w:val="12"/>
          <w:i w:val="1"/>
          <w:iCs w:val="1"/>
          <w:color w:val="auto"/>
        </w:rPr>
        <w:t xml:space="preserve"> </w:t>
      </w:r>
      <w:r>
        <w:rPr>
          <w:rFonts w:ascii="Arial" w:cs="Arial" w:eastAsia="Arial" w:hAnsi="Arial"/>
          <w:sz w:val="12"/>
          <w:szCs w:val="12"/>
          <w:color w:val="auto"/>
        </w:rPr>
        <w:t>cash. As of December 31, 2018 and December 31, 2017, the Company held $71.7 million and $48.4 million, respectively, of cash equivalents. For the year ended December 31, 2018, restricted cash was held in an escrow account as well as used to collateralize a letter of credit. The Company held $0.5 million and $4.4 million in restricted cash as of December 31, 2018 and December 31, 2017, respectively. Both are comprised of money market funds. The fair value of these money market funds was determined by using quoted prices for identical investments in an active market (Level 1 in the fair value hierarchy).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91" w:name="page92"/>
    <w:bookmarkEnd w:id="91"/>
    <w:p>
      <w:pPr>
        <w:ind w:right="200" w:firstLine="488"/>
        <w:spacing w:after="0" w:line="257" w:lineRule="auto"/>
        <w:rPr>
          <w:sz w:val="20"/>
          <w:szCs w:val="20"/>
          <w:color w:val="auto"/>
        </w:rPr>
      </w:pPr>
      <w:r>
        <w:rPr>
          <w:rFonts w:ascii="Arial" w:cs="Arial" w:eastAsia="Arial" w:hAnsi="Arial"/>
          <w:sz w:val="12"/>
          <w:szCs w:val="12"/>
          <w:i w:val="1"/>
          <w:iCs w:val="1"/>
          <w:color w:val="auto"/>
        </w:rPr>
        <w:t xml:space="preserve">Note Payable to Related Party — </w:t>
      </w:r>
      <w:r>
        <w:rPr>
          <w:rFonts w:ascii="Arial" w:cs="Arial" w:eastAsia="Arial" w:hAnsi="Arial"/>
          <w:sz w:val="12"/>
          <w:szCs w:val="12"/>
          <w:color w:val="auto"/>
        </w:rPr>
        <w:t>As of December 31, 2017, prior to the adoption of ASC 2016-01, the fair value of the note payable to related party could not be reasonably estimated as the Company was not able to obtain a</w:t>
      </w:r>
      <w:r>
        <w:rPr>
          <w:rFonts w:ascii="Arial" w:cs="Arial" w:eastAsia="Arial" w:hAnsi="Arial"/>
          <w:sz w:val="12"/>
          <w:szCs w:val="12"/>
          <w:i w:val="1"/>
          <w:iCs w:val="1"/>
          <w:color w:val="auto"/>
        </w:rPr>
        <w:t xml:space="preserve"> </w:t>
      </w:r>
      <w:r>
        <w:rPr>
          <w:rFonts w:ascii="Arial" w:cs="Arial" w:eastAsia="Arial" w:hAnsi="Arial"/>
          <w:sz w:val="12"/>
          <w:szCs w:val="12"/>
          <w:color w:val="auto"/>
        </w:rPr>
        <w:t>similar credit arrangement in the current economic environment. Therefore the fair value is based upon carrying value as of December 31, 2017. The fair value measurement of the note payable as of December 31, 2018 is based on discounted cash flow model and it is sensitive to the change in yield. If the yield changes by approximately 2%, the fair value of the note payable with the conversion feature would change approximately 3.8%. Similarly, if the yield changes by approximately 6%, the fair value of the note payable with the conversion feature would change approximately 11.1%. If the yield changes by approximately 8%, the fair value of the note payable with the conversion feature would change approximately 15.0%.</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2"/>
          <w:szCs w:val="12"/>
          <w:i w:val="1"/>
          <w:iCs w:val="1"/>
          <w:color w:val="auto"/>
        </w:rPr>
        <w:t xml:space="preserve">Financial Liabilities </w:t>
      </w:r>
      <w:r>
        <w:rPr>
          <w:rFonts w:ascii="Arial" w:cs="Arial" w:eastAsia="Arial" w:hAnsi="Arial"/>
          <w:sz w:val="12"/>
          <w:szCs w:val="12"/>
          <w:color w:val="auto"/>
        </w:rPr>
        <w:t>— The following tables set forth the fair value of the Company’s financial instruments as of December 31, 2018 and 2017 (in millions):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86"/>
              </w:rPr>
              <w:t>As of December 31, 2018</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Borders>
              <w:bottom w:val="single" w:sz="8" w:color="auto"/>
            </w:tcBorders>
            <w:gridSpan w:val="3"/>
          </w:tcPr>
          <w:p>
            <w:pPr>
              <w:jc w:val="right"/>
              <w:ind w:right="120"/>
              <w:spacing w:after="0" w:line="97" w:lineRule="exact"/>
              <w:rPr>
                <w:sz w:val="20"/>
                <w:szCs w:val="20"/>
                <w:color w:val="auto"/>
              </w:rPr>
            </w:pPr>
            <w:r>
              <w:rPr>
                <w:rFonts w:ascii="Arial" w:cs="Arial" w:eastAsia="Arial" w:hAnsi="Arial"/>
                <w:sz w:val="10"/>
                <w:szCs w:val="10"/>
                <w:b w:val="1"/>
                <w:bCs w:val="1"/>
                <w:color w:val="auto"/>
              </w:rPr>
              <w:t>Fair Value</w:t>
            </w: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jc w:val="center"/>
              <w:ind w:right="27"/>
              <w:spacing w:after="0" w:line="83" w:lineRule="exact"/>
              <w:rPr>
                <w:sz w:val="20"/>
                <w:szCs w:val="20"/>
                <w:color w:val="auto"/>
              </w:rPr>
            </w:pPr>
            <w:r>
              <w:rPr>
                <w:rFonts w:ascii="Arial" w:cs="Arial" w:eastAsia="Arial" w:hAnsi="Arial"/>
                <w:sz w:val="8"/>
                <w:szCs w:val="8"/>
                <w:b w:val="1"/>
                <w:bCs w:val="1"/>
                <w:color w:val="auto"/>
              </w:rPr>
              <w:t>Significant</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jc w:val="center"/>
              <w:ind w:right="27"/>
              <w:spacing w:after="0" w:line="99" w:lineRule="exact"/>
              <w:rPr>
                <w:sz w:val="20"/>
                <w:szCs w:val="20"/>
                <w:color w:val="auto"/>
              </w:rPr>
            </w:pPr>
            <w:r>
              <w:rPr>
                <w:rFonts w:ascii="Arial" w:cs="Arial" w:eastAsia="Arial" w:hAnsi="Arial"/>
                <w:sz w:val="10"/>
                <w:szCs w:val="10"/>
                <w:b w:val="1"/>
                <w:bCs w:val="1"/>
                <w:color w:val="auto"/>
                <w:w w:val="84"/>
              </w:rPr>
              <w:t>Unobservable</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Carrying Amount</w:t>
            </w: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center"/>
              <w:ind w:right="27"/>
              <w:spacing w:after="0" w:line="114" w:lineRule="exact"/>
              <w:rPr>
                <w:sz w:val="20"/>
                <w:szCs w:val="20"/>
                <w:color w:val="auto"/>
              </w:rPr>
            </w:pPr>
            <w:r>
              <w:rPr>
                <w:rFonts w:ascii="Arial" w:cs="Arial" w:eastAsia="Arial" w:hAnsi="Arial"/>
                <w:sz w:val="10"/>
                <w:szCs w:val="10"/>
                <w:b w:val="1"/>
                <w:bCs w:val="1"/>
                <w:color w:val="auto"/>
                <w:w w:val="87"/>
              </w:rPr>
              <w:t>Inputs (Level 3)</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Total Fair Value</w:t>
            </w:r>
          </w:p>
        </w:tc>
        <w:tc>
          <w:tcPr>
            <w:tcW w:w="0" w:type="dxa"/>
            <w:vAlign w:val="bottom"/>
          </w:tcPr>
          <w:p>
            <w:pPr>
              <w:spacing w:after="0"/>
              <w:rPr>
                <w:sz w:val="1"/>
                <w:szCs w:val="1"/>
                <w:color w:val="auto"/>
              </w:rPr>
            </w:pPr>
          </w:p>
        </w:tc>
      </w:tr>
      <w:tr>
        <w:trPr>
          <w:trHeight w:val="142"/>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Financial liabilities:</w:t>
            </w:r>
          </w:p>
        </w:tc>
        <w:tc>
          <w:tcPr>
            <w:tcW w:w="13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right w:val="single" w:sz="8" w:color="CFF0FC"/>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60"/>
              <w:spacing w:after="0"/>
              <w:rPr>
                <w:sz w:val="20"/>
                <w:szCs w:val="20"/>
                <w:color w:val="auto"/>
              </w:rPr>
            </w:pPr>
            <w:r>
              <w:rPr>
                <w:rFonts w:ascii="Arial" w:cs="Arial" w:eastAsia="Arial" w:hAnsi="Arial"/>
                <w:sz w:val="12"/>
                <w:szCs w:val="12"/>
                <w:color w:val="auto"/>
              </w:rPr>
              <w:t>Senior convertible notes (2021 notes)</w:t>
            </w:r>
          </w:p>
        </w:tc>
        <w:tc>
          <w:tcPr>
            <w:tcW w:w="2400" w:type="dxa"/>
            <w:vAlign w:val="bottom"/>
            <w:gridSpan w:val="2"/>
          </w:tcPr>
          <w:p>
            <w:pPr>
              <w:jc w:val="right"/>
              <w:ind w:right="971"/>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19.1</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17.5</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Facility Financing Obligation</w:t>
            </w:r>
          </w:p>
        </w:tc>
        <w:tc>
          <w:tcPr>
            <w:tcW w:w="1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w:t>
            </w:r>
          </w:p>
        </w:tc>
        <w:tc>
          <w:tcPr>
            <w:tcW w:w="300" w:type="dxa"/>
            <w:vAlign w:val="bottom"/>
            <w:tcBorders>
              <w:right w:val="single" w:sz="8" w:color="CFF0FC"/>
            </w:tcBorders>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60"/>
              <w:spacing w:after="0"/>
              <w:rPr>
                <w:sz w:val="20"/>
                <w:szCs w:val="20"/>
                <w:color w:val="auto"/>
              </w:rPr>
            </w:pPr>
            <w:r>
              <w:rPr>
                <w:rFonts w:ascii="Arial" w:cs="Arial" w:eastAsia="Arial" w:hAnsi="Arial"/>
                <w:sz w:val="12"/>
                <w:szCs w:val="12"/>
                <w:color w:val="auto"/>
              </w:rPr>
              <w:t>Note payable to related party</w:t>
            </w:r>
          </w:p>
        </w:tc>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72.1</w:t>
            </w:r>
          </w:p>
        </w:tc>
        <w:tc>
          <w:tcPr>
            <w:tcW w:w="3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55.0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Milestone rights</w:t>
            </w:r>
          </w:p>
        </w:tc>
        <w:tc>
          <w:tcPr>
            <w:tcW w:w="132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8.9</w:t>
            </w:r>
          </w:p>
        </w:tc>
        <w:tc>
          <w:tcPr>
            <w:tcW w:w="300" w:type="dxa"/>
            <w:vAlign w:val="bottom"/>
            <w:tcBorders>
              <w:right w:val="single" w:sz="8" w:color="CFF0FC"/>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18.1</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320"/>
              <w:spacing w:after="0"/>
              <w:rPr>
                <w:sz w:val="20"/>
                <w:szCs w:val="20"/>
                <w:color w:val="auto"/>
              </w:rPr>
            </w:pPr>
            <w:r>
              <w:rPr>
                <w:rFonts w:ascii="Arial" w:cs="Arial" w:eastAsia="Arial" w:hAnsi="Arial"/>
                <w:sz w:val="12"/>
                <w:szCs w:val="12"/>
                <w:color w:val="auto"/>
              </w:rPr>
              <w:t>Total financial liabilities</w:t>
            </w:r>
          </w:p>
        </w:tc>
        <w:tc>
          <w:tcPr>
            <w:tcW w:w="2400" w:type="dxa"/>
            <w:vAlign w:val="bottom"/>
            <w:gridSpan w:val="2"/>
          </w:tcPr>
          <w:p>
            <w:pPr>
              <w:jc w:val="right"/>
              <w:ind w:right="971"/>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3"/>
              </w:rPr>
              <w:t>111.4</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102.0</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86"/>
              </w:rPr>
              <w:t>As of December 31, 2017</w:t>
            </w:r>
          </w:p>
        </w:tc>
        <w:tc>
          <w:tcPr>
            <w:tcW w:w="24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Borders>
              <w:bottom w:val="single" w:sz="8" w:color="auto"/>
            </w:tcBorders>
            <w:gridSpan w:val="3"/>
          </w:tcPr>
          <w:p>
            <w:pPr>
              <w:jc w:val="right"/>
              <w:ind w:right="120"/>
              <w:spacing w:after="0" w:line="97" w:lineRule="exact"/>
              <w:rPr>
                <w:sz w:val="20"/>
                <w:szCs w:val="20"/>
                <w:color w:val="auto"/>
              </w:rPr>
            </w:pPr>
            <w:r>
              <w:rPr>
                <w:rFonts w:ascii="Arial" w:cs="Arial" w:eastAsia="Arial" w:hAnsi="Arial"/>
                <w:sz w:val="10"/>
                <w:szCs w:val="10"/>
                <w:b w:val="1"/>
                <w:bCs w:val="1"/>
                <w:color w:val="auto"/>
              </w:rPr>
              <w:t>Fair Value</w:t>
            </w: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jc w:val="center"/>
              <w:ind w:right="27"/>
              <w:spacing w:after="0" w:line="83" w:lineRule="exact"/>
              <w:rPr>
                <w:sz w:val="20"/>
                <w:szCs w:val="20"/>
                <w:color w:val="auto"/>
              </w:rPr>
            </w:pPr>
            <w:r>
              <w:rPr>
                <w:rFonts w:ascii="Arial" w:cs="Arial" w:eastAsia="Arial" w:hAnsi="Arial"/>
                <w:sz w:val="8"/>
                <w:szCs w:val="8"/>
                <w:b w:val="1"/>
                <w:bCs w:val="1"/>
                <w:color w:val="auto"/>
              </w:rPr>
              <w:t>Significant</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jc w:val="center"/>
              <w:ind w:right="27"/>
              <w:spacing w:after="0" w:line="99" w:lineRule="exact"/>
              <w:rPr>
                <w:sz w:val="20"/>
                <w:szCs w:val="20"/>
                <w:color w:val="auto"/>
              </w:rPr>
            </w:pPr>
            <w:r>
              <w:rPr>
                <w:rFonts w:ascii="Arial" w:cs="Arial" w:eastAsia="Arial" w:hAnsi="Arial"/>
                <w:sz w:val="10"/>
                <w:szCs w:val="10"/>
                <w:b w:val="1"/>
                <w:bCs w:val="1"/>
                <w:color w:val="auto"/>
                <w:w w:val="84"/>
              </w:rPr>
              <w:t>Unobservable</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80" w:type="dxa"/>
            <w:vAlign w:val="bottom"/>
          </w:tcPr>
          <w:p>
            <w:pPr>
              <w:jc w:val="right"/>
              <w:ind w:right="31"/>
              <w:spacing w:after="0" w:line="114" w:lineRule="exact"/>
              <w:rPr>
                <w:sz w:val="20"/>
                <w:szCs w:val="20"/>
                <w:color w:val="auto"/>
              </w:rPr>
            </w:pPr>
            <w:r>
              <w:rPr>
                <w:rFonts w:ascii="Arial" w:cs="Arial" w:eastAsia="Arial" w:hAnsi="Arial"/>
                <w:sz w:val="10"/>
                <w:szCs w:val="10"/>
                <w:b w:val="1"/>
                <w:bCs w:val="1"/>
                <w:color w:val="auto"/>
              </w:rPr>
              <w:t>Carrying Value</w:t>
            </w: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center"/>
              <w:ind w:right="27"/>
              <w:spacing w:after="0" w:line="114" w:lineRule="exact"/>
              <w:rPr>
                <w:sz w:val="20"/>
                <w:szCs w:val="20"/>
                <w:color w:val="auto"/>
              </w:rPr>
            </w:pPr>
            <w:r>
              <w:rPr>
                <w:rFonts w:ascii="Arial" w:cs="Arial" w:eastAsia="Arial" w:hAnsi="Arial"/>
                <w:sz w:val="10"/>
                <w:szCs w:val="10"/>
                <w:b w:val="1"/>
                <w:bCs w:val="1"/>
                <w:color w:val="auto"/>
                <w:w w:val="87"/>
              </w:rPr>
              <w:t>Inputs (Level 3)</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Total Fair Value</w:t>
            </w:r>
          </w:p>
        </w:tc>
        <w:tc>
          <w:tcPr>
            <w:tcW w:w="0" w:type="dxa"/>
            <w:vAlign w:val="bottom"/>
          </w:tcPr>
          <w:p>
            <w:pPr>
              <w:spacing w:after="0"/>
              <w:rPr>
                <w:sz w:val="1"/>
                <w:szCs w:val="1"/>
                <w:color w:val="auto"/>
              </w:rPr>
            </w:pPr>
          </w:p>
        </w:tc>
      </w:tr>
      <w:tr>
        <w:trPr>
          <w:trHeight w:val="97"/>
        </w:trPr>
        <w:tc>
          <w:tcPr>
            <w:tcW w:w="3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Financial liabilities:</w:t>
            </w:r>
          </w:p>
        </w:tc>
        <w:tc>
          <w:tcPr>
            <w:tcW w:w="1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60"/>
              <w:spacing w:after="0"/>
              <w:rPr>
                <w:sz w:val="20"/>
                <w:szCs w:val="20"/>
                <w:color w:val="auto"/>
              </w:rPr>
            </w:pPr>
            <w:r>
              <w:rPr>
                <w:rFonts w:ascii="Arial" w:cs="Arial" w:eastAsia="Arial" w:hAnsi="Arial"/>
                <w:sz w:val="12"/>
                <w:szCs w:val="12"/>
                <w:color w:val="auto"/>
              </w:rPr>
              <w:t>Senior convertible notes (2021 notes)</w:t>
            </w:r>
          </w:p>
        </w:tc>
        <w:tc>
          <w:tcPr>
            <w:tcW w:w="2400" w:type="dxa"/>
            <w:vAlign w:val="bottom"/>
            <w:gridSpan w:val="2"/>
          </w:tcPr>
          <w:p>
            <w:pPr>
              <w:jc w:val="right"/>
              <w:ind w:right="971"/>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24.4</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19.8</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Facility Financing Obligation</w:t>
            </w:r>
          </w:p>
        </w:tc>
        <w:tc>
          <w:tcPr>
            <w:tcW w:w="1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w:t>
            </w:r>
          </w:p>
        </w:tc>
        <w:tc>
          <w:tcPr>
            <w:tcW w:w="300" w:type="dxa"/>
            <w:vAlign w:val="bottom"/>
            <w:tcBorders>
              <w:right w:val="single" w:sz="8" w:color="CFF0FC"/>
            </w:tcBorders>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60"/>
              <w:spacing w:after="0"/>
              <w:rPr>
                <w:sz w:val="20"/>
                <w:szCs w:val="20"/>
                <w:color w:val="auto"/>
              </w:rPr>
            </w:pPr>
            <w:r>
              <w:rPr>
                <w:rFonts w:ascii="Arial" w:cs="Arial" w:eastAsia="Arial" w:hAnsi="Arial"/>
                <w:sz w:val="12"/>
                <w:szCs w:val="12"/>
                <w:color w:val="auto"/>
              </w:rPr>
              <w:t>Milestone rights</w:t>
            </w:r>
          </w:p>
        </w:tc>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8.9</w:t>
            </w:r>
          </w:p>
        </w:tc>
        <w:tc>
          <w:tcPr>
            <w:tcW w:w="3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19.1</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ind w:left="320"/>
              <w:spacing w:after="0"/>
              <w:rPr>
                <w:sz w:val="20"/>
                <w:szCs w:val="20"/>
                <w:color w:val="auto"/>
              </w:rPr>
            </w:pPr>
            <w:r>
              <w:rPr>
                <w:rFonts w:ascii="Arial" w:cs="Arial" w:eastAsia="Arial" w:hAnsi="Arial"/>
                <w:sz w:val="12"/>
                <w:szCs w:val="12"/>
                <w:color w:val="auto"/>
              </w:rPr>
              <w:t>Total financial liabilities</w:t>
            </w:r>
          </w:p>
        </w:tc>
        <w:tc>
          <w:tcPr>
            <w:tcW w:w="13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00" w:type="dxa"/>
            <w:vAlign w:val="bottom"/>
            <w:vMerge w:val="continue"/>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971"/>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86.0</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0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120" w:firstLine="488"/>
        <w:spacing w:after="0" w:line="290" w:lineRule="auto"/>
        <w:rPr>
          <w:sz w:val="20"/>
          <w:szCs w:val="20"/>
          <w:color w:val="auto"/>
        </w:rPr>
      </w:pPr>
      <w:r>
        <w:rPr>
          <w:rFonts w:ascii="Arial" w:cs="Arial" w:eastAsia="Arial" w:hAnsi="Arial"/>
          <w:sz w:val="11"/>
          <w:szCs w:val="11"/>
          <w:i w:val="1"/>
          <w:iCs w:val="1"/>
          <w:color w:val="auto"/>
        </w:rPr>
        <w:t xml:space="preserve">Milestone Rights Liability </w:t>
      </w:r>
      <w:r>
        <w:rPr>
          <w:rFonts w:ascii="Arial" w:cs="Arial" w:eastAsia="Arial" w:hAnsi="Arial"/>
          <w:sz w:val="11"/>
          <w:szCs w:val="11"/>
          <w:color w:val="auto"/>
        </w:rPr>
        <w:t>— The fair value measurement of the liability is sensitive to the discount rate and the timing and probability of making milestone payments. If the achievement of each of the milestones which require</w:t>
      </w:r>
      <w:r>
        <w:rPr>
          <w:rFonts w:ascii="Arial" w:cs="Arial" w:eastAsia="Arial" w:hAnsi="Arial"/>
          <w:sz w:val="11"/>
          <w:szCs w:val="11"/>
          <w:i w:val="1"/>
          <w:iCs w:val="1"/>
          <w:color w:val="auto"/>
        </w:rPr>
        <w:t xml:space="preserve"> </w:t>
      </w:r>
      <w:r>
        <w:rPr>
          <w:rFonts w:ascii="Arial" w:cs="Arial" w:eastAsia="Arial" w:hAnsi="Arial"/>
          <w:sz w:val="11"/>
          <w:szCs w:val="11"/>
          <w:color w:val="auto"/>
        </w:rPr>
        <w:t>payments were to be six months later than in the current forecast, the fair value of the liability would decrease by 6%. If the probabilities of meeting the $50.0 million to $200.0 million milestones were to decrease by 5% or 10%, the fair value of the liability would decrease by 13% and 25%,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109" w:lineRule="exact"/>
        <w:rPr>
          <w:sz w:val="20"/>
          <w:szCs w:val="20"/>
          <w:color w:val="auto"/>
        </w:rPr>
      </w:pPr>
    </w:p>
    <w:p>
      <w:pPr>
        <w:ind w:firstLine="488"/>
        <w:spacing w:after="0" w:line="263" w:lineRule="auto"/>
        <w:rPr>
          <w:sz w:val="20"/>
          <w:szCs w:val="20"/>
          <w:color w:val="auto"/>
        </w:rPr>
      </w:pPr>
      <w:r>
        <w:rPr>
          <w:rFonts w:ascii="Arial" w:cs="Arial" w:eastAsia="Arial" w:hAnsi="Arial"/>
          <w:sz w:val="12"/>
          <w:szCs w:val="12"/>
          <w:i w:val="1"/>
          <w:iCs w:val="1"/>
          <w:color w:val="auto"/>
        </w:rPr>
        <w:t xml:space="preserve">Embedded Derivatives </w:t>
      </w:r>
      <w:r>
        <w:rPr>
          <w:rFonts w:ascii="Arial" w:cs="Arial" w:eastAsia="Arial" w:hAnsi="Arial"/>
          <w:sz w:val="12"/>
          <w:szCs w:val="12"/>
          <w:color w:val="auto"/>
        </w:rPr>
        <w:t>— The Company identified and evaluated a number of embedded features in the notes issued under the Facility Agreement to determine if they represented embedded derivatives that are required to be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separated from the notes and accounted for as freestanding instruments. The Company analyzed the Tranche B notes and identified embedded derivatives, which required separate accounting. However, all of the embedded derivatives were determined to have a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value at December 31, 2018 and 2017.</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Common and Preferred Stock</w:t>
      </w:r>
    </w:p>
    <w:p>
      <w:pPr>
        <w:spacing w:after="0" w:line="82" w:lineRule="exact"/>
        <w:rPr>
          <w:sz w:val="20"/>
          <w:szCs w:val="20"/>
          <w:color w:val="auto"/>
        </w:rPr>
      </w:pPr>
    </w:p>
    <w:p>
      <w:pPr>
        <w:jc w:val="both"/>
        <w:ind w:right="120" w:firstLine="488"/>
        <w:spacing w:after="0" w:line="263" w:lineRule="auto"/>
        <w:rPr>
          <w:sz w:val="20"/>
          <w:szCs w:val="20"/>
          <w:color w:val="auto"/>
        </w:rPr>
      </w:pPr>
      <w:r>
        <w:rPr>
          <w:rFonts w:ascii="Arial" w:cs="Arial" w:eastAsia="Arial" w:hAnsi="Arial"/>
          <w:sz w:val="12"/>
          <w:szCs w:val="12"/>
          <w:color w:val="auto"/>
        </w:rPr>
        <w:t>On March 1, 2017, the Company effected a 1-for-5 reverse stock split of the Company’s outstanding common stock. As a result, prior to March 1, 2017, all common stock share amounts included in these consolidated financial statements have been retroactively reduced by a factor of five, and all common stock per share amounts have been increased by a factor of five, with the exception of the Company’s common stock par value. See Note 1 — Description of Business.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92" w:name="page93"/>
    <w:bookmarkEnd w:id="92"/>
    <w:p>
      <w:pPr>
        <w:ind w:right="120" w:firstLine="488"/>
        <w:spacing w:after="0" w:line="259" w:lineRule="auto"/>
        <w:rPr>
          <w:sz w:val="20"/>
          <w:szCs w:val="20"/>
          <w:color w:val="auto"/>
        </w:rPr>
      </w:pPr>
      <w:r>
        <w:rPr>
          <w:rFonts w:ascii="Arial" w:cs="Arial" w:eastAsia="Arial" w:hAnsi="Arial"/>
          <w:sz w:val="12"/>
          <w:szCs w:val="12"/>
          <w:color w:val="auto"/>
        </w:rPr>
        <w:t>On December 13, 2017, the Company amended its Amended and Restated Certificate of Incorporation to increase the authorized number of shares of the Company’s common stock from 140,000,000 to 280,000,000 shares. The Company is authorized to issue 280,000,000 shares of common stock, par value $0.01 per share, and 10,000,000 shares of undesignated preferred stock, par value $0.01 per share, issuable in one or more series as designated by the Company’s board of directors. No other class of capital stock is authorized. As of December 31, 2018 and 2017, 187,029,967 and 119,053,414 shares of common stock, respectively, were issued and outstanding and no shares of preferred stock were outstanding.</w:t>
      </w:r>
    </w:p>
    <w:p>
      <w:pPr>
        <w:spacing w:after="0" w:line="152" w:lineRule="exact"/>
        <w:rPr>
          <w:sz w:val="20"/>
          <w:szCs w:val="20"/>
          <w:color w:val="auto"/>
        </w:rPr>
      </w:pPr>
    </w:p>
    <w:p>
      <w:pPr>
        <w:ind w:right="20" w:firstLine="488"/>
        <w:spacing w:after="0" w:line="257" w:lineRule="auto"/>
        <w:rPr>
          <w:sz w:val="20"/>
          <w:szCs w:val="20"/>
          <w:color w:val="auto"/>
        </w:rPr>
      </w:pPr>
      <w:r>
        <w:rPr>
          <w:rFonts w:ascii="Arial" w:cs="Arial" w:eastAsia="Arial" w:hAnsi="Arial"/>
          <w:sz w:val="12"/>
          <w:szCs w:val="12"/>
          <w:color w:val="auto"/>
        </w:rPr>
        <w:t>On October 10, 2017, the Company entered into securities purchase agreements with certain institutional investors and a charitable foundation. Pursuant to the terms of the purchase agreements, the Company sold to the purchasers in a registered offering an aggregate of 10,166,600 shares of the Company’s common stock at a purchase price of $6.00 per share. Included in this offering was 166,600 shares issued to a charitable foundation associated with the Chairman of the Company’s board of directors. The net proceeds to the Company from the offering were approximately $57.7 million, after deducting placement agent fees equal to 5.0% of the aggregate gross proceeds from the offering (except for the proceeds received from the sale of 166,600 shares issued to the charitable foundation) and offering expenses payable by the Company . The offering closed on October 13, 2017. The Company’s stock was delisted from the TASE in November of 2017.</w:t>
      </w:r>
    </w:p>
    <w:p>
      <w:pPr>
        <w:spacing w:after="0" w:line="126" w:lineRule="exact"/>
        <w:rPr>
          <w:sz w:val="20"/>
          <w:szCs w:val="20"/>
          <w:color w:val="auto"/>
        </w:rPr>
      </w:pPr>
    </w:p>
    <w:p>
      <w:pPr>
        <w:ind w:right="200" w:firstLine="488"/>
        <w:spacing w:after="0" w:line="276" w:lineRule="auto"/>
        <w:rPr>
          <w:sz w:val="20"/>
          <w:szCs w:val="20"/>
          <w:color w:val="auto"/>
        </w:rPr>
      </w:pPr>
      <w:r>
        <w:rPr>
          <w:rFonts w:ascii="Arial" w:cs="Arial" w:eastAsia="Arial" w:hAnsi="Arial"/>
          <w:sz w:val="12"/>
          <w:szCs w:val="12"/>
          <w:color w:val="auto"/>
        </w:rPr>
        <w:t>In the fourth quarter of 2017, the Company sold an aggregate of 173,327 shares of the Company’s common stock at a purchase price of $3.15 per share pursuant to the Company’s at market issuance sales agreement with FBR agreement. The aggregate gross proceeds from the sales were approximately $0.5 million.</w:t>
      </w:r>
    </w:p>
    <w:p>
      <w:pPr>
        <w:spacing w:after="0" w:line="115" w:lineRule="exact"/>
        <w:rPr>
          <w:sz w:val="20"/>
          <w:szCs w:val="20"/>
          <w:color w:val="auto"/>
        </w:rPr>
      </w:pPr>
    </w:p>
    <w:p>
      <w:pPr>
        <w:ind w:right="40" w:firstLine="488"/>
        <w:spacing w:after="0" w:line="290" w:lineRule="auto"/>
        <w:rPr>
          <w:sz w:val="20"/>
          <w:szCs w:val="20"/>
          <w:color w:val="auto"/>
        </w:rPr>
      </w:pPr>
      <w:r>
        <w:rPr>
          <w:rFonts w:ascii="Arial" w:cs="Arial" w:eastAsia="Arial" w:hAnsi="Arial"/>
          <w:sz w:val="11"/>
          <w:szCs w:val="11"/>
          <w:color w:val="auto"/>
        </w:rPr>
        <w:t>On February 28, 2018, the Company entered in a controlled equity offering Sales Agreement with Cantor Fitzgerald (the “Sales Agreement”),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 the market offering” as defined in Rule 415 under the Securities Act of 1933, as amended. For the year ended December 31, 2018, the Company sold an aggregate of 1,028,432 shares of the Company’s common stock at an average purchase price of $2.03 per share for an aggregate gross proceeds of approximately $2.1 million pursuant to the Sales Agreement with Cantor Fitzgerald.</w:t>
      </w:r>
    </w:p>
    <w:p>
      <w:pPr>
        <w:spacing w:after="0" w:line="109" w:lineRule="exact"/>
        <w:rPr>
          <w:sz w:val="20"/>
          <w:szCs w:val="20"/>
          <w:color w:val="auto"/>
        </w:rPr>
      </w:pPr>
    </w:p>
    <w:p>
      <w:pPr>
        <w:ind w:right="240" w:firstLine="488"/>
        <w:spacing w:after="0" w:line="259" w:lineRule="auto"/>
        <w:rPr>
          <w:sz w:val="20"/>
          <w:szCs w:val="20"/>
          <w:color w:val="auto"/>
        </w:rPr>
      </w:pPr>
      <w:r>
        <w:rPr>
          <w:rFonts w:ascii="Arial" w:cs="Arial" w:eastAsia="Arial" w:hAnsi="Arial"/>
          <w:sz w:val="12"/>
          <w:szCs w:val="12"/>
          <w:color w:val="auto"/>
        </w:rPr>
        <w:t>On April 5, 2018, the Company entered into securities purchase agreements with certain institutional investors. Pursuant to the terms of the purchase agreements, the Company sold to the purchasers in a registered offering an aggregate of 14,000,000 shares of the Company’s common stock and warrants to purchase up to an aggregate of 14,000,000 shares of the Company’s common stock at a combined purchase price of $2.00 per share and accompanying warrant. The shares of common stock and the warrants were immediately separable. The warrants became exercisable at a price of $2.38 per share beginning on October 9, 2018 and will expire April 9, 2019. The net proceeds to the Company from the offering were approximately $26.4 million. The offering closed on April 9, 2018.</w:t>
      </w:r>
    </w:p>
    <w:p>
      <w:pPr>
        <w:spacing w:after="0" w:line="125" w:lineRule="exact"/>
        <w:rPr>
          <w:sz w:val="20"/>
          <w:szCs w:val="20"/>
          <w:color w:val="auto"/>
        </w:rPr>
      </w:pPr>
    </w:p>
    <w:p>
      <w:pPr>
        <w:ind w:firstLine="488"/>
        <w:spacing w:after="0" w:line="310" w:lineRule="auto"/>
        <w:rPr>
          <w:sz w:val="20"/>
          <w:szCs w:val="20"/>
          <w:color w:val="auto"/>
        </w:rPr>
      </w:pPr>
      <w:r>
        <w:rPr>
          <w:rFonts w:ascii="Arial" w:cs="Arial" w:eastAsia="Arial" w:hAnsi="Arial"/>
          <w:sz w:val="10"/>
          <w:szCs w:val="10"/>
          <w:color w:val="auto"/>
        </w:rPr>
        <w:t>On December 19, 2018, the Company entered into an underwriting agreement with Leerink Partners LLC relating to the issuance and sale in a public offering of 26,666,667 shares of the Company’s common stock and warrants to purchase up to an aggregate of 26,666,667 shares of the Company’s common stock at a combined purchase price of $1.50 per share and accompanying warrant. The shares of common stock and the warrants were immediately</w:t>
      </w:r>
    </w:p>
    <w:p>
      <w:pPr>
        <w:ind w:right="200"/>
        <w:spacing w:after="0" w:line="261" w:lineRule="auto"/>
        <w:rPr>
          <w:sz w:val="20"/>
          <w:szCs w:val="20"/>
          <w:color w:val="auto"/>
        </w:rPr>
      </w:pPr>
      <w:r>
        <w:rPr>
          <w:rFonts w:ascii="Arial" w:cs="Arial" w:eastAsia="Arial" w:hAnsi="Arial"/>
          <w:sz w:val="12"/>
          <w:szCs w:val="12"/>
          <w:color w:val="auto"/>
        </w:rPr>
        <w:t>separable. The warrants were immediately exercisable at issuance at a price of $1.60 per share and will expire on December 26, 2019. The net proceeds to the Company from the offering were approximately $37.3 million. The offering closed on December 26, 2018.</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For the year ended December 31, 2018, the Company received $0.4 million from the market price stock purchase plan for 230,445 shares.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color w:val="auto"/>
        </w:rPr>
        <w:t>12. Net Income (Loss) per Common Share</w:t>
      </w:r>
    </w:p>
    <w:p>
      <w:pPr>
        <w:spacing w:after="0" w:line="82" w:lineRule="exact"/>
        <w:rPr>
          <w:sz w:val="20"/>
          <w:szCs w:val="20"/>
          <w:color w:val="auto"/>
        </w:rPr>
      </w:pPr>
    </w:p>
    <w:p>
      <w:pPr>
        <w:jc w:val="both"/>
        <w:ind w:right="60" w:firstLine="488"/>
        <w:spacing w:after="0" w:line="271" w:lineRule="auto"/>
        <w:rPr>
          <w:sz w:val="20"/>
          <w:szCs w:val="20"/>
          <w:color w:val="auto"/>
        </w:rPr>
      </w:pPr>
      <w:r>
        <w:rPr>
          <w:rFonts w:ascii="Arial" w:cs="Arial" w:eastAsia="Arial" w:hAnsi="Arial"/>
          <w:sz w:val="12"/>
          <w:szCs w:val="12"/>
          <w:color w:val="auto"/>
        </w:rPr>
        <w:t>Basic net income (loss) per share excludes dilution for potentially dilutive securities and is computed by dividing net income (loss) by the weighted average number of common shares outstanding during the period. Diluted net income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tables summarize the components of the basic and diluted net income (loss) per common share computations (in thousands, except per share amounts):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4200" w:type="dxa"/>
            <w:vAlign w:val="bottom"/>
            <w:tcBorders>
              <w:bottom w:val="single" w:sz="8" w:color="CFF0FC"/>
            </w:tcBorders>
          </w:tcPr>
          <w:p>
            <w:pPr>
              <w:spacing w:after="0"/>
              <w:rPr>
                <w:sz w:val="8"/>
                <w:szCs w:val="8"/>
                <w:color w:val="auto"/>
              </w:rPr>
            </w:pPr>
          </w:p>
        </w:tc>
        <w:tc>
          <w:tcPr>
            <w:tcW w:w="1220" w:type="dxa"/>
            <w:vAlign w:val="bottom"/>
            <w:tcBorders>
              <w:bottom w:val="single" w:sz="8" w:color="CFF0FC"/>
            </w:tcBorders>
          </w:tcPr>
          <w:p>
            <w:pPr>
              <w:spacing w:after="0"/>
              <w:rPr>
                <w:sz w:val="8"/>
                <w:szCs w:val="8"/>
                <w:color w:val="auto"/>
              </w:rPr>
            </w:pPr>
          </w:p>
        </w:tc>
        <w:tc>
          <w:tcPr>
            <w:tcW w:w="6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2018</w:t>
            </w: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8"/>
                <w:szCs w:val="8"/>
                <w:color w:val="auto"/>
              </w:rPr>
            </w:pPr>
          </w:p>
        </w:tc>
      </w:tr>
      <w:tr>
        <w:trPr>
          <w:trHeight w:val="142"/>
        </w:trPr>
        <w:tc>
          <w:tcPr>
            <w:tcW w:w="4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Basic EPS:</w:t>
            </w:r>
          </w:p>
        </w:tc>
        <w:tc>
          <w:tcPr>
            <w:tcW w:w="1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4200" w:type="dxa"/>
            <w:vAlign w:val="bottom"/>
          </w:tcPr>
          <w:p>
            <w:pPr>
              <w:ind w:left="160"/>
              <w:spacing w:after="0"/>
              <w:rPr>
                <w:sz w:val="20"/>
                <w:szCs w:val="20"/>
                <w:color w:val="auto"/>
              </w:rPr>
            </w:pPr>
            <w:r>
              <w:rPr>
                <w:rFonts w:ascii="Arial" w:cs="Arial" w:eastAsia="Arial" w:hAnsi="Arial"/>
                <w:sz w:val="12"/>
                <w:szCs w:val="12"/>
                <w:color w:val="auto"/>
              </w:rPr>
              <w:t>Net (loss) income (numerator)</w:t>
            </w:r>
          </w:p>
        </w:tc>
        <w:tc>
          <w:tcPr>
            <w:tcW w:w="1860" w:type="dxa"/>
            <w:vAlign w:val="bottom"/>
            <w:gridSpan w:val="2"/>
          </w:tcPr>
          <w:p>
            <w:pPr>
              <w:jc w:val="right"/>
              <w:ind w:right="532"/>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w w:val="98"/>
              </w:rPr>
              <w:t>(86,975)</w:t>
            </w:r>
          </w:p>
        </w:tc>
        <w:tc>
          <w:tcPr>
            <w:tcW w:w="3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(117,333)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125,664</w:t>
            </w:r>
          </w:p>
        </w:tc>
        <w:tc>
          <w:tcPr>
            <w:tcW w:w="100" w:type="dxa"/>
            <w:vAlign w:val="bottom"/>
          </w:tcPr>
          <w:p>
            <w:pPr>
              <w:spacing w:after="0"/>
              <w:rPr>
                <w:sz w:val="13"/>
                <w:szCs w:val="13"/>
                <w:color w:val="auto"/>
              </w:rPr>
            </w:pPr>
          </w:p>
        </w:tc>
      </w:tr>
      <w:tr>
        <w:trPr>
          <w:trHeight w:val="173"/>
        </w:trPr>
        <w:tc>
          <w:tcPr>
            <w:tcW w:w="420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Weighted average common shares (denominator)</w:t>
            </w:r>
          </w:p>
        </w:tc>
        <w:tc>
          <w:tcPr>
            <w:tcW w:w="1220" w:type="dxa"/>
            <w:vAlign w:val="bottom"/>
            <w:tcBorders>
              <w:top w:val="single" w:sz="8" w:color="CFF0FC"/>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2"/>
              </w:rPr>
              <w:t>144,136</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104,245</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92,053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47"/>
        </w:trPr>
        <w:tc>
          <w:tcPr>
            <w:tcW w:w="4200" w:type="dxa"/>
            <w:vAlign w:val="bottom"/>
          </w:tcPr>
          <w:p>
            <w:pPr>
              <w:ind w:left="160"/>
              <w:spacing w:after="0"/>
              <w:rPr>
                <w:sz w:val="20"/>
                <w:szCs w:val="20"/>
                <w:color w:val="auto"/>
              </w:rPr>
            </w:pPr>
            <w:r>
              <w:rPr>
                <w:rFonts w:ascii="Arial" w:cs="Arial" w:eastAsia="Arial" w:hAnsi="Arial"/>
                <w:sz w:val="12"/>
                <w:szCs w:val="12"/>
                <w:color w:val="auto"/>
              </w:rPr>
              <w:t>Net (loss) income per share</w:t>
            </w:r>
          </w:p>
        </w:tc>
        <w:tc>
          <w:tcPr>
            <w:tcW w:w="1860" w:type="dxa"/>
            <w:vAlign w:val="bottom"/>
            <w:gridSpan w:val="2"/>
          </w:tcPr>
          <w:p>
            <w:pPr>
              <w:jc w:val="right"/>
              <w:ind w:right="532"/>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(0.60)</w:t>
            </w:r>
          </w:p>
        </w:tc>
        <w:tc>
          <w:tcPr>
            <w:tcW w:w="3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(1.13)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12"/>
                <w:szCs w:val="12"/>
                <w:color w:val="auto"/>
              </w:rPr>
            </w:pPr>
          </w:p>
        </w:tc>
      </w:tr>
      <w:tr>
        <w:trPr>
          <w:trHeight w:val="15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Diluted EPS:</w:t>
            </w:r>
          </w:p>
        </w:tc>
        <w:tc>
          <w:tcPr>
            <w:tcW w:w="1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0"/>
        </w:trPr>
        <w:tc>
          <w:tcPr>
            <w:tcW w:w="4200" w:type="dxa"/>
            <w:vAlign w:val="bottom"/>
          </w:tcPr>
          <w:p>
            <w:pPr>
              <w:ind w:left="160"/>
              <w:spacing w:after="0"/>
              <w:rPr>
                <w:sz w:val="20"/>
                <w:szCs w:val="20"/>
                <w:color w:val="auto"/>
              </w:rPr>
            </w:pPr>
            <w:r>
              <w:rPr>
                <w:rFonts w:ascii="Arial" w:cs="Arial" w:eastAsia="Arial" w:hAnsi="Arial"/>
                <w:sz w:val="12"/>
                <w:szCs w:val="12"/>
                <w:color w:val="auto"/>
              </w:rPr>
              <w:t>Net (loss) income (numerator)</w:t>
            </w:r>
          </w:p>
        </w:tc>
        <w:tc>
          <w:tcPr>
            <w:tcW w:w="1860" w:type="dxa"/>
            <w:vAlign w:val="bottom"/>
            <w:gridSpan w:val="2"/>
          </w:tcPr>
          <w:p>
            <w:pPr>
              <w:jc w:val="right"/>
              <w:ind w:right="532"/>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w w:val="98"/>
              </w:rPr>
              <w:t>(86,975)</w:t>
            </w:r>
          </w:p>
        </w:tc>
        <w:tc>
          <w:tcPr>
            <w:tcW w:w="3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(117,333)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125,664</w:t>
            </w:r>
          </w:p>
        </w:tc>
        <w:tc>
          <w:tcPr>
            <w:tcW w:w="100" w:type="dxa"/>
            <w:vAlign w:val="bottom"/>
          </w:tcPr>
          <w:p>
            <w:pPr>
              <w:spacing w:after="0"/>
              <w:rPr>
                <w:sz w:val="13"/>
                <w:szCs w:val="13"/>
                <w:color w:val="auto"/>
              </w:rPr>
            </w:pPr>
          </w:p>
        </w:tc>
      </w:tr>
      <w:tr>
        <w:trPr>
          <w:trHeight w:val="153"/>
        </w:trPr>
        <w:tc>
          <w:tcPr>
            <w:tcW w:w="420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Weighted average common shares</w:t>
            </w:r>
          </w:p>
        </w:tc>
        <w:tc>
          <w:tcPr>
            <w:tcW w:w="1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2"/>
              </w:rPr>
              <w:t>144,136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104,245</w:t>
            </w:r>
          </w:p>
        </w:tc>
        <w:tc>
          <w:tcPr>
            <w:tcW w:w="2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92,053</w:t>
            </w:r>
          </w:p>
        </w:tc>
        <w:tc>
          <w:tcPr>
            <w:tcW w:w="100" w:type="dxa"/>
            <w:vAlign w:val="bottom"/>
            <w:tcBorders>
              <w:top w:val="single" w:sz="8" w:color="CFF0FC"/>
            </w:tcBorders>
            <w:shd w:val="clear" w:color="auto" w:fill="CFF0FC"/>
          </w:tcPr>
          <w:p>
            <w:pPr>
              <w:spacing w:after="0"/>
              <w:rPr>
                <w:sz w:val="13"/>
                <w:szCs w:val="13"/>
                <w:color w:val="auto"/>
              </w:rPr>
            </w:pPr>
          </w:p>
        </w:tc>
      </w:tr>
      <w:tr>
        <w:trPr>
          <w:trHeight w:val="153"/>
        </w:trPr>
        <w:tc>
          <w:tcPr>
            <w:tcW w:w="4200" w:type="dxa"/>
            <w:vAlign w:val="bottom"/>
          </w:tcPr>
          <w:p>
            <w:pPr>
              <w:ind w:left="160"/>
              <w:spacing w:after="0"/>
              <w:rPr>
                <w:sz w:val="20"/>
                <w:szCs w:val="20"/>
                <w:color w:val="auto"/>
              </w:rPr>
            </w:pPr>
            <w:r>
              <w:rPr>
                <w:rFonts w:ascii="Arial" w:cs="Arial" w:eastAsia="Arial" w:hAnsi="Arial"/>
                <w:sz w:val="12"/>
                <w:szCs w:val="12"/>
                <w:color w:val="auto"/>
              </w:rPr>
              <w:t>Effect of dilutive securities - common shares issuable</w:t>
            </w:r>
          </w:p>
        </w:tc>
        <w:tc>
          <w:tcPr>
            <w:tcW w:w="1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r>
      <w:tr>
        <w:trPr>
          <w:trHeight w:val="162"/>
        </w:trPr>
        <w:tc>
          <w:tcPr>
            <w:tcW w:w="420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Adjusted weighted average common shares (denominator)</w:t>
            </w:r>
          </w:p>
        </w:tc>
        <w:tc>
          <w:tcPr>
            <w:tcW w:w="1220" w:type="dxa"/>
            <w:vAlign w:val="bottom"/>
            <w:tcBorders>
              <w:top w:val="single" w:sz="8" w:color="CFF0FC"/>
              <w:bottom w:val="single" w:sz="8" w:color="CFF0FC"/>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spacing w:after="0"/>
              <w:rPr>
                <w:sz w:val="14"/>
                <w:szCs w:val="1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2"/>
              </w:rPr>
              <w:t>144,136</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104,245</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92,085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40"/>
        </w:trPr>
        <w:tc>
          <w:tcPr>
            <w:tcW w:w="4200" w:type="dxa"/>
            <w:vAlign w:val="bottom"/>
          </w:tcPr>
          <w:p>
            <w:pPr>
              <w:ind w:left="160"/>
              <w:spacing w:after="0"/>
              <w:rPr>
                <w:sz w:val="20"/>
                <w:szCs w:val="20"/>
                <w:color w:val="auto"/>
              </w:rPr>
            </w:pPr>
            <w:r>
              <w:rPr>
                <w:rFonts w:ascii="Arial" w:cs="Arial" w:eastAsia="Arial" w:hAnsi="Arial"/>
                <w:sz w:val="12"/>
                <w:szCs w:val="12"/>
                <w:color w:val="auto"/>
              </w:rPr>
              <w:t>Net (loss) income per share</w:t>
            </w:r>
          </w:p>
        </w:tc>
        <w:tc>
          <w:tcPr>
            <w:tcW w:w="1860" w:type="dxa"/>
            <w:vAlign w:val="bottom"/>
            <w:gridSpan w:val="2"/>
          </w:tcPr>
          <w:p>
            <w:pPr>
              <w:jc w:val="right"/>
              <w:ind w:right="532"/>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(0.60)</w:t>
            </w:r>
          </w:p>
        </w:tc>
        <w:tc>
          <w:tcPr>
            <w:tcW w:w="3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(1.13)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12"/>
                <w:szCs w:val="12"/>
                <w:color w:val="auto"/>
              </w:rPr>
            </w:pPr>
          </w:p>
        </w:tc>
      </w:tr>
      <w:tr>
        <w:trPr>
          <w:trHeight w:val="27"/>
        </w:trPr>
        <w:tc>
          <w:tcPr>
            <w:tcW w:w="4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5" w:lineRule="exact"/>
        <w:rPr>
          <w:sz w:val="20"/>
          <w:szCs w:val="20"/>
          <w:color w:val="auto"/>
        </w:rPr>
      </w:pPr>
    </w:p>
    <w:p>
      <w:pPr>
        <w:ind w:right="160" w:firstLine="488"/>
        <w:spacing w:after="0" w:line="276" w:lineRule="auto"/>
        <w:rPr>
          <w:sz w:val="20"/>
          <w:szCs w:val="20"/>
          <w:color w:val="auto"/>
        </w:rPr>
      </w:pPr>
      <w:r>
        <w:rPr>
          <w:rFonts w:ascii="Arial" w:cs="Arial" w:eastAsia="Arial" w:hAnsi="Arial"/>
          <w:sz w:val="12"/>
          <w:szCs w:val="12"/>
          <w:color w:val="auto"/>
        </w:rPr>
        <w:t>Common shares issuable represents incremental shares of common stock which consist of stock options, restricted stock units, warrants, and shares that could be issued upon conversion of the senior convertible notes and the Mann Group Loan Arrangement.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Potentially dilutive securities outstanding that are considered antidilutive, in the periods noted below, are summarized as follows (in shares):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ind w:left="320"/>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7"/>
        </w:trPr>
        <w:tc>
          <w:tcPr>
            <w:tcW w:w="5380" w:type="dxa"/>
            <w:vAlign w:val="bottom"/>
            <w:tcBorders>
              <w:bottom w:val="single" w:sz="8" w:color="CFF0FC"/>
            </w:tcBorders>
          </w:tcPr>
          <w:p>
            <w:pPr>
              <w:spacing w:after="0"/>
              <w:rPr>
                <w:sz w:val="8"/>
                <w:szCs w:val="8"/>
                <w:color w:val="auto"/>
              </w:rPr>
            </w:pPr>
          </w:p>
        </w:tc>
        <w:tc>
          <w:tcPr>
            <w:tcW w:w="1060" w:type="dxa"/>
            <w:vAlign w:val="bottom"/>
            <w:tcBorders>
              <w:bottom w:val="single" w:sz="8" w:color="auto"/>
            </w:tcBorders>
          </w:tcPr>
          <w:p>
            <w:pPr>
              <w:jc w:val="right"/>
              <w:ind w:right="381"/>
              <w:spacing w:after="0" w:line="97" w:lineRule="exact"/>
              <w:rPr>
                <w:sz w:val="20"/>
                <w:szCs w:val="20"/>
                <w:color w:val="auto"/>
              </w:rPr>
            </w:pPr>
            <w:r>
              <w:rPr>
                <w:rFonts w:ascii="Arial" w:cs="Arial" w:eastAsia="Arial" w:hAnsi="Arial"/>
                <w:sz w:val="10"/>
                <w:szCs w:val="10"/>
                <w:b w:val="1"/>
                <w:bCs w:val="1"/>
                <w:color w:val="auto"/>
              </w:rPr>
              <w:t>2018</w:t>
            </w:r>
          </w:p>
        </w:tc>
        <w:tc>
          <w:tcPr>
            <w:tcW w:w="220" w:type="dxa"/>
            <w:vAlign w:val="bottom"/>
            <w:tcBorders>
              <w:bottom w:val="single" w:sz="8" w:color="CFF0FC"/>
            </w:tcBorders>
          </w:tcPr>
          <w:p>
            <w:pPr>
              <w:spacing w:after="0"/>
              <w:rPr>
                <w:sz w:val="8"/>
                <w:szCs w:val="8"/>
                <w:color w:val="auto"/>
              </w:rPr>
            </w:pPr>
          </w:p>
        </w:tc>
        <w:tc>
          <w:tcPr>
            <w:tcW w:w="108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2017</w:t>
            </w:r>
          </w:p>
        </w:tc>
        <w:tc>
          <w:tcPr>
            <w:tcW w:w="80" w:type="dxa"/>
            <w:vAlign w:val="bottom"/>
            <w:tcBorders>
              <w:bottom w:val="single" w:sz="8" w:color="CFF0FC"/>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040" w:type="dxa"/>
            <w:vAlign w:val="bottom"/>
            <w:tcBorders>
              <w:bottom w:val="single" w:sz="8" w:color="auto"/>
            </w:tcBorders>
          </w:tcPr>
          <w:p>
            <w:pPr>
              <w:jc w:val="right"/>
              <w:ind w:right="381"/>
              <w:spacing w:after="0" w:line="97" w:lineRule="exact"/>
              <w:rPr>
                <w:sz w:val="20"/>
                <w:szCs w:val="20"/>
                <w:color w:val="auto"/>
              </w:rPr>
            </w:pPr>
            <w:r>
              <w:rPr>
                <w:rFonts w:ascii="Arial" w:cs="Arial" w:eastAsia="Arial" w:hAnsi="Arial"/>
                <w:sz w:val="10"/>
                <w:szCs w:val="10"/>
                <w:b w:val="1"/>
                <w:bCs w:val="1"/>
                <w:color w:val="auto"/>
              </w:rPr>
              <w:t>2016</w:t>
            </w:r>
          </w:p>
        </w:tc>
        <w:tc>
          <w:tcPr>
            <w:tcW w:w="60" w:type="dxa"/>
            <w:vAlign w:val="bottom"/>
            <w:tcBorders>
              <w:bottom w:val="single" w:sz="8" w:color="CFF0FC"/>
            </w:tcBorders>
          </w:tcPr>
          <w:p>
            <w:pPr>
              <w:spacing w:after="0"/>
              <w:rPr>
                <w:sz w:val="8"/>
                <w:szCs w:val="8"/>
                <w:color w:val="auto"/>
              </w:rPr>
            </w:pPr>
          </w:p>
        </w:tc>
      </w:tr>
      <w:tr>
        <w:trPr>
          <w:trHeight w:val="142"/>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691,266</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1,135,216</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702,867</w:t>
            </w:r>
          </w:p>
        </w:tc>
        <w:tc>
          <w:tcPr>
            <w:tcW w:w="60" w:type="dxa"/>
            <w:vAlign w:val="bottom"/>
            <w:shd w:val="clear" w:color="auto" w:fill="CFF0FC"/>
          </w:tcPr>
          <w:p>
            <w:pPr>
              <w:spacing w:after="0"/>
              <w:rPr>
                <w:sz w:val="12"/>
                <w:szCs w:val="12"/>
                <w:color w:val="auto"/>
              </w:rPr>
            </w:pPr>
          </w:p>
        </w:tc>
      </w:tr>
      <w:tr>
        <w:trPr>
          <w:trHeight w:val="153"/>
        </w:trPr>
        <w:tc>
          <w:tcPr>
            <w:tcW w:w="5380" w:type="dxa"/>
            <w:vAlign w:val="bottom"/>
          </w:tcPr>
          <w:p>
            <w:pPr>
              <w:spacing w:after="0"/>
              <w:rPr>
                <w:sz w:val="20"/>
                <w:szCs w:val="20"/>
                <w:color w:val="auto"/>
              </w:rPr>
            </w:pPr>
            <w:r>
              <w:rPr>
                <w:rFonts w:ascii="Arial" w:cs="Arial" w:eastAsia="Arial" w:hAnsi="Arial"/>
                <w:sz w:val="12"/>
                <w:szCs w:val="12"/>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2"/>
                <w:szCs w:val="12"/>
                <w:color w:val="auto"/>
              </w:rPr>
              <w:t>307,395</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136,660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43,672</w:t>
            </w:r>
          </w:p>
        </w:tc>
        <w:tc>
          <w:tcPr>
            <w:tcW w:w="60" w:type="dxa"/>
            <w:vAlign w:val="bottom"/>
          </w:tcPr>
          <w:p>
            <w:pPr>
              <w:spacing w:after="0"/>
              <w:rPr>
                <w:sz w:val="13"/>
                <w:szCs w:val="13"/>
                <w:color w:val="auto"/>
              </w:rPr>
            </w:pPr>
          </w:p>
        </w:tc>
      </w:tr>
      <w:tr>
        <w:trPr>
          <w:trHeight w:val="153"/>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Exercise of common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10,976,118</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7,089,440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5,530,256</w:t>
            </w:r>
          </w:p>
        </w:tc>
        <w:tc>
          <w:tcPr>
            <w:tcW w:w="60" w:type="dxa"/>
            <w:vAlign w:val="bottom"/>
            <w:shd w:val="clear" w:color="auto" w:fill="CFF0FC"/>
          </w:tcPr>
          <w:p>
            <w:pPr>
              <w:spacing w:after="0"/>
              <w:rPr>
                <w:sz w:val="13"/>
                <w:szCs w:val="13"/>
                <w:color w:val="auto"/>
              </w:rPr>
            </w:pPr>
          </w:p>
        </w:tc>
      </w:tr>
      <w:tr>
        <w:trPr>
          <w:trHeight w:val="153"/>
        </w:trPr>
        <w:tc>
          <w:tcPr>
            <w:tcW w:w="5380" w:type="dxa"/>
            <w:vAlign w:val="bottom"/>
          </w:tcPr>
          <w:p>
            <w:pPr>
              <w:spacing w:after="0"/>
              <w:rPr>
                <w:sz w:val="20"/>
                <w:szCs w:val="20"/>
                <w:color w:val="auto"/>
              </w:rPr>
            </w:pPr>
            <w:r>
              <w:rPr>
                <w:rFonts w:ascii="Arial" w:cs="Arial" w:eastAsia="Arial" w:hAnsi="Arial"/>
                <w:sz w:val="12"/>
                <w:szCs w:val="12"/>
                <w:color w:val="auto"/>
              </w:rPr>
              <w:t>Conversion of convertible notes into common stock</w:t>
            </w:r>
          </w:p>
        </w:tc>
        <w:tc>
          <w:tcPr>
            <w:tcW w:w="1060" w:type="dxa"/>
            <w:vAlign w:val="bottom"/>
          </w:tcPr>
          <w:p>
            <w:pPr>
              <w:jc w:val="right"/>
              <w:spacing w:after="0"/>
              <w:rPr>
                <w:sz w:val="20"/>
                <w:szCs w:val="20"/>
                <w:color w:val="auto"/>
              </w:rPr>
            </w:pPr>
            <w:r>
              <w:rPr>
                <w:rFonts w:ascii="Arial" w:cs="Arial" w:eastAsia="Arial" w:hAnsi="Arial"/>
                <w:sz w:val="12"/>
                <w:szCs w:val="12"/>
                <w:color w:val="auto"/>
              </w:rPr>
              <w:t>3,629,627</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6,875,272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814,561</w:t>
            </w:r>
          </w:p>
        </w:tc>
        <w:tc>
          <w:tcPr>
            <w:tcW w:w="60" w:type="dxa"/>
            <w:vAlign w:val="bottom"/>
          </w:tcPr>
          <w:p>
            <w:pPr>
              <w:spacing w:after="0"/>
              <w:rPr>
                <w:sz w:val="13"/>
                <w:szCs w:val="13"/>
                <w:color w:val="auto"/>
              </w:rPr>
            </w:pPr>
          </w:p>
        </w:tc>
      </w:tr>
      <w:tr>
        <w:trPr>
          <w:trHeight w:val="14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convertible notes payable to related party into</w:t>
            </w: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3"/>
        </w:trPr>
        <w:tc>
          <w:tcPr>
            <w:tcW w:w="5380" w:type="dxa"/>
            <w:vAlign w:val="bottom"/>
            <w:shd w:val="clear" w:color="auto" w:fill="CFF0FC"/>
          </w:tcPr>
          <w:p>
            <w:pPr>
              <w:ind w:left="100"/>
              <w:spacing w:after="0"/>
              <w:rPr>
                <w:sz w:val="20"/>
                <w:szCs w:val="20"/>
                <w:color w:val="auto"/>
              </w:rPr>
            </w:pPr>
            <w:r>
              <w:rPr>
                <w:rFonts w:ascii="Arial" w:cs="Arial" w:eastAsia="Arial" w:hAnsi="Arial"/>
                <w:sz w:val="12"/>
                <w:szCs w:val="12"/>
                <w:color w:val="auto"/>
              </w:rPr>
              <w:t>common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21,909,541</w:t>
            </w:r>
          </w:p>
        </w:tc>
        <w:tc>
          <w:tcPr>
            <w:tcW w:w="220" w:type="dxa"/>
            <w:vAlign w:val="bottom"/>
            <w:shd w:val="clear" w:color="auto" w:fill="CFF0FC"/>
          </w:tcPr>
          <w:p>
            <w:pPr>
              <w:spacing w:after="0"/>
              <w:rPr>
                <w:sz w:val="13"/>
                <w:szCs w:val="13"/>
                <w:color w:val="auto"/>
              </w:rPr>
            </w:pPr>
          </w:p>
        </w:tc>
        <w:tc>
          <w:tcPr>
            <w:tcW w:w="1440" w:type="dxa"/>
            <w:vAlign w:val="bottom"/>
            <w:gridSpan w:val="4"/>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380" w:type="dxa"/>
            <w:vAlign w:val="bottom"/>
          </w:tcPr>
          <w:p>
            <w:pPr>
              <w:spacing w:after="0"/>
              <w:rPr>
                <w:sz w:val="20"/>
                <w:szCs w:val="20"/>
                <w:color w:val="auto"/>
              </w:rPr>
            </w:pPr>
            <w:r>
              <w:rPr>
                <w:rFonts w:ascii="Arial" w:cs="Arial" w:eastAsia="Arial" w:hAnsi="Arial"/>
                <w:sz w:val="12"/>
                <w:szCs w:val="12"/>
                <w:color w:val="auto"/>
              </w:rPr>
              <w:t>Exercise of common stock warrants</w:t>
            </w:r>
          </w:p>
        </w:tc>
        <w:tc>
          <w:tcPr>
            <w:tcW w:w="1060" w:type="dxa"/>
            <w:vAlign w:val="bottom"/>
          </w:tcPr>
          <w:p>
            <w:pPr>
              <w:jc w:val="right"/>
              <w:spacing w:after="0"/>
              <w:rPr>
                <w:sz w:val="20"/>
                <w:szCs w:val="20"/>
                <w:color w:val="auto"/>
              </w:rPr>
            </w:pPr>
            <w:r>
              <w:rPr>
                <w:rFonts w:ascii="Arial" w:cs="Arial" w:eastAsia="Arial" w:hAnsi="Arial"/>
                <w:sz w:val="12"/>
                <w:szCs w:val="12"/>
                <w:color w:val="auto"/>
              </w:rPr>
              <w:t>31,851</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31,856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9,740,597</w:t>
            </w:r>
          </w:p>
        </w:tc>
        <w:tc>
          <w:tcPr>
            <w:tcW w:w="60" w:type="dxa"/>
            <w:vAlign w:val="bottom"/>
          </w:tcPr>
          <w:p>
            <w:pPr>
              <w:spacing w:after="0"/>
              <w:rPr>
                <w:sz w:val="13"/>
                <w:szCs w:val="13"/>
                <w:color w:val="auto"/>
              </w:rPr>
            </w:pPr>
          </w:p>
        </w:tc>
      </w:tr>
      <w:tr>
        <w:trPr>
          <w:trHeight w:val="153"/>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Exercise of warrants associated with public offering</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26,666,667</w:t>
            </w:r>
          </w:p>
        </w:tc>
        <w:tc>
          <w:tcPr>
            <w:tcW w:w="220" w:type="dxa"/>
            <w:vAlign w:val="bottom"/>
            <w:shd w:val="clear" w:color="auto" w:fill="CFF0FC"/>
          </w:tcPr>
          <w:p>
            <w:pPr>
              <w:spacing w:after="0"/>
              <w:rPr>
                <w:sz w:val="13"/>
                <w:szCs w:val="13"/>
                <w:color w:val="auto"/>
              </w:rPr>
            </w:pPr>
          </w:p>
        </w:tc>
        <w:tc>
          <w:tcPr>
            <w:tcW w:w="1440" w:type="dxa"/>
            <w:vAlign w:val="bottom"/>
            <w:gridSpan w:val="4"/>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380" w:type="dxa"/>
            <w:vAlign w:val="bottom"/>
          </w:tcPr>
          <w:p>
            <w:pPr>
              <w:spacing w:after="0"/>
              <w:rPr>
                <w:sz w:val="20"/>
                <w:szCs w:val="20"/>
                <w:color w:val="auto"/>
              </w:rPr>
            </w:pPr>
            <w:r>
              <w:rPr>
                <w:rFonts w:ascii="Arial" w:cs="Arial" w:eastAsia="Arial" w:hAnsi="Arial"/>
                <w:sz w:val="12"/>
                <w:szCs w:val="12"/>
                <w:color w:val="auto"/>
              </w:rPr>
              <w:t>Exercise of warrants associated with direct placement</w:t>
            </w:r>
          </w:p>
        </w:tc>
        <w:tc>
          <w:tcPr>
            <w:tcW w:w="1060" w:type="dxa"/>
            <w:vAlign w:val="bottom"/>
          </w:tcPr>
          <w:p>
            <w:pPr>
              <w:jc w:val="right"/>
              <w:spacing w:after="0"/>
              <w:rPr>
                <w:sz w:val="20"/>
                <w:szCs w:val="20"/>
                <w:color w:val="auto"/>
              </w:rPr>
            </w:pPr>
            <w:r>
              <w:rPr>
                <w:rFonts w:ascii="Arial" w:cs="Arial" w:eastAsia="Arial" w:hAnsi="Arial"/>
                <w:sz w:val="12"/>
                <w:szCs w:val="12"/>
                <w:color w:val="auto"/>
              </w:rPr>
              <w:t>14,000,000</w:t>
            </w:r>
          </w:p>
        </w:tc>
        <w:tc>
          <w:tcPr>
            <w:tcW w:w="220" w:type="dxa"/>
            <w:vAlign w:val="bottom"/>
          </w:tcPr>
          <w:p>
            <w:pPr>
              <w:spacing w:after="0"/>
              <w:rPr>
                <w:sz w:val="13"/>
                <w:szCs w:val="13"/>
                <w:color w:val="auto"/>
              </w:rPr>
            </w:pPr>
          </w:p>
        </w:tc>
        <w:tc>
          <w:tcPr>
            <w:tcW w:w="1440" w:type="dxa"/>
            <w:vAlign w:val="bottom"/>
            <w:gridSpan w:val="4"/>
          </w:tcPr>
          <w:p>
            <w:pPr>
              <w:jc w:val="right"/>
              <w:ind w:right="3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49"/>
        </w:trPr>
        <w:tc>
          <w:tcPr>
            <w:tcW w:w="5380" w:type="dxa"/>
            <w:vAlign w:val="bottom"/>
            <w:tcBorders>
              <w:top w:val="single" w:sz="8" w:color="CFF0FC"/>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78,212,465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15,268,444</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16,831,953</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Stock Award Plans</w:t>
      </w:r>
    </w:p>
    <w:p>
      <w:pPr>
        <w:spacing w:after="0" w:line="82" w:lineRule="exact"/>
        <w:rPr>
          <w:sz w:val="20"/>
          <w:szCs w:val="20"/>
          <w:color w:val="auto"/>
        </w:rPr>
      </w:pPr>
    </w:p>
    <w:p>
      <w:pPr>
        <w:ind w:firstLine="488"/>
        <w:spacing w:after="0" w:line="259" w:lineRule="auto"/>
        <w:rPr>
          <w:sz w:val="20"/>
          <w:szCs w:val="20"/>
          <w:color w:val="auto"/>
        </w:rPr>
      </w:pPr>
      <w:r>
        <w:rPr>
          <w:rFonts w:ascii="Arial" w:cs="Arial" w:eastAsia="Arial" w:hAnsi="Arial"/>
          <w:sz w:val="12"/>
          <w:szCs w:val="12"/>
          <w:color w:val="auto"/>
        </w:rPr>
        <w:t>On May 16, 2018, the Company adopted the 2018 Equity Incentive Plan (the “2018 Plan”) as the successor to and continuation of the 2013 Equity Incentive Plan (the “2013 Plan”) and the 2004 Equity Incentive Plan (the “2004 Plan”). The 2018 Plan consists of 12.0 million additional shares and the number of unallocated shares remaining available for grant for new awards under the 2013 Plan and the 2004 Plan. The 2018 Plan provides for the granting of stock awards including stock options and restricted stock units to employees, directors and consultants. No additional awards will be granted under the 2013 Plan, the 2004 Plan or the 2004 Non-Employee Directors’ Stock Option Plan (the “NED Plan”) as all future awards will be made out of the 2018 Plan.</w:t>
      </w:r>
    </w:p>
    <w:p>
      <w:pPr>
        <w:spacing w:after="0" w:line="125" w:lineRule="exact"/>
        <w:rPr>
          <w:sz w:val="20"/>
          <w:szCs w:val="20"/>
          <w:color w:val="auto"/>
        </w:rPr>
      </w:pPr>
    </w:p>
    <w:p>
      <w:pPr>
        <w:ind w:right="120" w:firstLine="488"/>
        <w:spacing w:after="0" w:line="264" w:lineRule="auto"/>
        <w:rPr>
          <w:sz w:val="20"/>
          <w:szCs w:val="20"/>
          <w:color w:val="auto"/>
        </w:rPr>
      </w:pPr>
      <w:r>
        <w:rPr>
          <w:rFonts w:ascii="Arial" w:cs="Arial" w:eastAsia="Arial" w:hAnsi="Arial"/>
          <w:sz w:val="12"/>
          <w:szCs w:val="12"/>
          <w:color w:val="auto"/>
        </w:rPr>
        <w:t>The Company’s board of directors determines eligibility, vesting schedules and criteria and exercise prices for stock awards granted under the 2018 Plan. Options and restricted stock unit awards under the 2018 Plan, the 2013 Plan and the 2004 Plan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Restricted stock units with time-based vesting generally vest at a rate of 25% per year over four years with consideration satisfied by service to the Company. The Company also issues stock awards with performance conditions.</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20" w:top="487" w:right="299" w:bottom="1440" w:gutter="0" w:footer="0" w:header="0"/>
        </w:sectPr>
      </w:pPr>
    </w:p>
    <w:bookmarkStart w:id="94" w:name="page95"/>
    <w:bookmarkEnd w:id="94"/>
    <w:p>
      <w:pPr>
        <w:ind w:left="480"/>
        <w:spacing w:after="0"/>
        <w:rPr>
          <w:sz w:val="20"/>
          <w:szCs w:val="20"/>
          <w:color w:val="auto"/>
        </w:rPr>
      </w:pPr>
      <w:r>
        <w:rPr>
          <w:rFonts w:ascii="Arial" w:cs="Arial" w:eastAsia="Arial" w:hAnsi="Arial"/>
          <w:sz w:val="12"/>
          <w:szCs w:val="12"/>
          <w:color w:val="auto"/>
        </w:rPr>
        <w:t>The following table summarizes information about the Company’s stock-based award plans as of December 31, 2018:</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4"/>
              </w:rPr>
              <w:t>Outstanding</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Shares Available</w:t>
            </w:r>
          </w:p>
        </w:tc>
      </w:tr>
      <w:tr>
        <w:trPr>
          <w:trHeight w:val="99"/>
        </w:trPr>
        <w:tc>
          <w:tcPr>
            <w:tcW w:w="2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00" w:type="dxa"/>
            <w:vAlign w:val="bottom"/>
            <w:gridSpan w:val="2"/>
          </w:tcPr>
          <w:p>
            <w:pPr>
              <w:ind w:left="260"/>
              <w:spacing w:after="0" w:line="99" w:lineRule="exact"/>
              <w:rPr>
                <w:sz w:val="20"/>
                <w:szCs w:val="20"/>
                <w:color w:val="auto"/>
              </w:rPr>
            </w:pPr>
            <w:r>
              <w:rPr>
                <w:rFonts w:ascii="Arial" w:cs="Arial" w:eastAsia="Arial" w:hAnsi="Arial"/>
                <w:sz w:val="10"/>
                <w:szCs w:val="10"/>
                <w:b w:val="1"/>
                <w:bCs w:val="1"/>
                <w:color w:val="auto"/>
              </w:rPr>
              <w:t>Outstanding</w:t>
            </w:r>
          </w:p>
        </w:tc>
        <w:tc>
          <w:tcPr>
            <w:tcW w:w="130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5"/>
              </w:rPr>
              <w:t>Restricted</w:t>
            </w:r>
          </w:p>
        </w:tc>
        <w:tc>
          <w:tcPr>
            <w:tcW w:w="118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8"/>
              </w:rPr>
              <w:t>for Future</w:t>
            </w:r>
          </w:p>
        </w:tc>
      </w:tr>
      <w:tr>
        <w:trPr>
          <w:trHeight w:val="114"/>
        </w:trPr>
        <w:tc>
          <w:tcPr>
            <w:tcW w:w="260" w:type="dxa"/>
            <w:vAlign w:val="bottom"/>
            <w:tcBorders>
              <w:bottom w:val="single" w:sz="8" w:color="CFF0FC"/>
            </w:tcBorders>
          </w:tcPr>
          <w:p>
            <w:pPr>
              <w:spacing w:after="0"/>
              <w:rPr>
                <w:sz w:val="9"/>
                <w:szCs w:val="9"/>
                <w:color w:val="auto"/>
              </w:rPr>
            </w:pPr>
          </w:p>
        </w:tc>
        <w:tc>
          <w:tcPr>
            <w:tcW w:w="516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right"/>
              <w:ind w:right="323"/>
              <w:spacing w:after="0" w:line="114" w:lineRule="exact"/>
              <w:rPr>
                <w:sz w:val="20"/>
                <w:szCs w:val="20"/>
                <w:color w:val="auto"/>
              </w:rPr>
            </w:pPr>
            <w:r>
              <w:rPr>
                <w:rFonts w:ascii="Arial" w:cs="Arial" w:eastAsia="Arial" w:hAnsi="Arial"/>
                <w:sz w:val="10"/>
                <w:szCs w:val="10"/>
                <w:b w:val="1"/>
                <w:bCs w:val="1"/>
                <w:color w:val="auto"/>
              </w:rPr>
              <w:t>Options</w:t>
            </w:r>
          </w:p>
        </w:tc>
        <w:tc>
          <w:tcPr>
            <w:tcW w:w="24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3"/>
              </w:rPr>
              <w:t>Stock Units</w:t>
            </w:r>
          </w:p>
        </w:tc>
        <w:tc>
          <w:tcPr>
            <w:tcW w:w="2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79"/>
              </w:rPr>
              <w:t>Issuance</w:t>
            </w:r>
          </w:p>
        </w:tc>
        <w:tc>
          <w:tcPr>
            <w:tcW w:w="100" w:type="dxa"/>
            <w:vAlign w:val="bottom"/>
            <w:tcBorders>
              <w:bottom w:val="single" w:sz="8" w:color="CFF0FC"/>
            </w:tcBorders>
          </w:tcPr>
          <w:p>
            <w:pPr>
              <w:spacing w:after="0"/>
              <w:rPr>
                <w:sz w:val="9"/>
                <w:szCs w:val="9"/>
                <w:color w:val="auto"/>
              </w:rPr>
            </w:pPr>
          </w:p>
        </w:tc>
      </w:tr>
      <w:tr>
        <w:trPr>
          <w:trHeight w:val="142"/>
        </w:trPr>
        <w:tc>
          <w:tcPr>
            <w:tcW w:w="260" w:type="dxa"/>
            <w:vAlign w:val="bottom"/>
            <w:shd w:val="clear" w:color="auto" w:fill="CFF0FC"/>
          </w:tcPr>
          <w:p>
            <w:pPr>
              <w:spacing w:after="0"/>
              <w:rPr>
                <w:sz w:val="20"/>
                <w:szCs w:val="20"/>
                <w:color w:val="auto"/>
              </w:rPr>
            </w:pPr>
            <w:r>
              <w:rPr>
                <w:rFonts w:ascii="Arial" w:cs="Arial" w:eastAsia="Arial" w:hAnsi="Arial"/>
                <w:sz w:val="12"/>
                <w:szCs w:val="12"/>
                <w:color w:val="auto"/>
                <w:w w:val="89"/>
              </w:rPr>
              <w:t>2004</w:t>
            </w:r>
          </w:p>
        </w:tc>
        <w:tc>
          <w:tcPr>
            <w:tcW w:w="5160" w:type="dxa"/>
            <w:vAlign w:val="bottom"/>
            <w:shd w:val="clear" w:color="auto" w:fill="CFF0FC"/>
          </w:tcPr>
          <w:p>
            <w:pPr>
              <w:ind w:left="20"/>
              <w:spacing w:after="0"/>
              <w:rPr>
                <w:sz w:val="20"/>
                <w:szCs w:val="20"/>
                <w:color w:val="auto"/>
              </w:rPr>
            </w:pPr>
            <w:r>
              <w:rPr>
                <w:rFonts w:ascii="Arial" w:cs="Arial" w:eastAsia="Arial" w:hAnsi="Arial"/>
                <w:sz w:val="12"/>
                <w:szCs w:val="12"/>
                <w:color w:val="auto"/>
              </w:rPr>
              <w:t>Equity Incentive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933,402</w:t>
            </w:r>
          </w:p>
        </w:tc>
        <w:tc>
          <w:tcPr>
            <w:tcW w:w="2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260" w:type="dxa"/>
            <w:vAlign w:val="bottom"/>
          </w:tcPr>
          <w:p>
            <w:pPr>
              <w:spacing w:after="0"/>
              <w:rPr>
                <w:sz w:val="20"/>
                <w:szCs w:val="20"/>
                <w:color w:val="auto"/>
              </w:rPr>
            </w:pPr>
            <w:r>
              <w:rPr>
                <w:rFonts w:ascii="Arial" w:cs="Arial" w:eastAsia="Arial" w:hAnsi="Arial"/>
                <w:sz w:val="12"/>
                <w:szCs w:val="12"/>
                <w:color w:val="auto"/>
                <w:w w:val="89"/>
              </w:rPr>
              <w:t>2013</w:t>
            </w:r>
          </w:p>
        </w:tc>
        <w:tc>
          <w:tcPr>
            <w:tcW w:w="5160" w:type="dxa"/>
            <w:vAlign w:val="bottom"/>
          </w:tcPr>
          <w:p>
            <w:pPr>
              <w:ind w:left="20"/>
              <w:spacing w:after="0"/>
              <w:rPr>
                <w:sz w:val="20"/>
                <w:szCs w:val="20"/>
                <w:color w:val="auto"/>
              </w:rPr>
            </w:pPr>
            <w:r>
              <w:rPr>
                <w:rFonts w:ascii="Arial" w:cs="Arial" w:eastAsia="Arial" w:hAnsi="Arial"/>
                <w:sz w:val="12"/>
                <w:szCs w:val="12"/>
                <w:color w:val="auto"/>
              </w:rPr>
              <w:t>Equity Incentive Plan</w:t>
            </w:r>
          </w:p>
        </w:tc>
        <w:tc>
          <w:tcPr>
            <w:tcW w:w="1060" w:type="dxa"/>
            <w:vAlign w:val="bottom"/>
          </w:tcPr>
          <w:p>
            <w:pPr>
              <w:jc w:val="right"/>
              <w:spacing w:after="0"/>
              <w:rPr>
                <w:sz w:val="20"/>
                <w:szCs w:val="20"/>
                <w:color w:val="auto"/>
              </w:rPr>
            </w:pPr>
            <w:r>
              <w:rPr>
                <w:rFonts w:ascii="Arial" w:cs="Arial" w:eastAsia="Arial" w:hAnsi="Arial"/>
                <w:sz w:val="12"/>
                <w:szCs w:val="12"/>
                <w:color w:val="auto"/>
              </w:rPr>
              <w:t>5,766,448</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691,266</w:t>
            </w:r>
          </w:p>
        </w:tc>
        <w:tc>
          <w:tcPr>
            <w:tcW w:w="22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260" w:type="dxa"/>
            <w:vAlign w:val="bottom"/>
            <w:shd w:val="clear" w:color="auto" w:fill="CFF0FC"/>
          </w:tcPr>
          <w:p>
            <w:pPr>
              <w:spacing w:after="0"/>
              <w:rPr>
                <w:sz w:val="20"/>
                <w:szCs w:val="20"/>
                <w:color w:val="auto"/>
              </w:rPr>
            </w:pPr>
            <w:r>
              <w:rPr>
                <w:rFonts w:ascii="Arial" w:cs="Arial" w:eastAsia="Arial" w:hAnsi="Arial"/>
                <w:sz w:val="12"/>
                <w:szCs w:val="12"/>
                <w:color w:val="auto"/>
                <w:w w:val="89"/>
              </w:rPr>
              <w:t>2018</w:t>
            </w:r>
          </w:p>
        </w:tc>
        <w:tc>
          <w:tcPr>
            <w:tcW w:w="5160" w:type="dxa"/>
            <w:vAlign w:val="bottom"/>
            <w:shd w:val="clear" w:color="auto" w:fill="CFF0FC"/>
          </w:tcPr>
          <w:p>
            <w:pPr>
              <w:ind w:left="20"/>
              <w:spacing w:after="0"/>
              <w:rPr>
                <w:sz w:val="20"/>
                <w:szCs w:val="20"/>
                <w:color w:val="auto"/>
              </w:rPr>
            </w:pPr>
            <w:r>
              <w:rPr>
                <w:rFonts w:ascii="Arial" w:cs="Arial" w:eastAsia="Arial" w:hAnsi="Arial"/>
                <w:sz w:val="12"/>
                <w:szCs w:val="12"/>
                <w:color w:val="auto"/>
              </w:rPr>
              <w:t>Equity Incentive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4,225,603</w:t>
            </w: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9,211,379</w:t>
            </w:r>
          </w:p>
        </w:tc>
        <w:tc>
          <w:tcPr>
            <w:tcW w:w="100" w:type="dxa"/>
            <w:vAlign w:val="bottom"/>
            <w:shd w:val="clear" w:color="auto" w:fill="CFF0FC"/>
          </w:tcPr>
          <w:p>
            <w:pPr>
              <w:spacing w:after="0"/>
              <w:rPr>
                <w:sz w:val="13"/>
                <w:szCs w:val="13"/>
                <w:color w:val="auto"/>
              </w:rPr>
            </w:pPr>
          </w:p>
        </w:tc>
      </w:tr>
      <w:tr>
        <w:trPr>
          <w:trHeight w:val="153"/>
        </w:trPr>
        <w:tc>
          <w:tcPr>
            <w:tcW w:w="260" w:type="dxa"/>
            <w:vAlign w:val="bottom"/>
          </w:tcPr>
          <w:p>
            <w:pPr>
              <w:spacing w:after="0"/>
              <w:rPr>
                <w:sz w:val="20"/>
                <w:szCs w:val="20"/>
                <w:color w:val="auto"/>
              </w:rPr>
            </w:pPr>
            <w:r>
              <w:rPr>
                <w:rFonts w:ascii="Arial" w:cs="Arial" w:eastAsia="Arial" w:hAnsi="Arial"/>
                <w:sz w:val="12"/>
                <w:szCs w:val="12"/>
                <w:color w:val="auto"/>
                <w:w w:val="89"/>
              </w:rPr>
              <w:t>2004</w:t>
            </w:r>
          </w:p>
        </w:tc>
        <w:tc>
          <w:tcPr>
            <w:tcW w:w="5160" w:type="dxa"/>
            <w:vAlign w:val="bottom"/>
          </w:tcPr>
          <w:p>
            <w:pPr>
              <w:ind w:left="20"/>
              <w:spacing w:after="0"/>
              <w:rPr>
                <w:sz w:val="20"/>
                <w:szCs w:val="20"/>
                <w:color w:val="auto"/>
              </w:rPr>
            </w:pPr>
            <w:r>
              <w:rPr>
                <w:rFonts w:ascii="Arial" w:cs="Arial" w:eastAsia="Arial" w:hAnsi="Arial"/>
                <w:sz w:val="12"/>
                <w:szCs w:val="12"/>
                <w:color w:val="auto"/>
              </w:rPr>
              <w:t>Non-Employee Directors’ Stock Option Plan</w:t>
            </w:r>
          </w:p>
        </w:tc>
        <w:tc>
          <w:tcPr>
            <w:tcW w:w="1060" w:type="dxa"/>
            <w:vAlign w:val="bottom"/>
          </w:tcPr>
          <w:p>
            <w:pPr>
              <w:jc w:val="right"/>
              <w:spacing w:after="0"/>
              <w:rPr>
                <w:sz w:val="20"/>
                <w:szCs w:val="20"/>
                <w:color w:val="auto"/>
              </w:rPr>
            </w:pPr>
            <w:r>
              <w:rPr>
                <w:rFonts w:ascii="Arial" w:cs="Arial" w:eastAsia="Arial" w:hAnsi="Arial"/>
                <w:sz w:val="12"/>
                <w:szCs w:val="12"/>
                <w:color w:val="auto"/>
              </w:rPr>
              <w:t>50,665</w:t>
            </w:r>
          </w:p>
        </w:tc>
        <w:tc>
          <w:tcPr>
            <w:tcW w:w="24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w w:val="89"/>
              </w:rPr>
              <w:t>Total</w:t>
            </w:r>
          </w:p>
        </w:tc>
        <w:tc>
          <w:tcPr>
            <w:tcW w:w="5160" w:type="dxa"/>
            <w:vAlign w:val="bottom"/>
            <w:tcBorders>
              <w:top w:val="single" w:sz="8" w:color="CFF0FC"/>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10,976,118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691,266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9,211,379</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right="220" w:firstLine="488"/>
        <w:spacing w:after="0" w:line="263" w:lineRule="auto"/>
        <w:rPr>
          <w:sz w:val="20"/>
          <w:szCs w:val="20"/>
          <w:color w:val="auto"/>
        </w:rPr>
      </w:pPr>
      <w:r>
        <w:rPr>
          <w:rFonts w:ascii="Arial" w:cs="Arial" w:eastAsia="Arial" w:hAnsi="Arial"/>
          <w:sz w:val="12"/>
          <w:szCs w:val="12"/>
          <w:color w:val="auto"/>
        </w:rPr>
        <w:t>Share-based payment transactions are recognized as compensation cost based on the fair value of the instrument on the date of grant. 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2"/>
          <w:szCs w:val="12"/>
          <w:color w:val="auto"/>
        </w:rPr>
        <w:t>During the years ended December 31, 2018, 2017 and 2016, the Company recorded stock-based compensation expense of $6.9 million, $4.8 million and $5.1 million, respectively.</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Total stock-based compensation expense recognized in the accompanying consolidated statements of operations is included in the following categories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3540" w:type="dxa"/>
            <w:vAlign w:val="bottom"/>
            <w:tcBorders>
              <w:bottom w:val="single" w:sz="8" w:color="CFF0FC"/>
            </w:tcBorders>
          </w:tcPr>
          <w:p>
            <w:pPr>
              <w:spacing w:after="0"/>
              <w:rPr>
                <w:sz w:val="8"/>
                <w:szCs w:val="8"/>
                <w:color w:val="auto"/>
              </w:rPr>
            </w:pPr>
          </w:p>
        </w:tc>
        <w:tc>
          <w:tcPr>
            <w:tcW w:w="1880" w:type="dxa"/>
            <w:vAlign w:val="bottom"/>
            <w:tcBorders>
              <w:bottom w:val="single" w:sz="8" w:color="CFF0FC"/>
            </w:tcBorders>
          </w:tcPr>
          <w:p>
            <w:pPr>
              <w:spacing w:after="0"/>
              <w:rPr>
                <w:sz w:val="8"/>
                <w:szCs w:val="8"/>
                <w:color w:val="auto"/>
              </w:rPr>
            </w:pPr>
          </w:p>
        </w:tc>
        <w:tc>
          <w:tcPr>
            <w:tcW w:w="700" w:type="dxa"/>
            <w:vAlign w:val="bottom"/>
            <w:tcBorders>
              <w:bottom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rPr>
              <w:t>2018</w:t>
            </w: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8"/>
                <w:szCs w:val="8"/>
                <w:color w:val="auto"/>
              </w:rPr>
            </w:pPr>
          </w:p>
        </w:tc>
      </w:tr>
      <w:tr>
        <w:trPr>
          <w:trHeight w:val="142"/>
        </w:trPr>
        <w:tc>
          <w:tcPr>
            <w:tcW w:w="3540" w:type="dxa"/>
            <w:vAlign w:val="bottom"/>
            <w:shd w:val="clear" w:color="auto" w:fill="CFF0FC"/>
          </w:tcPr>
          <w:p>
            <w:pPr>
              <w:spacing w:after="0"/>
              <w:rPr>
                <w:sz w:val="20"/>
                <w:szCs w:val="20"/>
                <w:color w:val="auto"/>
              </w:rPr>
            </w:pPr>
            <w:r>
              <w:rPr>
                <w:rFonts w:ascii="Arial" w:cs="Arial" w:eastAsia="Arial" w:hAnsi="Arial"/>
                <w:sz w:val="12"/>
                <w:szCs w:val="12"/>
                <w:color w:val="auto"/>
              </w:rPr>
              <w:t>Cost of goods sold</w:t>
            </w:r>
          </w:p>
        </w:tc>
        <w:tc>
          <w:tcPr>
            <w:tcW w:w="2580" w:type="dxa"/>
            <w:vAlign w:val="bottom"/>
            <w:gridSpan w:val="2"/>
            <w:shd w:val="clear" w:color="auto" w:fill="CFF0FC"/>
          </w:tcPr>
          <w:p>
            <w:pPr>
              <w:jc w:val="right"/>
              <w:ind w:right="592"/>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w:t>
            </w:r>
          </w:p>
        </w:tc>
        <w:tc>
          <w:tcPr>
            <w:tcW w:w="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695</w:t>
            </w:r>
          </w:p>
        </w:tc>
        <w:tc>
          <w:tcPr>
            <w:tcW w:w="100" w:type="dxa"/>
            <w:vAlign w:val="bottom"/>
            <w:shd w:val="clear" w:color="auto" w:fill="CFF0FC"/>
          </w:tcPr>
          <w:p>
            <w:pPr>
              <w:spacing w:after="0"/>
              <w:rPr>
                <w:sz w:val="12"/>
                <w:szCs w:val="12"/>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1,203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1,010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1,309</w:t>
            </w:r>
          </w:p>
        </w:tc>
        <w:tc>
          <w:tcPr>
            <w:tcW w:w="100" w:type="dxa"/>
            <w:vAlign w:val="bottom"/>
          </w:tcPr>
          <w:p>
            <w:pPr>
              <w:spacing w:after="0"/>
              <w:rPr>
                <w:sz w:val="13"/>
                <w:szCs w:val="13"/>
                <w:color w:val="auto"/>
              </w:rPr>
            </w:pPr>
          </w:p>
        </w:tc>
      </w:tr>
      <w:tr>
        <w:trPr>
          <w:trHeight w:val="153"/>
        </w:trPr>
        <w:tc>
          <w:tcPr>
            <w:tcW w:w="3540" w:type="dxa"/>
            <w:vAlign w:val="bottom"/>
            <w:shd w:val="clear" w:color="auto" w:fill="CFF0FC"/>
          </w:tcPr>
          <w:p>
            <w:pPr>
              <w:spacing w:after="0"/>
              <w:rPr>
                <w:sz w:val="20"/>
                <w:szCs w:val="20"/>
                <w:color w:val="auto"/>
              </w:rPr>
            </w:pPr>
            <w:r>
              <w:rPr>
                <w:rFonts w:ascii="Arial" w:cs="Arial" w:eastAsia="Arial" w:hAnsi="Arial"/>
                <w:sz w:val="12"/>
                <w:szCs w:val="12"/>
                <w:color w:val="auto"/>
              </w:rPr>
              <w:t>Selling, general and administrative</w:t>
            </w:r>
          </w:p>
        </w:tc>
        <w:tc>
          <w:tcPr>
            <w:tcW w:w="188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5,275</w:t>
            </w:r>
          </w:p>
        </w:tc>
        <w:tc>
          <w:tcPr>
            <w:tcW w:w="24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3,377</w:t>
            </w:r>
          </w:p>
        </w:tc>
        <w:tc>
          <w:tcPr>
            <w:tcW w:w="2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3,131</w:t>
            </w:r>
          </w:p>
        </w:tc>
        <w:tc>
          <w:tcPr>
            <w:tcW w:w="100" w:type="dxa"/>
            <w:vAlign w:val="bottom"/>
            <w:shd w:val="clear" w:color="auto" w:fill="CFF0FC"/>
          </w:tcPr>
          <w:p>
            <w:pPr>
              <w:spacing w:after="0"/>
              <w:rPr>
                <w:sz w:val="13"/>
                <w:szCs w:val="13"/>
                <w:color w:val="auto"/>
              </w:rPr>
            </w:pPr>
          </w:p>
        </w:tc>
      </w:tr>
      <w:tr>
        <w:trPr>
          <w:trHeight w:val="142"/>
        </w:trPr>
        <w:tc>
          <w:tcPr>
            <w:tcW w:w="3540" w:type="dxa"/>
            <w:vAlign w:val="bottom"/>
          </w:tcPr>
          <w:p>
            <w:pPr>
              <w:spacing w:after="0"/>
              <w:rPr>
                <w:sz w:val="20"/>
                <w:szCs w:val="20"/>
                <w:color w:val="auto"/>
              </w:rPr>
            </w:pPr>
            <w:r>
              <w:rPr>
                <w:rFonts w:ascii="Arial" w:cs="Arial" w:eastAsia="Arial" w:hAnsi="Arial"/>
                <w:sz w:val="12"/>
                <w:szCs w:val="12"/>
                <w:color w:val="auto"/>
              </w:rPr>
              <w:t>Total</w:t>
            </w:r>
          </w:p>
        </w:tc>
        <w:tc>
          <w:tcPr>
            <w:tcW w:w="2580" w:type="dxa"/>
            <w:vAlign w:val="bottom"/>
            <w:gridSpan w:val="2"/>
          </w:tcPr>
          <w:p>
            <w:pPr>
              <w:jc w:val="right"/>
              <w:ind w:right="592"/>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6,857</w:t>
            </w:r>
          </w:p>
        </w:tc>
        <w:tc>
          <w:tcPr>
            <w:tcW w:w="48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4,847</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5,135</w:t>
            </w:r>
          </w:p>
        </w:tc>
        <w:tc>
          <w:tcPr>
            <w:tcW w:w="100" w:type="dxa"/>
            <w:vAlign w:val="bottom"/>
          </w:tcPr>
          <w:p>
            <w:pPr>
              <w:spacing w:after="0"/>
              <w:rPr>
                <w:sz w:val="12"/>
                <w:szCs w:val="12"/>
                <w:color w:val="auto"/>
              </w:rPr>
            </w:pP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5" w:lineRule="exact"/>
        <w:rPr>
          <w:sz w:val="20"/>
          <w:szCs w:val="20"/>
          <w:color w:val="auto"/>
        </w:rPr>
      </w:pPr>
    </w:p>
    <w:p>
      <w:pPr>
        <w:ind w:right="100" w:firstLine="488"/>
        <w:spacing w:after="0" w:line="259" w:lineRule="auto"/>
        <w:rPr>
          <w:sz w:val="20"/>
          <w:szCs w:val="20"/>
          <w:color w:val="auto"/>
        </w:rPr>
      </w:pPr>
      <w:r>
        <w:rPr>
          <w:rFonts w:ascii="Arial" w:cs="Arial" w:eastAsia="Arial" w:hAnsi="Arial"/>
          <w:sz w:val="12"/>
          <w:szCs w:val="12"/>
          <w:color w:val="auto"/>
        </w:rPr>
        <w:t>The expected volatility assumption used in the Company’s Black-Sholes option valuation model is based on an assessment of the historical volatility, with consideration of implied volatility, derived from an analysis of historical trade activity.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2018, 2017 and 2016 using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ind w:left="300"/>
              <w:spacing w:after="0"/>
              <w:rPr>
                <w:sz w:val="20"/>
                <w:szCs w:val="20"/>
                <w:color w:val="auto"/>
              </w:rPr>
            </w:pPr>
            <w:r>
              <w:rPr>
                <w:rFonts w:ascii="Arial" w:cs="Arial" w:eastAsia="Arial" w:hAnsi="Arial"/>
                <w:sz w:val="10"/>
                <w:szCs w:val="10"/>
                <w:b w:val="1"/>
                <w:bCs w:val="1"/>
                <w:color w:val="auto"/>
                <w:w w:val="86"/>
              </w:rPr>
              <w:t>Year Ended December 31,</w:t>
            </w: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97"/>
        </w:trPr>
        <w:tc>
          <w:tcPr>
            <w:tcW w:w="1140" w:type="dxa"/>
            <w:vAlign w:val="bottom"/>
          </w:tcPr>
          <w:p>
            <w:pPr>
              <w:spacing w:after="0"/>
              <w:rPr>
                <w:sz w:val="8"/>
                <w:szCs w:val="8"/>
                <w:color w:val="auto"/>
              </w:rPr>
            </w:pPr>
          </w:p>
        </w:tc>
        <w:tc>
          <w:tcPr>
            <w:tcW w:w="3640" w:type="dxa"/>
            <w:vAlign w:val="bottom"/>
            <w:tcBorders>
              <w:bottom w:val="single" w:sz="8" w:color="CFF0FC"/>
            </w:tcBorders>
          </w:tcPr>
          <w:p>
            <w:pPr>
              <w:spacing w:after="0"/>
              <w:rPr>
                <w:sz w:val="8"/>
                <w:szCs w:val="8"/>
                <w:color w:val="auto"/>
              </w:rPr>
            </w:pPr>
          </w:p>
        </w:tc>
        <w:tc>
          <w:tcPr>
            <w:tcW w:w="1680" w:type="dxa"/>
            <w:vAlign w:val="bottom"/>
            <w:tcBorders>
              <w:bottom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80"/>
              </w:rPr>
              <w:t>2018</w:t>
            </w: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980" w:type="dxa"/>
            <w:vAlign w:val="bottom"/>
            <w:tcBorders>
              <w:bottom w:val="single" w:sz="8" w:color="auto"/>
            </w:tcBorders>
          </w:tcPr>
          <w:p>
            <w:pPr>
              <w:jc w:val="center"/>
              <w:ind w:left="643"/>
              <w:spacing w:after="0" w:line="97" w:lineRule="exact"/>
              <w:rPr>
                <w:sz w:val="20"/>
                <w:szCs w:val="20"/>
                <w:color w:val="auto"/>
              </w:rPr>
            </w:pPr>
            <w:r>
              <w:rPr>
                <w:rFonts w:ascii="Arial" w:cs="Arial" w:eastAsia="Arial" w:hAnsi="Arial"/>
                <w:sz w:val="10"/>
                <w:szCs w:val="10"/>
                <w:b w:val="1"/>
                <w:bCs w:val="1"/>
                <w:color w:val="auto"/>
                <w:w w:val="89"/>
              </w:rPr>
              <w:t>2017</w:t>
            </w: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jc w:val="right"/>
              <w:ind w:right="489"/>
              <w:spacing w:after="0" w:line="97" w:lineRule="exact"/>
              <w:rPr>
                <w:sz w:val="20"/>
                <w:szCs w:val="20"/>
                <w:color w:val="auto"/>
              </w:rPr>
            </w:pPr>
            <w:r>
              <w:rPr>
                <w:rFonts w:ascii="Arial" w:cs="Arial" w:eastAsia="Arial" w:hAnsi="Arial"/>
                <w:sz w:val="10"/>
                <w:szCs w:val="10"/>
                <w:b w:val="1"/>
                <w:bCs w:val="1"/>
                <w:color w:val="auto"/>
              </w:rPr>
              <w:t>2016</w:t>
            </w: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160" w:type="dxa"/>
            <w:vAlign w:val="bottom"/>
          </w:tcPr>
          <w:p>
            <w:pPr>
              <w:spacing w:after="0"/>
              <w:rPr>
                <w:sz w:val="8"/>
                <w:szCs w:val="8"/>
                <w:color w:val="auto"/>
              </w:rPr>
            </w:pPr>
          </w:p>
        </w:tc>
      </w:tr>
      <w:tr>
        <w:trPr>
          <w:trHeight w:val="142"/>
        </w:trPr>
        <w:tc>
          <w:tcPr>
            <w:tcW w:w="1140" w:type="dxa"/>
            <w:vAlign w:val="bottom"/>
          </w:tcPr>
          <w:p>
            <w:pPr>
              <w:spacing w:after="0"/>
              <w:rPr>
                <w:sz w:val="12"/>
                <w:szCs w:val="12"/>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Risk-free interest rate</w:t>
            </w:r>
          </w:p>
        </w:tc>
        <w:tc>
          <w:tcPr>
            <w:tcW w:w="1880" w:type="dxa"/>
            <w:vAlign w:val="bottom"/>
            <w:gridSpan w:val="3"/>
            <w:shd w:val="clear" w:color="auto" w:fill="CFF0FC"/>
          </w:tcPr>
          <w:p>
            <w:pPr>
              <w:jc w:val="center"/>
              <w:ind w:right="220"/>
              <w:spacing w:after="0"/>
              <w:rPr>
                <w:sz w:val="20"/>
                <w:szCs w:val="20"/>
                <w:color w:val="auto"/>
              </w:rPr>
            </w:pPr>
            <w:r>
              <w:rPr>
                <w:rFonts w:ascii="Arial" w:cs="Arial" w:eastAsia="Arial" w:hAnsi="Arial"/>
                <w:sz w:val="12"/>
                <w:szCs w:val="12"/>
                <w:color w:val="auto"/>
                <w:w w:val="89"/>
              </w:rPr>
              <w:t>2.63% — 3.11%</w:t>
            </w:r>
          </w:p>
        </w:tc>
        <w:tc>
          <w:tcPr>
            <w:tcW w:w="1380" w:type="dxa"/>
            <w:vAlign w:val="bottom"/>
            <w:gridSpan w:val="4"/>
            <w:shd w:val="clear" w:color="auto" w:fill="CFF0FC"/>
          </w:tcPr>
          <w:p>
            <w:pPr>
              <w:jc w:val="center"/>
              <w:ind w:left="243"/>
              <w:spacing w:after="0"/>
              <w:rPr>
                <w:sz w:val="20"/>
                <w:szCs w:val="20"/>
                <w:color w:val="auto"/>
              </w:rPr>
            </w:pPr>
            <w:r>
              <w:rPr>
                <w:rFonts w:ascii="Arial" w:cs="Arial" w:eastAsia="Arial" w:hAnsi="Arial"/>
                <w:sz w:val="12"/>
                <w:szCs w:val="12"/>
                <w:color w:val="auto"/>
                <w:w w:val="92"/>
              </w:rPr>
              <w:t>1.83% — 2.13%</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9"/>
              <w:spacing w:after="0"/>
              <w:rPr>
                <w:sz w:val="20"/>
                <w:szCs w:val="20"/>
                <w:color w:val="auto"/>
              </w:rPr>
            </w:pPr>
            <w:r>
              <w:rPr>
                <w:rFonts w:ascii="Arial" w:cs="Arial" w:eastAsia="Arial" w:hAnsi="Arial"/>
                <w:sz w:val="12"/>
                <w:szCs w:val="12"/>
                <w:color w:val="auto"/>
                <w:w w:val="96"/>
              </w:rPr>
              <w:t>1.18% — 1.80%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4780" w:type="dxa"/>
            <w:vAlign w:val="bottom"/>
            <w:gridSpan w:val="2"/>
          </w:tcPr>
          <w:p>
            <w:pPr>
              <w:ind w:left="1140"/>
              <w:spacing w:after="0"/>
              <w:rPr>
                <w:sz w:val="20"/>
                <w:szCs w:val="20"/>
                <w:color w:val="auto"/>
              </w:rPr>
            </w:pPr>
            <w:r>
              <w:rPr>
                <w:rFonts w:ascii="Arial" w:cs="Arial" w:eastAsia="Arial" w:hAnsi="Arial"/>
                <w:sz w:val="12"/>
                <w:szCs w:val="12"/>
                <w:color w:val="auto"/>
              </w:rPr>
              <w:t>Expected lives</w:t>
            </w:r>
          </w:p>
        </w:tc>
        <w:tc>
          <w:tcPr>
            <w:tcW w:w="1880" w:type="dxa"/>
            <w:vAlign w:val="bottom"/>
            <w:gridSpan w:val="3"/>
          </w:tcPr>
          <w:p>
            <w:pPr>
              <w:ind w:left="380"/>
              <w:spacing w:after="0"/>
              <w:rPr>
                <w:sz w:val="20"/>
                <w:szCs w:val="20"/>
                <w:color w:val="auto"/>
              </w:rPr>
            </w:pPr>
            <w:r>
              <w:rPr>
                <w:rFonts w:ascii="Arial" w:cs="Arial" w:eastAsia="Arial" w:hAnsi="Arial"/>
                <w:sz w:val="12"/>
                <w:szCs w:val="12"/>
                <w:color w:val="auto"/>
              </w:rPr>
              <w:t>5.90 — 7.19 years</w:t>
            </w:r>
          </w:p>
        </w:tc>
        <w:tc>
          <w:tcPr>
            <w:tcW w:w="1380" w:type="dxa"/>
            <w:vAlign w:val="bottom"/>
            <w:gridSpan w:val="4"/>
          </w:tcPr>
          <w:p>
            <w:pPr>
              <w:jc w:val="right"/>
              <w:ind w:right="100"/>
              <w:spacing w:after="0"/>
              <w:rPr>
                <w:sz w:val="20"/>
                <w:szCs w:val="20"/>
                <w:color w:val="auto"/>
              </w:rPr>
            </w:pPr>
            <w:r>
              <w:rPr>
                <w:rFonts w:ascii="Arial" w:cs="Arial" w:eastAsia="Arial" w:hAnsi="Arial"/>
                <w:sz w:val="12"/>
                <w:szCs w:val="12"/>
                <w:color w:val="auto"/>
              </w:rPr>
              <w:t>5.41 — 5.78 years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right"/>
              <w:ind w:right="129"/>
              <w:spacing w:after="0"/>
              <w:rPr>
                <w:sz w:val="20"/>
                <w:szCs w:val="20"/>
                <w:color w:val="auto"/>
              </w:rPr>
            </w:pPr>
            <w:r>
              <w:rPr>
                <w:rFonts w:ascii="Arial" w:cs="Arial" w:eastAsia="Arial" w:hAnsi="Arial"/>
                <w:sz w:val="12"/>
                <w:szCs w:val="12"/>
                <w:color w:val="auto"/>
                <w:w w:val="89"/>
              </w:rPr>
              <w:t>5.13 — 5.82 years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Volatility</w:t>
            </w:r>
          </w:p>
        </w:tc>
        <w:tc>
          <w:tcPr>
            <w:tcW w:w="1880" w:type="dxa"/>
            <w:vAlign w:val="bottom"/>
            <w:gridSpan w:val="3"/>
            <w:shd w:val="clear" w:color="auto" w:fill="CFF0FC"/>
          </w:tcPr>
          <w:p>
            <w:pPr>
              <w:jc w:val="center"/>
              <w:ind w:right="240"/>
              <w:spacing w:after="0"/>
              <w:rPr>
                <w:sz w:val="20"/>
                <w:szCs w:val="20"/>
                <w:color w:val="auto"/>
              </w:rPr>
            </w:pPr>
            <w:r>
              <w:rPr>
                <w:rFonts w:ascii="Arial" w:cs="Arial" w:eastAsia="Arial" w:hAnsi="Arial"/>
                <w:sz w:val="12"/>
                <w:szCs w:val="12"/>
                <w:color w:val="auto"/>
                <w:w w:val="91"/>
              </w:rPr>
              <w:t>92.68% — 93.62%</w:t>
            </w:r>
          </w:p>
        </w:tc>
        <w:tc>
          <w:tcPr>
            <w:tcW w:w="1380" w:type="dxa"/>
            <w:vAlign w:val="bottom"/>
            <w:gridSpan w:val="4"/>
            <w:shd w:val="clear" w:color="auto" w:fill="CFF0FC"/>
          </w:tcPr>
          <w:p>
            <w:pPr>
              <w:jc w:val="center"/>
              <w:ind w:left="243"/>
              <w:spacing w:after="0"/>
              <w:rPr>
                <w:sz w:val="20"/>
                <w:szCs w:val="20"/>
                <w:color w:val="auto"/>
              </w:rPr>
            </w:pPr>
            <w:r>
              <w:rPr>
                <w:rFonts w:ascii="Arial" w:cs="Arial" w:eastAsia="Arial" w:hAnsi="Arial"/>
                <w:sz w:val="12"/>
                <w:szCs w:val="12"/>
                <w:color w:val="auto"/>
                <w:w w:val="91"/>
              </w:rPr>
              <w:t>83.32% — 90.39%</w:t>
            </w: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9"/>
              <w:spacing w:after="0"/>
              <w:rPr>
                <w:sz w:val="20"/>
                <w:szCs w:val="20"/>
                <w:color w:val="auto"/>
              </w:rPr>
            </w:pPr>
            <w:r>
              <w:rPr>
                <w:rFonts w:ascii="Arial" w:cs="Arial" w:eastAsia="Arial" w:hAnsi="Arial"/>
                <w:sz w:val="12"/>
                <w:szCs w:val="12"/>
                <w:color w:val="auto"/>
                <w:w w:val="89"/>
              </w:rPr>
              <w:t>77.57% — 82.75%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4780" w:type="dxa"/>
            <w:vAlign w:val="bottom"/>
            <w:gridSpan w:val="2"/>
          </w:tcPr>
          <w:p>
            <w:pPr>
              <w:ind w:left="1140"/>
              <w:spacing w:after="0"/>
              <w:rPr>
                <w:sz w:val="20"/>
                <w:szCs w:val="20"/>
                <w:color w:val="auto"/>
              </w:rPr>
            </w:pPr>
            <w:r>
              <w:rPr>
                <w:rFonts w:ascii="Arial" w:cs="Arial" w:eastAsia="Arial" w:hAnsi="Arial"/>
                <w:sz w:val="12"/>
                <w:szCs w:val="12"/>
                <w:color w:val="auto"/>
              </w:rPr>
              <w:t>Dividends</w:t>
            </w:r>
          </w:p>
        </w:tc>
        <w:tc>
          <w:tcPr>
            <w:tcW w:w="1880" w:type="dxa"/>
            <w:vAlign w:val="bottom"/>
            <w:gridSpan w:val="3"/>
          </w:tcPr>
          <w:p>
            <w:pPr>
              <w:ind w:left="8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469"/>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88"/>
        </w:trPr>
        <w:tc>
          <w:tcPr>
            <w:tcW w:w="4780" w:type="dxa"/>
            <w:vAlign w:val="bottom"/>
            <w:gridSpan w:val="2"/>
          </w:tcPr>
          <w:p>
            <w:pPr>
              <w:ind w:left="480"/>
              <w:spacing w:after="0"/>
              <w:rPr>
                <w:sz w:val="20"/>
                <w:szCs w:val="20"/>
                <w:color w:val="auto"/>
              </w:rPr>
            </w:pPr>
            <w:r>
              <w:rPr>
                <w:rFonts w:ascii="Arial" w:cs="Arial" w:eastAsia="Arial" w:hAnsi="Arial"/>
                <w:sz w:val="12"/>
                <w:szCs w:val="12"/>
                <w:color w:val="auto"/>
              </w:rPr>
              <w:t>The following table summarizes information about stock options outstanding:</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1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8"/>
              </w:rPr>
              <w:t>Weighted</w:t>
            </w:r>
          </w:p>
        </w:tc>
        <w:tc>
          <w:tcPr>
            <w:tcW w:w="220" w:type="dxa"/>
            <w:vAlign w:val="bottom"/>
          </w:tcPr>
          <w:p>
            <w:pPr>
              <w:spacing w:after="0"/>
              <w:rPr>
                <w:sz w:val="20"/>
                <w:szCs w:val="20"/>
                <w:color w:val="auto"/>
              </w:rPr>
            </w:pPr>
          </w:p>
        </w:tc>
        <w:tc>
          <w:tcPr>
            <w:tcW w:w="860" w:type="dxa"/>
            <w:vAlign w:val="bottom"/>
          </w:tcPr>
          <w:p>
            <w:pPr>
              <w:jc w:val="center"/>
              <w:ind w:left="149"/>
              <w:spacing w:after="0"/>
              <w:rPr>
                <w:sz w:val="20"/>
                <w:szCs w:val="20"/>
                <w:color w:val="auto"/>
              </w:rPr>
            </w:pPr>
            <w:r>
              <w:rPr>
                <w:rFonts w:ascii="Arial" w:cs="Arial" w:eastAsia="Arial" w:hAnsi="Arial"/>
                <w:sz w:val="10"/>
                <w:szCs w:val="10"/>
                <w:b w:val="1"/>
                <w:bCs w:val="1"/>
                <w:color w:val="auto"/>
                <w:w w:val="84"/>
              </w:rPr>
              <w:t>Aggregate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99"/>
        </w:trPr>
        <w:tc>
          <w:tcPr>
            <w:tcW w:w="11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tcPr>
          <w:p>
            <w:pPr>
              <w:jc w:val="right"/>
              <w:ind w:right="460"/>
              <w:spacing w:after="0" w:line="99" w:lineRule="exact"/>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3"/>
              </w:rPr>
              <w:t>Average Exercise</w:t>
            </w:r>
          </w:p>
        </w:tc>
        <w:tc>
          <w:tcPr>
            <w:tcW w:w="220" w:type="dxa"/>
            <w:vAlign w:val="bottom"/>
          </w:tcPr>
          <w:p>
            <w:pPr>
              <w:spacing w:after="0"/>
              <w:rPr>
                <w:sz w:val="8"/>
                <w:szCs w:val="8"/>
                <w:color w:val="auto"/>
              </w:rPr>
            </w:pPr>
          </w:p>
        </w:tc>
        <w:tc>
          <w:tcPr>
            <w:tcW w:w="860" w:type="dxa"/>
            <w:vAlign w:val="bottom"/>
          </w:tcPr>
          <w:p>
            <w:pPr>
              <w:jc w:val="center"/>
              <w:ind w:left="149"/>
              <w:spacing w:after="0" w:line="99" w:lineRule="exact"/>
              <w:rPr>
                <w:sz w:val="20"/>
                <w:szCs w:val="20"/>
                <w:color w:val="auto"/>
              </w:rPr>
            </w:pPr>
            <w:r>
              <w:rPr>
                <w:rFonts w:ascii="Arial" w:cs="Arial" w:eastAsia="Arial" w:hAnsi="Arial"/>
                <w:sz w:val="10"/>
                <w:szCs w:val="10"/>
                <w:b w:val="1"/>
                <w:bCs w:val="1"/>
                <w:color w:val="auto"/>
                <w:w w:val="87"/>
              </w:rPr>
              <w:t>Intrinsic</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114"/>
        </w:trPr>
        <w:tc>
          <w:tcPr>
            <w:tcW w:w="1140" w:type="dxa"/>
            <w:vAlign w:val="bottom"/>
          </w:tcPr>
          <w:p>
            <w:pPr>
              <w:spacing w:after="0"/>
              <w:rPr>
                <w:sz w:val="9"/>
                <w:szCs w:val="9"/>
                <w:color w:val="auto"/>
              </w:rPr>
            </w:pPr>
          </w:p>
        </w:tc>
        <w:tc>
          <w:tcPr>
            <w:tcW w:w="3640" w:type="dxa"/>
            <w:vAlign w:val="bottom"/>
            <w:tcBorders>
              <w:bottom w:val="single" w:sz="8" w:color="CFF0FC"/>
            </w:tcBorders>
          </w:tcPr>
          <w:p>
            <w:pPr>
              <w:spacing w:after="0"/>
              <w:rPr>
                <w:sz w:val="9"/>
                <w:szCs w:val="9"/>
                <w:color w:val="auto"/>
              </w:rPr>
            </w:pPr>
          </w:p>
        </w:tc>
        <w:tc>
          <w:tcPr>
            <w:tcW w:w="168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ind w:left="300"/>
              <w:spacing w:after="0" w:line="114" w:lineRule="exact"/>
              <w:rPr>
                <w:sz w:val="20"/>
                <w:szCs w:val="20"/>
                <w:color w:val="auto"/>
              </w:rPr>
            </w:pPr>
            <w:r>
              <w:rPr>
                <w:rFonts w:ascii="Arial" w:cs="Arial" w:eastAsia="Arial" w:hAnsi="Arial"/>
                <w:sz w:val="10"/>
                <w:szCs w:val="10"/>
                <w:b w:val="1"/>
                <w:bCs w:val="1"/>
                <w:color w:val="auto"/>
              </w:rPr>
              <w:t>Shares</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7"/>
              </w:rPr>
              <w:t>Price per Share</w:t>
            </w:r>
          </w:p>
        </w:tc>
        <w:tc>
          <w:tcPr>
            <w:tcW w:w="22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jc w:val="center"/>
              <w:ind w:left="149"/>
              <w:spacing w:after="0" w:line="114" w:lineRule="exact"/>
              <w:rPr>
                <w:sz w:val="20"/>
                <w:szCs w:val="20"/>
                <w:color w:val="auto"/>
              </w:rPr>
            </w:pPr>
            <w:r>
              <w:rPr>
                <w:rFonts w:ascii="Arial" w:cs="Arial" w:eastAsia="Arial" w:hAnsi="Arial"/>
                <w:sz w:val="10"/>
                <w:szCs w:val="10"/>
                <w:b w:val="1"/>
                <w:bCs w:val="1"/>
                <w:color w:val="auto"/>
                <w:w w:val="85"/>
              </w:rPr>
              <w:t>Value ($000)</w:t>
            </w: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160" w:type="dxa"/>
            <w:vAlign w:val="bottom"/>
          </w:tcPr>
          <w:p>
            <w:pPr>
              <w:spacing w:after="0"/>
              <w:rPr>
                <w:sz w:val="9"/>
                <w:szCs w:val="9"/>
                <w:color w:val="auto"/>
              </w:rPr>
            </w:pPr>
          </w:p>
        </w:tc>
      </w:tr>
      <w:tr>
        <w:trPr>
          <w:trHeight w:val="142"/>
        </w:trPr>
        <w:tc>
          <w:tcPr>
            <w:tcW w:w="1140" w:type="dxa"/>
            <w:vAlign w:val="bottom"/>
          </w:tcPr>
          <w:p>
            <w:pPr>
              <w:spacing w:after="0"/>
              <w:rPr>
                <w:sz w:val="12"/>
                <w:szCs w:val="12"/>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January 1, 2018</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7,089,440</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9.33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4780" w:type="dxa"/>
            <w:vAlign w:val="bottom"/>
            <w:gridSpan w:val="2"/>
          </w:tcPr>
          <w:p>
            <w:pPr>
              <w:ind w:left="1140"/>
              <w:spacing w:after="0"/>
              <w:rPr>
                <w:sz w:val="20"/>
                <w:szCs w:val="20"/>
                <w:color w:val="auto"/>
              </w:rPr>
            </w:pPr>
            <w:r>
              <w:rPr>
                <w:rFonts w:ascii="Arial" w:cs="Arial" w:eastAsia="Arial" w:hAnsi="Arial"/>
                <w:sz w:val="12"/>
                <w:szCs w:val="12"/>
                <w:color w:val="auto"/>
              </w:rPr>
              <w:t>Granted</w:t>
            </w: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5,158,648</w:t>
            </w:r>
          </w:p>
        </w:tc>
        <w:tc>
          <w:tcPr>
            <w:tcW w:w="14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3"/>
          </w:tcPr>
          <w:p>
            <w:pPr>
              <w:jc w:val="right"/>
              <w:spacing w:after="0"/>
              <w:rPr>
                <w:sz w:val="20"/>
                <w:szCs w:val="20"/>
                <w:color w:val="auto"/>
              </w:rPr>
            </w:pPr>
            <w:r>
              <w:rPr>
                <w:rFonts w:ascii="Arial" w:cs="Arial" w:eastAsia="Arial" w:hAnsi="Arial"/>
                <w:sz w:val="12"/>
                <w:szCs w:val="12"/>
                <w:color w:val="auto"/>
              </w:rPr>
              <w:t>1.94</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Exercised</w:t>
            </w: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(6,880)</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4780" w:type="dxa"/>
            <w:vAlign w:val="bottom"/>
            <w:gridSpan w:val="2"/>
          </w:tcPr>
          <w:p>
            <w:pPr>
              <w:ind w:left="1140"/>
              <w:spacing w:after="0"/>
              <w:rPr>
                <w:sz w:val="20"/>
                <w:szCs w:val="20"/>
                <w:color w:val="auto"/>
              </w:rPr>
            </w:pPr>
            <w:r>
              <w:rPr>
                <w:rFonts w:ascii="Arial" w:cs="Arial" w:eastAsia="Arial" w:hAnsi="Arial"/>
                <w:sz w:val="12"/>
                <w:szCs w:val="12"/>
                <w:color w:val="auto"/>
              </w:rPr>
              <w:t>Forfeited</w:t>
            </w: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(733,536)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Arial" w:cs="Arial" w:eastAsia="Arial" w:hAnsi="Arial"/>
                <w:sz w:val="12"/>
                <w:szCs w:val="12"/>
                <w:color w:val="auto"/>
              </w:rPr>
              <w:t>2.87</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Expired</w:t>
            </w: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(531,554)</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20.56</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42"/>
        </w:trPr>
        <w:tc>
          <w:tcPr>
            <w:tcW w:w="4780" w:type="dxa"/>
            <w:vAlign w:val="bottom"/>
            <w:gridSpan w:val="2"/>
          </w:tcPr>
          <w:p>
            <w:pPr>
              <w:ind w:left="1140"/>
              <w:spacing w:after="0"/>
              <w:rPr>
                <w:sz w:val="20"/>
                <w:szCs w:val="20"/>
                <w:color w:val="auto"/>
              </w:rPr>
            </w:pPr>
            <w:r>
              <w:rPr>
                <w:rFonts w:ascii="Arial" w:cs="Arial" w:eastAsia="Arial" w:hAnsi="Arial"/>
                <w:sz w:val="12"/>
                <w:szCs w:val="12"/>
                <w:color w:val="auto"/>
              </w:rPr>
              <w:t>Outstanding at December 31, 2018</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10,976,118</w:t>
            </w:r>
          </w:p>
        </w:tc>
        <w:tc>
          <w:tcPr>
            <w:tcW w:w="14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3"/>
          </w:tcPr>
          <w:p>
            <w:pPr>
              <w:jc w:val="right"/>
              <w:spacing w:after="0"/>
              <w:rPr>
                <w:sz w:val="20"/>
                <w:szCs w:val="20"/>
                <w:color w:val="auto"/>
              </w:rPr>
            </w:pPr>
            <w:r>
              <w:rPr>
                <w:rFonts w:ascii="Arial" w:cs="Arial" w:eastAsia="Arial" w:hAnsi="Arial"/>
                <w:sz w:val="12"/>
                <w:szCs w:val="12"/>
                <w:color w:val="auto"/>
              </w:rPr>
              <w:t>5.75</w:t>
            </w:r>
          </w:p>
        </w:tc>
        <w:tc>
          <w:tcPr>
            <w:tcW w:w="1080" w:type="dxa"/>
            <w:vAlign w:val="bottom"/>
            <w:gridSpan w:val="2"/>
          </w:tcPr>
          <w:p>
            <w:pPr>
              <w:jc w:val="right"/>
              <w:ind w:right="749"/>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2"/>
                <w:szCs w:val="12"/>
                <w:color w:val="auto"/>
              </w:rPr>
            </w:pPr>
          </w:p>
        </w:tc>
      </w:tr>
      <w:tr>
        <w:trPr>
          <w:trHeight w:val="153"/>
        </w:trPr>
        <w:tc>
          <w:tcPr>
            <w:tcW w:w="1140" w:type="dxa"/>
            <w:vAlign w:val="bottom"/>
          </w:tcPr>
          <w:p>
            <w:pPr>
              <w:spacing w:after="0"/>
              <w:rPr>
                <w:sz w:val="13"/>
                <w:szCs w:val="13"/>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Exercisable at December 31, 2018</w:t>
            </w: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3,672,480</w:t>
            </w:r>
          </w:p>
        </w:tc>
        <w:tc>
          <w:tcPr>
            <w:tcW w:w="1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13.03</w:t>
            </w:r>
          </w:p>
        </w:tc>
        <w:tc>
          <w:tcPr>
            <w:tcW w:w="1080" w:type="dxa"/>
            <w:vAlign w:val="bottom"/>
            <w:gridSpan w:val="2"/>
            <w:shd w:val="clear" w:color="auto" w:fill="CFF0FC"/>
          </w:tcPr>
          <w:p>
            <w:pPr>
              <w:jc w:val="right"/>
              <w:ind w:right="749"/>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r>
      <w:tr>
        <w:trPr>
          <w:trHeight w:val="594"/>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80" w:type="dxa"/>
            <w:vAlign w:val="bottom"/>
          </w:tcPr>
          <w:p>
            <w:pPr>
              <w:jc w:val="right"/>
              <w:ind w:right="602"/>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5"/>
        </w:trPr>
        <w:tc>
          <w:tcPr>
            <w:tcW w:w="1140" w:type="dxa"/>
            <w:vAlign w:val="bottom"/>
            <w:tcBorders>
              <w:bottom w:val="single" w:sz="8" w:color="9A9A9A"/>
            </w:tcBorders>
          </w:tcPr>
          <w:p>
            <w:pPr>
              <w:spacing w:after="0"/>
              <w:rPr>
                <w:sz w:val="19"/>
                <w:szCs w:val="19"/>
                <w:color w:val="auto"/>
              </w:rPr>
            </w:pPr>
          </w:p>
        </w:tc>
        <w:tc>
          <w:tcPr>
            <w:tcW w:w="3640" w:type="dxa"/>
            <w:vAlign w:val="bottom"/>
            <w:tcBorders>
              <w:bottom w:val="single" w:sz="8" w:color="9A9A9A"/>
            </w:tcBorders>
          </w:tcPr>
          <w:p>
            <w:pPr>
              <w:spacing w:after="0"/>
              <w:rPr>
                <w:sz w:val="19"/>
                <w:szCs w:val="19"/>
                <w:color w:val="auto"/>
              </w:rPr>
            </w:pPr>
          </w:p>
        </w:tc>
        <w:tc>
          <w:tcPr>
            <w:tcW w:w="16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5" w:right="179" w:bottom="1440" w:gutter="0" w:footer="0" w:header="0"/>
        </w:sectPr>
      </w:pPr>
    </w:p>
    <w:bookmarkStart w:id="95" w:name="page96"/>
    <w:bookmarkEnd w:id="95"/>
    <w:p>
      <w:pPr>
        <w:jc w:val="both"/>
        <w:ind w:right="20" w:firstLine="488"/>
        <w:spacing w:after="0" w:line="263" w:lineRule="auto"/>
        <w:rPr>
          <w:sz w:val="20"/>
          <w:szCs w:val="20"/>
          <w:color w:val="auto"/>
        </w:rPr>
      </w:pPr>
      <w:r>
        <w:rPr>
          <w:rFonts w:ascii="Arial" w:cs="Arial" w:eastAsia="Arial" w:hAnsi="Arial"/>
          <w:sz w:val="12"/>
          <w:szCs w:val="12"/>
          <w:color w:val="auto"/>
        </w:rPr>
        <w:t>The weighted average grant date fair value of the stock options granted during the years ended December 31, 2018, 2017 and 2016 was $1.51, $1.19 and $3.05 per option, respectively. The total intrinsic value of options exercised during the year ended December 31, 2018 and December 31, 2017 was de minimis. The total intrinsic value of options exercised during the year ended December 31, 2016 was $0.1 million. Intrinsic value is measured using the fair market value at the date of exercise for options exercised or at December 31 for outstanding options, less the applicable exercise price.</w:t>
      </w:r>
    </w:p>
    <w:p>
      <w:pPr>
        <w:spacing w:after="0" w:line="200" w:lineRule="exact"/>
        <w:rPr>
          <w:sz w:val="20"/>
          <w:szCs w:val="20"/>
          <w:color w:val="auto"/>
        </w:rPr>
      </w:pPr>
    </w:p>
    <w:p>
      <w:pPr>
        <w:spacing w:after="0" w:line="211" w:lineRule="exact"/>
        <w:rPr>
          <w:sz w:val="20"/>
          <w:szCs w:val="20"/>
          <w:color w:val="auto"/>
        </w:rPr>
      </w:pPr>
    </w:p>
    <w:p>
      <w:pPr>
        <w:jc w:val="both"/>
        <w:ind w:firstLine="488"/>
        <w:spacing w:after="0" w:line="263" w:lineRule="auto"/>
        <w:rPr>
          <w:sz w:val="20"/>
          <w:szCs w:val="20"/>
          <w:color w:val="auto"/>
        </w:rPr>
      </w:pPr>
      <w:r>
        <w:rPr>
          <w:rFonts w:ascii="Arial" w:cs="Arial" w:eastAsia="Arial" w:hAnsi="Arial"/>
          <w:sz w:val="12"/>
          <w:szCs w:val="12"/>
          <w:color w:val="auto"/>
        </w:rPr>
        <w:t>Cash received from the exercise of options during the years ended December 31, 2017 and 2016 was approximately $0.01 million and $0.5 million, respectively and for the year ended December 31, 2018 the cash received was de minimis. The weighted-average remaining contractual terms for options outstanding that were vested and expected to vest, options outstanding that were vested and options exercisable at December 31, 2018 was 7.81 years, 5.62 years and 5.57 years, respectively.</w:t>
      </w:r>
    </w:p>
    <w:p>
      <w:pPr>
        <w:spacing w:after="0" w:line="123" w:lineRule="exact"/>
        <w:rPr>
          <w:sz w:val="20"/>
          <w:szCs w:val="20"/>
          <w:color w:val="auto"/>
        </w:rPr>
      </w:pPr>
    </w:p>
    <w:p>
      <w:pPr>
        <w:ind w:right="40" w:firstLine="488"/>
        <w:spacing w:after="0" w:line="276" w:lineRule="auto"/>
        <w:rPr>
          <w:sz w:val="20"/>
          <w:szCs w:val="20"/>
          <w:color w:val="auto"/>
        </w:rPr>
      </w:pPr>
      <w:r>
        <w:rPr>
          <w:rFonts w:ascii="Arial" w:cs="Arial" w:eastAsia="Arial" w:hAnsi="Arial"/>
          <w:sz w:val="12"/>
          <w:szCs w:val="12"/>
          <w:color w:val="auto"/>
        </w:rPr>
        <w:t>As of December 31, 2018, 2017 and 2016, the Company recognized $1.9 million, $0.9 million and $0.3 million of compensation costs related to the performance-based stock options, respectively. As of December 31, 2018, there was $1.3 million of unrecognized compensation costs related to performance-based stock options subject to performance conditions.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 summary of restricted stock unit activity for the year ended December 31, 2018 is presented below:</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Weighted</w:t>
            </w:r>
          </w:p>
        </w:tc>
      </w:tr>
      <w:tr>
        <w:trPr>
          <w:trHeight w:val="99"/>
        </w:trPr>
        <w:tc>
          <w:tcPr>
            <w:tcW w:w="5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6"/>
              </w:rPr>
              <w:t>Average</w:t>
            </w:r>
          </w:p>
        </w:tc>
      </w:tr>
      <w:tr>
        <w:trPr>
          <w:trHeight w:val="99"/>
        </w:trPr>
        <w:tc>
          <w:tcPr>
            <w:tcW w:w="5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Grant Date</w:t>
            </w:r>
          </w:p>
        </w:tc>
      </w:tr>
      <w:tr>
        <w:trPr>
          <w:trHeight w:val="99"/>
        </w:trPr>
        <w:tc>
          <w:tcPr>
            <w:tcW w:w="5540" w:type="dxa"/>
            <w:vAlign w:val="bottom"/>
          </w:tcPr>
          <w:p>
            <w:pPr>
              <w:spacing w:after="0"/>
              <w:rPr>
                <w:sz w:val="8"/>
                <w:szCs w:val="8"/>
                <w:color w:val="auto"/>
              </w:rPr>
            </w:pPr>
          </w:p>
        </w:tc>
        <w:tc>
          <w:tcPr>
            <w:tcW w:w="1220" w:type="dxa"/>
            <w:vAlign w:val="bottom"/>
            <w:gridSpan w:val="2"/>
          </w:tcPr>
          <w:p>
            <w:pPr>
              <w:jc w:val="right"/>
              <w:ind w:right="460"/>
              <w:spacing w:after="0" w:line="99" w:lineRule="exact"/>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1"/>
              </w:rPr>
              <w:t>Fair Value</w:t>
            </w:r>
          </w:p>
        </w:tc>
      </w:tr>
      <w:tr>
        <w:trPr>
          <w:trHeight w:val="114"/>
        </w:trPr>
        <w:tc>
          <w:tcPr>
            <w:tcW w:w="5540" w:type="dxa"/>
            <w:vAlign w:val="bottom"/>
            <w:tcBorders>
              <w:bottom w:val="single" w:sz="8" w:color="CFF0FC"/>
            </w:tcBorders>
          </w:tcPr>
          <w:p>
            <w:pPr>
              <w:spacing w:after="0"/>
              <w:rPr>
                <w:sz w:val="9"/>
                <w:szCs w:val="9"/>
                <w:color w:val="auto"/>
              </w:rPr>
            </w:pPr>
          </w:p>
        </w:tc>
        <w:tc>
          <w:tcPr>
            <w:tcW w:w="1100" w:type="dxa"/>
            <w:vAlign w:val="bottom"/>
            <w:tcBorders>
              <w:bottom w:val="single" w:sz="8" w:color="auto"/>
            </w:tcBorders>
          </w:tcPr>
          <w:p>
            <w:pPr>
              <w:jc w:val="right"/>
              <w:ind w:right="363"/>
              <w:spacing w:after="0" w:line="114" w:lineRule="exact"/>
              <w:rPr>
                <w:sz w:val="20"/>
                <w:szCs w:val="20"/>
                <w:color w:val="auto"/>
              </w:rPr>
            </w:pPr>
            <w:r>
              <w:rPr>
                <w:rFonts w:ascii="Arial" w:cs="Arial" w:eastAsia="Arial" w:hAnsi="Arial"/>
                <w:sz w:val="10"/>
                <w:szCs w:val="10"/>
                <w:b w:val="1"/>
                <w:bCs w:val="1"/>
                <w:color w:val="auto"/>
              </w:rPr>
              <w:t>Shares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center"/>
              <w:ind w:right="146"/>
              <w:spacing w:after="0" w:line="114" w:lineRule="exact"/>
              <w:rPr>
                <w:sz w:val="20"/>
                <w:szCs w:val="20"/>
                <w:color w:val="auto"/>
              </w:rPr>
            </w:pPr>
            <w:r>
              <w:rPr>
                <w:rFonts w:ascii="Arial" w:cs="Arial" w:eastAsia="Arial" w:hAnsi="Arial"/>
                <w:sz w:val="10"/>
                <w:szCs w:val="10"/>
                <w:b w:val="1"/>
                <w:bCs w:val="1"/>
                <w:color w:val="auto"/>
                <w:w w:val="86"/>
              </w:rPr>
              <w:t>per Share</w:t>
            </w:r>
          </w:p>
        </w:tc>
        <w:tc>
          <w:tcPr>
            <w:tcW w:w="80" w:type="dxa"/>
            <w:vAlign w:val="bottom"/>
            <w:tcBorders>
              <w:bottom w:val="single" w:sz="8" w:color="CFF0FC"/>
            </w:tcBorders>
          </w:tcPr>
          <w:p>
            <w:pPr>
              <w:spacing w:after="0"/>
              <w:rPr>
                <w:sz w:val="9"/>
                <w:szCs w:val="9"/>
                <w:color w:val="auto"/>
              </w:rPr>
            </w:pPr>
          </w:p>
        </w:tc>
      </w:tr>
      <w:tr>
        <w:trPr>
          <w:trHeight w:val="142"/>
        </w:trPr>
        <w:tc>
          <w:tcPr>
            <w:tcW w:w="554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January 1, 2018</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1,135,216</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9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w:t>
            </w:r>
          </w:p>
        </w:tc>
        <w:tc>
          <w:tcPr>
            <w:tcW w:w="80" w:type="dxa"/>
            <w:vAlign w:val="bottom"/>
            <w:shd w:val="clear" w:color="auto" w:fill="CFF0FC"/>
          </w:tcPr>
          <w:p>
            <w:pPr>
              <w:spacing w:after="0"/>
              <w:rPr>
                <w:sz w:val="12"/>
                <w:szCs w:val="12"/>
                <w:color w:val="auto"/>
              </w:rPr>
            </w:pPr>
          </w:p>
        </w:tc>
      </w:tr>
      <w:tr>
        <w:trPr>
          <w:trHeight w:val="153"/>
        </w:trPr>
        <w:tc>
          <w:tcPr>
            <w:tcW w:w="5540" w:type="dxa"/>
            <w:vAlign w:val="bottom"/>
          </w:tcPr>
          <w:p>
            <w:pPr>
              <w:ind w:left="160"/>
              <w:spacing w:after="0"/>
              <w:rPr>
                <w:sz w:val="20"/>
                <w:szCs w:val="20"/>
                <w:color w:val="auto"/>
              </w:rPr>
            </w:pPr>
            <w:r>
              <w:rPr>
                <w:rFonts w:ascii="Arial" w:cs="Arial" w:eastAsia="Arial" w:hAnsi="Arial"/>
                <w:sz w:val="12"/>
                <w:szCs w:val="12"/>
                <w:color w:val="auto"/>
              </w:rPr>
              <w:t>Granted</w:t>
            </w:r>
          </w:p>
        </w:tc>
        <w:tc>
          <w:tcPr>
            <w:tcW w:w="1100" w:type="dxa"/>
            <w:vAlign w:val="bottom"/>
          </w:tcPr>
          <w:p>
            <w:pPr>
              <w:jc w:val="right"/>
              <w:spacing w:after="0"/>
              <w:rPr>
                <w:sz w:val="20"/>
                <w:szCs w:val="20"/>
                <w:color w:val="auto"/>
              </w:rPr>
            </w:pPr>
            <w:r>
              <w:rPr>
                <w:rFonts w:ascii="Arial" w:cs="Arial" w:eastAsia="Arial" w:hAnsi="Arial"/>
                <w:sz w:val="12"/>
                <w:szCs w:val="12"/>
                <w:color w:val="auto"/>
              </w:rPr>
              <w:t>448,600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2.02</w:t>
            </w:r>
          </w:p>
        </w:tc>
        <w:tc>
          <w:tcPr>
            <w:tcW w:w="80" w:type="dxa"/>
            <w:vAlign w:val="bottom"/>
          </w:tcPr>
          <w:p>
            <w:pPr>
              <w:spacing w:after="0"/>
              <w:rPr>
                <w:sz w:val="13"/>
                <w:szCs w:val="13"/>
                <w:color w:val="auto"/>
              </w:rPr>
            </w:pPr>
          </w:p>
        </w:tc>
      </w:tr>
      <w:tr>
        <w:trPr>
          <w:trHeight w:val="153"/>
        </w:trPr>
        <w:tc>
          <w:tcPr>
            <w:tcW w:w="5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(694,831)</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w:t>
            </w:r>
          </w:p>
        </w:tc>
        <w:tc>
          <w:tcPr>
            <w:tcW w:w="80" w:type="dxa"/>
            <w:vAlign w:val="bottom"/>
            <w:shd w:val="clear" w:color="auto" w:fill="CFF0FC"/>
          </w:tcPr>
          <w:p>
            <w:pPr>
              <w:spacing w:after="0"/>
              <w:rPr>
                <w:sz w:val="13"/>
                <w:szCs w:val="13"/>
                <w:color w:val="auto"/>
              </w:rPr>
            </w:pPr>
          </w:p>
        </w:tc>
      </w:tr>
      <w:tr>
        <w:trPr>
          <w:trHeight w:val="153"/>
        </w:trPr>
        <w:tc>
          <w:tcPr>
            <w:tcW w:w="5540" w:type="dxa"/>
            <w:vAlign w:val="bottom"/>
          </w:tcPr>
          <w:p>
            <w:pPr>
              <w:ind w:left="160"/>
              <w:spacing w:after="0"/>
              <w:rPr>
                <w:sz w:val="20"/>
                <w:szCs w:val="20"/>
                <w:color w:val="auto"/>
              </w:rPr>
            </w:pPr>
            <w:r>
              <w:rPr>
                <w:rFonts w:ascii="Arial" w:cs="Arial" w:eastAsia="Arial" w:hAnsi="Arial"/>
                <w:sz w:val="12"/>
                <w:szCs w:val="12"/>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(197,719)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2.84</w:t>
            </w:r>
          </w:p>
        </w:tc>
        <w:tc>
          <w:tcPr>
            <w:tcW w:w="80" w:type="dxa"/>
            <w:vAlign w:val="bottom"/>
          </w:tcPr>
          <w:p>
            <w:pPr>
              <w:spacing w:after="0"/>
              <w:rPr>
                <w:sz w:val="13"/>
                <w:szCs w:val="13"/>
                <w:color w:val="auto"/>
              </w:rPr>
            </w:pPr>
          </w:p>
        </w:tc>
      </w:tr>
      <w:tr>
        <w:trPr>
          <w:trHeight w:val="149"/>
        </w:trPr>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Outstanding at December 31,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691,266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3.71</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right="280" w:firstLine="488"/>
        <w:spacing w:after="0" w:line="263" w:lineRule="auto"/>
        <w:rPr>
          <w:sz w:val="20"/>
          <w:szCs w:val="20"/>
          <w:color w:val="auto"/>
        </w:rPr>
      </w:pPr>
      <w:r>
        <w:rPr>
          <w:rFonts w:ascii="Arial" w:cs="Arial" w:eastAsia="Arial" w:hAnsi="Arial"/>
          <w:sz w:val="12"/>
          <w:szCs w:val="12"/>
          <w:color w:val="auto"/>
        </w:rPr>
        <w:t>Total intrinsic value of restricted stock units vested during the years ended December 31, 2018, 2017 and 2016 was $1.4 million, $0.4 million and $0.6 million, respectively. Intrinsic value of restricted stock units vested is measured using the closing share price on the day prior to the vest date. The total grant date fair value of restricted stock units vested during the years ended December 31, 2018, 2017 and 2016 was $2.4 million, $1.9 million, and $2.6 million, respectively.</w:t>
      </w:r>
    </w:p>
    <w:p>
      <w:pPr>
        <w:spacing w:after="0" w:line="132" w:lineRule="exact"/>
        <w:rPr>
          <w:sz w:val="20"/>
          <w:szCs w:val="20"/>
          <w:color w:val="auto"/>
        </w:rPr>
      </w:pPr>
    </w:p>
    <w:p>
      <w:pPr>
        <w:jc w:val="both"/>
        <w:ind w:right="40" w:firstLine="488"/>
        <w:spacing w:after="0" w:line="298" w:lineRule="auto"/>
        <w:rPr>
          <w:sz w:val="20"/>
          <w:szCs w:val="20"/>
          <w:color w:val="auto"/>
        </w:rPr>
      </w:pPr>
      <w:r>
        <w:rPr>
          <w:rFonts w:ascii="Arial" w:cs="Arial" w:eastAsia="Arial" w:hAnsi="Arial"/>
          <w:sz w:val="11"/>
          <w:szCs w:val="11"/>
          <w:color w:val="auto"/>
        </w:rPr>
        <w:t>As of December 31, 2018, there was $8.5 million of unrecognized compensation expense related to options and performance-based options and $1.5 million of unrecognized compensation expense related to restricted stock units, respectively, which is expected to be recognized over the weighted average vesting period of 1.7 to 2.9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Commitments and Contingencies</w:t>
      </w:r>
    </w:p>
    <w:p>
      <w:pPr>
        <w:spacing w:after="0" w:line="82" w:lineRule="exact"/>
        <w:rPr>
          <w:sz w:val="20"/>
          <w:szCs w:val="20"/>
          <w:color w:val="auto"/>
        </w:rPr>
      </w:pPr>
    </w:p>
    <w:p>
      <w:pPr>
        <w:ind w:right="40" w:firstLine="488"/>
        <w:spacing w:after="0" w:line="255" w:lineRule="auto"/>
        <w:rPr>
          <w:sz w:val="20"/>
          <w:szCs w:val="20"/>
          <w:color w:val="auto"/>
        </w:rPr>
      </w:pPr>
      <w:r>
        <w:rPr>
          <w:rFonts w:ascii="Arial" w:cs="Arial" w:eastAsia="Arial" w:hAnsi="Arial"/>
          <w:sz w:val="12"/>
          <w:szCs w:val="12"/>
          <w:i w:val="1"/>
          <w:iCs w:val="1"/>
          <w:color w:val="auto"/>
        </w:rPr>
        <w:t xml:space="preserve">Guarantees and Indemnifications </w:t>
      </w:r>
      <w:r>
        <w:rPr>
          <w:rFonts w:ascii="Arial" w:cs="Arial" w:eastAsia="Arial" w:hAnsi="Arial"/>
          <w:sz w:val="12"/>
          <w:szCs w:val="12"/>
          <w:color w:val="auto"/>
        </w:rPr>
        <w:t>— In the ordinary course of its business, the Company makes certain indemnities, commitments and guarantees under which it may be required to make payments in relation to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29" w:lineRule="exact"/>
        <w:rPr>
          <w:sz w:val="20"/>
          <w:szCs w:val="20"/>
          <w:color w:val="auto"/>
        </w:rPr>
      </w:pPr>
    </w:p>
    <w:p>
      <w:pPr>
        <w:ind w:right="140" w:firstLine="488"/>
        <w:spacing w:after="0" w:line="290" w:lineRule="auto"/>
        <w:rPr>
          <w:sz w:val="20"/>
          <w:szCs w:val="20"/>
          <w:color w:val="auto"/>
        </w:rPr>
      </w:pPr>
      <w:r>
        <w:rPr>
          <w:rFonts w:ascii="Arial" w:cs="Arial" w:eastAsia="Arial" w:hAnsi="Arial"/>
          <w:sz w:val="11"/>
          <w:szCs w:val="11"/>
          <w:i w:val="1"/>
          <w:iCs w:val="1"/>
          <w:color w:val="auto"/>
        </w:rPr>
        <w:t xml:space="preserve">Litigation </w:t>
      </w:r>
      <w:r>
        <w:rPr>
          <w:rFonts w:ascii="Arial" w:cs="Arial" w:eastAsia="Arial" w:hAnsi="Arial"/>
          <w:sz w:val="11"/>
          <w:szCs w:val="11"/>
          <w:color w:val="auto"/>
        </w:rPr>
        <w:t>— The Company is subject to legal proceedings and claims which arise in the ordinary course of its business. As of December 31, 2018, the Company believes that the final disposition of such matters will not have a</w:t>
      </w:r>
      <w:r>
        <w:rPr>
          <w:rFonts w:ascii="Arial" w:cs="Arial" w:eastAsia="Arial" w:hAnsi="Arial"/>
          <w:sz w:val="11"/>
          <w:szCs w:val="11"/>
          <w:i w:val="1"/>
          <w:iCs w:val="1"/>
          <w:color w:val="auto"/>
        </w:rPr>
        <w:t xml:space="preserve"> </w:t>
      </w:r>
      <w:r>
        <w:rPr>
          <w:rFonts w:ascii="Arial" w:cs="Arial" w:eastAsia="Arial" w:hAnsi="Arial"/>
          <w:sz w:val="11"/>
          <w:szCs w:val="11"/>
          <w:color w:val="auto"/>
        </w:rPr>
        <w:t>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in recording legal expenses in connection with legal proceedings and claims is to record expenses as they are incurred.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96" w:name="page97"/>
    <w:bookmarkEnd w:id="96"/>
    <w:p>
      <w:pPr>
        <w:ind w:right="20" w:firstLine="488"/>
        <w:spacing w:after="0" w:line="254" w:lineRule="auto"/>
        <w:rPr>
          <w:sz w:val="20"/>
          <w:szCs w:val="20"/>
          <w:color w:val="auto"/>
        </w:rPr>
      </w:pPr>
      <w:r>
        <w:rPr>
          <w:rFonts w:ascii="Arial" w:cs="Arial" w:eastAsia="Arial" w:hAnsi="Arial"/>
          <w:sz w:val="12"/>
          <w:szCs w:val="12"/>
          <w:color w:val="auto"/>
        </w:rPr>
        <w:t>Following the public announcement of Sanofi's election to terminate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and following an oral hearing before the Supreme Court of Israel, has decided to withdraw his appeal. Subsequently, in November 2018, the Company filed a motion to dismiss the certification motion in limine. In December 2018, the district court ordered that the motion to dismiss will be heard during a pretrial hearing set for February 2019. The Court also granted the Company's motion to postpone its response to the merits of the certification motion until after the resolution of the motion to dismiss. The Company will continue to vigorously defend against the claims advanced.</w:t>
      </w:r>
    </w:p>
    <w:p>
      <w:pPr>
        <w:spacing w:after="0" w:line="131" w:lineRule="exact"/>
        <w:rPr>
          <w:sz w:val="20"/>
          <w:szCs w:val="20"/>
          <w:color w:val="auto"/>
        </w:rPr>
      </w:pPr>
    </w:p>
    <w:p>
      <w:pPr>
        <w:ind w:right="20" w:firstLine="488"/>
        <w:spacing w:after="0" w:line="263" w:lineRule="auto"/>
        <w:rPr>
          <w:sz w:val="20"/>
          <w:szCs w:val="20"/>
          <w:color w:val="auto"/>
        </w:rPr>
      </w:pPr>
      <w:r>
        <w:rPr>
          <w:rFonts w:ascii="Arial" w:cs="Arial" w:eastAsia="Arial" w:hAnsi="Arial"/>
          <w:sz w:val="12"/>
          <w:szCs w:val="12"/>
          <w:i w:val="1"/>
          <w:iCs w:val="1"/>
          <w:color w:val="auto"/>
        </w:rPr>
        <w:t xml:space="preserve">Contingencies </w:t>
      </w:r>
      <w:r>
        <w:rPr>
          <w:rFonts w:ascii="Arial" w:cs="Arial" w:eastAsia="Arial" w:hAnsi="Arial"/>
          <w:sz w:val="12"/>
          <w:szCs w:val="12"/>
          <w:color w:val="auto"/>
        </w:rPr>
        <w:t>— In connection with the Facility Agreement, on July 1, 2013, the Company also entered into a the Milestone Agreement with the Milestone Purchasers, pursuant to which the Company sold the Milestone</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Purchasers the Milestone Rights to receive payments up to $90.0 million upon the occurrence of specified strategic and sales milestones, including the first commercial sale of an Afrezza product in the United States and the achievement of specified net sales figures (see Note 7 – Borrowings).</w:t>
      </w:r>
    </w:p>
    <w:p>
      <w:pPr>
        <w:spacing w:after="0" w:line="123" w:lineRule="exact"/>
        <w:rPr>
          <w:sz w:val="20"/>
          <w:szCs w:val="20"/>
          <w:color w:val="auto"/>
        </w:rPr>
      </w:pPr>
    </w:p>
    <w:p>
      <w:pPr>
        <w:ind w:right="200" w:firstLine="488"/>
        <w:spacing w:after="0" w:line="263" w:lineRule="auto"/>
        <w:rPr>
          <w:sz w:val="20"/>
          <w:szCs w:val="20"/>
          <w:color w:val="auto"/>
        </w:rPr>
      </w:pPr>
      <w:r>
        <w:rPr>
          <w:rFonts w:ascii="Arial" w:cs="Arial" w:eastAsia="Arial" w:hAnsi="Arial"/>
          <w:sz w:val="12"/>
          <w:szCs w:val="12"/>
          <w:i w:val="1"/>
          <w:iCs w:val="1"/>
          <w:color w:val="auto"/>
        </w:rPr>
        <w:t xml:space="preserve">Commitments </w:t>
      </w:r>
      <w:r>
        <w:rPr>
          <w:rFonts w:ascii="Arial" w:cs="Arial" w:eastAsia="Arial" w:hAnsi="Arial"/>
          <w:sz w:val="12"/>
          <w:szCs w:val="12"/>
          <w:color w:val="auto"/>
        </w:rPr>
        <w:t>— On July 31, 2014, the Company entered into a supply agreement (the “Insulin Supply Agreement”) with Amphastar France Pharmaceuticals S.A.S., a French corporation (“Amphastar”), pursuant to which</w:t>
      </w:r>
      <w:r>
        <w:rPr>
          <w:rFonts w:ascii="Arial" w:cs="Arial" w:eastAsia="Arial" w:hAnsi="Arial"/>
          <w:sz w:val="12"/>
          <w:szCs w:val="12"/>
          <w:i w:val="1"/>
          <w:iCs w:val="1"/>
          <w:color w:val="auto"/>
        </w:rPr>
        <w:t xml:space="preserve"> </w:t>
      </w:r>
      <w:r>
        <w:rPr>
          <w:rFonts w:ascii="Arial" w:cs="Arial" w:eastAsia="Arial" w:hAnsi="Arial"/>
          <w:sz w:val="12"/>
          <w:szCs w:val="12"/>
          <w:color w:val="auto"/>
        </w:rPr>
        <w:t>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50" w:lineRule="exact"/>
        <w:rPr>
          <w:sz w:val="20"/>
          <w:szCs w:val="20"/>
          <w:color w:val="auto"/>
        </w:rPr>
      </w:pPr>
    </w:p>
    <w:p>
      <w:pPr>
        <w:ind w:right="220" w:firstLine="488"/>
        <w:spacing w:after="0" w:line="263" w:lineRule="auto"/>
        <w:rPr>
          <w:sz w:val="20"/>
          <w:szCs w:val="20"/>
          <w:color w:val="auto"/>
        </w:rPr>
      </w:pPr>
      <w:r>
        <w:rPr>
          <w:rFonts w:ascii="Arial" w:cs="Arial" w:eastAsia="Arial" w:hAnsi="Arial"/>
          <w:sz w:val="12"/>
          <w:szCs w:val="12"/>
          <w:color w:val="auto"/>
        </w:rPr>
        <w:t>In December 2018, the supply agreement with Amphastar was amended to extend the term over which the Company is required to purchase insulin, without reducing the total amount of insulin to be purchased. Under the amendment, annual minimum quantities of insulin to be purchased for calendar years 2018 through 2024 total an aggregate purchase price of €90.3 million. As of December 31, 2018, the remaining purchase amount is €85.8 million. In addition, an amendment fee of $2.0 million paid in the forth quarter of 2018 and was recorded in cost of goods sold as a period cost.</w:t>
      </w:r>
    </w:p>
    <w:p>
      <w:pPr>
        <w:spacing w:after="0" w:line="123" w:lineRule="exact"/>
        <w:rPr>
          <w:sz w:val="20"/>
          <w:szCs w:val="20"/>
          <w:color w:val="auto"/>
        </w:rPr>
      </w:pPr>
    </w:p>
    <w:tbl>
      <w:tblPr>
        <w:tblLayout w:type="fixed"/>
        <w:tblInd w:w="480" w:type="dxa"/>
        <w:tblCellMar>
          <w:top w:w="0" w:type="dxa"/>
          <w:left w:w="0" w:type="dxa"/>
          <w:bottom w:w="0" w:type="dxa"/>
          <w:right w:w="0" w:type="dxa"/>
        </w:tblCellMar>
      </w:tblPr>
      <w:tr>
        <w:trPr>
          <w:trHeight w:val="153"/>
        </w:trPr>
        <w:tc>
          <w:tcPr>
            <w:tcW w:w="5120" w:type="dxa"/>
            <w:vAlign w:val="bottom"/>
            <w:gridSpan w:val="2"/>
          </w:tcPr>
          <w:p>
            <w:pPr>
              <w:jc w:val="right"/>
              <w:ind w:right="1780"/>
              <w:spacing w:after="0"/>
              <w:rPr>
                <w:sz w:val="20"/>
                <w:szCs w:val="20"/>
                <w:color w:val="auto"/>
              </w:rPr>
            </w:pPr>
            <w:r>
              <w:rPr>
                <w:rFonts w:ascii="Arial" w:cs="Arial" w:eastAsia="Arial" w:hAnsi="Arial"/>
                <w:sz w:val="12"/>
                <w:szCs w:val="12"/>
                <w:color w:val="auto"/>
                <w:w w:val="89"/>
              </w:rPr>
              <w:t>The annual purchase requirements under the contract are as follows:</w:t>
            </w:r>
          </w:p>
        </w:tc>
        <w:tc>
          <w:tcPr>
            <w:tcW w:w="24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4"/>
        </w:trPr>
        <w:tc>
          <w:tcPr>
            <w:tcW w:w="5120" w:type="dxa"/>
            <w:vAlign w:val="bottom"/>
            <w:gridSpan w:val="2"/>
          </w:tcPr>
          <w:p>
            <w:pPr>
              <w:spacing w:after="0"/>
              <w:rPr>
                <w:sz w:val="12"/>
                <w:szCs w:val="12"/>
                <w:color w:val="auto"/>
              </w:rPr>
            </w:pPr>
          </w:p>
        </w:tc>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1800" w:type="dxa"/>
            <w:vAlign w:val="bottom"/>
          </w:tcPr>
          <w:p>
            <w:pPr>
              <w:spacing w:after="0"/>
              <w:rPr>
                <w:sz w:val="13"/>
                <w:szCs w:val="13"/>
                <w:color w:val="auto"/>
              </w:rPr>
            </w:pPr>
          </w:p>
        </w:tc>
        <w:tc>
          <w:tcPr>
            <w:tcW w:w="3320" w:type="dxa"/>
            <w:vAlign w:val="bottom"/>
            <w:shd w:val="clear" w:color="auto" w:fill="CFF0FC"/>
          </w:tcPr>
          <w:p>
            <w:pPr>
              <w:jc w:val="right"/>
              <w:ind w:right="3020"/>
              <w:spacing w:after="0"/>
              <w:rPr>
                <w:sz w:val="20"/>
                <w:szCs w:val="20"/>
                <w:color w:val="auto"/>
              </w:rPr>
            </w:pPr>
            <w:r>
              <w:rPr>
                <w:rFonts w:ascii="Arial" w:cs="Arial" w:eastAsia="Arial" w:hAnsi="Arial"/>
                <w:sz w:val="12"/>
                <w:szCs w:val="12"/>
                <w:color w:val="auto"/>
                <w:w w:val="82"/>
              </w:rPr>
              <w:t>2019</w:t>
            </w:r>
          </w:p>
        </w:tc>
        <w:tc>
          <w:tcPr>
            <w:tcW w:w="2440" w:type="dxa"/>
            <w:vAlign w:val="bottom"/>
            <w:shd w:val="clear" w:color="auto" w:fill="CFF0FC"/>
          </w:tcPr>
          <w:p>
            <w:pPr>
              <w:ind w:left="18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 million</w:t>
            </w:r>
          </w:p>
        </w:tc>
      </w:tr>
      <w:tr>
        <w:trPr>
          <w:trHeight w:val="153"/>
        </w:trPr>
        <w:tc>
          <w:tcPr>
            <w:tcW w:w="5120" w:type="dxa"/>
            <w:vAlign w:val="bottom"/>
            <w:gridSpan w:val="2"/>
          </w:tcPr>
          <w:p>
            <w:pPr>
              <w:jc w:val="right"/>
              <w:ind w:right="3020"/>
              <w:spacing w:after="0"/>
              <w:rPr>
                <w:sz w:val="20"/>
                <w:szCs w:val="20"/>
                <w:color w:val="auto"/>
              </w:rPr>
            </w:pPr>
            <w:r>
              <w:rPr>
                <w:rFonts w:ascii="Arial" w:cs="Arial" w:eastAsia="Arial" w:hAnsi="Arial"/>
                <w:sz w:val="12"/>
                <w:szCs w:val="12"/>
                <w:color w:val="auto"/>
              </w:rPr>
              <w:t>2020</w:t>
            </w:r>
          </w:p>
        </w:tc>
        <w:tc>
          <w:tcPr>
            <w:tcW w:w="2440" w:type="dxa"/>
            <w:vAlign w:val="bottom"/>
          </w:tcPr>
          <w:p>
            <w:pPr>
              <w:ind w:left="184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15.9 million</w:t>
            </w:r>
          </w:p>
        </w:tc>
      </w:tr>
      <w:tr>
        <w:trPr>
          <w:trHeight w:val="153"/>
        </w:trPr>
        <w:tc>
          <w:tcPr>
            <w:tcW w:w="1800" w:type="dxa"/>
            <w:vAlign w:val="bottom"/>
          </w:tcPr>
          <w:p>
            <w:pPr>
              <w:spacing w:after="0"/>
              <w:rPr>
                <w:sz w:val="13"/>
                <w:szCs w:val="13"/>
                <w:color w:val="auto"/>
              </w:rPr>
            </w:pPr>
          </w:p>
        </w:tc>
        <w:tc>
          <w:tcPr>
            <w:tcW w:w="3320" w:type="dxa"/>
            <w:vAlign w:val="bottom"/>
            <w:shd w:val="clear" w:color="auto" w:fill="CFF0FC"/>
          </w:tcPr>
          <w:p>
            <w:pPr>
              <w:jc w:val="right"/>
              <w:ind w:right="3020"/>
              <w:spacing w:after="0"/>
              <w:rPr>
                <w:sz w:val="20"/>
                <w:szCs w:val="20"/>
                <w:color w:val="auto"/>
              </w:rPr>
            </w:pPr>
            <w:r>
              <w:rPr>
                <w:rFonts w:ascii="Arial" w:cs="Arial" w:eastAsia="Arial" w:hAnsi="Arial"/>
                <w:sz w:val="12"/>
                <w:szCs w:val="12"/>
                <w:color w:val="auto"/>
                <w:w w:val="82"/>
              </w:rPr>
              <w:t>2021</w:t>
            </w:r>
          </w:p>
        </w:tc>
        <w:tc>
          <w:tcPr>
            <w:tcW w:w="2440" w:type="dxa"/>
            <w:vAlign w:val="bottom"/>
            <w:shd w:val="clear" w:color="auto" w:fill="CFF0FC"/>
          </w:tcPr>
          <w:p>
            <w:pPr>
              <w:ind w:left="18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 million</w:t>
            </w:r>
          </w:p>
        </w:tc>
      </w:tr>
      <w:tr>
        <w:trPr>
          <w:trHeight w:val="153"/>
        </w:trPr>
        <w:tc>
          <w:tcPr>
            <w:tcW w:w="5120" w:type="dxa"/>
            <w:vAlign w:val="bottom"/>
            <w:gridSpan w:val="2"/>
          </w:tcPr>
          <w:p>
            <w:pPr>
              <w:jc w:val="right"/>
              <w:ind w:right="3020"/>
              <w:spacing w:after="0"/>
              <w:rPr>
                <w:sz w:val="20"/>
                <w:szCs w:val="20"/>
                <w:color w:val="auto"/>
              </w:rPr>
            </w:pPr>
            <w:r>
              <w:rPr>
                <w:rFonts w:ascii="Arial" w:cs="Arial" w:eastAsia="Arial" w:hAnsi="Arial"/>
                <w:sz w:val="12"/>
                <w:szCs w:val="12"/>
                <w:color w:val="auto"/>
              </w:rPr>
              <w:t>2022</w:t>
            </w:r>
          </w:p>
        </w:tc>
        <w:tc>
          <w:tcPr>
            <w:tcW w:w="2440" w:type="dxa"/>
            <w:vAlign w:val="bottom"/>
          </w:tcPr>
          <w:p>
            <w:pPr>
              <w:ind w:left="184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19.8 million</w:t>
            </w:r>
          </w:p>
        </w:tc>
      </w:tr>
      <w:tr>
        <w:trPr>
          <w:trHeight w:val="153"/>
        </w:trPr>
        <w:tc>
          <w:tcPr>
            <w:tcW w:w="1800" w:type="dxa"/>
            <w:vAlign w:val="bottom"/>
          </w:tcPr>
          <w:p>
            <w:pPr>
              <w:spacing w:after="0"/>
              <w:rPr>
                <w:sz w:val="13"/>
                <w:szCs w:val="13"/>
                <w:color w:val="auto"/>
              </w:rPr>
            </w:pPr>
          </w:p>
        </w:tc>
        <w:tc>
          <w:tcPr>
            <w:tcW w:w="3320" w:type="dxa"/>
            <w:vAlign w:val="bottom"/>
            <w:shd w:val="clear" w:color="auto" w:fill="CFF0FC"/>
          </w:tcPr>
          <w:p>
            <w:pPr>
              <w:jc w:val="right"/>
              <w:ind w:right="3020"/>
              <w:spacing w:after="0"/>
              <w:rPr>
                <w:sz w:val="20"/>
                <w:szCs w:val="20"/>
                <w:color w:val="auto"/>
              </w:rPr>
            </w:pPr>
            <w:r>
              <w:rPr>
                <w:rFonts w:ascii="Arial" w:cs="Arial" w:eastAsia="Arial" w:hAnsi="Arial"/>
                <w:sz w:val="12"/>
                <w:szCs w:val="12"/>
                <w:color w:val="auto"/>
                <w:w w:val="82"/>
              </w:rPr>
              <w:t>2023</w:t>
            </w:r>
          </w:p>
        </w:tc>
        <w:tc>
          <w:tcPr>
            <w:tcW w:w="2440" w:type="dxa"/>
            <w:vAlign w:val="bottom"/>
            <w:shd w:val="clear" w:color="auto" w:fill="CFF0FC"/>
          </w:tcPr>
          <w:p>
            <w:pPr>
              <w:ind w:left="18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 million</w:t>
            </w:r>
          </w:p>
        </w:tc>
      </w:tr>
      <w:tr>
        <w:trPr>
          <w:trHeight w:val="153"/>
        </w:trPr>
        <w:tc>
          <w:tcPr>
            <w:tcW w:w="5120" w:type="dxa"/>
            <w:vAlign w:val="bottom"/>
            <w:gridSpan w:val="2"/>
          </w:tcPr>
          <w:p>
            <w:pPr>
              <w:jc w:val="right"/>
              <w:ind w:right="3020"/>
              <w:spacing w:after="0"/>
              <w:rPr>
                <w:sz w:val="20"/>
                <w:szCs w:val="20"/>
                <w:color w:val="auto"/>
              </w:rPr>
            </w:pPr>
            <w:r>
              <w:rPr>
                <w:rFonts w:ascii="Arial" w:cs="Arial" w:eastAsia="Arial" w:hAnsi="Arial"/>
                <w:sz w:val="12"/>
                <w:szCs w:val="12"/>
                <w:color w:val="auto"/>
              </w:rPr>
              <w:t>2024</w:t>
            </w:r>
          </w:p>
        </w:tc>
        <w:tc>
          <w:tcPr>
            <w:tcW w:w="2440" w:type="dxa"/>
            <w:vAlign w:val="bottom"/>
          </w:tcPr>
          <w:p>
            <w:pPr>
              <w:ind w:left="184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8.6 million</w:t>
            </w:r>
          </w:p>
        </w:tc>
      </w:tr>
    </w:tbl>
    <w:p>
      <w:pPr>
        <w:spacing w:after="0" w:line="135" w:lineRule="exact"/>
        <w:rPr>
          <w:sz w:val="20"/>
          <w:szCs w:val="20"/>
          <w:color w:val="auto"/>
        </w:rPr>
      </w:pPr>
    </w:p>
    <w:p>
      <w:pPr>
        <w:ind w:firstLine="488"/>
        <w:spacing w:after="0" w:line="281" w:lineRule="auto"/>
        <w:rPr>
          <w:sz w:val="20"/>
          <w:szCs w:val="20"/>
          <w:color w:val="auto"/>
        </w:rPr>
      </w:pPr>
      <w:r>
        <w:rPr>
          <w:rFonts w:ascii="Arial" w:cs="Arial" w:eastAsia="Arial" w:hAnsi="Arial"/>
          <w:sz w:val="11"/>
          <w:szCs w:val="11"/>
          <w:color w:val="auto"/>
        </w:rPr>
        <w:t>Unless terminated earlier, the term of the Insulin Supply Agreement with Amphastar expires on December 31, 2024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On April 2, 2018, the Company entered into a foreign currency hedging transaction to mitigate its exposure to foreign currency exchange risks. The hedging transaction hedges against short-term currency fluctuations for the remaining current year purchase requirement amount of €4.4 million and is renewable every 90 days. In 2018, the Company realized a currency loss of approximately $0.6 million during 2018. This amount is recorded in other income and expense.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97" w:name="page98"/>
    <w:bookmarkEnd w:id="97"/>
    <w:p>
      <w:pPr>
        <w:ind w:firstLine="488"/>
        <w:spacing w:after="0" w:line="280" w:lineRule="auto"/>
        <w:rPr>
          <w:sz w:val="20"/>
          <w:szCs w:val="20"/>
          <w:color w:val="auto"/>
        </w:rPr>
      </w:pPr>
      <w:r>
        <w:rPr>
          <w:rFonts w:ascii="Arial" w:cs="Arial" w:eastAsia="Arial" w:hAnsi="Arial"/>
          <w:sz w:val="11"/>
          <w:szCs w:val="11"/>
          <w:i w:val="1"/>
          <w:iCs w:val="1"/>
          <w:color w:val="auto"/>
        </w:rPr>
        <w:t xml:space="preserve">Warrants - </w:t>
      </w:r>
      <w:r>
        <w:rPr>
          <w:rFonts w:ascii="Arial" w:cs="Arial" w:eastAsia="Arial" w:hAnsi="Arial"/>
          <w:sz w:val="11"/>
          <w:szCs w:val="11"/>
          <w:color w:val="auto"/>
        </w:rPr>
        <w:t>On April 5, 2018, the Company entered into securities purchase agreements with certain institutional investors. Pursuant to the terms of the purchase agreements, the Company sold to the purchasers in a registered</w:t>
      </w:r>
      <w:r>
        <w:rPr>
          <w:rFonts w:ascii="Arial" w:cs="Arial" w:eastAsia="Arial" w:hAnsi="Arial"/>
          <w:sz w:val="11"/>
          <w:szCs w:val="11"/>
          <w:i w:val="1"/>
          <w:iCs w:val="1"/>
          <w:color w:val="auto"/>
        </w:rPr>
        <w:t xml:space="preserve"> </w:t>
      </w:r>
      <w:r>
        <w:rPr>
          <w:rFonts w:ascii="Arial" w:cs="Arial" w:eastAsia="Arial" w:hAnsi="Arial"/>
          <w:sz w:val="11"/>
          <w:szCs w:val="11"/>
          <w:color w:val="auto"/>
        </w:rPr>
        <w:t>offering an aggregate of 14,000,000 shares of its common stock and warrants to purchase up to an aggregate of 14,000,000 shares of its common stock at a combined purchase price of $2.00 per share and accompanying warrant. The shares of the common stock and the warrants were immediately separable. The warrants are exercisable at a price of $2.38 per share beginning six months following the date of issuance and will expire six months thereafter. The net proceeds to the Company from the offering were approximately $26.4 million. The offering closed on April 9, 2018. Additionally, on December 19, 2018, the Company entered into an underwriting agreement with Leerink Partners LLC relating to the issuance and sale in a public offering of 26,666,667 shares of the Company’s common stock and warrants to purchase up to an aggregate of 26,666,667 shares of the Company’s common stock at a combined purchase price of $1.50 per share and accompanying warrant. The shares of common stock and the warrants were immediately separable. The warrants were immediately exercisable at issuance at a price of $1.60 per share and will expire on December 26, 2019. The net proceeds to the Company from the offering were approximately $37.3 million. The offering closed on December 26, 2018. The Company determined that these warrants met the criteria for equity classification and accounted for such warrants in additional paid in capital.</w:t>
      </w:r>
    </w:p>
    <w:p>
      <w:pPr>
        <w:spacing w:after="0" w:line="135" w:lineRule="exact"/>
        <w:rPr>
          <w:sz w:val="20"/>
          <w:szCs w:val="20"/>
          <w:color w:val="auto"/>
        </w:rPr>
      </w:pPr>
    </w:p>
    <w:p>
      <w:pPr>
        <w:ind w:right="140" w:firstLine="488"/>
        <w:spacing w:after="0" w:line="263" w:lineRule="auto"/>
        <w:rPr>
          <w:sz w:val="20"/>
          <w:szCs w:val="20"/>
          <w:color w:val="auto"/>
        </w:rPr>
      </w:pPr>
      <w:r>
        <w:rPr>
          <w:rFonts w:ascii="Arial" w:cs="Arial" w:eastAsia="Arial" w:hAnsi="Arial"/>
          <w:sz w:val="12"/>
          <w:szCs w:val="12"/>
          <w:i w:val="1"/>
          <w:iCs w:val="1"/>
          <w:color w:val="auto"/>
        </w:rPr>
        <w:t xml:space="preserve">Vehicle Leases – </w:t>
      </w:r>
      <w:r>
        <w:rPr>
          <w:rFonts w:ascii="Arial" w:cs="Arial" w:eastAsia="Arial" w:hAnsi="Arial"/>
          <w:sz w:val="12"/>
          <w:szCs w:val="12"/>
          <w:color w:val="auto"/>
        </w:rPr>
        <w:t>During the second quarter of 2018, the Company entered into a lease agreement with Enterprise for the lease of approximately 100 vehicles. The lease requires monthly payments of approximately $83,000 per</w:t>
      </w:r>
      <w:r>
        <w:rPr>
          <w:rFonts w:ascii="Arial" w:cs="Arial" w:eastAsia="Arial" w:hAnsi="Arial"/>
          <w:sz w:val="12"/>
          <w:szCs w:val="12"/>
          <w:i w:val="1"/>
          <w:iCs w:val="1"/>
          <w:color w:val="auto"/>
        </w:rPr>
        <w:t xml:space="preserve"> </w:t>
      </w:r>
      <w:r>
        <w:rPr>
          <w:rFonts w:ascii="Arial" w:cs="Arial" w:eastAsia="Arial" w:hAnsi="Arial"/>
          <w:sz w:val="12"/>
          <w:szCs w:val="12"/>
          <w:color w:val="auto"/>
        </w:rPr>
        <w:t>month including the cost of maintaining the vehicles, taxes and insurance. The leases commenced when the Company took possession of the majority of the vehicles in the second quarter of 2018. The leases expire 48 months after the delivery date.</w:t>
      </w:r>
    </w:p>
    <w:p>
      <w:pPr>
        <w:spacing w:after="0" w:line="123" w:lineRule="exact"/>
        <w:rPr>
          <w:sz w:val="20"/>
          <w:szCs w:val="20"/>
          <w:color w:val="auto"/>
        </w:rPr>
      </w:pPr>
    </w:p>
    <w:p>
      <w:pPr>
        <w:ind w:right="360" w:firstLine="488"/>
        <w:spacing w:after="0" w:line="276" w:lineRule="auto"/>
        <w:rPr>
          <w:sz w:val="20"/>
          <w:szCs w:val="20"/>
          <w:color w:val="auto"/>
        </w:rPr>
      </w:pPr>
      <w:r>
        <w:rPr>
          <w:rFonts w:ascii="Arial" w:cs="Arial" w:eastAsia="Arial" w:hAnsi="Arial"/>
          <w:sz w:val="12"/>
          <w:szCs w:val="12"/>
          <w:color w:val="auto"/>
        </w:rPr>
        <w:t>On March 8, 2018, the Company entered into a standby letter of credit for a total of $0.5 million in connection with the Company’s sales force vehicle lease program. The letter of credit is collateralized by a restricted cash account in the amount of $0.5 million. There were no amounts drawn down on this letter of credit as of December 31, 2018.</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1"/>
          <w:szCs w:val="11"/>
          <w:i w:val="1"/>
          <w:iCs w:val="1"/>
          <w:color w:val="auto"/>
        </w:rPr>
        <w:t xml:space="preserve">Office Lease </w:t>
      </w:r>
      <w:r>
        <w:rPr>
          <w:rFonts w:ascii="Arial" w:cs="Arial" w:eastAsia="Arial" w:hAnsi="Arial"/>
          <w:sz w:val="11"/>
          <w:szCs w:val="11"/>
          <w:color w:val="auto"/>
        </w:rPr>
        <w:t>— On May 5, 2017, the Company executed an office lease with Russell Ranch Road II LLC for the Company’s corporate headquarters in Westlake Village, California. The office lease commenced in August 2017.</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The lease requires monthly payments of $40,951, increased by 3% annually, plus the estimated cost of maintaining the property by the landlord with a five month concession from October 2017 through February 2018. The lease expires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January 2023 and provides the Company with a five year renewal option.</w:t>
      </w:r>
    </w:p>
    <w:p>
      <w:pPr>
        <w:spacing w:after="0" w:line="141" w:lineRule="exact"/>
        <w:rPr>
          <w:sz w:val="20"/>
          <w:szCs w:val="20"/>
          <w:color w:val="auto"/>
        </w:rPr>
      </w:pPr>
    </w:p>
    <w:p>
      <w:pPr>
        <w:ind w:right="80" w:firstLine="488"/>
        <w:spacing w:after="0" w:line="263" w:lineRule="auto"/>
        <w:rPr>
          <w:sz w:val="20"/>
          <w:szCs w:val="20"/>
          <w:color w:val="auto"/>
        </w:rPr>
      </w:pPr>
      <w:r>
        <w:rPr>
          <w:rFonts w:ascii="Arial" w:cs="Arial" w:eastAsia="Arial" w:hAnsi="Arial"/>
          <w:sz w:val="12"/>
          <w:szCs w:val="12"/>
          <w:color w:val="auto"/>
        </w:rPr>
        <w:t>On November 29, 2017, the Company executed an office lease with Russell Ranch Road II LLC to expand the office space for the Company’s corporate headquarters in Westlake Village, California. The office lease commenced in October 2018. The lease requires monthly payments of $35,969, increased by 3% annually, plus the estimated cost of maintaining the property by the landlord. In addition, the Company will be entitled to reimbursement from the landlord of up to $56,325 for tenant improvements. The lease expires in January 2023 and provides the Company with a five year renewal option.</w:t>
      </w:r>
    </w:p>
    <w:p>
      <w:pPr>
        <w:spacing w:after="0" w:line="123" w:lineRule="exact"/>
        <w:rPr>
          <w:sz w:val="20"/>
          <w:szCs w:val="20"/>
          <w:color w:val="auto"/>
        </w:rPr>
      </w:pPr>
    </w:p>
    <w:p>
      <w:pPr>
        <w:ind w:right="560" w:firstLine="488"/>
        <w:spacing w:after="0" w:line="276" w:lineRule="auto"/>
        <w:rPr>
          <w:sz w:val="20"/>
          <w:szCs w:val="20"/>
          <w:color w:val="auto"/>
        </w:rPr>
      </w:pPr>
      <w:r>
        <w:rPr>
          <w:rFonts w:ascii="Arial" w:cs="Arial" w:eastAsia="Arial" w:hAnsi="Arial"/>
          <w:sz w:val="12"/>
          <w:szCs w:val="12"/>
          <w:color w:val="auto"/>
        </w:rPr>
        <w:t>Rent expense under all operating leases including office space and equipment was approximately $0.5 million for the year ended December 31, 2018, and $0.4 million for the years ended December 31, 2017 and 2016, respectively.</w:t>
      </w:r>
    </w:p>
    <w:p>
      <w:pPr>
        <w:spacing w:after="0" w:line="115" w:lineRule="exact"/>
        <w:rPr>
          <w:sz w:val="20"/>
          <w:szCs w:val="20"/>
          <w:color w:val="auto"/>
        </w:rPr>
      </w:pPr>
    </w:p>
    <w:tbl>
      <w:tblPr>
        <w:tblLayout w:type="fixed"/>
        <w:tblInd w:w="480" w:type="dxa"/>
        <w:tblCellMar>
          <w:top w:w="0" w:type="dxa"/>
          <w:left w:w="0" w:type="dxa"/>
          <w:bottom w:w="0" w:type="dxa"/>
          <w:right w:w="0" w:type="dxa"/>
        </w:tblCellMar>
      </w:tblPr>
      <w:tr>
        <w:trPr>
          <w:trHeight w:val="153"/>
        </w:trPr>
        <w:tc>
          <w:tcPr>
            <w:tcW w:w="7460" w:type="dxa"/>
            <w:vAlign w:val="bottom"/>
            <w:gridSpan w:val="2"/>
          </w:tcPr>
          <w:p>
            <w:pPr>
              <w:jc w:val="right"/>
              <w:ind w:right="5100"/>
              <w:spacing w:after="0"/>
              <w:rPr>
                <w:sz w:val="20"/>
                <w:szCs w:val="20"/>
                <w:color w:val="auto"/>
              </w:rPr>
            </w:pPr>
            <w:r>
              <w:rPr>
                <w:rFonts w:ascii="Arial" w:cs="Arial" w:eastAsia="Arial" w:hAnsi="Arial"/>
                <w:sz w:val="12"/>
                <w:szCs w:val="12"/>
                <w:color w:val="auto"/>
                <w:w w:val="89"/>
              </w:rPr>
              <w:t>Future minimum lease payments are as follows:</w:t>
            </w: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74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1800" w:type="dxa"/>
            <w:vAlign w:val="bottom"/>
          </w:tcPr>
          <w:p>
            <w:pPr>
              <w:spacing w:after="0"/>
              <w:rPr>
                <w:sz w:val="13"/>
                <w:szCs w:val="13"/>
                <w:color w:val="auto"/>
              </w:rPr>
            </w:pPr>
          </w:p>
        </w:tc>
        <w:tc>
          <w:tcPr>
            <w:tcW w:w="5660" w:type="dxa"/>
            <w:vAlign w:val="bottom"/>
            <w:shd w:val="clear" w:color="auto" w:fill="CFF0FC"/>
          </w:tcPr>
          <w:p>
            <w:pPr>
              <w:jc w:val="right"/>
              <w:ind w:right="5180"/>
              <w:spacing w:after="0"/>
              <w:rPr>
                <w:sz w:val="20"/>
                <w:szCs w:val="20"/>
                <w:color w:val="auto"/>
              </w:rPr>
            </w:pPr>
            <w:r>
              <w:rPr>
                <w:rFonts w:ascii="Arial" w:cs="Arial" w:eastAsia="Arial" w:hAnsi="Arial"/>
                <w:sz w:val="12"/>
                <w:szCs w:val="12"/>
                <w:color w:val="auto"/>
              </w:rPr>
              <w:t>2019</w:t>
            </w: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947,162</w:t>
            </w:r>
          </w:p>
        </w:tc>
        <w:tc>
          <w:tcPr>
            <w:tcW w:w="80" w:type="dxa"/>
            <w:vAlign w:val="bottom"/>
            <w:shd w:val="clear" w:color="auto" w:fill="CFF0FC"/>
          </w:tcPr>
          <w:p>
            <w:pPr>
              <w:spacing w:after="0"/>
              <w:rPr>
                <w:sz w:val="13"/>
                <w:szCs w:val="13"/>
                <w:color w:val="auto"/>
              </w:rPr>
            </w:pPr>
          </w:p>
        </w:tc>
      </w:tr>
      <w:tr>
        <w:trPr>
          <w:trHeight w:val="153"/>
        </w:trPr>
        <w:tc>
          <w:tcPr>
            <w:tcW w:w="7460" w:type="dxa"/>
            <w:vAlign w:val="bottom"/>
            <w:gridSpan w:val="2"/>
          </w:tcPr>
          <w:p>
            <w:pPr>
              <w:jc w:val="right"/>
              <w:ind w:right="5180"/>
              <w:spacing w:after="0"/>
              <w:rPr>
                <w:sz w:val="20"/>
                <w:szCs w:val="20"/>
                <w:color w:val="auto"/>
              </w:rPr>
            </w:pPr>
            <w:r>
              <w:rPr>
                <w:rFonts w:ascii="Arial" w:cs="Arial" w:eastAsia="Arial" w:hAnsi="Arial"/>
                <w:sz w:val="12"/>
                <w:szCs w:val="12"/>
                <w:color w:val="auto"/>
              </w:rPr>
              <w:t>2020</w:t>
            </w: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975,577</w:t>
            </w:r>
          </w:p>
        </w:tc>
        <w:tc>
          <w:tcPr>
            <w:tcW w:w="80" w:type="dxa"/>
            <w:vAlign w:val="bottom"/>
          </w:tcPr>
          <w:p>
            <w:pPr>
              <w:spacing w:after="0"/>
              <w:rPr>
                <w:sz w:val="13"/>
                <w:szCs w:val="13"/>
                <w:color w:val="auto"/>
              </w:rPr>
            </w:pPr>
          </w:p>
        </w:tc>
      </w:tr>
      <w:tr>
        <w:trPr>
          <w:trHeight w:val="153"/>
        </w:trPr>
        <w:tc>
          <w:tcPr>
            <w:tcW w:w="1800" w:type="dxa"/>
            <w:vAlign w:val="bottom"/>
          </w:tcPr>
          <w:p>
            <w:pPr>
              <w:spacing w:after="0"/>
              <w:rPr>
                <w:sz w:val="13"/>
                <w:szCs w:val="13"/>
                <w:color w:val="auto"/>
              </w:rPr>
            </w:pPr>
          </w:p>
        </w:tc>
        <w:tc>
          <w:tcPr>
            <w:tcW w:w="5660" w:type="dxa"/>
            <w:vAlign w:val="bottom"/>
            <w:shd w:val="clear" w:color="auto" w:fill="CFF0FC"/>
          </w:tcPr>
          <w:p>
            <w:pPr>
              <w:jc w:val="right"/>
              <w:ind w:right="5180"/>
              <w:spacing w:after="0"/>
              <w:rPr>
                <w:sz w:val="20"/>
                <w:szCs w:val="20"/>
                <w:color w:val="auto"/>
              </w:rPr>
            </w:pPr>
            <w:r>
              <w:rPr>
                <w:rFonts w:ascii="Arial" w:cs="Arial" w:eastAsia="Arial" w:hAnsi="Arial"/>
                <w:sz w:val="12"/>
                <w:szCs w:val="12"/>
                <w:color w:val="auto"/>
              </w:rPr>
              <w:t>2021</w:t>
            </w: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1,004,844</w:t>
            </w:r>
          </w:p>
        </w:tc>
        <w:tc>
          <w:tcPr>
            <w:tcW w:w="80" w:type="dxa"/>
            <w:vAlign w:val="bottom"/>
            <w:shd w:val="clear" w:color="auto" w:fill="CFF0FC"/>
          </w:tcPr>
          <w:p>
            <w:pPr>
              <w:spacing w:after="0"/>
              <w:rPr>
                <w:sz w:val="13"/>
                <w:szCs w:val="13"/>
                <w:color w:val="auto"/>
              </w:rPr>
            </w:pPr>
          </w:p>
        </w:tc>
      </w:tr>
      <w:tr>
        <w:trPr>
          <w:trHeight w:val="153"/>
        </w:trPr>
        <w:tc>
          <w:tcPr>
            <w:tcW w:w="7460" w:type="dxa"/>
            <w:vAlign w:val="bottom"/>
            <w:gridSpan w:val="2"/>
          </w:tcPr>
          <w:p>
            <w:pPr>
              <w:jc w:val="right"/>
              <w:ind w:right="5180"/>
              <w:spacing w:after="0"/>
              <w:rPr>
                <w:sz w:val="20"/>
                <w:szCs w:val="20"/>
                <w:color w:val="auto"/>
              </w:rPr>
            </w:pPr>
            <w:r>
              <w:rPr>
                <w:rFonts w:ascii="Arial" w:cs="Arial" w:eastAsia="Arial" w:hAnsi="Arial"/>
                <w:sz w:val="12"/>
                <w:szCs w:val="12"/>
                <w:color w:val="auto"/>
              </w:rPr>
              <w:t>2022</w:t>
            </w: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1,034,989</w:t>
            </w:r>
          </w:p>
        </w:tc>
        <w:tc>
          <w:tcPr>
            <w:tcW w:w="80" w:type="dxa"/>
            <w:vAlign w:val="bottom"/>
          </w:tcPr>
          <w:p>
            <w:pPr>
              <w:spacing w:after="0"/>
              <w:rPr>
                <w:sz w:val="13"/>
                <w:szCs w:val="13"/>
                <w:color w:val="auto"/>
              </w:rPr>
            </w:pPr>
          </w:p>
        </w:tc>
      </w:tr>
      <w:tr>
        <w:trPr>
          <w:trHeight w:val="153"/>
        </w:trPr>
        <w:tc>
          <w:tcPr>
            <w:tcW w:w="1800" w:type="dxa"/>
            <w:vAlign w:val="bottom"/>
          </w:tcPr>
          <w:p>
            <w:pPr>
              <w:spacing w:after="0"/>
              <w:rPr>
                <w:sz w:val="13"/>
                <w:szCs w:val="13"/>
                <w:color w:val="auto"/>
              </w:rPr>
            </w:pPr>
          </w:p>
        </w:tc>
        <w:tc>
          <w:tcPr>
            <w:tcW w:w="5660" w:type="dxa"/>
            <w:vAlign w:val="bottom"/>
            <w:shd w:val="clear" w:color="auto" w:fill="CFF0FC"/>
          </w:tcPr>
          <w:p>
            <w:pPr>
              <w:jc w:val="right"/>
              <w:ind w:right="5180"/>
              <w:spacing w:after="0"/>
              <w:rPr>
                <w:sz w:val="20"/>
                <w:szCs w:val="20"/>
                <w:color w:val="auto"/>
              </w:rPr>
            </w:pPr>
            <w:r>
              <w:rPr>
                <w:rFonts w:ascii="Arial" w:cs="Arial" w:eastAsia="Arial" w:hAnsi="Arial"/>
                <w:sz w:val="12"/>
                <w:szCs w:val="12"/>
                <w:color w:val="auto"/>
              </w:rPr>
              <w:t>2023</w:t>
            </w:r>
          </w:p>
        </w:tc>
        <w:tc>
          <w:tcPr>
            <w:tcW w:w="3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87,957</w:t>
            </w:r>
          </w:p>
        </w:tc>
        <w:tc>
          <w:tcPr>
            <w:tcW w:w="80" w:type="dxa"/>
            <w:vAlign w:val="bottom"/>
            <w:shd w:val="clear" w:color="auto" w:fill="CFF0FC"/>
          </w:tcPr>
          <w:p>
            <w:pPr>
              <w:spacing w:after="0"/>
              <w:rPr>
                <w:sz w:val="13"/>
                <w:szCs w:val="13"/>
                <w:color w:val="auto"/>
              </w:rPr>
            </w:pPr>
          </w:p>
        </w:tc>
      </w:tr>
      <w:tr>
        <w:trPr>
          <w:trHeight w:val="149"/>
        </w:trPr>
        <w:tc>
          <w:tcPr>
            <w:tcW w:w="18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4,050,529</w:t>
            </w:r>
          </w:p>
        </w:tc>
        <w:tc>
          <w:tcPr>
            <w:tcW w:w="80" w:type="dxa"/>
            <w:vAlign w:val="bottom"/>
          </w:tcPr>
          <w:p>
            <w:pPr>
              <w:spacing w:after="0"/>
              <w:rPr>
                <w:sz w:val="12"/>
                <w:szCs w:val="12"/>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Employee Benefit Plans</w:t>
      </w:r>
    </w:p>
    <w:p>
      <w:pPr>
        <w:spacing w:after="0" w:line="91" w:lineRule="exact"/>
        <w:rPr>
          <w:sz w:val="20"/>
          <w:szCs w:val="20"/>
          <w:color w:val="auto"/>
        </w:rPr>
      </w:pPr>
    </w:p>
    <w:p>
      <w:pPr>
        <w:ind w:right="180" w:firstLine="488"/>
        <w:spacing w:after="0" w:line="276" w:lineRule="auto"/>
        <w:rPr>
          <w:sz w:val="20"/>
          <w:szCs w:val="20"/>
          <w:color w:val="auto"/>
        </w:rPr>
      </w:pPr>
      <w:r>
        <w:rPr>
          <w:rFonts w:ascii="Arial" w:cs="Arial" w:eastAsia="Arial" w:hAnsi="Arial"/>
          <w:sz w:val="12"/>
          <w:szCs w:val="12"/>
          <w:color w:val="auto"/>
        </w:rPr>
        <w:t>The Company administers a 401(k) savings retirement plan for its employees. The Company contributed $1.0 million for the year ended December 31, 2018, and $0.4 million for the years ended December 31, 2017 and 2016, respectively.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98" w:name="page99"/>
    <w:bookmarkEnd w:id="98"/>
    <w:p>
      <w:pPr>
        <w:spacing w:after="0"/>
        <w:rPr>
          <w:sz w:val="20"/>
          <w:szCs w:val="20"/>
          <w:color w:val="auto"/>
        </w:rPr>
      </w:pPr>
      <w:r>
        <w:rPr>
          <w:rFonts w:ascii="Arial" w:cs="Arial" w:eastAsia="Arial" w:hAnsi="Arial"/>
          <w:sz w:val="12"/>
          <w:szCs w:val="12"/>
          <w:b w:val="1"/>
          <w:bCs w:val="1"/>
          <w:color w:val="auto"/>
        </w:rPr>
        <w:t>16. Income Taxes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Loss from continuing operations before provision for income tax for the Company’s domestic and international operations was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6"/>
              </w:rPr>
              <w:t>December 31,</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720" w:type="dxa"/>
            <w:vAlign w:val="bottom"/>
            <w:tcBorders>
              <w:bottom w:val="single" w:sz="8" w:color="CFF0FC"/>
            </w:tcBorders>
          </w:tcPr>
          <w:p>
            <w:pPr>
              <w:spacing w:after="0"/>
              <w:rPr>
                <w:sz w:val="8"/>
                <w:szCs w:val="8"/>
                <w:color w:val="auto"/>
              </w:rPr>
            </w:pPr>
          </w:p>
        </w:tc>
        <w:tc>
          <w:tcPr>
            <w:tcW w:w="170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2018</w:t>
            </w: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05"/>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3"/>
              <w:spacing w:after="0" w:line="97"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20" w:type="dxa"/>
            <w:vAlign w:val="bottom"/>
            <w:shd w:val="clear" w:color="auto" w:fill="CFF0FC"/>
          </w:tcPr>
          <w:p>
            <w:pPr>
              <w:spacing w:after="0"/>
              <w:rPr>
                <w:sz w:val="20"/>
                <w:szCs w:val="20"/>
                <w:color w:val="auto"/>
              </w:rPr>
            </w:pPr>
            <w:r>
              <w:rPr>
                <w:rFonts w:ascii="Arial" w:cs="Arial" w:eastAsia="Arial" w:hAnsi="Arial"/>
                <w:sz w:val="12"/>
                <w:szCs w:val="12"/>
                <w:color w:val="auto"/>
              </w:rPr>
              <w:t>US</w:t>
            </w:r>
          </w:p>
        </w:tc>
        <w:tc>
          <w:tcPr>
            <w:tcW w:w="236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w w:val="93"/>
              </w:rPr>
              <w:t>(84,207)</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(113,679)</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Arial" w:cs="Arial" w:eastAsia="Arial" w:hAnsi="Arial"/>
                <w:sz w:val="12"/>
                <w:szCs w:val="12"/>
                <w:color w:val="auto"/>
              </w:rPr>
              <w:t>Foreign</w:t>
            </w:r>
          </w:p>
        </w:tc>
        <w:tc>
          <w:tcPr>
            <w:tcW w:w="1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(2,528)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(3,603)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(3,697)</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Loss before provision for income taxes</w:t>
            </w:r>
          </w:p>
        </w:tc>
        <w:tc>
          <w:tcPr>
            <w:tcW w:w="17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vMerge w:val="continue"/>
            <w:shd w:val="clear" w:color="auto" w:fill="CFF0FC"/>
          </w:tcPr>
          <w:p>
            <w:pPr>
              <w:spacing w:after="0"/>
              <w:rPr>
                <w:sz w:val="12"/>
                <w:szCs w:val="12"/>
                <w:color w:val="auto"/>
              </w:rPr>
            </w:pPr>
          </w:p>
        </w:tc>
        <w:tc>
          <w:tcPr>
            <w:tcW w:w="236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w w:val="93"/>
              </w:rPr>
              <w:t>(86,735)</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(117,282)</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125,664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20" w:type="dxa"/>
            <w:vAlign w:val="bottom"/>
            <w:shd w:val="clear" w:color="auto" w:fill="CFF0FC"/>
          </w:tcPr>
          <w:p>
            <w:pPr>
              <w:spacing w:after="0"/>
              <w:rPr>
                <w:sz w:val="2"/>
                <w:szCs w:val="2"/>
                <w:color w:val="auto"/>
              </w:rPr>
            </w:pPr>
          </w:p>
        </w:tc>
        <w:tc>
          <w:tcPr>
            <w:tcW w:w="170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240" w:firstLine="488"/>
        <w:spacing w:after="0" w:line="264" w:lineRule="auto"/>
        <w:rPr>
          <w:sz w:val="20"/>
          <w:szCs w:val="20"/>
          <w:color w:val="auto"/>
        </w:rPr>
      </w:pPr>
      <w:r>
        <w:rPr>
          <w:rFonts w:ascii="Arial" w:cs="Arial" w:eastAsia="Arial" w:hAnsi="Arial"/>
          <w:sz w:val="12"/>
          <w:szCs w:val="12"/>
          <w:color w:val="auto"/>
        </w:rPr>
        <w:t>At December 31, 2018, the Company has concluded that it is more likely than not that the Company may not realize the benefit of its deferred tax assets due to its history of losses. The provision for income taxes for the years ended December 31, 2018 and 2017 was $0.2 million and $0.1 million, respectively. There was no provision for income tax recorded for the year ended December 31, 2016. The provision for income taxes relates only to foreign withholding taxes for the years ended December 31, 2018 and 2017 because the Company has incurred operating losses since inception. Accordingly, the net deferred tax assets have been fully reserved. The provision for income taxes consists of the following (in thousands):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280" w:type="dxa"/>
            <w:vAlign w:val="bottom"/>
            <w:tcBorders>
              <w:bottom w:val="single" w:sz="8" w:color="CFF0FC"/>
            </w:tcBorders>
          </w:tcPr>
          <w:p>
            <w:pPr>
              <w:spacing w:after="0"/>
              <w:rPr>
                <w:sz w:val="8"/>
                <w:szCs w:val="8"/>
                <w:color w:val="auto"/>
              </w:rPr>
            </w:pPr>
          </w:p>
        </w:tc>
        <w:tc>
          <w:tcPr>
            <w:tcW w:w="214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2018</w:t>
            </w: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rPr>
                <w:sz w:val="20"/>
                <w:szCs w:val="20"/>
                <w:color w:val="auto"/>
              </w:rPr>
            </w:pPr>
            <w:r>
              <w:rPr>
                <w:rFonts w:ascii="Arial" w:cs="Arial" w:eastAsia="Arial" w:hAnsi="Arial"/>
                <w:sz w:val="12"/>
                <w:szCs w:val="12"/>
                <w:color w:val="auto"/>
              </w:rPr>
              <w:t>Current</w:t>
            </w:r>
          </w:p>
        </w:tc>
        <w:tc>
          <w:tcPr>
            <w:tcW w:w="2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160"/>
              <w:spacing w:after="0"/>
              <w:rPr>
                <w:sz w:val="20"/>
                <w:szCs w:val="20"/>
                <w:color w:val="auto"/>
              </w:rPr>
            </w:pPr>
            <w:r>
              <w:rPr>
                <w:rFonts w:ascii="Arial" w:cs="Arial" w:eastAsia="Arial" w:hAnsi="Arial"/>
                <w:sz w:val="12"/>
                <w:szCs w:val="12"/>
                <w:color w:val="auto"/>
              </w:rPr>
              <w:t>U.S. federal</w:t>
            </w:r>
          </w:p>
        </w:tc>
        <w:tc>
          <w:tcPr>
            <w:tcW w:w="280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U.S. state</w:t>
            </w:r>
          </w:p>
        </w:tc>
        <w:tc>
          <w:tcPr>
            <w:tcW w:w="2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Non-U.S.</w:t>
            </w:r>
          </w:p>
        </w:tc>
        <w:tc>
          <w:tcPr>
            <w:tcW w:w="21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current</w:t>
            </w:r>
          </w:p>
        </w:tc>
        <w:tc>
          <w:tcPr>
            <w:tcW w:w="2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20"/>
                <w:szCs w:val="20"/>
                <w:color w:val="auto"/>
              </w:rPr>
            </w:pPr>
            <w:r>
              <w:rPr>
                <w:rFonts w:ascii="Arial" w:cs="Arial" w:eastAsia="Arial" w:hAnsi="Arial"/>
                <w:sz w:val="12"/>
                <w:szCs w:val="12"/>
                <w:color w:val="auto"/>
              </w:rPr>
              <w:t>Deferred</w:t>
            </w:r>
          </w:p>
        </w:tc>
        <w:tc>
          <w:tcPr>
            <w:tcW w:w="2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U.S. federal</w:t>
            </w:r>
          </w:p>
        </w:tc>
        <w:tc>
          <w:tcPr>
            <w:tcW w:w="2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(9,164)</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244,801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(43,814)</w:t>
            </w:r>
          </w:p>
        </w:tc>
        <w:tc>
          <w:tcPr>
            <w:tcW w:w="0" w:type="dxa"/>
            <w:vAlign w:val="bottom"/>
          </w:tcPr>
          <w:p>
            <w:pPr>
              <w:spacing w:after="0"/>
              <w:rPr>
                <w:sz w:val="1"/>
                <w:szCs w:val="1"/>
                <w:color w:val="auto"/>
              </w:rPr>
            </w:pPr>
          </w:p>
        </w:tc>
      </w:tr>
      <w:tr>
        <w:trPr>
          <w:trHeight w:val="153"/>
        </w:trPr>
        <w:tc>
          <w:tcPr>
            <w:tcW w:w="3280" w:type="dxa"/>
            <w:vAlign w:val="bottom"/>
          </w:tcPr>
          <w:p>
            <w:pPr>
              <w:ind w:left="160"/>
              <w:spacing w:after="0"/>
              <w:rPr>
                <w:sz w:val="20"/>
                <w:szCs w:val="20"/>
                <w:color w:val="auto"/>
              </w:rPr>
            </w:pPr>
            <w:r>
              <w:rPr>
                <w:rFonts w:ascii="Arial" w:cs="Arial" w:eastAsia="Arial" w:hAnsi="Arial"/>
                <w:sz w:val="12"/>
                <w:szCs w:val="12"/>
                <w:color w:val="auto"/>
              </w:rPr>
              <w:t>U.S. state</w:t>
            </w:r>
          </w:p>
        </w:tc>
        <w:tc>
          <w:tcPr>
            <w:tcW w:w="2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(1,903)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15,398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(4,311)</w:t>
            </w:r>
          </w:p>
        </w:tc>
        <w:tc>
          <w:tcPr>
            <w:tcW w:w="0" w:type="dxa"/>
            <w:vAlign w:val="bottom"/>
          </w:tcPr>
          <w:p>
            <w:pPr>
              <w:spacing w:after="0"/>
              <w:rPr>
                <w:sz w:val="1"/>
                <w:szCs w:val="1"/>
                <w:color w:val="auto"/>
              </w:rPr>
            </w:pPr>
          </w:p>
        </w:tc>
      </w:tr>
      <w:tr>
        <w:trPr>
          <w:trHeight w:val="153"/>
        </w:trPr>
        <w:tc>
          <w:tcPr>
            <w:tcW w:w="3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Non-U.S.</w:t>
            </w:r>
          </w:p>
        </w:tc>
        <w:tc>
          <w:tcPr>
            <w:tcW w:w="21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160"/>
              <w:spacing w:after="0"/>
              <w:rPr>
                <w:sz w:val="20"/>
                <w:szCs w:val="20"/>
                <w:color w:val="auto"/>
              </w:rPr>
            </w:pPr>
            <w:r>
              <w:rPr>
                <w:rFonts w:ascii="Arial" w:cs="Arial" w:eastAsia="Arial" w:hAnsi="Arial"/>
                <w:sz w:val="12"/>
                <w:szCs w:val="12"/>
                <w:color w:val="auto"/>
              </w:rPr>
              <w:t>Total deferred</w:t>
            </w:r>
          </w:p>
        </w:tc>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(11,067)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260,199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(48,125)</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Valuation allowance</w:t>
            </w:r>
          </w:p>
        </w:tc>
        <w:tc>
          <w:tcPr>
            <w:tcW w:w="2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vMerge w:val="continue"/>
            <w:shd w:val="clear" w:color="auto" w:fill="CFF0FC"/>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11,067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(260,199)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2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vMerge w:val="continue"/>
          </w:tcPr>
          <w:p>
            <w:pPr>
              <w:spacing w:after="0"/>
              <w:rPr>
                <w:sz w:val="12"/>
                <w:szCs w:val="12"/>
                <w:color w:val="auto"/>
              </w:rPr>
            </w:pPr>
          </w:p>
        </w:tc>
        <w:tc>
          <w:tcPr>
            <w:tcW w:w="280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240</w:t>
            </w:r>
          </w:p>
        </w:tc>
        <w:tc>
          <w:tcPr>
            <w:tcW w:w="140" w:type="dxa"/>
            <w:vAlign w:val="bottom"/>
          </w:tcPr>
          <w:p>
            <w:pPr>
              <w:spacing w:after="0"/>
              <w:rPr>
                <w:sz w:val="12"/>
                <w:szCs w:val="12"/>
                <w:color w:val="auto"/>
              </w:rPr>
            </w:pPr>
          </w:p>
        </w:tc>
        <w:tc>
          <w:tcPr>
            <w:tcW w:w="3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51</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00" w:firstLine="488"/>
        <w:spacing w:after="0" w:line="323" w:lineRule="auto"/>
        <w:rPr>
          <w:sz w:val="20"/>
          <w:szCs w:val="20"/>
          <w:color w:val="auto"/>
        </w:rPr>
      </w:pPr>
      <w:r>
        <w:rPr>
          <w:rFonts w:ascii="Arial" w:cs="Arial" w:eastAsia="Arial" w:hAnsi="Arial"/>
          <w:sz w:val="11"/>
          <w:szCs w:val="11"/>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as of December 31, 2018 and 2017,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2920" w:type="dxa"/>
            <w:vAlign w:val="bottom"/>
            <w:tcBorders>
              <w:bottom w:val="single" w:sz="8" w:color="CFF0FC"/>
            </w:tcBorders>
          </w:tcPr>
          <w:p>
            <w:pPr>
              <w:spacing w:after="0"/>
              <w:rPr>
                <w:sz w:val="8"/>
                <w:szCs w:val="8"/>
                <w:color w:val="auto"/>
              </w:rPr>
            </w:pPr>
          </w:p>
        </w:tc>
        <w:tc>
          <w:tcPr>
            <w:tcW w:w="262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2017</w:t>
            </w:r>
          </w:p>
        </w:tc>
        <w:tc>
          <w:tcPr>
            <w:tcW w:w="80" w:type="dxa"/>
            <w:vAlign w:val="bottom"/>
            <w:tcBorders>
              <w:bottom w:val="single" w:sz="8" w:color="CFF0FC"/>
            </w:tcBorders>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2"/>
                <w:szCs w:val="12"/>
                <w:color w:val="auto"/>
              </w:rPr>
              <w:t>Deferred tax assets:</w:t>
            </w:r>
          </w:p>
        </w:tc>
        <w:tc>
          <w:tcPr>
            <w:tcW w:w="26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tcPr>
          <w:p>
            <w:pPr>
              <w:ind w:left="160"/>
              <w:spacing w:after="0"/>
              <w:rPr>
                <w:sz w:val="20"/>
                <w:szCs w:val="20"/>
                <w:color w:val="auto"/>
              </w:rPr>
            </w:pPr>
            <w:r>
              <w:rPr>
                <w:rFonts w:ascii="Arial" w:cs="Arial" w:eastAsia="Arial" w:hAnsi="Arial"/>
                <w:sz w:val="12"/>
                <w:szCs w:val="12"/>
                <w:color w:val="auto"/>
              </w:rPr>
              <w:t>Net operating loss carryforwards</w:t>
            </w:r>
          </w:p>
        </w:tc>
        <w:tc>
          <w:tcPr>
            <w:tcW w:w="328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524,377</w:t>
            </w:r>
          </w:p>
        </w:tc>
        <w:tc>
          <w:tcPr>
            <w:tcW w:w="120" w:type="dxa"/>
            <w:vAlign w:val="bottom"/>
          </w:tcPr>
          <w:p>
            <w:pPr>
              <w:spacing w:after="0"/>
              <w:rPr>
                <w:sz w:val="13"/>
                <w:szCs w:val="13"/>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507,235</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 credits</w:t>
            </w:r>
          </w:p>
        </w:tc>
        <w:tc>
          <w:tcPr>
            <w:tcW w:w="26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81,583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83,461</w:t>
            </w:r>
          </w:p>
        </w:tc>
        <w:tc>
          <w:tcPr>
            <w:tcW w:w="80" w:type="dxa"/>
            <w:vAlign w:val="bottom"/>
            <w:shd w:val="clear" w:color="auto" w:fill="CFF0FC"/>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tcPr>
          <w:p>
            <w:pPr>
              <w:ind w:left="160"/>
              <w:spacing w:after="0"/>
              <w:rPr>
                <w:sz w:val="20"/>
                <w:szCs w:val="20"/>
                <w:color w:val="auto"/>
              </w:rPr>
            </w:pPr>
            <w:r>
              <w:rPr>
                <w:rFonts w:ascii="Arial" w:cs="Arial" w:eastAsia="Arial" w:hAnsi="Arial"/>
                <w:sz w:val="12"/>
                <w:szCs w:val="12"/>
                <w:color w:val="auto"/>
              </w:rPr>
              <w:t>Capitalized research</w:t>
            </w:r>
          </w:p>
        </w:tc>
        <w:tc>
          <w:tcPr>
            <w:tcW w:w="2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1,016</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Milestone Rights</w:t>
            </w:r>
          </w:p>
        </w:tc>
        <w:tc>
          <w:tcPr>
            <w:tcW w:w="26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3,521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1,908</w:t>
            </w:r>
          </w:p>
        </w:tc>
        <w:tc>
          <w:tcPr>
            <w:tcW w:w="80" w:type="dxa"/>
            <w:vAlign w:val="bottom"/>
            <w:shd w:val="clear" w:color="auto" w:fill="CFF0FC"/>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tcPr>
          <w:p>
            <w:pPr>
              <w:ind w:left="160"/>
              <w:spacing w:after="0"/>
              <w:rPr>
                <w:sz w:val="20"/>
                <w:szCs w:val="20"/>
                <w:color w:val="auto"/>
              </w:rPr>
            </w:pPr>
            <w:r>
              <w:rPr>
                <w:rFonts w:ascii="Arial" w:cs="Arial" w:eastAsia="Arial" w:hAnsi="Arial"/>
                <w:sz w:val="12"/>
                <w:szCs w:val="12"/>
                <w:color w:val="auto"/>
              </w:rPr>
              <w:t>Accrued expenses</w:t>
            </w:r>
          </w:p>
        </w:tc>
        <w:tc>
          <w:tcPr>
            <w:tcW w:w="2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Loss on purchase commitment</w:t>
            </w:r>
          </w:p>
        </w:tc>
        <w:tc>
          <w:tcPr>
            <w:tcW w:w="26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23,194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23,654</w:t>
            </w:r>
          </w:p>
        </w:tc>
        <w:tc>
          <w:tcPr>
            <w:tcW w:w="80" w:type="dxa"/>
            <w:vAlign w:val="bottom"/>
            <w:shd w:val="clear" w:color="auto" w:fill="CFF0FC"/>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tcPr>
          <w:p>
            <w:pPr>
              <w:ind w:left="160"/>
              <w:spacing w:after="0"/>
              <w:rPr>
                <w:sz w:val="20"/>
                <w:szCs w:val="20"/>
                <w:color w:val="auto"/>
              </w:rPr>
            </w:pPr>
            <w:r>
              <w:rPr>
                <w:rFonts w:ascii="Arial" w:cs="Arial" w:eastAsia="Arial" w:hAnsi="Arial"/>
                <w:sz w:val="12"/>
                <w:szCs w:val="12"/>
                <w:color w:val="auto"/>
              </w:rPr>
              <w:t>Non-qualified stock option expense</w:t>
            </w:r>
          </w:p>
        </w:tc>
        <w:tc>
          <w:tcPr>
            <w:tcW w:w="2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2,551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7,004</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Capitalized patent costs</w:t>
            </w:r>
          </w:p>
        </w:tc>
        <w:tc>
          <w:tcPr>
            <w:tcW w:w="26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5,090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5,194</w:t>
            </w:r>
          </w:p>
        </w:tc>
        <w:tc>
          <w:tcPr>
            <w:tcW w:w="80" w:type="dxa"/>
            <w:vAlign w:val="bottom"/>
            <w:shd w:val="clear" w:color="auto" w:fill="CFF0FC"/>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tcPr>
          <w:p>
            <w:pPr>
              <w:ind w:left="160"/>
              <w:spacing w:after="0"/>
              <w:rPr>
                <w:sz w:val="20"/>
                <w:szCs w:val="20"/>
                <w:color w:val="auto"/>
              </w:rPr>
            </w:pPr>
            <w:r>
              <w:rPr>
                <w:rFonts w:ascii="Arial" w:cs="Arial" w:eastAsia="Arial" w:hAnsi="Arial"/>
                <w:sz w:val="12"/>
                <w:szCs w:val="12"/>
                <w:color w:val="auto"/>
              </w:rPr>
              <w:t>Other</w:t>
            </w:r>
          </w:p>
        </w:tc>
        <w:tc>
          <w:tcPr>
            <w:tcW w:w="2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669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795</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w:t>
            </w:r>
          </w:p>
        </w:tc>
        <w:tc>
          <w:tcPr>
            <w:tcW w:w="26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22,560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23,820</w:t>
            </w:r>
          </w:p>
        </w:tc>
        <w:tc>
          <w:tcPr>
            <w:tcW w:w="80" w:type="dxa"/>
            <w:vAlign w:val="bottom"/>
            <w:shd w:val="clear" w:color="auto" w:fill="CFF0FC"/>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29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Deferred Product Revenue &amp; Costs</w:t>
            </w:r>
          </w:p>
        </w:tc>
        <w:tc>
          <w:tcPr>
            <w:tcW w:w="26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2"/>
                <w:szCs w:val="12"/>
                <w:color w:val="auto"/>
              </w:rPr>
              <w:t>Total net deferred tax assets</w:t>
            </w:r>
          </w:p>
        </w:tc>
        <w:tc>
          <w:tcPr>
            <w:tcW w:w="26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665,365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654,298</w:t>
            </w:r>
          </w:p>
        </w:tc>
        <w:tc>
          <w:tcPr>
            <w:tcW w:w="80" w:type="dxa"/>
            <w:vAlign w:val="bottom"/>
            <w:shd w:val="clear" w:color="auto" w:fill="CFF0FC"/>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40" w:type="dxa"/>
            <w:vAlign w:val="bottom"/>
            <w:gridSpan w:val="2"/>
          </w:tcPr>
          <w:p>
            <w:pPr>
              <w:ind w:left="1720"/>
              <w:spacing w:after="0"/>
              <w:rPr>
                <w:sz w:val="20"/>
                <w:szCs w:val="20"/>
                <w:color w:val="auto"/>
              </w:rPr>
            </w:pPr>
            <w:r>
              <w:rPr>
                <w:rFonts w:ascii="Arial" w:cs="Arial" w:eastAsia="Arial" w:hAnsi="Arial"/>
                <w:sz w:val="12"/>
                <w:szCs w:val="12"/>
                <w:color w:val="auto"/>
              </w:rPr>
              <w:t>Valuation allowance</w:t>
            </w:r>
          </w:p>
        </w:tc>
        <w:tc>
          <w:tcPr>
            <w:tcW w:w="2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(665,365)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(654,298)</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deferred tax assets</w:t>
            </w:r>
          </w:p>
        </w:tc>
        <w:tc>
          <w:tcPr>
            <w:tcW w:w="26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20" w:type="dxa"/>
            <w:vAlign w:val="bottom"/>
          </w:tcPr>
          <w:p>
            <w:pPr>
              <w:spacing w:after="0"/>
              <w:rPr>
                <w:sz w:val="14"/>
                <w:szCs w:val="14"/>
                <w:color w:val="auto"/>
              </w:rPr>
            </w:pPr>
          </w:p>
        </w:tc>
        <w:tc>
          <w:tcPr>
            <w:tcW w:w="2920" w:type="dxa"/>
            <w:vAlign w:val="bottom"/>
            <w:vMerge w:val="continue"/>
            <w:shd w:val="clear" w:color="auto" w:fill="CFF0FC"/>
          </w:tcPr>
          <w:p>
            <w:pPr>
              <w:spacing w:after="0"/>
              <w:rPr>
                <w:sz w:val="14"/>
                <w:szCs w:val="14"/>
                <w:color w:val="auto"/>
              </w:rPr>
            </w:pPr>
          </w:p>
        </w:tc>
        <w:tc>
          <w:tcPr>
            <w:tcW w:w="328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3"/>
        </w:trPr>
        <w:tc>
          <w:tcPr>
            <w:tcW w:w="1720" w:type="dxa"/>
            <w:vAlign w:val="bottom"/>
          </w:tcPr>
          <w:p>
            <w:pPr>
              <w:spacing w:after="0"/>
              <w:rPr>
                <w:sz w:val="24"/>
                <w:szCs w:val="24"/>
                <w:color w:val="auto"/>
              </w:rPr>
            </w:pPr>
          </w:p>
        </w:tc>
        <w:tc>
          <w:tcPr>
            <w:tcW w:w="2920" w:type="dxa"/>
            <w:vAlign w:val="bottom"/>
            <w:tcBorders>
              <w:top w:val="single" w:sz="8" w:color="CFF0FC"/>
            </w:tcBorders>
          </w:tcPr>
          <w:p>
            <w:pPr>
              <w:spacing w:after="0"/>
              <w:rPr>
                <w:sz w:val="24"/>
                <w:szCs w:val="24"/>
                <w:color w:val="auto"/>
              </w:rPr>
            </w:pPr>
          </w:p>
        </w:tc>
        <w:tc>
          <w:tcPr>
            <w:tcW w:w="2620" w:type="dxa"/>
            <w:vAlign w:val="bottom"/>
            <w:tcBorders>
              <w:top w:val="single" w:sz="8" w:color="CFF0FC"/>
            </w:tcBorders>
          </w:tcPr>
          <w:p>
            <w:pPr>
              <w:jc w:val="right"/>
              <w:ind w:right="1400"/>
              <w:spacing w:after="0"/>
              <w:rPr>
                <w:sz w:val="20"/>
                <w:szCs w:val="20"/>
                <w:color w:val="auto"/>
              </w:rPr>
            </w:pPr>
            <w:r>
              <w:rPr>
                <w:rFonts w:ascii="Arial" w:cs="Arial" w:eastAsia="Arial" w:hAnsi="Arial"/>
                <w:sz w:val="12"/>
                <w:szCs w:val="12"/>
                <w:color w:val="auto"/>
              </w:rPr>
              <w:t>96</w:t>
            </w:r>
          </w:p>
        </w:tc>
        <w:tc>
          <w:tcPr>
            <w:tcW w:w="6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9A9A9A"/>
            </w:tcBorders>
          </w:tcPr>
          <w:p>
            <w:pPr>
              <w:spacing w:after="0"/>
              <w:rPr>
                <w:sz w:val="19"/>
                <w:szCs w:val="19"/>
                <w:color w:val="auto"/>
              </w:rPr>
            </w:pPr>
          </w:p>
        </w:tc>
        <w:tc>
          <w:tcPr>
            <w:tcW w:w="2920" w:type="dxa"/>
            <w:vAlign w:val="bottom"/>
            <w:tcBorders>
              <w:bottom w:val="single" w:sz="8" w:color="9A9A9A"/>
            </w:tcBorders>
          </w:tcPr>
          <w:p>
            <w:pPr>
              <w:spacing w:after="0"/>
              <w:rPr>
                <w:sz w:val="19"/>
                <w:szCs w:val="19"/>
                <w:color w:val="auto"/>
              </w:rPr>
            </w:pPr>
          </w:p>
        </w:tc>
        <w:tc>
          <w:tcPr>
            <w:tcW w:w="262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87" w:right="179" w:bottom="1440" w:gutter="0" w:footer="0" w:header="0"/>
        </w:sectPr>
      </w:pPr>
    </w:p>
    <w:bookmarkStart w:id="99" w:name="page100"/>
    <w:bookmarkEnd w:id="99"/>
    <w:p>
      <w:pPr>
        <w:ind w:left="480"/>
        <w:spacing w:after="0"/>
        <w:rPr>
          <w:sz w:val="20"/>
          <w:szCs w:val="20"/>
          <w:color w:val="auto"/>
        </w:rPr>
      </w:pPr>
      <w:r>
        <w:rPr>
          <w:rFonts w:ascii="Arial" w:cs="Arial" w:eastAsia="Arial" w:hAnsi="Arial"/>
          <w:sz w:val="12"/>
          <w:szCs w:val="12"/>
          <w:color w:val="auto"/>
        </w:rPr>
        <w:t>The Company’s effective income tax rate differs from the statutory federal income tax rate as follows for the years ended December 31, 2018, 2017 and 2016:</w:t>
      </w:r>
    </w:p>
    <w:p>
      <w:pPr>
        <w:spacing w:after="0" w:line="206" w:lineRule="exact"/>
        <w:rPr>
          <w:sz w:val="20"/>
          <w:szCs w:val="20"/>
          <w:color w:val="auto"/>
        </w:rPr>
      </w:pPr>
    </w:p>
    <w:p>
      <w:pPr>
        <w:ind w:left="8060"/>
        <w:spacing w:after="0"/>
        <w:rPr>
          <w:sz w:val="20"/>
          <w:szCs w:val="20"/>
          <w:color w:val="auto"/>
        </w:rPr>
      </w:pPr>
      <w:r>
        <w:rPr>
          <w:rFonts w:ascii="Arial" w:cs="Arial" w:eastAsia="Arial" w:hAnsi="Arial"/>
          <w:sz w:val="10"/>
          <w:szCs w:val="10"/>
          <w:b w:val="1"/>
          <w:bCs w:val="1"/>
          <w:color w:val="auto"/>
        </w:rPr>
        <w:t>December 31,</w:t>
      </w:r>
    </w:p>
    <w:tbl>
      <w:tblPr>
        <w:tblLayout w:type="fixed"/>
        <w:tblInd w:w="1140" w:type="dxa"/>
        <w:tblCellMar>
          <w:top w:w="0" w:type="dxa"/>
          <w:left w:w="0" w:type="dxa"/>
          <w:bottom w:w="0" w:type="dxa"/>
          <w:right w:w="0" w:type="dxa"/>
        </w:tblCellMar>
      </w:tblPr>
      <w:tr>
        <w:trPr>
          <w:trHeight w:val="97"/>
        </w:trPr>
        <w:tc>
          <w:tcPr>
            <w:tcW w:w="5360" w:type="dxa"/>
            <w:vAlign w:val="bottom"/>
            <w:tcBorders>
              <w:bottom w:val="single" w:sz="8" w:color="CFF0FC"/>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2018</w:t>
            </w:r>
          </w:p>
        </w:tc>
        <w:tc>
          <w:tcPr>
            <w:tcW w:w="34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CFF0FC"/>
            </w:tcBorders>
          </w:tcPr>
          <w:p>
            <w:pPr>
              <w:spacing w:after="0"/>
              <w:rPr>
                <w:sz w:val="8"/>
                <w:szCs w:val="8"/>
                <w:color w:val="auto"/>
              </w:rPr>
            </w:pPr>
          </w:p>
        </w:tc>
        <w:tc>
          <w:tcPr>
            <w:tcW w:w="1080" w:type="dxa"/>
            <w:vAlign w:val="bottom"/>
            <w:tcBorders>
              <w:top w:val="single" w:sz="8" w:color="auto"/>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top w:val="single" w:sz="8" w:color="auto"/>
              <w:bottom w:val="single" w:sz="8" w:color="CFF0FC"/>
            </w:tcBorders>
          </w:tcPr>
          <w:p>
            <w:pPr>
              <w:spacing w:after="0"/>
              <w:rPr>
                <w:sz w:val="8"/>
                <w:szCs w:val="8"/>
                <w:color w:val="auto"/>
              </w:rPr>
            </w:pPr>
          </w:p>
        </w:tc>
        <w:tc>
          <w:tcPr>
            <w:tcW w:w="1080" w:type="dxa"/>
            <w:vAlign w:val="bottom"/>
            <w:tcBorders>
              <w:top w:val="single" w:sz="8" w:color="auto"/>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r>
      <w:tr>
        <w:trPr>
          <w:trHeight w:val="142"/>
        </w:trPr>
        <w:tc>
          <w:tcPr>
            <w:tcW w:w="6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Federal tax benefit rate</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21.0%</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35.0%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35.0%</w:t>
            </w:r>
          </w:p>
        </w:tc>
      </w:tr>
      <w:tr>
        <w:trPr>
          <w:trHeight w:val="153"/>
        </w:trPr>
        <w:tc>
          <w:tcPr>
            <w:tcW w:w="6080" w:type="dxa"/>
            <w:vAlign w:val="bottom"/>
            <w:gridSpan w:val="2"/>
          </w:tcPr>
          <w:p>
            <w:pPr>
              <w:spacing w:after="0"/>
              <w:rPr>
                <w:sz w:val="20"/>
                <w:szCs w:val="20"/>
                <w:color w:val="auto"/>
              </w:rPr>
            </w:pPr>
            <w:r>
              <w:rPr>
                <w:rFonts w:ascii="Arial" w:cs="Arial" w:eastAsia="Arial" w:hAnsi="Arial"/>
                <w:sz w:val="12"/>
                <w:szCs w:val="12"/>
                <w:color w:val="auto"/>
              </w:rPr>
              <w:t>Permanent items</w:t>
            </w:r>
          </w:p>
        </w:tc>
        <w:tc>
          <w:tcPr>
            <w:tcW w:w="340" w:type="dxa"/>
            <w:vAlign w:val="bottom"/>
          </w:tcPr>
          <w:p>
            <w:pPr>
              <w:jc w:val="right"/>
              <w:spacing w:after="0"/>
              <w:rPr>
                <w:sz w:val="20"/>
                <w:szCs w:val="20"/>
                <w:color w:val="auto"/>
              </w:rPr>
            </w:pPr>
            <w:r>
              <w:rPr>
                <w:rFonts w:ascii="Arial" w:cs="Arial" w:eastAsia="Arial" w:hAnsi="Arial"/>
                <w:sz w:val="12"/>
                <w:szCs w:val="12"/>
                <w:color w:val="auto"/>
              </w:rPr>
              <w:t>1.0</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6.2</w:t>
            </w:r>
          </w:p>
        </w:tc>
        <w:tc>
          <w:tcPr>
            <w:tcW w:w="24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(1.9)</w:t>
            </w:r>
          </w:p>
        </w:tc>
      </w:tr>
      <w:tr>
        <w:trPr>
          <w:trHeight w:val="153"/>
        </w:trPr>
        <w:tc>
          <w:tcPr>
            <w:tcW w:w="6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Intercompany transfer of intellectual property</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w:t>
            </w:r>
          </w:p>
        </w:tc>
        <w:tc>
          <w:tcPr>
            <w:tcW w:w="120" w:type="dxa"/>
            <w:vAlign w:val="bottom"/>
            <w:shd w:val="clear" w:color="auto" w:fill="CFF0FC"/>
          </w:tcPr>
          <w:p>
            <w:pPr>
              <w:spacing w:after="0"/>
              <w:rPr>
                <w:sz w:val="13"/>
                <w:szCs w:val="13"/>
                <w:color w:val="auto"/>
              </w:rPr>
            </w:pPr>
          </w:p>
        </w:tc>
      </w:tr>
      <w:tr>
        <w:trPr>
          <w:trHeight w:val="153"/>
        </w:trPr>
        <w:tc>
          <w:tcPr>
            <w:tcW w:w="6080" w:type="dxa"/>
            <w:vAlign w:val="bottom"/>
            <w:gridSpan w:val="2"/>
          </w:tcPr>
          <w:p>
            <w:pPr>
              <w:spacing w:after="0"/>
              <w:rPr>
                <w:sz w:val="20"/>
                <w:szCs w:val="20"/>
                <w:color w:val="auto"/>
              </w:rPr>
            </w:pPr>
            <w:r>
              <w:rPr>
                <w:rFonts w:ascii="Arial" w:cs="Arial" w:eastAsia="Arial" w:hAnsi="Arial"/>
                <w:sz w:val="12"/>
                <w:szCs w:val="12"/>
                <w:color w:val="auto"/>
              </w:rPr>
              <w:t>Tax law changes</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(0.7)</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(265)</w:t>
            </w: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6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Stock based compensation</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(6.5)</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(5.0)</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6080" w:type="dxa"/>
            <w:vAlign w:val="bottom"/>
            <w:gridSpan w:val="2"/>
          </w:tcPr>
          <w:p>
            <w:pPr>
              <w:spacing w:after="0"/>
              <w:rPr>
                <w:sz w:val="20"/>
                <w:szCs w:val="20"/>
                <w:color w:val="auto"/>
              </w:rPr>
            </w:pPr>
            <w:r>
              <w:rPr>
                <w:rFonts w:ascii="Arial" w:cs="Arial" w:eastAsia="Arial" w:hAnsi="Arial"/>
                <w:sz w:val="12"/>
                <w:szCs w:val="12"/>
                <w:color w:val="auto"/>
              </w:rPr>
              <w:t>Tax attribute expirations</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(1.6)</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(2.8)</w:t>
            </w: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6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Foreign withholding tax</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(0.3)</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5360" w:type="dxa"/>
            <w:vAlign w:val="bottom"/>
          </w:tcPr>
          <w:p>
            <w:pPr>
              <w:spacing w:after="0"/>
              <w:rPr>
                <w:sz w:val="20"/>
                <w:szCs w:val="20"/>
                <w:color w:val="auto"/>
              </w:rPr>
            </w:pPr>
            <w:r>
              <w:rPr>
                <w:rFonts w:ascii="Arial" w:cs="Arial" w:eastAsia="Arial" w:hAnsi="Arial"/>
                <w:sz w:val="12"/>
                <w:szCs w:val="12"/>
                <w:color w:val="auto"/>
              </w:rPr>
              <w:t>Valuation allowance</w:t>
            </w:r>
          </w:p>
        </w:tc>
        <w:tc>
          <w:tcPr>
            <w:tcW w:w="72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(13.2)</w:t>
            </w:r>
          </w:p>
        </w:tc>
        <w:tc>
          <w:tcPr>
            <w:tcW w:w="1080" w:type="dxa"/>
            <w:vAlign w:val="bottom"/>
          </w:tcPr>
          <w:p>
            <w:pPr>
              <w:jc w:val="right"/>
              <w:spacing w:after="0"/>
              <w:rPr>
                <w:sz w:val="20"/>
                <w:szCs w:val="20"/>
                <w:color w:val="auto"/>
              </w:rPr>
            </w:pPr>
            <w:r>
              <w:rPr>
                <w:rFonts w:ascii="Arial" w:cs="Arial" w:eastAsia="Arial" w:hAnsi="Arial"/>
                <w:sz w:val="12"/>
                <w:szCs w:val="12"/>
                <w:color w:val="auto"/>
              </w:rPr>
              <w:t>231.6</w:t>
            </w:r>
          </w:p>
        </w:tc>
        <w:tc>
          <w:tcPr>
            <w:tcW w:w="24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(34.0)</w:t>
            </w:r>
          </w:p>
        </w:tc>
      </w:tr>
      <w:tr>
        <w:trPr>
          <w:trHeight w:val="20"/>
        </w:trPr>
        <w:tc>
          <w:tcPr>
            <w:tcW w:w="53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5360" w:type="dxa"/>
            <w:vAlign w:val="bottom"/>
            <w:shd w:val="clear" w:color="auto" w:fill="CFF0FC"/>
          </w:tcPr>
          <w:p>
            <w:pPr>
              <w:spacing w:after="0"/>
              <w:rPr>
                <w:sz w:val="20"/>
                <w:szCs w:val="20"/>
                <w:color w:val="auto"/>
              </w:rPr>
            </w:pPr>
            <w:r>
              <w:rPr>
                <w:rFonts w:ascii="Arial" w:cs="Arial" w:eastAsia="Arial" w:hAnsi="Arial"/>
                <w:sz w:val="12"/>
                <w:szCs w:val="12"/>
                <w:color w:val="auto"/>
              </w:rPr>
              <w:t>Effective income tax rate</w:t>
            </w:r>
          </w:p>
        </w:tc>
        <w:tc>
          <w:tcPr>
            <w:tcW w:w="7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-0.3%</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r>
      <w:tr>
        <w:trPr>
          <w:trHeight w:val="27"/>
        </w:trPr>
        <w:tc>
          <w:tcPr>
            <w:tcW w:w="536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53" w:lineRule="exact"/>
        <w:rPr>
          <w:sz w:val="20"/>
          <w:szCs w:val="20"/>
          <w:color w:val="auto"/>
        </w:rPr>
      </w:pPr>
    </w:p>
    <w:p>
      <w:pPr>
        <w:ind w:right="140" w:firstLine="488"/>
        <w:spacing w:after="0" w:line="290" w:lineRule="auto"/>
        <w:rPr>
          <w:sz w:val="20"/>
          <w:szCs w:val="20"/>
          <w:color w:val="auto"/>
        </w:rPr>
      </w:pPr>
      <w:r>
        <w:rPr>
          <w:rFonts w:ascii="Arial" w:cs="Arial" w:eastAsia="Arial" w:hAnsi="Arial"/>
          <w:sz w:val="11"/>
          <w:szCs w:val="11"/>
          <w:color w:val="auto"/>
        </w:rPr>
        <w:t xml:space="preserve">As of December 31, 2018 and 2017, management assessed the realizability of deferred tax assets. Management evaluated the need for an amount of any valuation allowance for deferred tax assets on a jurisdictional basis. This evaluation utilizes the framework contained in ASC 740, </w:t>
      </w:r>
      <w:r>
        <w:rPr>
          <w:rFonts w:ascii="Arial" w:cs="Arial" w:eastAsia="Arial" w:hAnsi="Arial"/>
          <w:sz w:val="11"/>
          <w:szCs w:val="11"/>
          <w:i w:val="1"/>
          <w:iCs w:val="1"/>
          <w:color w:val="auto"/>
        </w:rPr>
        <w:t>Income Taxes</w:t>
      </w:r>
      <w:r>
        <w:rPr>
          <w:rFonts w:ascii="Arial" w:cs="Arial" w:eastAsia="Arial" w:hAnsi="Arial"/>
          <w:sz w:val="11"/>
          <w:szCs w:val="11"/>
          <w:color w:val="auto"/>
        </w:rPr>
        <w:t>, wherein management analyzes all positive and negative evidence available at the balance sheet date to determine whether all or some portion of the Company’s deferred tax assets will not be realized. Under this guidance, a valuation allowance must be established for deferred tax assets when it is more likely than not (a probability level of more than 50 percent) that the Company may not realize the benefit of its deferred tax assets. In assessing the realization of the Company’s deferred tax assets, the Company considers all available evidence, both positive and negative.</w:t>
      </w:r>
    </w:p>
    <w:p>
      <w:pPr>
        <w:spacing w:after="0" w:line="109" w:lineRule="exact"/>
        <w:rPr>
          <w:sz w:val="20"/>
          <w:szCs w:val="20"/>
          <w:color w:val="auto"/>
        </w:rPr>
      </w:pPr>
    </w:p>
    <w:p>
      <w:pPr>
        <w:jc w:val="both"/>
        <w:ind w:right="200" w:firstLine="488"/>
        <w:spacing w:after="0" w:line="298" w:lineRule="auto"/>
        <w:rPr>
          <w:sz w:val="20"/>
          <w:szCs w:val="20"/>
          <w:color w:val="auto"/>
        </w:rPr>
      </w:pPr>
      <w:r>
        <w:rPr>
          <w:rFonts w:ascii="Arial" w:cs="Arial" w:eastAsia="Arial" w:hAnsi="Arial"/>
          <w:sz w:val="11"/>
          <w:szCs w:val="11"/>
          <w:color w:val="auto"/>
        </w:rPr>
        <w:t>In concluding on the evaluation, management placed significant emphasis on guidance in ASC 740, which states that “a cumulative loss in recent years is a significant piece of negative evidence that is difficult to overcome.” Based upon available evidence, it was concluded on a more-likely-than-not basis that all deferred tax assets were not realizable as of December 31, 2018. Accordingly, a valuation allowance of $665.4 million has been recorded to offset this deferred tax asset. During the years ended December 31, 2018 and 2017, the change in the valuation allowance was $11.1 million and $(260.2) million, respectively.</w:t>
      </w:r>
    </w:p>
    <w:p>
      <w:pPr>
        <w:spacing w:after="0" w:line="105" w:lineRule="exact"/>
        <w:rPr>
          <w:sz w:val="20"/>
          <w:szCs w:val="20"/>
          <w:color w:val="auto"/>
        </w:rPr>
      </w:pPr>
    </w:p>
    <w:p>
      <w:pPr>
        <w:jc w:val="both"/>
        <w:ind w:right="140" w:firstLine="488"/>
        <w:spacing w:after="0" w:line="298" w:lineRule="auto"/>
        <w:rPr>
          <w:sz w:val="20"/>
          <w:szCs w:val="20"/>
          <w:color w:val="auto"/>
        </w:rPr>
      </w:pPr>
      <w:r>
        <w:rPr>
          <w:rFonts w:ascii="Arial" w:cs="Arial" w:eastAsia="Arial" w:hAnsi="Arial"/>
          <w:sz w:val="11"/>
          <w:szCs w:val="11"/>
          <w:color w:val="auto"/>
        </w:rPr>
        <w:t>The Company adopted Topic 606, on January 1, 2018. Under Topic 606, the Company recognizes revenue when its customers obtain control of promised goods or services, in an amount that reflects the consideration which the Company expects to be entitled in exchange for those goods or services. Upon adoption, no change in retained earnings was recorded related to income taxes as the Company maintains a full valuation allowance. An adjustment of $0.4 million was recorded as a deferred tax liability and a corresponding reduction to the valuation allowance. See above for more information about the non-income tax impact of adoption of the new revenue guidance.</w:t>
      </w:r>
    </w:p>
    <w:p>
      <w:pPr>
        <w:spacing w:after="0" w:line="105" w:lineRule="exact"/>
        <w:rPr>
          <w:sz w:val="20"/>
          <w:szCs w:val="20"/>
          <w:color w:val="auto"/>
        </w:rPr>
      </w:pPr>
    </w:p>
    <w:p>
      <w:pPr>
        <w:ind w:right="20" w:firstLine="488"/>
        <w:spacing w:after="0" w:line="276" w:lineRule="auto"/>
        <w:rPr>
          <w:sz w:val="20"/>
          <w:szCs w:val="20"/>
          <w:color w:val="auto"/>
        </w:rPr>
      </w:pPr>
      <w:r>
        <w:rPr>
          <w:rFonts w:ascii="Arial" w:cs="Arial" w:eastAsia="Arial" w:hAnsi="Arial"/>
          <w:sz w:val="12"/>
          <w:szCs w:val="12"/>
          <w:color w:val="auto"/>
        </w:rPr>
        <w:t>At December 31, 2018, the Company had federal and state net operating loss carryforwards of approximately $2.1 billion and $2.4 billion available, respectively, to reduce future taxable income. $77.0 million of the federal losses do not expire and the remaining federal and state losses have started expiring, beginning in the current year through various future dates.</w:t>
      </w:r>
    </w:p>
    <w:p>
      <w:pPr>
        <w:spacing w:after="0" w:line="115" w:lineRule="exact"/>
        <w:rPr>
          <w:sz w:val="20"/>
          <w:szCs w:val="20"/>
          <w:color w:val="auto"/>
        </w:rPr>
      </w:pPr>
    </w:p>
    <w:p>
      <w:pPr>
        <w:ind w:firstLine="488"/>
        <w:spacing w:after="0" w:line="254" w:lineRule="auto"/>
        <w:rPr>
          <w:sz w:val="20"/>
          <w:szCs w:val="20"/>
          <w:color w:val="auto"/>
        </w:rPr>
      </w:pPr>
      <w:r>
        <w:rPr>
          <w:rFonts w:ascii="Arial" w:cs="Arial" w:eastAsia="Arial" w:hAnsi="Arial"/>
          <w:sz w:val="12"/>
          <w:szCs w:val="12"/>
          <w:color w:val="auto"/>
        </w:rPr>
        <w:t>Pursuant to Internal Revenue Code (“IRC”)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Internal Revenue Code Section 382 occurred in August 2004. As a result, federal net operating loss and credit carryforwards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There is a risk that changes in ownership have occurred since Company's initial public offering. If a change in ownership were to have occurred after the initial public offering,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67" w:lineRule="exact"/>
        <w:rPr>
          <w:sz w:val="20"/>
          <w:szCs w:val="20"/>
          <w:color w:val="auto"/>
        </w:rPr>
      </w:pPr>
    </w:p>
    <w:p>
      <w:pPr>
        <w:ind w:right="120" w:firstLine="488"/>
        <w:spacing w:after="0" w:line="276" w:lineRule="auto"/>
        <w:rPr>
          <w:sz w:val="20"/>
          <w:szCs w:val="20"/>
          <w:color w:val="auto"/>
        </w:rPr>
      </w:pPr>
      <w:r>
        <w:rPr>
          <w:rFonts w:ascii="Arial" w:cs="Arial" w:eastAsia="Arial" w:hAnsi="Arial"/>
          <w:sz w:val="12"/>
          <w:szCs w:val="12"/>
          <w:color w:val="auto"/>
        </w:rPr>
        <w:t>At December 31, 2018, the Company had $54.2 million of U.S. federal research and development credits which expire beginning in 2024, and $27.4 million of state research and development credits which for California do not expire and expire through various future dates for Connecticut and New Jersey.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100" w:name="page101"/>
    <w:bookmarkEnd w:id="100"/>
    <w:p>
      <w:pPr>
        <w:ind w:right="60" w:firstLine="488"/>
        <w:spacing w:after="0" w:line="263" w:lineRule="auto"/>
        <w:rPr>
          <w:sz w:val="20"/>
          <w:szCs w:val="20"/>
          <w:color w:val="auto"/>
        </w:rPr>
      </w:pPr>
      <w:r>
        <w:rPr>
          <w:rFonts w:ascii="Arial" w:cs="Arial" w:eastAsia="Arial" w:hAnsi="Arial"/>
          <w:sz w:val="12"/>
          <w:szCs w:val="12"/>
          <w:color w:val="auto"/>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laws. The Company’s tax years since 2015 remain subject to examination by federal, state and foreign tax authorities.</w:t>
      </w:r>
    </w:p>
    <w:p>
      <w:pPr>
        <w:spacing w:after="0" w:line="123" w:lineRule="exact"/>
        <w:rPr>
          <w:sz w:val="20"/>
          <w:szCs w:val="20"/>
          <w:color w:val="auto"/>
        </w:rPr>
      </w:pPr>
    </w:p>
    <w:p>
      <w:pPr>
        <w:ind w:right="80" w:firstLine="488"/>
        <w:spacing w:after="0" w:line="276" w:lineRule="auto"/>
        <w:rPr>
          <w:sz w:val="20"/>
          <w:szCs w:val="20"/>
          <w:color w:val="auto"/>
        </w:rPr>
      </w:pPr>
      <w:r>
        <w:rPr>
          <w:rFonts w:ascii="Arial" w:cs="Arial" w:eastAsia="Arial" w:hAnsi="Arial"/>
          <w:sz w:val="12"/>
          <w:szCs w:val="12"/>
          <w:color w:val="auto"/>
        </w:rPr>
        <w:t>The Company recognizes interest and penalties accrued related to unrecognized tax benefits in income tax expense. During the year ended December 31, 2018, the interest and penalties recognized were not material. During the years ended December 31, 2017 and 2016 the Company recognized and accrued an insignificant amount of interest or penalties related to unrecognized tax benefits.</w:t>
      </w:r>
    </w:p>
    <w:p>
      <w:pPr>
        <w:spacing w:after="0" w:line="115" w:lineRule="exact"/>
        <w:rPr>
          <w:sz w:val="20"/>
          <w:szCs w:val="20"/>
          <w:color w:val="auto"/>
        </w:rPr>
      </w:pPr>
    </w:p>
    <w:p>
      <w:pPr>
        <w:ind w:right="80" w:firstLine="488"/>
        <w:spacing w:after="0" w:line="276" w:lineRule="auto"/>
        <w:rPr>
          <w:sz w:val="20"/>
          <w:szCs w:val="20"/>
          <w:color w:val="auto"/>
        </w:rPr>
      </w:pPr>
      <w:r>
        <w:rPr>
          <w:rFonts w:ascii="Arial" w:cs="Arial" w:eastAsia="Arial" w:hAnsi="Arial"/>
          <w:sz w:val="12"/>
          <w:szCs w:val="12"/>
          <w:color w:val="auto"/>
        </w:rPr>
        <w:t>The Company considers its undistributed earnings of foreign subsidiaries to be permanently reinvested in foreign operations and has not provided for U.S. income taxes on such earnings. As of December 31, 2018 the Company had no undistributed earnings from its foreign subsidiaries.</w:t>
      </w:r>
    </w:p>
    <w:p>
      <w:pPr>
        <w:spacing w:after="0" w:line="115" w:lineRule="exact"/>
        <w:rPr>
          <w:sz w:val="20"/>
          <w:szCs w:val="20"/>
          <w:color w:val="auto"/>
        </w:rPr>
      </w:pPr>
    </w:p>
    <w:p>
      <w:pPr>
        <w:ind w:right="40" w:firstLine="488"/>
        <w:spacing w:after="0" w:line="320" w:lineRule="auto"/>
        <w:rPr>
          <w:sz w:val="20"/>
          <w:szCs w:val="20"/>
          <w:color w:val="auto"/>
        </w:rPr>
      </w:pPr>
      <w:r>
        <w:rPr>
          <w:rFonts w:ascii="Arial" w:cs="Arial" w:eastAsia="Arial" w:hAnsi="Arial"/>
          <w:sz w:val="10"/>
          <w:szCs w:val="10"/>
          <w:color w:val="auto"/>
        </w:rPr>
        <w:t>On December 22, 2017, the Tax Cuts and Jobs Act of 2017 (the “Act”) was signed into law making significant changes to the Internal Revenue Code of 1986, as amended. The changes include, but are not limited to, a corporate tax rate decrease from 35% to 21% effective for tax years beginning after December 31, 2017, a one-time transition tax on the mandatory deemed repatriation of cumulative foreign earnings as of December 31, 2017, and expanded limits on employee remuneration. In 2017, the Company recorded provisional amounts for certain enactment-date effects of the Act by applying the guidance in SAB 118 because it had not yet completed our enactment-date accounting for these effects. In 2018 and 2017, the Company did not record tax expense related to the enactment-date effects of the Act as the Company maintained a full valuation allowance and the Company estimated a deficit in post-1986 earnings and profits from its foreign subsidiaries. The impact of this Act was a decrease of deferred tax assets of $301.0 million, offset by a decrease in a valuation allowance of $301.0 million, resulting in no additional income tax expense or benefit.</w:t>
      </w:r>
    </w:p>
    <w:p>
      <w:pPr>
        <w:spacing w:after="0" w:line="98" w:lineRule="exact"/>
        <w:rPr>
          <w:sz w:val="20"/>
          <w:szCs w:val="20"/>
          <w:color w:val="auto"/>
        </w:rPr>
      </w:pPr>
    </w:p>
    <w:p>
      <w:pPr>
        <w:ind w:right="20" w:firstLine="488"/>
        <w:spacing w:after="0" w:line="259" w:lineRule="auto"/>
        <w:rPr>
          <w:sz w:val="20"/>
          <w:szCs w:val="20"/>
          <w:color w:val="auto"/>
        </w:rPr>
      </w:pPr>
      <w:r>
        <w:rPr>
          <w:rFonts w:ascii="Arial" w:cs="Arial" w:eastAsia="Arial" w:hAnsi="Arial"/>
          <w:sz w:val="12"/>
          <w:szCs w:val="12"/>
          <w:color w:val="auto"/>
        </w:rPr>
        <w:t>The Company applied the guidance in SAB 118 when accounting for the enactment-date effects of the Act in 2017. At December 31, 2017, the Company had not completed its accounting for all of the enactment-date income tax effects of the Act under ASC 740, Income Taxes, for the following aspects: remeasurement of deferred tax assets and liabilities, one-time transition tax, and tax on global intangible low-taxed income. As of December 31, 2018, the Company had completed the accounting for all of the enactment-date income tax effects of the Act. As further discussed below, during 2018, the Company did not recognize adjustments to the provisional amounts recorded at December 31, 2017 as all changes were off-set by the valuation allowance.</w:t>
      </w:r>
    </w:p>
    <w:p>
      <w:pPr>
        <w:spacing w:after="0" w:line="125" w:lineRule="exact"/>
        <w:rPr>
          <w:sz w:val="20"/>
          <w:szCs w:val="20"/>
          <w:color w:val="auto"/>
        </w:rPr>
      </w:pPr>
    </w:p>
    <w:p>
      <w:pPr>
        <w:ind w:right="280" w:firstLine="488"/>
        <w:spacing w:after="0" w:line="298" w:lineRule="auto"/>
        <w:rPr>
          <w:sz w:val="20"/>
          <w:szCs w:val="20"/>
          <w:color w:val="auto"/>
        </w:rPr>
      </w:pPr>
      <w:r>
        <w:rPr>
          <w:rFonts w:ascii="Arial" w:cs="Arial" w:eastAsia="Arial" w:hAnsi="Arial"/>
          <w:sz w:val="11"/>
          <w:szCs w:val="11"/>
          <w:color w:val="auto"/>
        </w:rPr>
        <w:t>The one-time transition tax is based on the total post-1986 earnings and profits, the tax on which we previously deferred from US income taxes under US law. The Company had estimated a deficit in post 1986 earnings and profits with no income tax expense recorded. Upon further analyses of the Act and notices and regulations issued and proposed by the US Department of the Treasury and the Internal Revenue Service, the Company finalized the calculations of the transition tax liability during 2018. The provisional amount did not change; therefore, there was no adjustment to tax expense or valuation allowance.</w:t>
      </w:r>
    </w:p>
    <w:p>
      <w:pPr>
        <w:spacing w:after="0" w:line="105" w:lineRule="exact"/>
        <w:rPr>
          <w:sz w:val="20"/>
          <w:szCs w:val="20"/>
          <w:color w:val="auto"/>
        </w:rPr>
      </w:pPr>
    </w:p>
    <w:p>
      <w:pPr>
        <w:ind w:right="20" w:firstLine="488"/>
        <w:spacing w:after="0" w:line="263" w:lineRule="auto"/>
        <w:rPr>
          <w:sz w:val="20"/>
          <w:szCs w:val="20"/>
          <w:color w:val="auto"/>
        </w:rPr>
      </w:pPr>
      <w:r>
        <w:rPr>
          <w:rFonts w:ascii="Arial" w:cs="Arial" w:eastAsia="Arial" w:hAnsi="Arial"/>
          <w:sz w:val="12"/>
          <w:szCs w:val="12"/>
          <w:color w:val="auto"/>
        </w:rPr>
        <w:t>As of December 31, 2017, the Company remeasured certain deferred tax assets and liabilities based on the rates at which they were expected to reverse in the future (which was generally 21%), by recording a provisional amount of $301.0 million, which was fully offset by a valuation allowance of the same amount. Upon further analysis of certain aspects of the Act and refinement of the calculations during the year ended December 31, 2018, the Company found no other adjustments were necessary.</w:t>
      </w:r>
    </w:p>
    <w:p>
      <w:pPr>
        <w:spacing w:after="0" w:line="123" w:lineRule="exact"/>
        <w:rPr>
          <w:sz w:val="20"/>
          <w:szCs w:val="20"/>
          <w:color w:val="auto"/>
        </w:rPr>
      </w:pPr>
    </w:p>
    <w:p>
      <w:pPr>
        <w:ind w:firstLine="488"/>
        <w:spacing w:after="0" w:line="271" w:lineRule="auto"/>
        <w:rPr>
          <w:sz w:val="20"/>
          <w:szCs w:val="20"/>
          <w:color w:val="auto"/>
        </w:rPr>
      </w:pPr>
      <w:r>
        <w:rPr>
          <w:rFonts w:ascii="Arial" w:cs="Arial" w:eastAsia="Arial" w:hAnsi="Arial"/>
          <w:sz w:val="12"/>
          <w:szCs w:val="12"/>
          <w:color w:val="auto"/>
        </w:rPr>
        <w:t>The Act subjects a US shareholder to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The Company has elected to account for GILTI in the year the tax is incurred.</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139700</wp:posOffset>
            </wp:positionV>
            <wp:extent cx="73291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19" w:right="23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color w:val="auto"/>
        </w:rPr>
        <w:t>17. Selected quarterly financial data (unaudited)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Summarized quarterly financial data for the years ended December 31, 2018 and 2017, are set forth in the following tables: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97"/>
              </w:rPr>
              <w:t>September 30</w:t>
            </w:r>
          </w:p>
        </w:tc>
        <w:tc>
          <w:tcPr>
            <w:tcW w:w="160" w:type="dxa"/>
            <w:vAlign w:val="bottom"/>
          </w:tcPr>
          <w:p>
            <w:pPr>
              <w:spacing w:after="0"/>
              <w:rPr>
                <w:sz w:val="10"/>
                <w:szCs w:val="1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9"/>
              </w:rPr>
              <w:t>December 31</w:t>
            </w:r>
          </w:p>
        </w:tc>
        <w:tc>
          <w:tcPr>
            <w:tcW w:w="0" w:type="dxa"/>
            <w:vAlign w:val="bottom"/>
          </w:tcPr>
          <w:p>
            <w:pPr>
              <w:spacing w:after="0"/>
              <w:rPr>
                <w:sz w:val="1"/>
                <w:szCs w:val="1"/>
                <w:color w:val="auto"/>
              </w:rPr>
            </w:pPr>
          </w:p>
        </w:tc>
      </w:tr>
      <w:tr>
        <w:trPr>
          <w:trHeight w:val="97"/>
        </w:trPr>
        <w:tc>
          <w:tcPr>
            <w:tcW w:w="4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340" w:type="dxa"/>
            <w:vAlign w:val="bottom"/>
            <w:tcBorders>
              <w:top w:val="single" w:sz="8" w:color="auto"/>
            </w:tcBorders>
            <w:gridSpan w:val="6"/>
          </w:tcPr>
          <w:p>
            <w:pPr>
              <w:jc w:val="right"/>
              <w:ind w:right="620"/>
              <w:spacing w:after="0" w:line="97" w:lineRule="exact"/>
              <w:rPr>
                <w:sz w:val="20"/>
                <w:szCs w:val="20"/>
                <w:color w:val="auto"/>
              </w:rPr>
            </w:pPr>
            <w:r>
              <w:rPr>
                <w:rFonts w:ascii="Arial" w:cs="Arial" w:eastAsia="Arial" w:hAnsi="Arial"/>
                <w:sz w:val="10"/>
                <w:szCs w:val="10"/>
                <w:b w:val="1"/>
                <w:bCs w:val="1"/>
                <w:color w:val="auto"/>
                <w:w w:val="95"/>
              </w:rPr>
              <w:t>(In thousands, except per share data)</w:t>
            </w:r>
          </w:p>
        </w:tc>
        <w:tc>
          <w:tcPr>
            <w:tcW w:w="1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2018</w:t>
            </w:r>
          </w:p>
        </w:tc>
        <w:tc>
          <w:tcPr>
            <w:tcW w:w="1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Arial" w:cs="Arial" w:eastAsia="Arial" w:hAnsi="Arial"/>
                <w:sz w:val="12"/>
                <w:szCs w:val="12"/>
                <w:color w:val="auto"/>
              </w:rPr>
              <w:t>Net revenues</w:t>
            </w:r>
          </w:p>
        </w:tc>
        <w:tc>
          <w:tcPr>
            <w:tcW w:w="116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3,465</w:t>
            </w:r>
          </w:p>
        </w:tc>
        <w:tc>
          <w:tcPr>
            <w:tcW w:w="1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3,893</w:t>
            </w:r>
          </w:p>
        </w:tc>
        <w:tc>
          <w:tcPr>
            <w:tcW w:w="14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4,469</w:t>
            </w:r>
          </w:p>
        </w:tc>
        <w:tc>
          <w:tcPr>
            <w:tcW w:w="22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16,031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1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w:t>
            </w:r>
          </w:p>
        </w:tc>
        <w:tc>
          <w:tcPr>
            <w:tcW w:w="11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80" w:type="dxa"/>
            <w:vAlign w:val="bottom"/>
            <w:vMerge w:val="continue"/>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(30,385)</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(22,675)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(24,168)</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(9,747)</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Net (loss) per share — basic</w:t>
            </w:r>
          </w:p>
        </w:tc>
        <w:tc>
          <w:tcPr>
            <w:tcW w:w="1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(0.25)</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(0.16)</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(0.16)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27"/>
        </w:trPr>
        <w:tc>
          <w:tcPr>
            <w:tcW w:w="41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per share — diluted</w:t>
            </w:r>
          </w:p>
        </w:tc>
        <w:tc>
          <w:tcPr>
            <w:tcW w:w="11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180" w:type="dxa"/>
            <w:vAlign w:val="bottom"/>
            <w:vMerge w:val="continue"/>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(0.25)</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(0.16)</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(0.16)</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31"/>
        </w:trPr>
        <w:tc>
          <w:tcPr>
            <w:tcW w:w="418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Weighted average common shares used to compute basic</w:t>
            </w:r>
          </w:p>
        </w:tc>
        <w:tc>
          <w:tcPr>
            <w:tcW w:w="116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180" w:type="dxa"/>
            <w:vAlign w:val="bottom"/>
            <w:tcBorders>
              <w:bottom w:val="single" w:sz="8" w:color="CFF0FC"/>
            </w:tcBorders>
          </w:tcPr>
          <w:p>
            <w:pPr>
              <w:ind w:left="100"/>
              <w:spacing w:after="0"/>
              <w:rPr>
                <w:sz w:val="20"/>
                <w:szCs w:val="20"/>
                <w:color w:val="auto"/>
              </w:rPr>
            </w:pPr>
            <w:r>
              <w:rPr>
                <w:rFonts w:ascii="Arial" w:cs="Arial" w:eastAsia="Arial" w:hAnsi="Arial"/>
                <w:sz w:val="12"/>
                <w:szCs w:val="12"/>
                <w:color w:val="auto"/>
              </w:rPr>
              <w:t>net (loss) per share</w:t>
            </w:r>
          </w:p>
        </w:tc>
        <w:tc>
          <w:tcPr>
            <w:tcW w:w="1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120,911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140,054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153,597</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161,397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common shares used to compute</w:t>
            </w:r>
          </w:p>
        </w:tc>
        <w:tc>
          <w:tcPr>
            <w:tcW w:w="1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2"/>
                <w:szCs w:val="12"/>
                <w:color w:val="auto"/>
              </w:rPr>
              <w:t>diluted net (loss) per share</w:t>
            </w:r>
          </w:p>
        </w:tc>
        <w:tc>
          <w:tcPr>
            <w:tcW w:w="1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120,911</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140,054</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153,597</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161,397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180" w:type="dxa"/>
            <w:vAlign w:val="bottom"/>
          </w:tcPr>
          <w:p>
            <w:pPr>
              <w:spacing w:after="0"/>
              <w:rPr>
                <w:sz w:val="20"/>
                <w:szCs w:val="20"/>
                <w:color w:val="auto"/>
              </w:rPr>
            </w:pPr>
            <w:r>
              <w:rPr>
                <w:rFonts w:ascii="Arial" w:cs="Arial" w:eastAsia="Arial" w:hAnsi="Arial"/>
                <w:sz w:val="12"/>
                <w:szCs w:val="12"/>
                <w:b w:val="1"/>
                <w:bCs w:val="1"/>
                <w:color w:val="auto"/>
              </w:rPr>
              <w:t>2017</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Net revenues</w:t>
            </w:r>
          </w:p>
        </w:tc>
        <w:tc>
          <w:tcPr>
            <w:tcW w:w="11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3,009</w:t>
            </w:r>
          </w:p>
        </w:tc>
        <w:tc>
          <w:tcPr>
            <w:tcW w:w="14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2,163</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Net income (loss)</w:t>
            </w:r>
          </w:p>
        </w:tc>
        <w:tc>
          <w:tcPr>
            <w:tcW w:w="1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(16,324)</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(35,339)</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(32,886)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(32,784)</w:t>
            </w:r>
          </w:p>
        </w:tc>
        <w:tc>
          <w:tcPr>
            <w:tcW w:w="0" w:type="dxa"/>
            <w:vAlign w:val="bottom"/>
          </w:tcPr>
          <w:p>
            <w:pPr>
              <w:spacing w:after="0"/>
              <w:rPr>
                <w:sz w:val="1"/>
                <w:szCs w:val="1"/>
                <w:color w:val="auto"/>
              </w:rPr>
            </w:pPr>
          </w:p>
        </w:tc>
      </w:tr>
      <w:tr>
        <w:trPr>
          <w:trHeight w:val="27"/>
        </w:trPr>
        <w:tc>
          <w:tcPr>
            <w:tcW w:w="41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income (loss) per share — basic</w:t>
            </w:r>
          </w:p>
        </w:tc>
        <w:tc>
          <w:tcPr>
            <w:tcW w:w="11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80" w:type="dxa"/>
            <w:vAlign w:val="bottom"/>
            <w:vMerge w:val="continue"/>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(0.17)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(0.35)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(0.31)</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Net income (loss) per share — diluted</w:t>
            </w:r>
          </w:p>
        </w:tc>
        <w:tc>
          <w:tcPr>
            <w:tcW w:w="1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(0.17)</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(0.35)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(0.31)</w:t>
            </w:r>
          </w:p>
        </w:tc>
        <w:tc>
          <w:tcPr>
            <w:tcW w:w="16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44"/>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Weighted average common shares used to compute basic net</w:t>
            </w:r>
          </w:p>
        </w:tc>
        <w:tc>
          <w:tcPr>
            <w:tcW w:w="11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2"/>
                <w:szCs w:val="12"/>
                <w:color w:val="auto"/>
              </w:rPr>
              <w:t>income (loss) per share</w:t>
            </w:r>
          </w:p>
        </w:tc>
        <w:tc>
          <w:tcPr>
            <w:tcW w:w="1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95,744</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99,864</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104,703</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116,451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line="132" w:lineRule="exact"/>
              <w:rPr>
                <w:sz w:val="20"/>
                <w:szCs w:val="20"/>
                <w:color w:val="auto"/>
              </w:rPr>
            </w:pPr>
            <w:r>
              <w:rPr>
                <w:rFonts w:ascii="Arial" w:cs="Arial" w:eastAsia="Arial" w:hAnsi="Arial"/>
                <w:sz w:val="12"/>
                <w:szCs w:val="12"/>
                <w:color w:val="auto"/>
              </w:rPr>
              <w:t>Weighted average common shares used to compute diluted net</w:t>
            </w: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rPr>
                <w:sz w:val="20"/>
                <w:szCs w:val="20"/>
                <w:color w:val="auto"/>
              </w:rPr>
            </w:pPr>
            <w:r>
              <w:rPr>
                <w:rFonts w:ascii="Arial" w:cs="Arial" w:eastAsia="Arial" w:hAnsi="Arial"/>
                <w:sz w:val="12"/>
                <w:szCs w:val="12"/>
                <w:color w:val="auto"/>
              </w:rPr>
              <w:t>income (loss) per share</w:t>
            </w:r>
          </w:p>
        </w:tc>
        <w:tc>
          <w:tcPr>
            <w:tcW w:w="1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95,744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99,864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104,703</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116,451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900"/>
          </w:cols>
          <w:pgMar w:left="220" w:top="640" w:right="7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Exhibit 10.15</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6180" w:type="dxa"/>
            <w:vAlign w:val="bottom"/>
          </w:tcPr>
          <w:p>
            <w:pPr>
              <w:jc w:val="center"/>
              <w:ind w:right="3708"/>
              <w:spacing w:after="0"/>
              <w:rPr>
                <w:sz w:val="20"/>
                <w:szCs w:val="20"/>
                <w:color w:val="auto"/>
              </w:rPr>
            </w:pPr>
            <w:r>
              <w:rPr>
                <w:rFonts w:ascii="Arial" w:cs="Arial" w:eastAsia="Arial" w:hAnsi="Arial"/>
                <w:sz w:val="14"/>
                <w:szCs w:val="14"/>
                <w:b w:val="1"/>
                <w:bCs w:val="1"/>
                <w:color w:val="auto"/>
                <w:w w:val="92"/>
              </w:rPr>
              <w:t>Non-employee Director Compensation</w:t>
            </w:r>
          </w:p>
        </w:tc>
      </w:tr>
      <w:tr>
        <w:trPr>
          <w:trHeight w:val="234"/>
        </w:trPr>
        <w:tc>
          <w:tcPr>
            <w:tcW w:w="3760" w:type="dxa"/>
            <w:vAlign w:val="bottom"/>
          </w:tcPr>
          <w:p>
            <w:pPr>
              <w:spacing w:after="0"/>
              <w:rPr>
                <w:sz w:val="20"/>
                <w:szCs w:val="20"/>
                <w:color w:val="auto"/>
              </w:rPr>
            </w:pPr>
          </w:p>
        </w:tc>
        <w:tc>
          <w:tcPr>
            <w:tcW w:w="6180" w:type="dxa"/>
            <w:vAlign w:val="bottom"/>
          </w:tcPr>
          <w:p>
            <w:pPr>
              <w:jc w:val="center"/>
              <w:ind w:right="3728"/>
              <w:spacing w:after="0"/>
              <w:rPr>
                <w:sz w:val="20"/>
                <w:szCs w:val="20"/>
                <w:color w:val="auto"/>
              </w:rPr>
            </w:pPr>
            <w:r>
              <w:rPr>
                <w:rFonts w:ascii="Arial" w:cs="Arial" w:eastAsia="Arial" w:hAnsi="Arial"/>
                <w:sz w:val="14"/>
                <w:szCs w:val="14"/>
                <w:b w:val="1"/>
                <w:bCs w:val="1"/>
                <w:color w:val="auto"/>
                <w:w w:val="92"/>
              </w:rPr>
              <w:t>Adopted November 17, 2017</w:t>
            </w:r>
          </w:p>
        </w:tc>
      </w:tr>
      <w:tr>
        <w:trPr>
          <w:trHeight w:val="234"/>
        </w:trPr>
        <w:tc>
          <w:tcPr>
            <w:tcW w:w="3760" w:type="dxa"/>
            <w:vAlign w:val="bottom"/>
          </w:tcPr>
          <w:p>
            <w:pPr>
              <w:spacing w:after="0"/>
              <w:rPr>
                <w:sz w:val="20"/>
                <w:szCs w:val="20"/>
                <w:color w:val="auto"/>
              </w:rPr>
            </w:pPr>
          </w:p>
        </w:tc>
        <w:tc>
          <w:tcPr>
            <w:tcW w:w="6180" w:type="dxa"/>
            <w:vAlign w:val="bottom"/>
          </w:tcPr>
          <w:p>
            <w:pPr>
              <w:jc w:val="center"/>
              <w:ind w:right="3728"/>
              <w:spacing w:after="0"/>
              <w:rPr>
                <w:sz w:val="20"/>
                <w:szCs w:val="20"/>
                <w:color w:val="auto"/>
              </w:rPr>
            </w:pPr>
            <w:r>
              <w:rPr>
                <w:rFonts w:ascii="Arial" w:cs="Arial" w:eastAsia="Arial" w:hAnsi="Arial"/>
                <w:sz w:val="14"/>
                <w:szCs w:val="14"/>
                <w:b w:val="1"/>
                <w:bCs w:val="1"/>
                <w:color w:val="auto"/>
                <w:w w:val="94"/>
              </w:rPr>
              <w:t>Modified November 14, 2018</w:t>
            </w:r>
          </w:p>
        </w:tc>
      </w:tr>
      <w:tr>
        <w:trPr>
          <w:trHeight w:val="147"/>
        </w:trPr>
        <w:tc>
          <w:tcPr>
            <w:tcW w:w="3760" w:type="dxa"/>
            <w:vAlign w:val="bottom"/>
            <w:tcBorders>
              <w:bottom w:val="single" w:sz="8" w:color="auto"/>
            </w:tcBorders>
          </w:tcPr>
          <w:p>
            <w:pPr>
              <w:spacing w:after="0"/>
              <w:rPr>
                <w:sz w:val="12"/>
                <w:szCs w:val="12"/>
                <w:color w:val="auto"/>
              </w:rPr>
            </w:pPr>
          </w:p>
        </w:tc>
        <w:tc>
          <w:tcPr>
            <w:tcW w:w="6180" w:type="dxa"/>
            <w:vAlign w:val="bottom"/>
            <w:tcBorders>
              <w:bottom w:val="single" w:sz="8" w:color="auto"/>
            </w:tcBorders>
          </w:tcPr>
          <w:p>
            <w:pPr>
              <w:spacing w:after="0"/>
              <w:rPr>
                <w:sz w:val="12"/>
                <w:szCs w:val="12"/>
                <w:color w:val="auto"/>
              </w:rPr>
            </w:pPr>
          </w:p>
        </w:tc>
      </w:tr>
      <w:tr>
        <w:trPr>
          <w:trHeight w:val="151"/>
        </w:trPr>
        <w:tc>
          <w:tcPr>
            <w:tcW w:w="3760" w:type="dxa"/>
            <w:vAlign w:val="bottom"/>
            <w:tcBorders>
              <w:left w:val="single" w:sz="8" w:color="auto"/>
              <w:bottom w:val="single" w:sz="8" w:color="auto"/>
              <w:right w:val="single" w:sz="8" w:color="auto"/>
            </w:tcBorders>
            <w:shd w:val="clear" w:color="auto" w:fill="D9D9D9"/>
          </w:tcPr>
          <w:p>
            <w:pPr>
              <w:ind w:left="1620"/>
              <w:spacing w:after="0" w:line="151" w:lineRule="exact"/>
              <w:rPr>
                <w:sz w:val="20"/>
                <w:szCs w:val="20"/>
                <w:color w:val="auto"/>
              </w:rPr>
            </w:pPr>
            <w:r>
              <w:rPr>
                <w:rFonts w:ascii="Arial" w:cs="Arial" w:eastAsia="Arial" w:hAnsi="Arial"/>
                <w:sz w:val="14"/>
                <w:szCs w:val="14"/>
                <w:color w:val="auto"/>
              </w:rPr>
              <w:t>Element</w:t>
            </w:r>
          </w:p>
        </w:tc>
        <w:tc>
          <w:tcPr>
            <w:tcW w:w="6180" w:type="dxa"/>
            <w:vAlign w:val="bottom"/>
            <w:tcBorders>
              <w:bottom w:val="single" w:sz="8" w:color="auto"/>
              <w:right w:val="single" w:sz="8" w:color="auto"/>
            </w:tcBorders>
            <w:shd w:val="clear" w:color="auto" w:fill="D9D9D9"/>
          </w:tcPr>
          <w:p>
            <w:pPr>
              <w:ind w:left="2840"/>
              <w:spacing w:after="0" w:line="151" w:lineRule="exact"/>
              <w:rPr>
                <w:sz w:val="20"/>
                <w:szCs w:val="20"/>
                <w:color w:val="auto"/>
              </w:rPr>
            </w:pPr>
            <w:r>
              <w:rPr>
                <w:rFonts w:ascii="Arial" w:cs="Arial" w:eastAsia="Arial" w:hAnsi="Arial"/>
                <w:sz w:val="14"/>
                <w:szCs w:val="14"/>
                <w:color w:val="auto"/>
              </w:rPr>
              <w:t>Amount</w:t>
            </w:r>
          </w:p>
        </w:tc>
      </w:tr>
      <w:tr>
        <w:trPr>
          <w:trHeight w:val="175"/>
        </w:trPr>
        <w:tc>
          <w:tcPr>
            <w:tcW w:w="3760" w:type="dxa"/>
            <w:vAlign w:val="bottom"/>
            <w:tcBorders>
              <w:left w:val="single" w:sz="8" w:color="666666"/>
              <w:right w:val="single" w:sz="8" w:color="666666"/>
            </w:tcBorders>
          </w:tcPr>
          <w:p>
            <w:pPr>
              <w:spacing w:after="0"/>
              <w:rPr>
                <w:sz w:val="20"/>
                <w:szCs w:val="20"/>
                <w:color w:val="auto"/>
              </w:rPr>
            </w:pPr>
            <w:r>
              <w:rPr>
                <w:rFonts w:ascii="Arial" w:cs="Arial" w:eastAsia="Arial" w:hAnsi="Arial"/>
                <w:sz w:val="14"/>
                <w:szCs w:val="14"/>
                <w:b w:val="1"/>
                <w:bCs w:val="1"/>
                <w:color w:val="auto"/>
              </w:rPr>
              <w:t>Annual Cash Retainer</w:t>
            </w: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$50,000 (cash)</w:t>
            </w:r>
          </w:p>
        </w:tc>
      </w:tr>
      <w:tr>
        <w:trPr>
          <w:trHeight w:val="205"/>
        </w:trPr>
        <w:tc>
          <w:tcPr>
            <w:tcW w:w="3760" w:type="dxa"/>
            <w:vAlign w:val="bottom"/>
            <w:tcBorders>
              <w:left w:val="single" w:sz="8" w:color="666666"/>
              <w:right w:val="single" w:sz="8" w:color="666666"/>
            </w:tcBorders>
          </w:tcPr>
          <w:p>
            <w:pPr>
              <w:spacing w:after="0"/>
              <w:rPr>
                <w:sz w:val="17"/>
                <w:szCs w:val="17"/>
                <w:color w:val="auto"/>
              </w:rPr>
            </w:pP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w w:val="94"/>
              </w:rPr>
              <w:t>In lieu of cash, a director can elect to receive a RSU valued at $50,000 on the basis of the 20-day trailing</w:t>
            </w:r>
          </w:p>
        </w:tc>
      </w:tr>
      <w:tr>
        <w:trPr>
          <w:trHeight w:val="182"/>
        </w:trPr>
        <w:tc>
          <w:tcPr>
            <w:tcW w:w="3760" w:type="dxa"/>
            <w:vAlign w:val="bottom"/>
            <w:tcBorders>
              <w:left w:val="single" w:sz="8" w:color="666666"/>
              <w:right w:val="single" w:sz="8" w:color="666666"/>
            </w:tcBorders>
          </w:tcPr>
          <w:p>
            <w:pPr>
              <w:spacing w:after="0"/>
              <w:rPr>
                <w:sz w:val="15"/>
                <w:szCs w:val="15"/>
                <w:color w:val="auto"/>
              </w:rPr>
            </w:pP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average closing price as of the trading day immediately preceding the date of the annual meeting</w:t>
            </w:r>
          </w:p>
        </w:tc>
      </w:tr>
      <w:tr>
        <w:trPr>
          <w:trHeight w:val="147"/>
        </w:trPr>
        <w:tc>
          <w:tcPr>
            <w:tcW w:w="3760" w:type="dxa"/>
            <w:vAlign w:val="bottom"/>
            <w:tcBorders>
              <w:left w:val="single" w:sz="8" w:color="666666"/>
              <w:bottom w:val="single" w:sz="8" w:color="666666"/>
              <w:right w:val="single" w:sz="8" w:color="666666"/>
            </w:tcBorders>
          </w:tcPr>
          <w:p>
            <w:pPr>
              <w:spacing w:after="0"/>
              <w:rPr>
                <w:sz w:val="12"/>
                <w:szCs w:val="12"/>
                <w:color w:val="auto"/>
              </w:rPr>
            </w:pPr>
          </w:p>
        </w:tc>
        <w:tc>
          <w:tcPr>
            <w:tcW w:w="6180" w:type="dxa"/>
            <w:vAlign w:val="bottom"/>
            <w:tcBorders>
              <w:bottom w:val="single" w:sz="8" w:color="666666"/>
              <w:right w:val="single" w:sz="8" w:color="666666"/>
            </w:tcBorders>
          </w:tcPr>
          <w:p>
            <w:pPr>
              <w:spacing w:after="0"/>
              <w:rPr>
                <w:sz w:val="12"/>
                <w:szCs w:val="12"/>
                <w:color w:val="auto"/>
              </w:rPr>
            </w:pPr>
          </w:p>
        </w:tc>
      </w:tr>
      <w:tr>
        <w:trPr>
          <w:trHeight w:val="175"/>
        </w:trPr>
        <w:tc>
          <w:tcPr>
            <w:tcW w:w="3760" w:type="dxa"/>
            <w:vAlign w:val="bottom"/>
            <w:tcBorders>
              <w:left w:val="single" w:sz="8" w:color="666666"/>
              <w:right w:val="single" w:sz="8" w:color="666666"/>
            </w:tcBorders>
            <w:shd w:val="clear" w:color="auto" w:fill="CCCCCC"/>
          </w:tcPr>
          <w:p>
            <w:pPr>
              <w:spacing w:after="0"/>
              <w:rPr>
                <w:sz w:val="20"/>
                <w:szCs w:val="20"/>
                <w:color w:val="auto"/>
              </w:rPr>
            </w:pPr>
            <w:r>
              <w:rPr>
                <w:rFonts w:ascii="Arial" w:cs="Arial" w:eastAsia="Arial" w:hAnsi="Arial"/>
                <w:sz w:val="14"/>
                <w:szCs w:val="14"/>
                <w:b w:val="1"/>
                <w:bCs w:val="1"/>
                <w:color w:val="auto"/>
              </w:rPr>
              <w:t>Annual Equity Grant</w:t>
            </w:r>
          </w:p>
        </w:tc>
        <w:tc>
          <w:tcPr>
            <w:tcW w:w="6180" w:type="dxa"/>
            <w:vAlign w:val="bottom"/>
            <w:tcBorders>
              <w:right w:val="single" w:sz="8" w:color="666666"/>
            </w:tcBorders>
            <w:shd w:val="clear" w:color="auto" w:fill="CCCCCC"/>
          </w:tcPr>
          <w:p>
            <w:pPr>
              <w:spacing w:after="0"/>
              <w:rPr>
                <w:sz w:val="20"/>
                <w:szCs w:val="20"/>
                <w:color w:val="auto"/>
              </w:rPr>
            </w:pPr>
            <w:r>
              <w:rPr>
                <w:rFonts w:ascii="Arial" w:cs="Arial" w:eastAsia="Arial" w:hAnsi="Arial"/>
                <w:sz w:val="14"/>
                <w:szCs w:val="14"/>
                <w:color w:val="auto"/>
              </w:rPr>
              <w:t>Intended equity value: $150,000</w:t>
            </w:r>
          </w:p>
        </w:tc>
      </w:tr>
      <w:tr>
        <w:trPr>
          <w:trHeight w:val="205"/>
        </w:trPr>
        <w:tc>
          <w:tcPr>
            <w:tcW w:w="3760" w:type="dxa"/>
            <w:vAlign w:val="bottom"/>
            <w:tcBorders>
              <w:left w:val="single" w:sz="8" w:color="666666"/>
              <w:right w:val="single" w:sz="8" w:color="666666"/>
            </w:tcBorders>
            <w:shd w:val="clear" w:color="auto" w:fill="CCCCCC"/>
          </w:tcPr>
          <w:p>
            <w:pPr>
              <w:spacing w:after="0"/>
              <w:rPr>
                <w:sz w:val="17"/>
                <w:szCs w:val="17"/>
                <w:color w:val="auto"/>
              </w:rPr>
            </w:pPr>
          </w:p>
        </w:tc>
        <w:tc>
          <w:tcPr>
            <w:tcW w:w="6180" w:type="dxa"/>
            <w:vAlign w:val="bottom"/>
            <w:tcBorders>
              <w:right w:val="single" w:sz="8" w:color="666666"/>
            </w:tcBorders>
            <w:shd w:val="clear" w:color="auto" w:fill="CCCCCC"/>
          </w:tcPr>
          <w:p>
            <w:pPr>
              <w:spacing w:after="0"/>
              <w:rPr>
                <w:sz w:val="20"/>
                <w:szCs w:val="20"/>
                <w:color w:val="auto"/>
              </w:rPr>
            </w:pPr>
            <w:r>
              <w:rPr>
                <w:rFonts w:ascii="Arial" w:cs="Arial" w:eastAsia="Arial" w:hAnsi="Arial"/>
                <w:sz w:val="14"/>
                <w:szCs w:val="14"/>
                <w:color w:val="auto"/>
                <w:w w:val="95"/>
              </w:rPr>
              <w:t>(The number of shares for this equity award will be determined using the then-current guideline price for</w:t>
            </w:r>
          </w:p>
        </w:tc>
      </w:tr>
      <w:tr>
        <w:trPr>
          <w:trHeight w:val="182"/>
        </w:trPr>
        <w:tc>
          <w:tcPr>
            <w:tcW w:w="3760" w:type="dxa"/>
            <w:vAlign w:val="bottom"/>
            <w:tcBorders>
              <w:left w:val="single" w:sz="8" w:color="666666"/>
              <w:right w:val="single" w:sz="8" w:color="666666"/>
            </w:tcBorders>
            <w:shd w:val="clear" w:color="auto" w:fill="CCCCCC"/>
          </w:tcPr>
          <w:p>
            <w:pPr>
              <w:spacing w:after="0"/>
              <w:rPr>
                <w:sz w:val="15"/>
                <w:szCs w:val="15"/>
                <w:color w:val="auto"/>
              </w:rPr>
            </w:pPr>
          </w:p>
        </w:tc>
        <w:tc>
          <w:tcPr>
            <w:tcW w:w="6180" w:type="dxa"/>
            <w:vAlign w:val="bottom"/>
            <w:tcBorders>
              <w:right w:val="single" w:sz="8" w:color="666666"/>
            </w:tcBorders>
            <w:shd w:val="clear" w:color="auto" w:fill="CCCCCC"/>
          </w:tcPr>
          <w:p>
            <w:pPr>
              <w:spacing w:after="0"/>
              <w:rPr>
                <w:sz w:val="20"/>
                <w:szCs w:val="20"/>
                <w:color w:val="auto"/>
              </w:rPr>
            </w:pPr>
            <w:r>
              <w:rPr>
                <w:rFonts w:ascii="Arial" w:cs="Arial" w:eastAsia="Arial" w:hAnsi="Arial"/>
                <w:sz w:val="14"/>
                <w:szCs w:val="14"/>
                <w:color w:val="auto"/>
              </w:rPr>
              <w:t>employee equity awards.)</w:t>
            </w:r>
          </w:p>
        </w:tc>
      </w:tr>
      <w:tr>
        <w:trPr>
          <w:trHeight w:val="147"/>
        </w:trPr>
        <w:tc>
          <w:tcPr>
            <w:tcW w:w="3760" w:type="dxa"/>
            <w:vAlign w:val="bottom"/>
            <w:tcBorders>
              <w:left w:val="single" w:sz="8" w:color="666666"/>
              <w:bottom w:val="single" w:sz="8" w:color="666666"/>
              <w:right w:val="single" w:sz="8" w:color="666666"/>
            </w:tcBorders>
            <w:shd w:val="clear" w:color="auto" w:fill="CCCCCC"/>
          </w:tcPr>
          <w:p>
            <w:pPr>
              <w:spacing w:after="0"/>
              <w:rPr>
                <w:sz w:val="12"/>
                <w:szCs w:val="12"/>
                <w:color w:val="auto"/>
              </w:rPr>
            </w:pPr>
          </w:p>
        </w:tc>
        <w:tc>
          <w:tcPr>
            <w:tcW w:w="6180" w:type="dxa"/>
            <w:vAlign w:val="bottom"/>
            <w:tcBorders>
              <w:bottom w:val="single" w:sz="8" w:color="666666"/>
              <w:right w:val="single" w:sz="8" w:color="666666"/>
            </w:tcBorders>
            <w:shd w:val="clear" w:color="auto" w:fill="CCCCCC"/>
          </w:tcPr>
          <w:p>
            <w:pPr>
              <w:spacing w:after="0"/>
              <w:rPr>
                <w:sz w:val="12"/>
                <w:szCs w:val="12"/>
                <w:color w:val="auto"/>
              </w:rPr>
            </w:pPr>
          </w:p>
        </w:tc>
      </w:tr>
      <w:tr>
        <w:trPr>
          <w:trHeight w:val="175"/>
        </w:trPr>
        <w:tc>
          <w:tcPr>
            <w:tcW w:w="3760" w:type="dxa"/>
            <w:vAlign w:val="bottom"/>
            <w:tcBorders>
              <w:left w:val="single" w:sz="8" w:color="666666"/>
              <w:right w:val="single" w:sz="8" w:color="666666"/>
            </w:tcBorders>
          </w:tcPr>
          <w:p>
            <w:pPr>
              <w:spacing w:after="0"/>
              <w:rPr>
                <w:sz w:val="20"/>
                <w:szCs w:val="20"/>
                <w:color w:val="auto"/>
              </w:rPr>
            </w:pPr>
            <w:r>
              <w:rPr>
                <w:rFonts w:ascii="Arial" w:cs="Arial" w:eastAsia="Arial" w:hAnsi="Arial"/>
                <w:sz w:val="14"/>
                <w:szCs w:val="14"/>
                <w:b w:val="1"/>
                <w:bCs w:val="1"/>
                <w:color w:val="auto"/>
              </w:rPr>
              <w:t>Equity Vehicles</w:t>
            </w: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100% RSU</w:t>
            </w:r>
          </w:p>
        </w:tc>
      </w:tr>
      <w:tr>
        <w:trPr>
          <w:trHeight w:val="225"/>
        </w:trPr>
        <w:tc>
          <w:tcPr>
            <w:tcW w:w="3760" w:type="dxa"/>
            <w:vAlign w:val="bottom"/>
            <w:tcBorders>
              <w:left w:val="single" w:sz="8" w:color="666666"/>
              <w:right w:val="single" w:sz="8" w:color="666666"/>
            </w:tcBorders>
          </w:tcPr>
          <w:p>
            <w:pPr>
              <w:spacing w:after="0"/>
              <w:rPr>
                <w:sz w:val="19"/>
                <w:szCs w:val="19"/>
                <w:color w:val="auto"/>
              </w:rPr>
            </w:pP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(RSUs vest immediately, but shares will not be distributed until the director leaves the board.)</w:t>
            </w:r>
          </w:p>
        </w:tc>
      </w:tr>
      <w:tr>
        <w:trPr>
          <w:trHeight w:val="147"/>
        </w:trPr>
        <w:tc>
          <w:tcPr>
            <w:tcW w:w="3760" w:type="dxa"/>
            <w:vAlign w:val="bottom"/>
            <w:tcBorders>
              <w:left w:val="single" w:sz="8" w:color="666666"/>
              <w:bottom w:val="single" w:sz="8" w:color="666666"/>
              <w:right w:val="single" w:sz="8" w:color="666666"/>
            </w:tcBorders>
          </w:tcPr>
          <w:p>
            <w:pPr>
              <w:spacing w:after="0"/>
              <w:rPr>
                <w:sz w:val="12"/>
                <w:szCs w:val="12"/>
                <w:color w:val="auto"/>
              </w:rPr>
            </w:pPr>
          </w:p>
        </w:tc>
        <w:tc>
          <w:tcPr>
            <w:tcW w:w="6180" w:type="dxa"/>
            <w:vAlign w:val="bottom"/>
            <w:tcBorders>
              <w:bottom w:val="single" w:sz="8" w:color="666666"/>
              <w:right w:val="single" w:sz="8" w:color="666666"/>
            </w:tcBorders>
          </w:tcPr>
          <w:p>
            <w:pPr>
              <w:spacing w:after="0"/>
              <w:rPr>
                <w:sz w:val="12"/>
                <w:szCs w:val="12"/>
                <w:color w:val="auto"/>
              </w:rPr>
            </w:pPr>
          </w:p>
        </w:tc>
      </w:tr>
      <w:tr>
        <w:trPr>
          <w:trHeight w:val="175"/>
        </w:trPr>
        <w:tc>
          <w:tcPr>
            <w:tcW w:w="3760" w:type="dxa"/>
            <w:vAlign w:val="bottom"/>
            <w:tcBorders>
              <w:left w:val="single" w:sz="8" w:color="666666"/>
              <w:right w:val="single" w:sz="8" w:color="666666"/>
            </w:tcBorders>
            <w:shd w:val="clear" w:color="auto" w:fill="CCCCCC"/>
          </w:tcPr>
          <w:p>
            <w:pPr>
              <w:spacing w:after="0"/>
              <w:rPr>
                <w:sz w:val="20"/>
                <w:szCs w:val="20"/>
                <w:color w:val="auto"/>
              </w:rPr>
            </w:pPr>
            <w:r>
              <w:rPr>
                <w:rFonts w:ascii="Arial" w:cs="Arial" w:eastAsia="Arial" w:hAnsi="Arial"/>
                <w:sz w:val="14"/>
                <w:szCs w:val="14"/>
                <w:b w:val="1"/>
                <w:bCs w:val="1"/>
                <w:color w:val="auto"/>
              </w:rPr>
              <w:t>Initial Equity Grant</w:t>
            </w:r>
          </w:p>
        </w:tc>
        <w:tc>
          <w:tcPr>
            <w:tcW w:w="6180" w:type="dxa"/>
            <w:vAlign w:val="bottom"/>
            <w:tcBorders>
              <w:right w:val="single" w:sz="8" w:color="666666"/>
            </w:tcBorders>
            <w:shd w:val="clear" w:color="auto" w:fill="CCCCCC"/>
          </w:tcPr>
          <w:p>
            <w:pPr>
              <w:spacing w:after="0"/>
              <w:rPr>
                <w:sz w:val="20"/>
                <w:szCs w:val="20"/>
                <w:color w:val="auto"/>
              </w:rPr>
            </w:pPr>
            <w:r>
              <w:rPr>
                <w:rFonts w:ascii="Arial" w:cs="Arial" w:eastAsia="Arial" w:hAnsi="Arial"/>
                <w:sz w:val="14"/>
                <w:szCs w:val="14"/>
                <w:color w:val="auto"/>
              </w:rPr>
              <w:t>None</w:t>
            </w:r>
          </w:p>
        </w:tc>
      </w:tr>
      <w:tr>
        <w:trPr>
          <w:trHeight w:val="129"/>
        </w:trPr>
        <w:tc>
          <w:tcPr>
            <w:tcW w:w="3760" w:type="dxa"/>
            <w:vAlign w:val="bottom"/>
            <w:tcBorders>
              <w:left w:val="single" w:sz="8" w:color="666666"/>
              <w:bottom w:val="single" w:sz="8" w:color="666666"/>
              <w:right w:val="single" w:sz="8" w:color="666666"/>
            </w:tcBorders>
            <w:shd w:val="clear" w:color="auto" w:fill="CCCCCC"/>
          </w:tcPr>
          <w:p>
            <w:pPr>
              <w:spacing w:after="0"/>
              <w:rPr>
                <w:sz w:val="11"/>
                <w:szCs w:val="11"/>
                <w:color w:val="auto"/>
              </w:rPr>
            </w:pPr>
          </w:p>
        </w:tc>
        <w:tc>
          <w:tcPr>
            <w:tcW w:w="6180" w:type="dxa"/>
            <w:vAlign w:val="bottom"/>
            <w:tcBorders>
              <w:bottom w:val="single" w:sz="8" w:color="666666"/>
              <w:right w:val="single" w:sz="8" w:color="666666"/>
            </w:tcBorders>
            <w:shd w:val="clear" w:color="auto" w:fill="CCCCCC"/>
          </w:tcPr>
          <w:p>
            <w:pPr>
              <w:spacing w:after="0"/>
              <w:rPr>
                <w:sz w:val="11"/>
                <w:szCs w:val="11"/>
                <w:color w:val="auto"/>
              </w:rPr>
            </w:pPr>
          </w:p>
        </w:tc>
      </w:tr>
      <w:tr>
        <w:trPr>
          <w:trHeight w:val="175"/>
        </w:trPr>
        <w:tc>
          <w:tcPr>
            <w:tcW w:w="3760" w:type="dxa"/>
            <w:vAlign w:val="bottom"/>
            <w:tcBorders>
              <w:left w:val="single" w:sz="8" w:color="666666"/>
              <w:right w:val="single" w:sz="8" w:color="666666"/>
            </w:tcBorders>
          </w:tcPr>
          <w:p>
            <w:pPr>
              <w:spacing w:after="0"/>
              <w:rPr>
                <w:sz w:val="20"/>
                <w:szCs w:val="20"/>
                <w:color w:val="auto"/>
              </w:rPr>
            </w:pPr>
            <w:r>
              <w:rPr>
                <w:rFonts w:ascii="Arial" w:cs="Arial" w:eastAsia="Arial" w:hAnsi="Arial"/>
                <w:sz w:val="14"/>
                <w:szCs w:val="14"/>
                <w:b w:val="1"/>
                <w:bCs w:val="1"/>
                <w:color w:val="auto"/>
              </w:rPr>
              <w:t>Independent Chairman Premium</w:t>
            </w: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$32,500 (cash)</w:t>
            </w:r>
          </w:p>
        </w:tc>
      </w:tr>
      <w:tr>
        <w:trPr>
          <w:trHeight w:val="129"/>
        </w:trPr>
        <w:tc>
          <w:tcPr>
            <w:tcW w:w="3760" w:type="dxa"/>
            <w:vAlign w:val="bottom"/>
            <w:tcBorders>
              <w:left w:val="single" w:sz="8" w:color="666666"/>
              <w:bottom w:val="single" w:sz="8" w:color="666666"/>
              <w:right w:val="single" w:sz="8" w:color="666666"/>
            </w:tcBorders>
          </w:tcPr>
          <w:p>
            <w:pPr>
              <w:spacing w:after="0"/>
              <w:rPr>
                <w:sz w:val="11"/>
                <w:szCs w:val="11"/>
                <w:color w:val="auto"/>
              </w:rPr>
            </w:pPr>
          </w:p>
        </w:tc>
        <w:tc>
          <w:tcPr>
            <w:tcW w:w="6180" w:type="dxa"/>
            <w:vAlign w:val="bottom"/>
            <w:tcBorders>
              <w:bottom w:val="single" w:sz="8" w:color="666666"/>
              <w:right w:val="single" w:sz="8" w:color="666666"/>
            </w:tcBorders>
          </w:tcPr>
          <w:p>
            <w:pPr>
              <w:spacing w:after="0"/>
              <w:rPr>
                <w:sz w:val="11"/>
                <w:szCs w:val="11"/>
                <w:color w:val="auto"/>
              </w:rPr>
            </w:pPr>
          </w:p>
        </w:tc>
      </w:tr>
      <w:tr>
        <w:trPr>
          <w:trHeight w:val="175"/>
        </w:trPr>
        <w:tc>
          <w:tcPr>
            <w:tcW w:w="3760" w:type="dxa"/>
            <w:vAlign w:val="bottom"/>
            <w:tcBorders>
              <w:left w:val="single" w:sz="8" w:color="666666"/>
              <w:right w:val="single" w:sz="8" w:color="666666"/>
            </w:tcBorders>
            <w:shd w:val="clear" w:color="auto" w:fill="CCCCCC"/>
          </w:tcPr>
          <w:p>
            <w:pPr>
              <w:spacing w:after="0"/>
              <w:rPr>
                <w:sz w:val="20"/>
                <w:szCs w:val="20"/>
                <w:color w:val="auto"/>
              </w:rPr>
            </w:pPr>
            <w:r>
              <w:rPr>
                <w:rFonts w:ascii="Arial" w:cs="Arial" w:eastAsia="Arial" w:hAnsi="Arial"/>
                <w:sz w:val="14"/>
                <w:szCs w:val="14"/>
                <w:b w:val="1"/>
                <w:bCs w:val="1"/>
                <w:color w:val="auto"/>
              </w:rPr>
              <w:t>Committee Member Compensation</w:t>
            </w:r>
          </w:p>
        </w:tc>
        <w:tc>
          <w:tcPr>
            <w:tcW w:w="6180" w:type="dxa"/>
            <w:vAlign w:val="bottom"/>
            <w:tcBorders>
              <w:right w:val="single" w:sz="8" w:color="666666"/>
            </w:tcBorders>
            <w:shd w:val="clear" w:color="auto" w:fill="CCCCCC"/>
          </w:tcPr>
          <w:p>
            <w:pPr>
              <w:spacing w:after="0"/>
              <w:rPr>
                <w:sz w:val="20"/>
                <w:szCs w:val="20"/>
                <w:color w:val="auto"/>
              </w:rPr>
            </w:pPr>
            <w:r>
              <w:rPr>
                <w:rFonts w:ascii="Arial" w:cs="Arial" w:eastAsia="Arial" w:hAnsi="Arial"/>
                <w:sz w:val="14"/>
                <w:szCs w:val="14"/>
                <w:color w:val="auto"/>
              </w:rPr>
              <w:t>Audit: $10,000</w:t>
            </w:r>
          </w:p>
        </w:tc>
      </w:tr>
      <w:tr>
        <w:trPr>
          <w:trHeight w:val="225"/>
        </w:trPr>
        <w:tc>
          <w:tcPr>
            <w:tcW w:w="3760" w:type="dxa"/>
            <w:vAlign w:val="bottom"/>
            <w:tcBorders>
              <w:left w:val="single" w:sz="8" w:color="666666"/>
              <w:right w:val="single" w:sz="8" w:color="666666"/>
            </w:tcBorders>
            <w:shd w:val="clear" w:color="auto" w:fill="CCCCCC"/>
          </w:tcPr>
          <w:p>
            <w:pPr>
              <w:spacing w:after="0"/>
              <w:rPr>
                <w:sz w:val="19"/>
                <w:szCs w:val="19"/>
                <w:color w:val="auto"/>
              </w:rPr>
            </w:pPr>
          </w:p>
        </w:tc>
        <w:tc>
          <w:tcPr>
            <w:tcW w:w="6180" w:type="dxa"/>
            <w:vAlign w:val="bottom"/>
            <w:tcBorders>
              <w:right w:val="single" w:sz="8" w:color="666666"/>
            </w:tcBorders>
            <w:shd w:val="clear" w:color="auto" w:fill="CCCCCC"/>
          </w:tcPr>
          <w:p>
            <w:pPr>
              <w:spacing w:after="0"/>
              <w:rPr>
                <w:sz w:val="20"/>
                <w:szCs w:val="20"/>
                <w:color w:val="auto"/>
              </w:rPr>
            </w:pPr>
            <w:r>
              <w:rPr>
                <w:rFonts w:ascii="Arial" w:cs="Arial" w:eastAsia="Arial" w:hAnsi="Arial"/>
                <w:sz w:val="14"/>
                <w:szCs w:val="14"/>
                <w:color w:val="auto"/>
              </w:rPr>
              <w:t>Compensation: $7,500</w:t>
            </w:r>
          </w:p>
        </w:tc>
      </w:tr>
      <w:tr>
        <w:trPr>
          <w:trHeight w:val="243"/>
        </w:trPr>
        <w:tc>
          <w:tcPr>
            <w:tcW w:w="3760" w:type="dxa"/>
            <w:vAlign w:val="bottom"/>
            <w:tcBorders>
              <w:left w:val="single" w:sz="8" w:color="666666"/>
              <w:right w:val="single" w:sz="8" w:color="666666"/>
            </w:tcBorders>
            <w:shd w:val="clear" w:color="auto" w:fill="CCCCCC"/>
          </w:tcPr>
          <w:p>
            <w:pPr>
              <w:spacing w:after="0"/>
              <w:rPr>
                <w:sz w:val="21"/>
                <w:szCs w:val="21"/>
                <w:color w:val="auto"/>
              </w:rPr>
            </w:pPr>
          </w:p>
        </w:tc>
        <w:tc>
          <w:tcPr>
            <w:tcW w:w="6180" w:type="dxa"/>
            <w:vAlign w:val="bottom"/>
            <w:tcBorders>
              <w:right w:val="single" w:sz="8" w:color="666666"/>
            </w:tcBorders>
            <w:shd w:val="clear" w:color="auto" w:fill="CCCCCC"/>
          </w:tcPr>
          <w:p>
            <w:pPr>
              <w:spacing w:after="0"/>
              <w:rPr>
                <w:sz w:val="20"/>
                <w:szCs w:val="20"/>
                <w:color w:val="auto"/>
              </w:rPr>
            </w:pPr>
            <w:r>
              <w:rPr>
                <w:rFonts w:ascii="Arial" w:cs="Arial" w:eastAsia="Arial" w:hAnsi="Arial"/>
                <w:sz w:val="14"/>
                <w:szCs w:val="14"/>
                <w:color w:val="auto"/>
              </w:rPr>
              <w:t>Nominating/Governance: $5,000</w:t>
            </w:r>
          </w:p>
        </w:tc>
      </w:tr>
      <w:tr>
        <w:trPr>
          <w:trHeight w:val="243"/>
        </w:trPr>
        <w:tc>
          <w:tcPr>
            <w:tcW w:w="3760" w:type="dxa"/>
            <w:vAlign w:val="bottom"/>
            <w:tcBorders>
              <w:left w:val="single" w:sz="8" w:color="666666"/>
              <w:right w:val="single" w:sz="8" w:color="666666"/>
            </w:tcBorders>
            <w:shd w:val="clear" w:color="auto" w:fill="CCCCCC"/>
          </w:tcPr>
          <w:p>
            <w:pPr>
              <w:spacing w:after="0"/>
              <w:rPr>
                <w:sz w:val="21"/>
                <w:szCs w:val="21"/>
                <w:color w:val="auto"/>
              </w:rPr>
            </w:pPr>
          </w:p>
        </w:tc>
        <w:tc>
          <w:tcPr>
            <w:tcW w:w="6180" w:type="dxa"/>
            <w:vAlign w:val="bottom"/>
            <w:tcBorders>
              <w:right w:val="single" w:sz="8" w:color="666666"/>
            </w:tcBorders>
            <w:shd w:val="clear" w:color="auto" w:fill="CCCCCC"/>
          </w:tcPr>
          <w:p>
            <w:pPr>
              <w:spacing w:after="0"/>
              <w:rPr>
                <w:sz w:val="20"/>
                <w:szCs w:val="20"/>
                <w:color w:val="auto"/>
              </w:rPr>
            </w:pPr>
            <w:r>
              <w:rPr>
                <w:rFonts w:ascii="Arial" w:cs="Arial" w:eastAsia="Arial" w:hAnsi="Arial"/>
                <w:sz w:val="14"/>
                <w:szCs w:val="14"/>
                <w:color w:val="auto"/>
              </w:rPr>
              <w:t>(cash)</w:t>
            </w:r>
          </w:p>
        </w:tc>
      </w:tr>
      <w:tr>
        <w:trPr>
          <w:trHeight w:val="147"/>
        </w:trPr>
        <w:tc>
          <w:tcPr>
            <w:tcW w:w="3760" w:type="dxa"/>
            <w:vAlign w:val="bottom"/>
            <w:tcBorders>
              <w:left w:val="single" w:sz="8" w:color="666666"/>
              <w:bottom w:val="single" w:sz="8" w:color="666666"/>
              <w:right w:val="single" w:sz="8" w:color="666666"/>
            </w:tcBorders>
            <w:shd w:val="clear" w:color="auto" w:fill="CCCCCC"/>
          </w:tcPr>
          <w:p>
            <w:pPr>
              <w:spacing w:after="0"/>
              <w:rPr>
                <w:sz w:val="12"/>
                <w:szCs w:val="12"/>
                <w:color w:val="auto"/>
              </w:rPr>
            </w:pPr>
          </w:p>
        </w:tc>
        <w:tc>
          <w:tcPr>
            <w:tcW w:w="6180" w:type="dxa"/>
            <w:vAlign w:val="bottom"/>
            <w:tcBorders>
              <w:bottom w:val="single" w:sz="8" w:color="666666"/>
              <w:right w:val="single" w:sz="8" w:color="666666"/>
            </w:tcBorders>
            <w:shd w:val="clear" w:color="auto" w:fill="CCCCCC"/>
          </w:tcPr>
          <w:p>
            <w:pPr>
              <w:spacing w:after="0"/>
              <w:rPr>
                <w:sz w:val="12"/>
                <w:szCs w:val="12"/>
                <w:color w:val="auto"/>
              </w:rPr>
            </w:pPr>
          </w:p>
        </w:tc>
      </w:tr>
      <w:tr>
        <w:trPr>
          <w:trHeight w:val="175"/>
        </w:trPr>
        <w:tc>
          <w:tcPr>
            <w:tcW w:w="3760" w:type="dxa"/>
            <w:vAlign w:val="bottom"/>
            <w:tcBorders>
              <w:left w:val="single" w:sz="8" w:color="666666"/>
              <w:right w:val="single" w:sz="8" w:color="666666"/>
            </w:tcBorders>
          </w:tcPr>
          <w:p>
            <w:pPr>
              <w:spacing w:after="0"/>
              <w:rPr>
                <w:sz w:val="20"/>
                <w:szCs w:val="20"/>
                <w:color w:val="auto"/>
              </w:rPr>
            </w:pPr>
            <w:r>
              <w:rPr>
                <w:rFonts w:ascii="Arial" w:cs="Arial" w:eastAsia="Arial" w:hAnsi="Arial"/>
                <w:sz w:val="14"/>
                <w:szCs w:val="14"/>
                <w:b w:val="1"/>
                <w:bCs w:val="1"/>
                <w:color w:val="auto"/>
              </w:rPr>
              <w:t>Committee Chair Premiums</w:t>
            </w: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Audit: $15,000</w:t>
            </w:r>
          </w:p>
        </w:tc>
      </w:tr>
      <w:tr>
        <w:trPr>
          <w:trHeight w:val="225"/>
        </w:trPr>
        <w:tc>
          <w:tcPr>
            <w:tcW w:w="3760" w:type="dxa"/>
            <w:vAlign w:val="bottom"/>
            <w:tcBorders>
              <w:left w:val="single" w:sz="8" w:color="666666"/>
              <w:right w:val="single" w:sz="8" w:color="666666"/>
            </w:tcBorders>
          </w:tcPr>
          <w:p>
            <w:pPr>
              <w:spacing w:after="0"/>
              <w:rPr>
                <w:sz w:val="19"/>
                <w:szCs w:val="19"/>
                <w:color w:val="auto"/>
              </w:rPr>
            </w:pP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Comp: $12,500</w:t>
            </w:r>
          </w:p>
        </w:tc>
      </w:tr>
      <w:tr>
        <w:trPr>
          <w:trHeight w:val="243"/>
        </w:trPr>
        <w:tc>
          <w:tcPr>
            <w:tcW w:w="3760" w:type="dxa"/>
            <w:vAlign w:val="bottom"/>
            <w:tcBorders>
              <w:left w:val="single" w:sz="8" w:color="666666"/>
              <w:right w:val="single" w:sz="8" w:color="666666"/>
            </w:tcBorders>
          </w:tcPr>
          <w:p>
            <w:pPr>
              <w:spacing w:after="0"/>
              <w:rPr>
                <w:sz w:val="21"/>
                <w:szCs w:val="21"/>
                <w:color w:val="auto"/>
              </w:rPr>
            </w:pP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Nominating/Governance: $5,000</w:t>
            </w:r>
          </w:p>
        </w:tc>
      </w:tr>
      <w:tr>
        <w:trPr>
          <w:trHeight w:val="243"/>
        </w:trPr>
        <w:tc>
          <w:tcPr>
            <w:tcW w:w="3760" w:type="dxa"/>
            <w:vAlign w:val="bottom"/>
            <w:tcBorders>
              <w:left w:val="single" w:sz="8" w:color="666666"/>
              <w:right w:val="single" w:sz="8" w:color="666666"/>
            </w:tcBorders>
          </w:tcPr>
          <w:p>
            <w:pPr>
              <w:spacing w:after="0"/>
              <w:rPr>
                <w:sz w:val="21"/>
                <w:szCs w:val="21"/>
                <w:color w:val="auto"/>
              </w:rPr>
            </w:pPr>
          </w:p>
        </w:tc>
        <w:tc>
          <w:tcPr>
            <w:tcW w:w="6180" w:type="dxa"/>
            <w:vAlign w:val="bottom"/>
            <w:tcBorders>
              <w:right w:val="single" w:sz="8" w:color="666666"/>
            </w:tcBorders>
          </w:tcPr>
          <w:p>
            <w:pPr>
              <w:spacing w:after="0"/>
              <w:rPr>
                <w:sz w:val="20"/>
                <w:szCs w:val="20"/>
                <w:color w:val="auto"/>
              </w:rPr>
            </w:pPr>
            <w:r>
              <w:rPr>
                <w:rFonts w:ascii="Arial" w:cs="Arial" w:eastAsia="Arial" w:hAnsi="Arial"/>
                <w:sz w:val="14"/>
                <w:szCs w:val="14"/>
                <w:color w:val="auto"/>
              </w:rPr>
              <w:t>(cash)</w:t>
            </w:r>
          </w:p>
        </w:tc>
      </w:tr>
      <w:tr>
        <w:trPr>
          <w:trHeight w:val="147"/>
        </w:trPr>
        <w:tc>
          <w:tcPr>
            <w:tcW w:w="3760" w:type="dxa"/>
            <w:vAlign w:val="bottom"/>
            <w:tcBorders>
              <w:left w:val="single" w:sz="8" w:color="666666"/>
              <w:bottom w:val="single" w:sz="8" w:color="666666"/>
              <w:right w:val="single" w:sz="8" w:color="666666"/>
            </w:tcBorders>
          </w:tcPr>
          <w:p>
            <w:pPr>
              <w:spacing w:after="0"/>
              <w:rPr>
                <w:sz w:val="12"/>
                <w:szCs w:val="12"/>
                <w:color w:val="auto"/>
              </w:rPr>
            </w:pPr>
          </w:p>
        </w:tc>
        <w:tc>
          <w:tcPr>
            <w:tcW w:w="6180" w:type="dxa"/>
            <w:vAlign w:val="bottom"/>
            <w:tcBorders>
              <w:bottom w:val="single" w:sz="8" w:color="666666"/>
              <w:right w:val="single" w:sz="8" w:color="666666"/>
            </w:tcBorders>
          </w:tcPr>
          <w:p>
            <w:pPr>
              <w:spacing w:after="0"/>
              <w:rPr>
                <w:sz w:val="12"/>
                <w:szCs w:val="12"/>
                <w:color w:val="auto"/>
              </w:rPr>
            </w:pPr>
          </w:p>
        </w:tc>
      </w:tr>
    </w:tbl>
    <w:p>
      <w:pPr>
        <w:sectPr>
          <w:pgSz w:w="11900" w:h="16838" w:orient="portrait"/>
          <w:cols w:equalWidth="0" w:num="1">
            <w:col w:w="10700"/>
          </w:cols>
          <w:pgMar w:left="1000" w:top="121" w:right="1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2"/>
          <w:szCs w:val="12"/>
          <w:b w:val="1"/>
          <w:bCs w:val="1"/>
          <w:color w:val="auto"/>
        </w:rPr>
        <w:t>Exhibit 10.50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FOURTH AMENDMENT TO SUPPLY AGREEMENT</w:t>
      </w:r>
    </w:p>
    <w:p>
      <w:pPr>
        <w:spacing w:after="0" w:line="155" w:lineRule="exact"/>
        <w:rPr>
          <w:sz w:val="20"/>
          <w:szCs w:val="20"/>
          <w:color w:val="auto"/>
        </w:rPr>
      </w:pPr>
    </w:p>
    <w:p>
      <w:pPr>
        <w:jc w:val="both"/>
        <w:ind w:firstLine="883"/>
        <w:spacing w:after="0"/>
        <w:rPr>
          <w:sz w:val="20"/>
          <w:szCs w:val="20"/>
          <w:color w:val="auto"/>
        </w:rPr>
      </w:pPr>
      <w:r>
        <w:rPr>
          <w:rFonts w:ascii="Arial" w:cs="Arial" w:eastAsia="Arial" w:hAnsi="Arial"/>
          <w:sz w:val="12"/>
          <w:szCs w:val="12"/>
          <w:color w:val="auto"/>
        </w:rPr>
        <w:t>This fourth amendment (“Fourth Amendment”) to the Supply Agreement by and between MannKind Corporation (“MannKind”) and Amphastar Pharmaceuticals, Inc. (“Amphastar”), originally dated July 31, 2014 and as previously amended on October 31, 2014, November 9, 2016 and April 11, 2018 (collectively, the “Agreement”), is hereby made as of the 24 day of December, 2018, by and between MannKind on the one hand, and on the other hand, Amphastar.</w:t>
      </w:r>
    </w:p>
    <w:p>
      <w:pPr>
        <w:spacing w:after="0" w:line="135" w:lineRule="exact"/>
        <w:rPr>
          <w:sz w:val="20"/>
          <w:szCs w:val="20"/>
          <w:color w:val="auto"/>
        </w:rPr>
      </w:pPr>
    </w:p>
    <w:p>
      <w:pPr>
        <w:jc w:val="center"/>
        <w:ind w:left="900"/>
        <w:spacing w:after="0"/>
        <w:rPr>
          <w:sz w:val="20"/>
          <w:szCs w:val="20"/>
          <w:color w:val="auto"/>
        </w:rPr>
      </w:pPr>
      <w:r>
        <w:rPr>
          <w:rFonts w:ascii="Arial" w:cs="Arial" w:eastAsia="Arial" w:hAnsi="Arial"/>
          <w:sz w:val="12"/>
          <w:szCs w:val="12"/>
          <w:u w:val="single" w:color="auto"/>
          <w:color w:val="auto"/>
        </w:rPr>
        <w:t>RECITALS</w:t>
      </w:r>
      <w:r>
        <w:rPr>
          <w:rFonts w:ascii="Arial" w:cs="Arial" w:eastAsia="Arial" w:hAnsi="Arial"/>
          <w:sz w:val="12"/>
          <w:szCs w:val="12"/>
          <w:color w:val="auto"/>
        </w:rPr>
        <w:t>:</w:t>
      </w:r>
    </w:p>
    <w:p>
      <w:pPr>
        <w:spacing w:after="0" w:line="141" w:lineRule="exact"/>
        <w:rPr>
          <w:sz w:val="20"/>
          <w:szCs w:val="20"/>
          <w:color w:val="auto"/>
        </w:rPr>
      </w:pPr>
    </w:p>
    <w:p>
      <w:pPr>
        <w:jc w:val="both"/>
        <w:ind w:firstLine="883"/>
        <w:spacing w:after="0" w:line="246" w:lineRule="auto"/>
        <w:rPr>
          <w:sz w:val="20"/>
          <w:szCs w:val="20"/>
          <w:color w:val="auto"/>
        </w:rPr>
      </w:pPr>
      <w:r>
        <w:rPr>
          <w:rFonts w:ascii="Arial" w:cs="Arial" w:eastAsia="Arial" w:hAnsi="Arial"/>
          <w:sz w:val="12"/>
          <w:szCs w:val="12"/>
          <w:color w:val="auto"/>
        </w:rPr>
        <w:t>WHEREAS, MannKind and Amphastar entered into the Agreement pursuant to which Amphastar is to manufacture and supply the Product to MannKind, and MannKind is to purchase certain minimum quantities of the Product; and</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WHEREAS MannKind and Amphastar have determined it to be mutually beneficial to amend the Agreement as set forth herein.</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2"/>
          <w:szCs w:val="12"/>
          <w:color w:val="auto"/>
        </w:rPr>
        <w:t>NOW, THEREFORE, for good and valuable consideration, MannKind and Amphastar, hereby agree to amend the Agreement as follows:</w:t>
      </w:r>
    </w:p>
    <w:p>
      <w:pPr>
        <w:spacing w:after="0" w:line="141" w:lineRule="exact"/>
        <w:rPr>
          <w:sz w:val="20"/>
          <w:szCs w:val="20"/>
          <w:color w:val="auto"/>
        </w:rPr>
      </w:pPr>
    </w:p>
    <w:p>
      <w:pPr>
        <w:ind w:left="1760" w:hanging="885"/>
        <w:spacing w:after="0"/>
        <w:tabs>
          <w:tab w:leader="none" w:pos="1760"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Unless otherwise defined herein, each of the capitalized terms used in this Fourth Amendment shall have the definition and meaning ascribed to it in the Agreement.</w:t>
      </w:r>
    </w:p>
    <w:p>
      <w:pPr>
        <w:spacing w:after="0" w:line="141" w:lineRule="exact"/>
        <w:rPr>
          <w:rFonts w:ascii="Arial" w:cs="Arial" w:eastAsia="Arial" w:hAnsi="Arial"/>
          <w:sz w:val="12"/>
          <w:szCs w:val="12"/>
          <w:color w:val="auto"/>
        </w:rPr>
      </w:pPr>
    </w:p>
    <w:p>
      <w:pPr>
        <w:ind w:left="1760" w:hanging="885"/>
        <w:spacing w:after="0"/>
        <w:tabs>
          <w:tab w:leader="none" w:pos="1760"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Amendment Fee</w:t>
      </w:r>
      <w:r>
        <w:rPr>
          <w:rFonts w:ascii="Arial" w:cs="Arial" w:eastAsia="Arial" w:hAnsi="Arial"/>
          <w:sz w:val="12"/>
          <w:szCs w:val="12"/>
          <w:color w:val="auto"/>
        </w:rPr>
        <w:t>. No later than December 31, 2018, MannKind shall pay Amphastar an amendment fee in the amount of US $2.0 million (the “Amendment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2917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104" w:name="page105"/>
    <w:bookmarkEnd w:id="104"/>
    <w:p>
      <w:pPr>
        <w:ind w:left="1760" w:hanging="885"/>
        <w:spacing w:after="0"/>
        <w:tabs>
          <w:tab w:leader="none" w:pos="1760"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Amendments to the Agreement</w:t>
      </w:r>
      <w:r>
        <w:rPr>
          <w:rFonts w:ascii="Arial" w:cs="Arial" w:eastAsia="Arial" w:hAnsi="Arial"/>
          <w:sz w:val="12"/>
          <w:szCs w:val="12"/>
          <w:color w:val="auto"/>
        </w:rPr>
        <w:t>. Effective upon the payment of the Amendment Fee, the Agreement shall be amended as follows:</w:t>
      </w:r>
    </w:p>
    <w:p>
      <w:pPr>
        <w:spacing w:after="0" w:line="127" w:lineRule="exact"/>
        <w:rPr>
          <w:sz w:val="20"/>
          <w:szCs w:val="20"/>
          <w:color w:val="auto"/>
        </w:rPr>
      </w:pPr>
    </w:p>
    <w:tbl>
      <w:tblPr>
        <w:tblLayout w:type="fixed"/>
        <w:tblInd w:w="910" w:type="dxa"/>
        <w:tblCellMar>
          <w:top w:w="0" w:type="dxa"/>
          <w:left w:w="0" w:type="dxa"/>
          <w:bottom w:w="0" w:type="dxa"/>
          <w:right w:w="0" w:type="dxa"/>
        </w:tblCellMar>
      </w:tblPr>
      <w:tr>
        <w:trPr>
          <w:trHeight w:val="159"/>
        </w:trPr>
        <w:tc>
          <w:tcPr>
            <w:tcW w:w="1300" w:type="dxa"/>
            <w:vAlign w:val="bottom"/>
          </w:tcPr>
          <w:p>
            <w:pPr>
              <w:jc w:val="right"/>
              <w:ind w:right="280"/>
              <w:spacing w:after="0"/>
              <w:rPr>
                <w:sz w:val="20"/>
                <w:szCs w:val="20"/>
                <w:color w:val="auto"/>
              </w:rPr>
            </w:pPr>
            <w:r>
              <w:rPr>
                <w:rFonts w:ascii="Arial" w:cs="Arial" w:eastAsia="Arial" w:hAnsi="Arial"/>
                <w:sz w:val="12"/>
                <w:szCs w:val="12"/>
                <w:color w:val="auto"/>
              </w:rPr>
              <w:t>3.1</w:t>
            </w:r>
          </w:p>
        </w:tc>
        <w:tc>
          <w:tcPr>
            <w:tcW w:w="9280" w:type="dxa"/>
            <w:vAlign w:val="bottom"/>
            <w:gridSpan w:val="4"/>
          </w:tcPr>
          <w:p>
            <w:pPr>
              <w:ind w:left="80"/>
              <w:spacing w:after="0"/>
              <w:rPr>
                <w:sz w:val="20"/>
                <w:szCs w:val="20"/>
                <w:color w:val="auto"/>
              </w:rPr>
            </w:pPr>
            <w:r>
              <w:rPr>
                <w:rFonts w:ascii="Arial" w:cs="Arial" w:eastAsia="Arial" w:hAnsi="Arial"/>
                <w:sz w:val="12"/>
                <w:szCs w:val="12"/>
                <w:color w:val="auto"/>
              </w:rPr>
              <w:t xml:space="preserve">The table in </w:t>
            </w:r>
            <w:r>
              <w:rPr>
                <w:rFonts w:ascii="Arial" w:cs="Arial" w:eastAsia="Arial" w:hAnsi="Arial"/>
                <w:sz w:val="12"/>
                <w:szCs w:val="12"/>
                <w:b w:val="1"/>
                <w:bCs w:val="1"/>
                <w:color w:val="auto"/>
              </w:rPr>
              <w:t>Section 6.1</w:t>
            </w:r>
            <w:r>
              <w:rPr>
                <w:rFonts w:ascii="Arial" w:cs="Arial" w:eastAsia="Arial" w:hAnsi="Arial"/>
                <w:sz w:val="12"/>
                <w:szCs w:val="12"/>
                <w:color w:val="auto"/>
              </w:rPr>
              <w:t xml:space="preserve"> of the Agreement shall be amended and replaced in its entirety with the following:</w:t>
            </w:r>
          </w:p>
        </w:tc>
      </w:tr>
      <w:tr>
        <w:trPr>
          <w:trHeight w:val="153"/>
        </w:trPr>
        <w:tc>
          <w:tcPr>
            <w:tcW w:w="1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r>
      <w:tr>
        <w:trPr>
          <w:trHeight w:val="134"/>
        </w:trPr>
        <w:tc>
          <w:tcPr>
            <w:tcW w:w="1300" w:type="dxa"/>
            <w:vAlign w:val="bottom"/>
            <w:tcBorders>
              <w:left w:val="single" w:sz="8" w:color="auto"/>
            </w:tcBorders>
          </w:tcPr>
          <w:p>
            <w:pPr>
              <w:jc w:val="right"/>
              <w:ind w:right="40"/>
              <w:spacing w:after="0" w:line="134" w:lineRule="exact"/>
              <w:rPr>
                <w:sz w:val="20"/>
                <w:szCs w:val="20"/>
                <w:color w:val="auto"/>
              </w:rPr>
            </w:pPr>
            <w:r>
              <w:rPr>
                <w:rFonts w:ascii="Arial" w:cs="Arial" w:eastAsia="Arial" w:hAnsi="Arial"/>
                <w:sz w:val="12"/>
                <w:szCs w:val="12"/>
                <w:color w:val="auto"/>
              </w:rPr>
              <w:t>Calendar Year</w:t>
            </w:r>
          </w:p>
        </w:tc>
        <w:tc>
          <w:tcPr>
            <w:tcW w:w="3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ind w:left="400"/>
              <w:spacing w:after="0" w:line="134" w:lineRule="exact"/>
              <w:rPr>
                <w:sz w:val="20"/>
                <w:szCs w:val="20"/>
                <w:color w:val="auto"/>
              </w:rPr>
            </w:pPr>
            <w:r>
              <w:rPr>
                <w:rFonts w:ascii="Arial" w:cs="Arial" w:eastAsia="Arial" w:hAnsi="Arial"/>
                <w:sz w:val="12"/>
                <w:szCs w:val="12"/>
                <w:color w:val="auto"/>
              </w:rPr>
              <w:t>Purchase Commitment Quantities (kg)</w:t>
            </w:r>
          </w:p>
        </w:tc>
        <w:tc>
          <w:tcPr>
            <w:tcW w:w="21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99"/>
              </w:rPr>
              <w:t>Purchase Price (per gram)</w:t>
            </w:r>
          </w:p>
        </w:tc>
        <w:tc>
          <w:tcPr>
            <w:tcW w:w="3900" w:type="dxa"/>
            <w:vAlign w:val="bottom"/>
            <w:tcBorders>
              <w:right w:val="single" w:sz="8" w:color="auto"/>
            </w:tcBorders>
          </w:tcPr>
          <w:p>
            <w:pPr>
              <w:ind w:left="1340"/>
              <w:spacing w:after="0" w:line="134" w:lineRule="exact"/>
              <w:rPr>
                <w:sz w:val="20"/>
                <w:szCs w:val="20"/>
                <w:color w:val="auto"/>
              </w:rPr>
            </w:pPr>
            <w:r>
              <w:rPr>
                <w:rFonts w:ascii="Arial" w:cs="Arial" w:eastAsia="Arial" w:hAnsi="Arial"/>
                <w:sz w:val="12"/>
                <w:szCs w:val="12"/>
                <w:color w:val="auto"/>
              </w:rPr>
              <w:t>Delivery and Payment</w:t>
            </w:r>
          </w:p>
        </w:tc>
      </w:tr>
      <w:tr>
        <w:trPr>
          <w:trHeight w:val="135"/>
        </w:trPr>
        <w:tc>
          <w:tcPr>
            <w:tcW w:w="130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r>
      <w:tr>
        <w:trPr>
          <w:trHeight w:val="134"/>
        </w:trPr>
        <w:tc>
          <w:tcPr>
            <w:tcW w:w="1300" w:type="dxa"/>
            <w:vAlign w:val="bottom"/>
            <w:tcBorders>
              <w:left w:val="single" w:sz="8" w:color="auto"/>
            </w:tcBorders>
          </w:tcPr>
          <w:p>
            <w:pPr>
              <w:jc w:val="right"/>
              <w:ind w:right="280"/>
              <w:spacing w:after="0" w:line="134" w:lineRule="exact"/>
              <w:rPr>
                <w:sz w:val="20"/>
                <w:szCs w:val="20"/>
                <w:color w:val="auto"/>
              </w:rPr>
            </w:pPr>
            <w:r>
              <w:rPr>
                <w:rFonts w:ascii="Arial" w:cs="Arial" w:eastAsia="Arial" w:hAnsi="Arial"/>
                <w:sz w:val="12"/>
                <w:szCs w:val="12"/>
                <w:color w:val="auto"/>
              </w:rPr>
              <w:t>2014</w:t>
            </w:r>
          </w:p>
        </w:tc>
        <w:tc>
          <w:tcPr>
            <w:tcW w:w="3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51</w:t>
            </w:r>
          </w:p>
        </w:tc>
        <w:tc>
          <w:tcPr>
            <w:tcW w:w="21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rPr>
                <w:sz w:val="11"/>
                <w:szCs w:val="11"/>
                <w:color w:val="auto"/>
              </w:rPr>
            </w:pPr>
          </w:p>
        </w:tc>
      </w:tr>
      <w:tr>
        <w:trPr>
          <w:trHeight w:val="144"/>
        </w:trPr>
        <w:tc>
          <w:tcPr>
            <w:tcW w:w="130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3900" w:type="dxa"/>
            <w:vAlign w:val="bottom"/>
            <w:tcBorders>
              <w:bottom w:val="single" w:sz="8" w:color="auto"/>
              <w:right w:val="single" w:sz="8" w:color="auto"/>
            </w:tcBorders>
          </w:tcPr>
          <w:p>
            <w:pPr>
              <w:spacing w:after="0"/>
              <w:rPr>
                <w:sz w:val="12"/>
                <w:szCs w:val="12"/>
                <w:color w:val="auto"/>
              </w:rPr>
            </w:pPr>
          </w:p>
        </w:tc>
      </w:tr>
      <w:tr>
        <w:trPr>
          <w:trHeight w:val="134"/>
        </w:trPr>
        <w:tc>
          <w:tcPr>
            <w:tcW w:w="1300" w:type="dxa"/>
            <w:vAlign w:val="bottom"/>
            <w:tcBorders>
              <w:left w:val="single" w:sz="8" w:color="auto"/>
            </w:tcBorders>
          </w:tcPr>
          <w:p>
            <w:pPr>
              <w:jc w:val="right"/>
              <w:ind w:right="280"/>
              <w:spacing w:after="0" w:line="134" w:lineRule="exact"/>
              <w:rPr>
                <w:sz w:val="20"/>
                <w:szCs w:val="20"/>
                <w:color w:val="auto"/>
              </w:rPr>
            </w:pPr>
            <w:r>
              <w:rPr>
                <w:rFonts w:ascii="Arial" w:cs="Arial" w:eastAsia="Arial" w:hAnsi="Arial"/>
                <w:sz w:val="12"/>
                <w:szCs w:val="12"/>
                <w:color w:val="auto"/>
              </w:rPr>
              <w:t>2015</w:t>
            </w:r>
          </w:p>
        </w:tc>
        <w:tc>
          <w:tcPr>
            <w:tcW w:w="3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99"/>
              </w:rPr>
              <w:t>299</w:t>
            </w:r>
          </w:p>
        </w:tc>
        <w:tc>
          <w:tcPr>
            <w:tcW w:w="21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rPr>
                <w:sz w:val="11"/>
                <w:szCs w:val="11"/>
                <w:color w:val="auto"/>
              </w:rPr>
            </w:pPr>
          </w:p>
        </w:tc>
      </w:tr>
      <w:tr>
        <w:trPr>
          <w:trHeight w:val="144"/>
        </w:trPr>
        <w:tc>
          <w:tcPr>
            <w:tcW w:w="130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3900" w:type="dxa"/>
            <w:vAlign w:val="bottom"/>
            <w:tcBorders>
              <w:bottom w:val="single" w:sz="8" w:color="auto"/>
              <w:right w:val="single" w:sz="8" w:color="auto"/>
            </w:tcBorders>
          </w:tcPr>
          <w:p>
            <w:pPr>
              <w:spacing w:after="0"/>
              <w:rPr>
                <w:sz w:val="12"/>
                <w:szCs w:val="12"/>
                <w:color w:val="auto"/>
              </w:rPr>
            </w:pPr>
          </w:p>
        </w:tc>
      </w:tr>
      <w:tr>
        <w:trPr>
          <w:trHeight w:val="134"/>
        </w:trPr>
        <w:tc>
          <w:tcPr>
            <w:tcW w:w="1300" w:type="dxa"/>
            <w:vAlign w:val="bottom"/>
            <w:tcBorders>
              <w:left w:val="single" w:sz="8" w:color="auto"/>
            </w:tcBorders>
          </w:tcPr>
          <w:p>
            <w:pPr>
              <w:jc w:val="right"/>
              <w:ind w:right="280"/>
              <w:spacing w:after="0" w:line="134" w:lineRule="exact"/>
              <w:rPr>
                <w:sz w:val="20"/>
                <w:szCs w:val="20"/>
                <w:color w:val="auto"/>
              </w:rPr>
            </w:pPr>
            <w:r>
              <w:rPr>
                <w:rFonts w:ascii="Arial" w:cs="Arial" w:eastAsia="Arial" w:hAnsi="Arial"/>
                <w:sz w:val="12"/>
                <w:szCs w:val="12"/>
                <w:color w:val="auto"/>
              </w:rPr>
              <w:t>2016</w:t>
            </w:r>
          </w:p>
        </w:tc>
        <w:tc>
          <w:tcPr>
            <w:tcW w:w="3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89"/>
              </w:rPr>
              <w:t>0</w:t>
            </w:r>
          </w:p>
        </w:tc>
        <w:tc>
          <w:tcPr>
            <w:tcW w:w="21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rPr>
                <w:sz w:val="11"/>
                <w:szCs w:val="11"/>
                <w:color w:val="auto"/>
              </w:rPr>
            </w:pPr>
          </w:p>
        </w:tc>
      </w:tr>
      <w:tr>
        <w:trPr>
          <w:trHeight w:val="432"/>
        </w:trPr>
        <w:tc>
          <w:tcPr>
            <w:tcW w:w="130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r>
      <w:tr>
        <w:trPr>
          <w:trHeight w:val="134"/>
        </w:trPr>
        <w:tc>
          <w:tcPr>
            <w:tcW w:w="1300" w:type="dxa"/>
            <w:vAlign w:val="bottom"/>
            <w:tcBorders>
              <w:left w:val="single" w:sz="8" w:color="auto"/>
            </w:tcBorders>
          </w:tcPr>
          <w:p>
            <w:pPr>
              <w:jc w:val="right"/>
              <w:ind w:right="280"/>
              <w:spacing w:after="0" w:line="134" w:lineRule="exact"/>
              <w:rPr>
                <w:sz w:val="20"/>
                <w:szCs w:val="20"/>
                <w:color w:val="auto"/>
              </w:rPr>
            </w:pPr>
            <w:r>
              <w:rPr>
                <w:rFonts w:ascii="Arial" w:cs="Arial" w:eastAsia="Arial" w:hAnsi="Arial"/>
                <w:sz w:val="12"/>
                <w:szCs w:val="12"/>
                <w:color w:val="auto"/>
              </w:rPr>
              <w:t>2017</w:t>
            </w:r>
          </w:p>
        </w:tc>
        <w:tc>
          <w:tcPr>
            <w:tcW w:w="3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35</w:t>
            </w:r>
          </w:p>
        </w:tc>
        <w:tc>
          <w:tcPr>
            <w:tcW w:w="21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rPr>
                <w:sz w:val="11"/>
                <w:szCs w:val="11"/>
                <w:color w:val="auto"/>
              </w:rPr>
            </w:pPr>
          </w:p>
        </w:tc>
      </w:tr>
      <w:tr>
        <w:trPr>
          <w:trHeight w:val="144"/>
        </w:trPr>
        <w:tc>
          <w:tcPr>
            <w:tcW w:w="130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3900" w:type="dxa"/>
            <w:vAlign w:val="bottom"/>
            <w:tcBorders>
              <w:bottom w:val="single" w:sz="8" w:color="auto"/>
              <w:right w:val="single" w:sz="8" w:color="auto"/>
            </w:tcBorders>
          </w:tcPr>
          <w:p>
            <w:pPr>
              <w:spacing w:after="0"/>
              <w:rPr>
                <w:sz w:val="12"/>
                <w:szCs w:val="12"/>
                <w:color w:val="auto"/>
              </w:rPr>
            </w:pPr>
          </w:p>
        </w:tc>
      </w:tr>
      <w:tr>
        <w:trPr>
          <w:trHeight w:val="134"/>
        </w:trPr>
        <w:tc>
          <w:tcPr>
            <w:tcW w:w="1300" w:type="dxa"/>
            <w:vAlign w:val="bottom"/>
            <w:tcBorders>
              <w:left w:val="single" w:sz="8" w:color="auto"/>
            </w:tcBorders>
          </w:tcPr>
          <w:p>
            <w:pPr>
              <w:jc w:val="right"/>
              <w:ind w:right="280"/>
              <w:spacing w:after="0" w:line="134" w:lineRule="exact"/>
              <w:rPr>
                <w:sz w:val="20"/>
                <w:szCs w:val="20"/>
                <w:color w:val="auto"/>
              </w:rPr>
            </w:pPr>
            <w:r>
              <w:rPr>
                <w:rFonts w:ascii="Arial" w:cs="Arial" w:eastAsia="Arial" w:hAnsi="Arial"/>
                <w:sz w:val="12"/>
                <w:szCs w:val="12"/>
                <w:color w:val="auto"/>
              </w:rPr>
              <w:t>2018</w:t>
            </w:r>
          </w:p>
        </w:tc>
        <w:tc>
          <w:tcPr>
            <w:tcW w:w="3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93"/>
              </w:rPr>
              <w:t>57.5</w:t>
            </w:r>
          </w:p>
        </w:tc>
        <w:tc>
          <w:tcPr>
            <w:tcW w:w="21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rPr>
                <w:sz w:val="11"/>
                <w:szCs w:val="11"/>
                <w:color w:val="auto"/>
              </w:rPr>
            </w:pPr>
          </w:p>
        </w:tc>
      </w:tr>
      <w:tr>
        <w:trPr>
          <w:trHeight w:val="144"/>
        </w:trPr>
        <w:tc>
          <w:tcPr>
            <w:tcW w:w="130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3900" w:type="dxa"/>
            <w:vAlign w:val="bottom"/>
            <w:tcBorders>
              <w:bottom w:val="single" w:sz="8" w:color="auto"/>
              <w:right w:val="single" w:sz="8" w:color="auto"/>
            </w:tcBorders>
          </w:tcPr>
          <w:p>
            <w:pPr>
              <w:spacing w:after="0"/>
              <w:rPr>
                <w:sz w:val="12"/>
                <w:szCs w:val="12"/>
                <w:color w:val="auto"/>
              </w:rPr>
            </w:pPr>
          </w:p>
        </w:tc>
      </w:tr>
      <w:tr>
        <w:trPr>
          <w:trHeight w:val="124"/>
        </w:trPr>
        <w:tc>
          <w:tcPr>
            <w:tcW w:w="1300" w:type="dxa"/>
            <w:vAlign w:val="bottom"/>
            <w:tcBorders>
              <w:left w:val="single" w:sz="8" w:color="auto"/>
            </w:tcBorders>
          </w:tcPr>
          <w:p>
            <w:pPr>
              <w:jc w:val="right"/>
              <w:ind w:right="280"/>
              <w:spacing w:after="0" w:line="124" w:lineRule="exact"/>
              <w:rPr>
                <w:sz w:val="20"/>
                <w:szCs w:val="20"/>
                <w:color w:val="auto"/>
              </w:rPr>
            </w:pPr>
            <w:r>
              <w:rPr>
                <w:rFonts w:ascii="Arial" w:cs="Arial" w:eastAsia="Arial" w:hAnsi="Arial"/>
                <w:sz w:val="12"/>
                <w:szCs w:val="12"/>
                <w:color w:val="auto"/>
              </w:rPr>
              <w:t>2019</w:t>
            </w:r>
          </w:p>
        </w:tc>
        <w:tc>
          <w:tcPr>
            <w:tcW w:w="3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75</w:t>
            </w:r>
          </w:p>
        </w:tc>
        <w:tc>
          <w:tcPr>
            <w:tcW w:w="2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rPr>
              <w:t>Purchase Commitment Quantities of 25 kg shall be purchased in each of</w:t>
            </w:r>
          </w:p>
        </w:tc>
      </w:tr>
      <w:tr>
        <w:trPr>
          <w:trHeight w:val="135"/>
        </w:trPr>
        <w:tc>
          <w:tcPr>
            <w:tcW w:w="1300" w:type="dxa"/>
            <w:vAlign w:val="bottom"/>
            <w:tcBorders>
              <w:lef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3900" w:type="dxa"/>
            <w:vAlign w:val="bottom"/>
            <w:tcBorders>
              <w:right w:val="single" w:sz="8" w:color="auto"/>
            </w:tcBorders>
          </w:tcPr>
          <w:p>
            <w:pPr>
              <w:spacing w:after="0" w:line="135" w:lineRule="exact"/>
              <w:rPr>
                <w:sz w:val="20"/>
                <w:szCs w:val="20"/>
                <w:color w:val="auto"/>
              </w:rPr>
            </w:pPr>
            <w:r>
              <w:rPr>
                <w:rFonts w:ascii="Arial" w:cs="Arial" w:eastAsia="Arial" w:hAnsi="Arial"/>
                <w:sz w:val="12"/>
                <w:szCs w:val="12"/>
                <w:color w:val="auto"/>
              </w:rPr>
              <w:t>the  first,  second  and  fourth  Quarters,  which  shall  be  payable  to</w:t>
            </w:r>
          </w:p>
        </w:tc>
      </w:tr>
      <w:tr>
        <w:trPr>
          <w:trHeight w:val="145"/>
        </w:trPr>
        <w:tc>
          <w:tcPr>
            <w:tcW w:w="1300" w:type="dxa"/>
            <w:vAlign w:val="bottom"/>
            <w:tcBorders>
              <w:lef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Amphastar no later than fifteen (15) days after the date of invoice.</w:t>
            </w:r>
          </w:p>
        </w:tc>
      </w:tr>
      <w:tr>
        <w:trPr>
          <w:trHeight w:val="135"/>
        </w:trPr>
        <w:tc>
          <w:tcPr>
            <w:tcW w:w="130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r>
      <w:tr>
        <w:trPr>
          <w:trHeight w:val="124"/>
        </w:trPr>
        <w:tc>
          <w:tcPr>
            <w:tcW w:w="1300" w:type="dxa"/>
            <w:vAlign w:val="bottom"/>
            <w:tcBorders>
              <w:left w:val="single" w:sz="8" w:color="auto"/>
            </w:tcBorders>
          </w:tcPr>
          <w:p>
            <w:pPr>
              <w:jc w:val="right"/>
              <w:ind w:right="280"/>
              <w:spacing w:after="0" w:line="124" w:lineRule="exact"/>
              <w:rPr>
                <w:sz w:val="20"/>
                <w:szCs w:val="20"/>
                <w:color w:val="auto"/>
              </w:rPr>
            </w:pPr>
            <w:r>
              <w:rPr>
                <w:rFonts w:ascii="Arial" w:cs="Arial" w:eastAsia="Arial" w:hAnsi="Arial"/>
                <w:sz w:val="12"/>
                <w:szCs w:val="12"/>
                <w:color w:val="auto"/>
              </w:rPr>
              <w:t>2020</w:t>
            </w:r>
          </w:p>
        </w:tc>
        <w:tc>
          <w:tcPr>
            <w:tcW w:w="3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205</w:t>
            </w:r>
          </w:p>
        </w:tc>
        <w:tc>
          <w:tcPr>
            <w:tcW w:w="2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rPr>
              <w:t>25%  of  the  Purchase  Commitment  Quantities  shall  be  paid  on  a</w:t>
            </w:r>
          </w:p>
        </w:tc>
      </w:tr>
      <w:tr>
        <w:trPr>
          <w:trHeight w:val="145"/>
        </w:trPr>
        <w:tc>
          <w:tcPr>
            <w:tcW w:w="1300" w:type="dxa"/>
            <w:vAlign w:val="bottom"/>
            <w:tcBorders>
              <w:lef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Quarterly basis.</w:t>
            </w:r>
          </w:p>
        </w:tc>
      </w:tr>
      <w:tr>
        <w:trPr>
          <w:trHeight w:val="135"/>
        </w:trPr>
        <w:tc>
          <w:tcPr>
            <w:tcW w:w="130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r>
      <w:tr>
        <w:trPr>
          <w:trHeight w:val="124"/>
        </w:trPr>
        <w:tc>
          <w:tcPr>
            <w:tcW w:w="1300" w:type="dxa"/>
            <w:vAlign w:val="bottom"/>
            <w:tcBorders>
              <w:left w:val="single" w:sz="8" w:color="auto"/>
            </w:tcBorders>
          </w:tcPr>
          <w:p>
            <w:pPr>
              <w:jc w:val="right"/>
              <w:ind w:right="280"/>
              <w:spacing w:after="0" w:line="124" w:lineRule="exact"/>
              <w:rPr>
                <w:sz w:val="20"/>
                <w:szCs w:val="20"/>
                <w:color w:val="auto"/>
              </w:rPr>
            </w:pPr>
            <w:r>
              <w:rPr>
                <w:rFonts w:ascii="Arial" w:cs="Arial" w:eastAsia="Arial" w:hAnsi="Arial"/>
                <w:sz w:val="12"/>
                <w:szCs w:val="12"/>
                <w:color w:val="auto"/>
              </w:rPr>
              <w:t>2021</w:t>
            </w:r>
          </w:p>
        </w:tc>
        <w:tc>
          <w:tcPr>
            <w:tcW w:w="3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205</w:t>
            </w:r>
          </w:p>
        </w:tc>
        <w:tc>
          <w:tcPr>
            <w:tcW w:w="2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rPr>
              <w:t>25%  of  the  Purchase  Commitment  Quantities  shall  be  paid  on  a</w:t>
            </w:r>
          </w:p>
        </w:tc>
      </w:tr>
      <w:tr>
        <w:trPr>
          <w:trHeight w:val="145"/>
        </w:trPr>
        <w:tc>
          <w:tcPr>
            <w:tcW w:w="1300" w:type="dxa"/>
            <w:vAlign w:val="bottom"/>
            <w:tcBorders>
              <w:lef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Quarterly basis.</w:t>
            </w:r>
          </w:p>
        </w:tc>
      </w:tr>
      <w:tr>
        <w:trPr>
          <w:trHeight w:val="135"/>
        </w:trPr>
        <w:tc>
          <w:tcPr>
            <w:tcW w:w="130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r>
      <w:tr>
        <w:trPr>
          <w:trHeight w:val="124"/>
        </w:trPr>
        <w:tc>
          <w:tcPr>
            <w:tcW w:w="1300" w:type="dxa"/>
            <w:vAlign w:val="bottom"/>
            <w:tcBorders>
              <w:left w:val="single" w:sz="8" w:color="auto"/>
            </w:tcBorders>
          </w:tcPr>
          <w:p>
            <w:pPr>
              <w:jc w:val="right"/>
              <w:ind w:right="280"/>
              <w:spacing w:after="0" w:line="124" w:lineRule="exact"/>
              <w:rPr>
                <w:sz w:val="20"/>
                <w:szCs w:val="20"/>
                <w:color w:val="auto"/>
              </w:rPr>
            </w:pPr>
            <w:r>
              <w:rPr>
                <w:rFonts w:ascii="Arial" w:cs="Arial" w:eastAsia="Arial" w:hAnsi="Arial"/>
                <w:sz w:val="12"/>
                <w:szCs w:val="12"/>
                <w:color w:val="auto"/>
              </w:rPr>
              <w:t>2022</w:t>
            </w:r>
          </w:p>
        </w:tc>
        <w:tc>
          <w:tcPr>
            <w:tcW w:w="3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255</w:t>
            </w:r>
          </w:p>
        </w:tc>
        <w:tc>
          <w:tcPr>
            <w:tcW w:w="2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rPr>
              <w:t>25%  of  the  Purchase  Commitment  Quantities  shall  be  paid  on  a</w:t>
            </w:r>
          </w:p>
        </w:tc>
      </w:tr>
      <w:tr>
        <w:trPr>
          <w:trHeight w:val="145"/>
        </w:trPr>
        <w:tc>
          <w:tcPr>
            <w:tcW w:w="1300" w:type="dxa"/>
            <w:vAlign w:val="bottom"/>
            <w:tcBorders>
              <w:lef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Quarterly basis.</w:t>
            </w:r>
          </w:p>
        </w:tc>
      </w:tr>
      <w:tr>
        <w:trPr>
          <w:trHeight w:val="135"/>
        </w:trPr>
        <w:tc>
          <w:tcPr>
            <w:tcW w:w="130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r>
      <w:tr>
        <w:trPr>
          <w:trHeight w:val="124"/>
        </w:trPr>
        <w:tc>
          <w:tcPr>
            <w:tcW w:w="1300" w:type="dxa"/>
            <w:vAlign w:val="bottom"/>
            <w:tcBorders>
              <w:left w:val="single" w:sz="8" w:color="auto"/>
            </w:tcBorders>
          </w:tcPr>
          <w:p>
            <w:pPr>
              <w:jc w:val="right"/>
              <w:ind w:right="280"/>
              <w:spacing w:after="0" w:line="124" w:lineRule="exact"/>
              <w:rPr>
                <w:sz w:val="20"/>
                <w:szCs w:val="20"/>
                <w:color w:val="auto"/>
              </w:rPr>
            </w:pPr>
            <w:r>
              <w:rPr>
                <w:rFonts w:ascii="Arial" w:cs="Arial" w:eastAsia="Arial" w:hAnsi="Arial"/>
                <w:sz w:val="12"/>
                <w:szCs w:val="12"/>
                <w:color w:val="auto"/>
              </w:rPr>
              <w:t>2023</w:t>
            </w:r>
          </w:p>
        </w:tc>
        <w:tc>
          <w:tcPr>
            <w:tcW w:w="3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255</w:t>
            </w:r>
          </w:p>
        </w:tc>
        <w:tc>
          <w:tcPr>
            <w:tcW w:w="2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rPr>
              <w:t>25%  of  the  Purchase  Commitment  Quantities  shall  be  paid  on  a</w:t>
            </w:r>
          </w:p>
        </w:tc>
      </w:tr>
      <w:tr>
        <w:trPr>
          <w:trHeight w:val="145"/>
        </w:trPr>
        <w:tc>
          <w:tcPr>
            <w:tcW w:w="1300" w:type="dxa"/>
            <w:vAlign w:val="bottom"/>
            <w:tcBorders>
              <w:lef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Quarterly basis.</w:t>
            </w:r>
          </w:p>
        </w:tc>
      </w:tr>
      <w:tr>
        <w:trPr>
          <w:trHeight w:val="135"/>
        </w:trPr>
        <w:tc>
          <w:tcPr>
            <w:tcW w:w="130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r>
      <w:tr>
        <w:trPr>
          <w:trHeight w:val="124"/>
        </w:trPr>
        <w:tc>
          <w:tcPr>
            <w:tcW w:w="1300" w:type="dxa"/>
            <w:vAlign w:val="bottom"/>
            <w:tcBorders>
              <w:left w:val="single" w:sz="8" w:color="auto"/>
            </w:tcBorders>
          </w:tcPr>
          <w:p>
            <w:pPr>
              <w:jc w:val="right"/>
              <w:ind w:right="280"/>
              <w:spacing w:after="0" w:line="124" w:lineRule="exact"/>
              <w:rPr>
                <w:sz w:val="20"/>
                <w:szCs w:val="20"/>
                <w:color w:val="auto"/>
              </w:rPr>
            </w:pPr>
            <w:r>
              <w:rPr>
                <w:rFonts w:ascii="Arial" w:cs="Arial" w:eastAsia="Arial" w:hAnsi="Arial"/>
                <w:sz w:val="12"/>
                <w:szCs w:val="12"/>
                <w:color w:val="auto"/>
              </w:rPr>
              <w:t>2024</w:t>
            </w:r>
          </w:p>
        </w:tc>
        <w:tc>
          <w:tcPr>
            <w:tcW w:w="3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112.5</w:t>
            </w:r>
          </w:p>
        </w:tc>
        <w:tc>
          <w:tcPr>
            <w:tcW w:w="2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EUR 77.50</w:t>
            </w:r>
          </w:p>
        </w:tc>
        <w:tc>
          <w:tcPr>
            <w:tcW w:w="390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rPr>
              <w:t>25%  of  the  Purchase  Commitment  Quantities  shall  be  paid  on  a</w:t>
            </w:r>
          </w:p>
        </w:tc>
      </w:tr>
      <w:tr>
        <w:trPr>
          <w:trHeight w:val="145"/>
        </w:trPr>
        <w:tc>
          <w:tcPr>
            <w:tcW w:w="1300" w:type="dxa"/>
            <w:vAlign w:val="bottom"/>
            <w:tcBorders>
              <w:lef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Quarterly basis.</w:t>
            </w:r>
          </w:p>
        </w:tc>
      </w:tr>
      <w:tr>
        <w:trPr>
          <w:trHeight w:val="135"/>
        </w:trPr>
        <w:tc>
          <w:tcPr>
            <w:tcW w:w="130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r>
    </w:tbl>
    <w:p>
      <w:pPr>
        <w:spacing w:after="0" w:line="144" w:lineRule="exact"/>
        <w:rPr>
          <w:sz w:val="20"/>
          <w:szCs w:val="20"/>
          <w:color w:val="auto"/>
        </w:rPr>
      </w:pPr>
    </w:p>
    <w:p>
      <w:pPr>
        <w:jc w:val="both"/>
        <w:ind w:firstLine="883"/>
        <w:spacing w:after="0" w:line="246" w:lineRule="auto"/>
        <w:rPr>
          <w:sz w:val="20"/>
          <w:szCs w:val="20"/>
          <w:color w:val="auto"/>
        </w:rPr>
      </w:pPr>
      <w:r>
        <w:rPr>
          <w:rFonts w:ascii="Arial" w:cs="Arial" w:eastAsia="Arial" w:hAnsi="Arial"/>
          <w:sz w:val="12"/>
          <w:szCs w:val="12"/>
          <w:color w:val="auto"/>
        </w:rPr>
        <w:t>Notwithstanding anything to the contrary, in no event shall any of the Quarterly payments set forth in the Table above (Section 6.1 of the Agreement) be payable to Amphastar later than fifteen (15) days after the close of the corresponding calendar quarter.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2917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40" w:right="199" w:bottom="1440" w:gutter="0" w:footer="0" w:header="0"/>
        </w:sectPr>
      </w:pPr>
    </w:p>
    <w:bookmarkStart w:id="105" w:name="page106"/>
    <w:bookmarkEnd w:id="105"/>
    <w:p>
      <w:pPr>
        <w:ind w:left="1700"/>
        <w:spacing w:after="0"/>
        <w:tabs>
          <w:tab w:leader="none" w:pos="226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2"/>
          <w:szCs w:val="12"/>
          <w:b w:val="1"/>
          <w:bCs w:val="1"/>
          <w:color w:val="auto"/>
        </w:rPr>
        <w:t xml:space="preserve">Section 10.1 </w:t>
      </w:r>
      <w:r>
        <w:rPr>
          <w:rFonts w:ascii="Arial" w:cs="Arial" w:eastAsia="Arial" w:hAnsi="Arial"/>
          <w:sz w:val="12"/>
          <w:szCs w:val="12"/>
          <w:color w:val="auto"/>
        </w:rPr>
        <w:t>of the Agreement shall be extended until December 31, 2024. All other terms and conditions in paragraph 10.1 shall remain in full force and effect.</w:t>
      </w:r>
    </w:p>
    <w:p>
      <w:pPr>
        <w:spacing w:after="0" w:line="155" w:lineRule="exact"/>
        <w:rPr>
          <w:sz w:val="20"/>
          <w:szCs w:val="20"/>
          <w:color w:val="auto"/>
        </w:rPr>
      </w:pPr>
    </w:p>
    <w:p>
      <w:pPr>
        <w:ind w:left="1760" w:hanging="885"/>
        <w:spacing w:after="0"/>
        <w:tabs>
          <w:tab w:leader="none" w:pos="1760" w:val="left"/>
        </w:tabs>
        <w:numPr>
          <w:ilvl w:val="0"/>
          <w:numId w:val="36"/>
        </w:numPr>
        <w:rPr>
          <w:rFonts w:ascii="Arial" w:cs="Arial" w:eastAsia="Arial" w:hAnsi="Arial"/>
          <w:sz w:val="12"/>
          <w:szCs w:val="12"/>
          <w:color w:val="auto"/>
        </w:rPr>
      </w:pPr>
      <w:r>
        <w:rPr>
          <w:rFonts w:ascii="Arial" w:cs="Arial" w:eastAsia="Arial" w:hAnsi="Arial"/>
          <w:sz w:val="12"/>
          <w:szCs w:val="12"/>
          <w:u w:val="single" w:color="auto"/>
          <w:color w:val="auto"/>
        </w:rPr>
        <w:t>Final Agreement</w:t>
      </w:r>
      <w:r>
        <w:rPr>
          <w:rFonts w:ascii="Arial" w:cs="Arial" w:eastAsia="Arial" w:hAnsi="Arial"/>
          <w:sz w:val="12"/>
          <w:szCs w:val="12"/>
          <w:color w:val="auto"/>
        </w:rPr>
        <w:t>.</w:t>
      </w:r>
    </w:p>
    <w:p>
      <w:pPr>
        <w:spacing w:after="0" w:line="141" w:lineRule="exact"/>
        <w:rPr>
          <w:sz w:val="20"/>
          <w:szCs w:val="20"/>
          <w:color w:val="auto"/>
        </w:rPr>
      </w:pPr>
    </w:p>
    <w:p>
      <w:pPr>
        <w:jc w:val="both"/>
        <w:ind w:firstLine="883"/>
        <w:spacing w:after="0"/>
        <w:rPr>
          <w:sz w:val="20"/>
          <w:szCs w:val="20"/>
          <w:color w:val="auto"/>
        </w:rPr>
      </w:pPr>
      <w:r>
        <w:rPr>
          <w:rFonts w:ascii="Arial" w:cs="Arial" w:eastAsia="Arial" w:hAnsi="Arial"/>
          <w:sz w:val="12"/>
          <w:szCs w:val="12"/>
          <w:color w:val="auto"/>
        </w:rPr>
        <w:t>From and after the execution of this Fourth Amendment, all references in the Agreement (or in the Fourth Amendment) to “this Agreement,” “hereof,” “herein,” “hereto,” and similar words or phrases shall mean and refer to the Agreement as amended by this Fourth Amendment. The Agreement as amended by this Fourth Amendment constitutes the entire agreement by and between the Parties as to the subject matter hereof. Except as expressly modified by this Fourth Amendment, all other terms and conditions of the Agreement shall remain in full force and effect.</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2"/>
          <w:szCs w:val="12"/>
          <w:color w:val="auto"/>
        </w:rPr>
        <w:t>IN WITNESS WHEREOF, each of MannKind and Amphastar has caused this Fourth Amendment to be executed by their duly authorized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80" w:type="dxa"/>
            <w:vAlign w:val="bottom"/>
            <w:gridSpan w:val="2"/>
          </w:tcPr>
          <w:p>
            <w:pPr>
              <w:spacing w:after="0"/>
              <w:rPr>
                <w:sz w:val="20"/>
                <w:szCs w:val="20"/>
                <w:color w:val="auto"/>
              </w:rPr>
            </w:pPr>
            <w:r>
              <w:rPr>
                <w:rFonts w:ascii="Arial" w:cs="Arial" w:eastAsia="Arial" w:hAnsi="Arial"/>
                <w:sz w:val="12"/>
                <w:szCs w:val="12"/>
                <w:b w:val="1"/>
                <w:bCs w:val="1"/>
                <w:color w:val="auto"/>
              </w:rPr>
              <w:t>MannKind Corporation</w:t>
            </w:r>
          </w:p>
        </w:tc>
        <w:tc>
          <w:tcPr>
            <w:tcW w:w="5900" w:type="dxa"/>
            <w:vAlign w:val="bottom"/>
            <w:gridSpan w:val="2"/>
          </w:tcPr>
          <w:p>
            <w:pPr>
              <w:ind w:left="160"/>
              <w:spacing w:after="0"/>
              <w:rPr>
                <w:sz w:val="20"/>
                <w:szCs w:val="20"/>
                <w:color w:val="auto"/>
              </w:rPr>
            </w:pPr>
            <w:r>
              <w:rPr>
                <w:rFonts w:ascii="Arial" w:cs="Arial" w:eastAsia="Arial" w:hAnsi="Arial"/>
                <w:sz w:val="12"/>
                <w:szCs w:val="12"/>
                <w:b w:val="1"/>
                <w:bCs w:val="1"/>
                <w:color w:val="auto"/>
              </w:rPr>
              <w:t>Amphastar Pharmaceuticals, Inc.</w:t>
            </w:r>
          </w:p>
        </w:tc>
      </w:tr>
      <w:tr>
        <w:trPr>
          <w:trHeight w:val="432"/>
        </w:trPr>
        <w:tc>
          <w:tcPr>
            <w:tcW w:w="880" w:type="dxa"/>
            <w:vAlign w:val="bottom"/>
          </w:tcPr>
          <w:p>
            <w:pPr>
              <w:spacing w:after="0"/>
              <w:rPr>
                <w:sz w:val="20"/>
                <w:szCs w:val="20"/>
                <w:color w:val="auto"/>
              </w:rPr>
            </w:pPr>
            <w:r>
              <w:rPr>
                <w:rFonts w:ascii="Arial" w:cs="Arial" w:eastAsia="Arial" w:hAnsi="Arial"/>
                <w:sz w:val="12"/>
                <w:szCs w:val="12"/>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Thomson</w:t>
            </w:r>
          </w:p>
        </w:tc>
        <w:tc>
          <w:tcPr>
            <w:tcW w:w="1020" w:type="dxa"/>
            <w:vAlign w:val="bottom"/>
          </w:tcPr>
          <w:p>
            <w:pPr>
              <w:ind w:left="140"/>
              <w:spacing w:after="0"/>
              <w:rPr>
                <w:sz w:val="20"/>
                <w:szCs w:val="20"/>
                <w:color w:val="auto"/>
              </w:rPr>
            </w:pPr>
            <w:r>
              <w:rPr>
                <w:rFonts w:ascii="Arial" w:cs="Arial" w:eastAsia="Arial" w:hAnsi="Arial"/>
                <w:sz w:val="12"/>
                <w:szCs w:val="12"/>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Jason Shandell</w:t>
            </w:r>
          </w:p>
        </w:tc>
      </w:tr>
      <w:tr>
        <w:trPr>
          <w:trHeight w:val="277"/>
        </w:trPr>
        <w:tc>
          <w:tcPr>
            <w:tcW w:w="880" w:type="dxa"/>
            <w:vAlign w:val="bottom"/>
          </w:tcPr>
          <w:p>
            <w:pPr>
              <w:spacing w:after="0"/>
              <w:rPr>
                <w:sz w:val="20"/>
                <w:szCs w:val="20"/>
                <w:color w:val="auto"/>
              </w:rPr>
            </w:pPr>
            <w:r>
              <w:rPr>
                <w:rFonts w:ascii="Arial" w:cs="Arial" w:eastAsia="Arial" w:hAnsi="Arial"/>
                <w:sz w:val="12"/>
                <w:szCs w:val="12"/>
                <w:color w:val="auto"/>
              </w:rPr>
              <w:t>Name:</w:t>
            </w:r>
          </w:p>
        </w:tc>
        <w:tc>
          <w:tcPr>
            <w:tcW w:w="4700" w:type="dxa"/>
            <w:vAlign w:val="bottom"/>
          </w:tcPr>
          <w:p>
            <w:pPr>
              <w:spacing w:after="0"/>
              <w:rPr>
                <w:sz w:val="20"/>
                <w:szCs w:val="20"/>
                <w:color w:val="auto"/>
              </w:rPr>
            </w:pPr>
            <w:r>
              <w:rPr>
                <w:rFonts w:ascii="Arial" w:cs="Arial" w:eastAsia="Arial" w:hAnsi="Arial"/>
                <w:sz w:val="12"/>
                <w:szCs w:val="12"/>
                <w:color w:val="auto"/>
              </w:rPr>
              <w:t>David Thomson</w:t>
            </w:r>
          </w:p>
        </w:tc>
        <w:tc>
          <w:tcPr>
            <w:tcW w:w="1020" w:type="dxa"/>
            <w:vAlign w:val="bottom"/>
          </w:tcPr>
          <w:p>
            <w:pPr>
              <w:ind w:left="140"/>
              <w:spacing w:after="0"/>
              <w:rPr>
                <w:sz w:val="20"/>
                <w:szCs w:val="20"/>
                <w:color w:val="auto"/>
              </w:rPr>
            </w:pPr>
            <w:r>
              <w:rPr>
                <w:rFonts w:ascii="Arial" w:cs="Arial" w:eastAsia="Arial" w:hAnsi="Arial"/>
                <w:sz w:val="12"/>
                <w:szCs w:val="12"/>
                <w:color w:val="auto"/>
              </w:rPr>
              <w:t>Name:</w:t>
            </w:r>
          </w:p>
        </w:tc>
        <w:tc>
          <w:tcPr>
            <w:tcW w:w="4880" w:type="dxa"/>
            <w:vAlign w:val="bottom"/>
          </w:tcPr>
          <w:p>
            <w:pPr>
              <w:spacing w:after="0"/>
              <w:rPr>
                <w:sz w:val="20"/>
                <w:szCs w:val="20"/>
                <w:color w:val="auto"/>
              </w:rPr>
            </w:pPr>
            <w:r>
              <w:rPr>
                <w:rFonts w:ascii="Arial" w:cs="Arial" w:eastAsia="Arial" w:hAnsi="Arial"/>
                <w:sz w:val="12"/>
                <w:szCs w:val="12"/>
                <w:color w:val="auto"/>
              </w:rPr>
              <w:t>Jason Shandell</w:t>
            </w:r>
          </w:p>
        </w:tc>
      </w:tr>
      <w:tr>
        <w:trPr>
          <w:trHeight w:val="288"/>
        </w:trPr>
        <w:tc>
          <w:tcPr>
            <w:tcW w:w="880" w:type="dxa"/>
            <w:vAlign w:val="bottom"/>
          </w:tcPr>
          <w:p>
            <w:pPr>
              <w:spacing w:after="0"/>
              <w:rPr>
                <w:sz w:val="20"/>
                <w:szCs w:val="20"/>
                <w:color w:val="auto"/>
              </w:rPr>
            </w:pPr>
            <w:r>
              <w:rPr>
                <w:rFonts w:ascii="Arial" w:cs="Arial" w:eastAsia="Arial" w:hAnsi="Arial"/>
                <w:sz w:val="12"/>
                <w:szCs w:val="12"/>
                <w:color w:val="auto"/>
              </w:rPr>
              <w:t>Title:</w:t>
            </w:r>
          </w:p>
        </w:tc>
        <w:tc>
          <w:tcPr>
            <w:tcW w:w="4700" w:type="dxa"/>
            <w:vAlign w:val="bottom"/>
          </w:tcPr>
          <w:p>
            <w:pPr>
              <w:spacing w:after="0"/>
              <w:rPr>
                <w:sz w:val="20"/>
                <w:szCs w:val="20"/>
                <w:color w:val="auto"/>
              </w:rPr>
            </w:pPr>
            <w:r>
              <w:rPr>
                <w:rFonts w:ascii="Arial" w:cs="Arial" w:eastAsia="Arial" w:hAnsi="Arial"/>
                <w:sz w:val="12"/>
                <w:szCs w:val="12"/>
                <w:color w:val="auto"/>
              </w:rPr>
              <w:t>EVP + General Counsel</w:t>
            </w:r>
          </w:p>
        </w:tc>
        <w:tc>
          <w:tcPr>
            <w:tcW w:w="1020" w:type="dxa"/>
            <w:vAlign w:val="bottom"/>
          </w:tcPr>
          <w:p>
            <w:pPr>
              <w:ind w:left="140"/>
              <w:spacing w:after="0"/>
              <w:rPr>
                <w:sz w:val="20"/>
                <w:szCs w:val="20"/>
                <w:color w:val="auto"/>
              </w:rPr>
            </w:pPr>
            <w:r>
              <w:rPr>
                <w:rFonts w:ascii="Arial" w:cs="Arial" w:eastAsia="Arial" w:hAnsi="Arial"/>
                <w:sz w:val="12"/>
                <w:szCs w:val="12"/>
                <w:color w:val="auto"/>
              </w:rPr>
              <w:t>Title:</w:t>
            </w:r>
          </w:p>
        </w:tc>
        <w:tc>
          <w:tcPr>
            <w:tcW w:w="4880" w:type="dxa"/>
            <w:vAlign w:val="bottom"/>
          </w:tcPr>
          <w:p>
            <w:pPr>
              <w:spacing w:after="0"/>
              <w:rPr>
                <w:sz w:val="20"/>
                <w:szCs w:val="20"/>
                <w:color w:val="auto"/>
              </w:rPr>
            </w:pPr>
            <w:r>
              <w:rPr>
                <w:rFonts w:ascii="Arial" w:cs="Arial" w:eastAsia="Arial" w:hAnsi="Arial"/>
                <w:sz w:val="12"/>
                <w:szCs w:val="12"/>
                <w:color w:val="auto"/>
              </w:rPr>
              <w:t>President + General Counsel</w:t>
            </w:r>
          </w:p>
        </w:tc>
      </w:tr>
      <w:tr>
        <w:trPr>
          <w:trHeight w:val="450"/>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2"/>
                <w:szCs w:val="12"/>
                <w:color w:val="auto"/>
              </w:rPr>
              <w:t>- 3 -</w:t>
            </w:r>
          </w:p>
        </w:tc>
        <w:tc>
          <w:tcPr>
            <w:tcW w:w="488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5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consent to the incorporation by reference in Registration Statement Nos. 333-117811, 333-127876, 333-137332, 333-149049, 333-160225, 333-176409, 333-182457, 333-188790, 333-213366, 333-225428 and 333-226648 on Form S-8, and Registration No. 333-210792 on Form S-3 of our reports dated February 26, 2019, relating to the consolidated financial statements of MannKind Corporation and subsidiaries (“MannKind Corporation”) (which report expresses an unqualified opinion and includes an explanatory paragraph relating to the Company’s ability to continue as a going concern), and the effectiveness of MannKind Corporation’s internal control over financial reporting, appearing in this Annual Report on Form 10-K of MannKind Corporation for the year ended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Los Angeles, CA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26, 2019</w:t>
      </w:r>
    </w:p>
    <w:p>
      <w:pPr>
        <w:sectPr>
          <w:pgSz w:w="11900" w:h="16838" w:orient="portrait"/>
          <w:cols w:equalWidth="0" w:num="1">
            <w:col w:w="11480"/>
          </w:cols>
          <w:pgMar w:left="220" w:top="127" w:right="1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RULE 13a-14(a)/15d-14(a) CERTIFICATION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E. Castagna, certify that:</w:t>
      </w:r>
    </w:p>
    <w:p>
      <w:pPr>
        <w:spacing w:after="0" w:line="150" w:lineRule="exact"/>
        <w:rPr>
          <w:sz w:val="20"/>
          <w:szCs w:val="20"/>
          <w:color w:val="auto"/>
        </w:rPr>
      </w:pPr>
    </w:p>
    <w:p>
      <w:pPr>
        <w:ind w:left="128" w:hanging="128"/>
        <w:spacing w:after="0"/>
        <w:tabs>
          <w:tab w:leader="none" w:pos="128" w:val="left"/>
        </w:tabs>
        <w:numPr>
          <w:ilvl w:val="0"/>
          <w:numId w:val="3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MannKind Corporation;</w:t>
      </w:r>
    </w:p>
    <w:p>
      <w:pPr>
        <w:spacing w:after="0" w:line="150" w:lineRule="exact"/>
        <w:rPr>
          <w:rFonts w:ascii="Arial" w:cs="Arial" w:eastAsia="Arial" w:hAnsi="Arial"/>
          <w:sz w:val="12"/>
          <w:szCs w:val="12"/>
          <w:color w:val="auto"/>
        </w:rPr>
      </w:pPr>
    </w:p>
    <w:p>
      <w:pPr>
        <w:ind w:left="8" w:right="140" w:hanging="8"/>
        <w:spacing w:after="0" w:line="276" w:lineRule="auto"/>
        <w:tabs>
          <w:tab w:leader="none" w:pos="128" w:val="left"/>
        </w:tabs>
        <w:numPr>
          <w:ilvl w:val="0"/>
          <w:numId w:val="3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20" w:hanging="8"/>
        <w:spacing w:after="0" w:line="276" w:lineRule="auto"/>
        <w:tabs>
          <w:tab w:leader="none" w:pos="128" w:val="left"/>
        </w:tabs>
        <w:numPr>
          <w:ilvl w:val="0"/>
          <w:numId w:val="3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right="120" w:hanging="8"/>
        <w:spacing w:after="0" w:line="276" w:lineRule="auto"/>
        <w:tabs>
          <w:tab w:leader="none" w:pos="12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8" w:right="460" w:hanging="8"/>
        <w:spacing w:after="0" w:line="276" w:lineRule="auto"/>
        <w:tabs>
          <w:tab w:leader="none" w:pos="171" w:val="left"/>
        </w:tabs>
        <w:numPr>
          <w:ilvl w:val="0"/>
          <w:numId w:val="3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 w:hanging="8"/>
        <w:spacing w:after="0" w:line="276" w:lineRule="auto"/>
        <w:tabs>
          <w:tab w:leader="none" w:pos="178" w:val="left"/>
        </w:tabs>
        <w:numPr>
          <w:ilvl w:val="0"/>
          <w:numId w:val="3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 w:right="120" w:hanging="8"/>
        <w:spacing w:after="0" w:line="276" w:lineRule="auto"/>
        <w:tabs>
          <w:tab w:leader="none" w:pos="171" w:val="left"/>
        </w:tabs>
        <w:numPr>
          <w:ilvl w:val="0"/>
          <w:numId w:val="3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 w:right="140" w:hanging="8"/>
        <w:spacing w:after="0" w:line="276" w:lineRule="auto"/>
        <w:tabs>
          <w:tab w:leader="none" w:pos="178" w:val="left"/>
        </w:tabs>
        <w:numPr>
          <w:ilvl w:val="0"/>
          <w:numId w:val="3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ind w:left="8" w:right="200" w:hanging="8"/>
        <w:spacing w:after="0" w:line="276" w:lineRule="auto"/>
        <w:tabs>
          <w:tab w:leader="none" w:pos="1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left="8" w:right="160" w:hanging="8"/>
        <w:spacing w:after="0" w:line="276" w:lineRule="auto"/>
        <w:tabs>
          <w:tab w:leader="none" w:pos="171" w:val="left"/>
        </w:tabs>
        <w:numPr>
          <w:ilvl w:val="0"/>
          <w:numId w:val="4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68" w:hanging="168"/>
        <w:spacing w:after="0"/>
        <w:tabs>
          <w:tab w:leader="none" w:pos="168" w:val="left"/>
        </w:tabs>
        <w:numPr>
          <w:ilvl w:val="0"/>
          <w:numId w:val="4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6048"/>
        <w:spacing w:after="0"/>
        <w:rPr>
          <w:sz w:val="20"/>
          <w:szCs w:val="20"/>
          <w:color w:val="auto"/>
        </w:rPr>
      </w:pPr>
      <w:r>
        <w:rPr>
          <w:rFonts w:ascii="Arial" w:cs="Arial" w:eastAsia="Arial" w:hAnsi="Arial"/>
          <w:sz w:val="12"/>
          <w:szCs w:val="12"/>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9525</wp:posOffset>
            </wp:positionV>
            <wp:extent cx="34544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1">
                      <a:extLst>
                        <a:ext uri="{28A0092B-C50C-407E-A947-70E740481C1C}"/>
                      </a:extLst>
                    </a:blip>
                    <a:srcRect/>
                    <a:stretch>
                      <a:fillRect/>
                    </a:stretch>
                  </pic:blipFill>
                  <pic:spPr bwMode="auto">
                    <a:xfrm>
                      <a:off x="0" y="0"/>
                      <a:ext cx="3454400" cy="5715"/>
                    </a:xfrm>
                    <a:prstGeom prst="rect">
                      <a:avLst/>
                    </a:prstGeom>
                    <a:noFill/>
                  </pic:spPr>
                </pic:pic>
              </a:graphicData>
            </a:graphic>
          </wp:anchor>
        </w:drawing>
      </w:r>
    </w:p>
    <w:p>
      <w:pPr>
        <w:spacing w:after="0" w:line="4" w:lineRule="exact"/>
        <w:rPr>
          <w:sz w:val="20"/>
          <w:szCs w:val="20"/>
          <w:color w:val="auto"/>
        </w:rPr>
      </w:pPr>
    </w:p>
    <w:p>
      <w:pPr>
        <w:ind w:left="6048"/>
        <w:spacing w:after="0"/>
        <w:rPr>
          <w:sz w:val="20"/>
          <w:szCs w:val="20"/>
          <w:color w:val="auto"/>
        </w:rPr>
      </w:pPr>
      <w:r>
        <w:rPr>
          <w:rFonts w:ascii="Arial" w:cs="Arial" w:eastAsia="Arial" w:hAnsi="Arial"/>
          <w:sz w:val="12"/>
          <w:szCs w:val="12"/>
          <w:color w:val="auto"/>
        </w:rPr>
        <w:t>Michael E. Castagna</w:t>
      </w:r>
    </w:p>
    <w:p>
      <w:pPr>
        <w:spacing w:after="0" w:line="15" w:lineRule="exact"/>
        <w:rPr>
          <w:sz w:val="20"/>
          <w:szCs w:val="20"/>
          <w:color w:val="auto"/>
        </w:rPr>
      </w:pPr>
    </w:p>
    <w:p>
      <w:pPr>
        <w:ind w:left="6048"/>
        <w:spacing w:after="0"/>
        <w:rPr>
          <w:sz w:val="20"/>
          <w:szCs w:val="20"/>
          <w:color w:val="auto"/>
        </w:rPr>
      </w:pPr>
      <w:r>
        <w:rPr>
          <w:rFonts w:ascii="Arial" w:cs="Arial" w:eastAsia="Arial" w:hAnsi="Arial"/>
          <w:sz w:val="12"/>
          <w:szCs w:val="12"/>
          <w:color w:val="auto"/>
        </w:rPr>
        <w:t>Chief Executive Officer and Director</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February 26, 2019</w:t>
      </w:r>
    </w:p>
    <w:p>
      <w:pPr>
        <w:sectPr>
          <w:pgSz w:w="11900" w:h="16838" w:orient="portrait"/>
          <w:cols w:equalWidth="0" w:num="1">
            <w:col w:w="11488"/>
          </w:cols>
          <w:pgMar w:left="212" w:top="127" w:right="1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RULE 13a-14(a)/15d-14(a) CERTIFICATION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Steven B. Binder, certify that:</w:t>
      </w:r>
    </w:p>
    <w:p>
      <w:pPr>
        <w:spacing w:after="0" w:line="150" w:lineRule="exact"/>
        <w:rPr>
          <w:sz w:val="20"/>
          <w:szCs w:val="20"/>
          <w:color w:val="auto"/>
        </w:rPr>
      </w:pPr>
    </w:p>
    <w:p>
      <w:pPr>
        <w:ind w:left="128" w:hanging="128"/>
        <w:spacing w:after="0"/>
        <w:tabs>
          <w:tab w:leader="none" w:pos="1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MannKind Corporation;</w:t>
      </w:r>
    </w:p>
    <w:p>
      <w:pPr>
        <w:spacing w:after="0" w:line="150" w:lineRule="exact"/>
        <w:rPr>
          <w:rFonts w:ascii="Arial" w:cs="Arial" w:eastAsia="Arial" w:hAnsi="Arial"/>
          <w:sz w:val="12"/>
          <w:szCs w:val="12"/>
          <w:color w:val="auto"/>
        </w:rPr>
      </w:pPr>
    </w:p>
    <w:p>
      <w:pPr>
        <w:ind w:left="8" w:right="140" w:hanging="8"/>
        <w:spacing w:after="0" w:line="276" w:lineRule="auto"/>
        <w:tabs>
          <w:tab w:leader="none" w:pos="1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20" w:hanging="8"/>
        <w:spacing w:after="0" w:line="276" w:lineRule="auto"/>
        <w:tabs>
          <w:tab w:leader="none" w:pos="1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right="120" w:hanging="8"/>
        <w:spacing w:after="0" w:line="276" w:lineRule="auto"/>
        <w:tabs>
          <w:tab w:leader="none" w:pos="1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8" w:right="460" w:hanging="8"/>
        <w:spacing w:after="0" w:line="276" w:lineRule="auto"/>
        <w:tabs>
          <w:tab w:leader="none" w:pos="171" w:val="left"/>
        </w:tabs>
        <w:numPr>
          <w:ilvl w:val="0"/>
          <w:numId w:val="4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 w:hanging="8"/>
        <w:spacing w:after="0" w:line="276" w:lineRule="auto"/>
        <w:tabs>
          <w:tab w:leader="none" w:pos="178" w:val="left"/>
        </w:tabs>
        <w:numPr>
          <w:ilvl w:val="0"/>
          <w:numId w:val="4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 w:right="120" w:hanging="8"/>
        <w:spacing w:after="0" w:line="276" w:lineRule="auto"/>
        <w:tabs>
          <w:tab w:leader="none" w:pos="171" w:val="left"/>
        </w:tabs>
        <w:numPr>
          <w:ilvl w:val="0"/>
          <w:numId w:val="4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 w:right="140" w:hanging="8"/>
        <w:spacing w:after="0" w:line="276" w:lineRule="auto"/>
        <w:tabs>
          <w:tab w:leader="none" w:pos="178" w:val="left"/>
        </w:tabs>
        <w:numPr>
          <w:ilvl w:val="0"/>
          <w:numId w:val="4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ind w:left="8" w:right="200" w:hanging="8"/>
        <w:spacing w:after="0" w:line="276" w:lineRule="auto"/>
        <w:tabs>
          <w:tab w:leader="none" w:pos="1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left="8" w:right="160" w:hanging="8"/>
        <w:spacing w:after="0" w:line="276" w:lineRule="auto"/>
        <w:tabs>
          <w:tab w:leader="none" w:pos="171"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68" w:hanging="168"/>
        <w:spacing w:after="0"/>
        <w:tabs>
          <w:tab w:leader="none" w:pos="168" w:val="left"/>
        </w:tabs>
        <w:numPr>
          <w:ilvl w:val="0"/>
          <w:numId w:val="4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6048"/>
        <w:spacing w:after="0"/>
        <w:rPr>
          <w:sz w:val="20"/>
          <w:szCs w:val="20"/>
          <w:color w:val="auto"/>
        </w:rPr>
      </w:pPr>
      <w:r>
        <w:rPr>
          <w:rFonts w:ascii="Arial" w:cs="Arial" w:eastAsia="Arial" w:hAnsi="Arial"/>
          <w:sz w:val="12"/>
          <w:szCs w:val="12"/>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9525</wp:posOffset>
            </wp:positionV>
            <wp:extent cx="34544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2">
                      <a:extLst>
                        <a:ext uri="{28A0092B-C50C-407E-A947-70E740481C1C}"/>
                      </a:extLst>
                    </a:blip>
                    <a:srcRect/>
                    <a:stretch>
                      <a:fillRect/>
                    </a:stretch>
                  </pic:blipFill>
                  <pic:spPr bwMode="auto">
                    <a:xfrm>
                      <a:off x="0" y="0"/>
                      <a:ext cx="3454400" cy="5715"/>
                    </a:xfrm>
                    <a:prstGeom prst="rect">
                      <a:avLst/>
                    </a:prstGeom>
                    <a:noFill/>
                  </pic:spPr>
                </pic:pic>
              </a:graphicData>
            </a:graphic>
          </wp:anchor>
        </w:drawing>
      </w:r>
    </w:p>
    <w:p>
      <w:pPr>
        <w:spacing w:after="0" w:line="4" w:lineRule="exact"/>
        <w:rPr>
          <w:sz w:val="20"/>
          <w:szCs w:val="20"/>
          <w:color w:val="auto"/>
        </w:rPr>
      </w:pPr>
    </w:p>
    <w:p>
      <w:pPr>
        <w:ind w:left="6048"/>
        <w:spacing w:after="0"/>
        <w:rPr>
          <w:sz w:val="20"/>
          <w:szCs w:val="20"/>
          <w:color w:val="auto"/>
        </w:rPr>
      </w:pPr>
      <w:r>
        <w:rPr>
          <w:rFonts w:ascii="Arial" w:cs="Arial" w:eastAsia="Arial" w:hAnsi="Arial"/>
          <w:sz w:val="12"/>
          <w:szCs w:val="12"/>
          <w:color w:val="auto"/>
        </w:rPr>
        <w:t>Steven B. Binder</w:t>
      </w:r>
    </w:p>
    <w:p>
      <w:pPr>
        <w:spacing w:after="0" w:line="15" w:lineRule="exact"/>
        <w:rPr>
          <w:sz w:val="20"/>
          <w:szCs w:val="20"/>
          <w:color w:val="auto"/>
        </w:rPr>
      </w:pPr>
    </w:p>
    <w:p>
      <w:pPr>
        <w:ind w:left="6048"/>
        <w:spacing w:after="0"/>
        <w:rPr>
          <w:sz w:val="20"/>
          <w:szCs w:val="20"/>
          <w:color w:val="auto"/>
        </w:rPr>
      </w:pPr>
      <w:r>
        <w:rPr>
          <w:rFonts w:ascii="Arial" w:cs="Arial" w:eastAsia="Arial" w:hAnsi="Arial"/>
          <w:sz w:val="12"/>
          <w:szCs w:val="12"/>
          <w:color w:val="auto"/>
        </w:rPr>
        <w:t>Chief Financial Officer</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February 26, 2019</w:t>
      </w:r>
    </w:p>
    <w:p>
      <w:pPr>
        <w:sectPr>
          <w:pgSz w:w="11900" w:h="16838" w:orient="portrait"/>
          <w:cols w:equalWidth="0" w:num="1">
            <w:col w:w="11488"/>
          </w:cols>
          <w:pgMar w:left="212" w:top="127" w:right="1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ind w:right="32"/>
        <w:spacing w:after="0"/>
        <w:rPr>
          <w:sz w:val="20"/>
          <w:szCs w:val="20"/>
          <w:color w:val="auto"/>
        </w:rPr>
      </w:pPr>
      <w:r>
        <w:rPr>
          <w:rFonts w:ascii="Arial" w:cs="Arial" w:eastAsia="Arial" w:hAnsi="Arial"/>
          <w:sz w:val="12"/>
          <w:szCs w:val="12"/>
          <w:b w:val="1"/>
          <w:bCs w:val="1"/>
          <w:color w:val="auto"/>
        </w:rPr>
        <w:t>CERTIFICATION</w:t>
      </w:r>
      <w:r>
        <w:rPr>
          <w:rFonts w:ascii="Arial" w:cs="Arial" w:eastAsia="Arial" w:hAnsi="Arial"/>
          <w:sz w:val="10"/>
          <w:szCs w:val="10"/>
          <w:b w:val="1"/>
          <w:bCs w:val="1"/>
          <w:color w:val="auto"/>
        </w:rPr>
        <w:t>1</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0"/>
          <w:szCs w:val="10"/>
          <w:color w:val="auto"/>
        </w:rPr>
        <w:t>Pursuant to the requirement set forth in Rule 13a-14(b) or Rule 15d-14(b) of the Securities Exchange Act of 1934, as amended (the “Exchange Act”), and Section 1350 of Chapter 63 of Title 18 of the United States Code (18 U.S.C. §1350),</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Michael E. Castagna, Chief Executive Officer of MannKind Corporation (the “Company”), hereby certifies that, to the best of his knowledge:</w:t>
      </w:r>
    </w:p>
    <w:p>
      <w:pPr>
        <w:spacing w:after="0" w:line="69" w:lineRule="exact"/>
        <w:rPr>
          <w:sz w:val="20"/>
          <w:szCs w:val="20"/>
          <w:color w:val="auto"/>
        </w:rPr>
      </w:pPr>
    </w:p>
    <w:p>
      <w:pPr>
        <w:ind w:left="8" w:right="40" w:hanging="8"/>
        <w:spacing w:after="0" w:line="276" w:lineRule="auto"/>
        <w:tabs>
          <w:tab w:leader="none" w:pos="1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Company’s Annual Report on Form 10-K for the period ended December 31, 2018, to which this Certification is attached as Exhibit 32.1 (the “Annual Report”) fully complies with the requirements of Section 13(a) or Section 15(d) of the Exchange Act, and</w:t>
      </w:r>
    </w:p>
    <w:p>
      <w:pPr>
        <w:spacing w:after="0" w:line="42" w:lineRule="exact"/>
        <w:rPr>
          <w:rFonts w:ascii="Arial" w:cs="Arial" w:eastAsia="Arial" w:hAnsi="Arial"/>
          <w:sz w:val="12"/>
          <w:szCs w:val="12"/>
          <w:color w:val="auto"/>
        </w:rPr>
      </w:pPr>
    </w:p>
    <w:p>
      <w:pPr>
        <w:ind w:left="128" w:hanging="128"/>
        <w:spacing w:after="0"/>
        <w:tabs>
          <w:tab w:leader="none" w:pos="1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information contained in the Annual Report fairly presents, in all material respects, the financial condition and results of operations of the Company.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Witness Whereof, the undersigned has set his hand hereto as of the 26th day of February, 2019.</w:t>
      </w:r>
    </w:p>
    <w:p>
      <w:pPr>
        <w:spacing w:after="0" w:line="312" w:lineRule="exact"/>
        <w:rPr>
          <w:sz w:val="20"/>
          <w:szCs w:val="20"/>
          <w:color w:val="auto"/>
        </w:rPr>
      </w:pPr>
    </w:p>
    <w:p>
      <w:pPr>
        <w:ind w:left="68"/>
        <w:spacing w:after="0"/>
        <w:rPr>
          <w:sz w:val="20"/>
          <w:szCs w:val="20"/>
          <w:color w:val="auto"/>
        </w:rPr>
      </w:pPr>
      <w:r>
        <w:rPr>
          <w:rFonts w:ascii="Arial" w:cs="Arial" w:eastAsia="Arial" w:hAnsi="Arial"/>
          <w:sz w:val="12"/>
          <w:szCs w:val="12"/>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520446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3">
                      <a:extLst>
                        <a:ext uri="{28A0092B-C50C-407E-A947-70E740481C1C}"/>
                      </a:extLst>
                    </a:blip>
                    <a:srcRect/>
                    <a:stretch>
                      <a:fillRect/>
                    </a:stretch>
                  </pic:blipFill>
                  <pic:spPr bwMode="auto">
                    <a:xfrm>
                      <a:off x="0" y="0"/>
                      <a:ext cx="5204460" cy="5715"/>
                    </a:xfrm>
                    <a:prstGeom prst="rect">
                      <a:avLst/>
                    </a:prstGeom>
                    <a:noFill/>
                  </pic:spPr>
                </pic:pic>
              </a:graphicData>
            </a:graphic>
          </wp:anchor>
        </w:drawing>
      </w:r>
    </w:p>
    <w:p>
      <w:pPr>
        <w:spacing w:after="0" w:line="4" w:lineRule="exact"/>
        <w:rPr>
          <w:sz w:val="20"/>
          <w:szCs w:val="20"/>
          <w:color w:val="auto"/>
        </w:rPr>
      </w:pPr>
    </w:p>
    <w:p>
      <w:pPr>
        <w:ind w:left="68"/>
        <w:spacing w:after="0"/>
        <w:rPr>
          <w:sz w:val="20"/>
          <w:szCs w:val="20"/>
          <w:color w:val="auto"/>
        </w:rPr>
      </w:pPr>
      <w:r>
        <w:rPr>
          <w:rFonts w:ascii="Arial" w:cs="Arial" w:eastAsia="Arial" w:hAnsi="Arial"/>
          <w:sz w:val="12"/>
          <w:szCs w:val="12"/>
          <w:color w:val="auto"/>
        </w:rPr>
        <w:t>Michael E. Castagna</w:t>
      </w:r>
    </w:p>
    <w:p>
      <w:pPr>
        <w:spacing w:after="0" w:line="15" w:lineRule="exact"/>
        <w:rPr>
          <w:sz w:val="20"/>
          <w:szCs w:val="20"/>
          <w:color w:val="auto"/>
        </w:rPr>
      </w:pPr>
    </w:p>
    <w:p>
      <w:pPr>
        <w:ind w:left="68"/>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923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66" w:lineRule="exact"/>
        <w:rPr>
          <w:sz w:val="20"/>
          <w:szCs w:val="20"/>
          <w:color w:val="auto"/>
        </w:rPr>
      </w:pPr>
    </w:p>
    <w:p>
      <w:pPr>
        <w:jc w:val="both"/>
        <w:ind w:left="388" w:right="420" w:hanging="319"/>
        <w:spacing w:after="0" w:line="263" w:lineRule="auto"/>
        <w:tabs>
          <w:tab w:leader="none" w:pos="388" w:val="left"/>
        </w:tabs>
        <w:numPr>
          <w:ilvl w:val="0"/>
          <w:numId w:val="46"/>
        </w:numPr>
        <w:rPr>
          <w:rFonts w:ascii="Arial" w:cs="Arial" w:eastAsia="Arial" w:hAnsi="Arial"/>
          <w:sz w:val="10"/>
          <w:szCs w:val="10"/>
          <w:color w:val="auto"/>
        </w:rPr>
      </w:pPr>
      <w:r>
        <w:rPr>
          <w:rFonts w:ascii="Arial" w:cs="Arial" w:eastAsia="Arial" w:hAnsi="Arial"/>
          <w:sz w:val="12"/>
          <w:szCs w:val="12"/>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ectPr>
          <w:pgSz w:w="11900" w:h="16838" w:orient="portrait"/>
          <w:cols w:equalWidth="0" w:num="1">
            <w:col w:w="11488"/>
          </w:cols>
          <w:pgMar w:left="212" w:top="126" w:right="1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ind w:right="32"/>
        <w:spacing w:after="0"/>
        <w:rPr>
          <w:sz w:val="20"/>
          <w:szCs w:val="20"/>
          <w:color w:val="auto"/>
        </w:rPr>
      </w:pPr>
      <w:r>
        <w:rPr>
          <w:rFonts w:ascii="Arial" w:cs="Arial" w:eastAsia="Arial" w:hAnsi="Arial"/>
          <w:sz w:val="12"/>
          <w:szCs w:val="12"/>
          <w:b w:val="1"/>
          <w:bCs w:val="1"/>
          <w:color w:val="auto"/>
        </w:rPr>
        <w:t>CERTIFICATION</w:t>
      </w:r>
      <w:r>
        <w:rPr>
          <w:rFonts w:ascii="Arial" w:cs="Arial" w:eastAsia="Arial" w:hAnsi="Arial"/>
          <w:sz w:val="10"/>
          <w:szCs w:val="10"/>
          <w:b w:val="1"/>
          <w:bCs w:val="1"/>
          <w:color w:val="auto"/>
        </w:rPr>
        <w:t>1</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0"/>
          <w:szCs w:val="10"/>
          <w:color w:val="auto"/>
        </w:rPr>
        <w:t>Pursuant to the requirement set forth in Rule 13a-14(b) or Rule 15d-14(b) of the Securities Exchange Act of 1934, as amended (the “Exchange Act”), and Section 1350 of Chapter 63 of Title 18 of the United States Code (18 U.S.C. §1350),</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Steven B. Binder, Chief Financial Officer of MannKind Corporation (the “Company”), hereby certifies that, to the best of his knowledge:</w:t>
      </w:r>
    </w:p>
    <w:p>
      <w:pPr>
        <w:spacing w:after="0" w:line="69" w:lineRule="exact"/>
        <w:rPr>
          <w:sz w:val="20"/>
          <w:szCs w:val="20"/>
          <w:color w:val="auto"/>
        </w:rPr>
      </w:pPr>
    </w:p>
    <w:p>
      <w:pPr>
        <w:ind w:left="8" w:right="40" w:hanging="8"/>
        <w:spacing w:after="0" w:line="276" w:lineRule="auto"/>
        <w:tabs>
          <w:tab w:leader="none" w:pos="128"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Company’s Annual Report on Form 10-K for the period ended December 31, 2018, to which this Certification is attached as Exhibit 32.2 (the “Annual Report”) fully complies with the requirements of Section 13(a) or Section 15(d) of the Exchange Act, and</w:t>
      </w:r>
    </w:p>
    <w:p>
      <w:pPr>
        <w:spacing w:after="0" w:line="42" w:lineRule="exact"/>
        <w:rPr>
          <w:rFonts w:ascii="Arial" w:cs="Arial" w:eastAsia="Arial" w:hAnsi="Arial"/>
          <w:sz w:val="12"/>
          <w:szCs w:val="12"/>
          <w:color w:val="auto"/>
        </w:rPr>
      </w:pPr>
    </w:p>
    <w:p>
      <w:pPr>
        <w:ind w:left="128" w:hanging="128"/>
        <w:spacing w:after="0"/>
        <w:tabs>
          <w:tab w:leader="none" w:pos="128"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information contained in the Annual Report fairly presents, in all material respects, the financial condition and results of operations of the Company.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Witness Whereof, the undersigned has set his hand hereto as of the 26th day of February, 2019.</w:t>
      </w:r>
    </w:p>
    <w:p>
      <w:pPr>
        <w:spacing w:after="0" w:line="312" w:lineRule="exact"/>
        <w:rPr>
          <w:sz w:val="20"/>
          <w:szCs w:val="20"/>
          <w:color w:val="auto"/>
        </w:rPr>
      </w:pPr>
    </w:p>
    <w:p>
      <w:pPr>
        <w:ind w:left="68"/>
        <w:spacing w:after="0"/>
        <w:rPr>
          <w:sz w:val="20"/>
          <w:szCs w:val="20"/>
          <w:color w:val="auto"/>
        </w:rPr>
      </w:pPr>
      <w:r>
        <w:rPr>
          <w:rFonts w:ascii="Arial" w:cs="Arial" w:eastAsia="Arial" w:hAnsi="Arial"/>
          <w:sz w:val="12"/>
          <w:szCs w:val="12"/>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520446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5">
                      <a:extLst>
                        <a:ext uri="{28A0092B-C50C-407E-A947-70E740481C1C}"/>
                      </a:extLst>
                    </a:blip>
                    <a:srcRect/>
                    <a:stretch>
                      <a:fillRect/>
                    </a:stretch>
                  </pic:blipFill>
                  <pic:spPr bwMode="auto">
                    <a:xfrm>
                      <a:off x="0" y="0"/>
                      <a:ext cx="5204460" cy="5715"/>
                    </a:xfrm>
                    <a:prstGeom prst="rect">
                      <a:avLst/>
                    </a:prstGeom>
                    <a:noFill/>
                  </pic:spPr>
                </pic:pic>
              </a:graphicData>
            </a:graphic>
          </wp:anchor>
        </w:drawing>
      </w:r>
    </w:p>
    <w:p>
      <w:pPr>
        <w:spacing w:after="0" w:line="4" w:lineRule="exact"/>
        <w:rPr>
          <w:sz w:val="20"/>
          <w:szCs w:val="20"/>
          <w:color w:val="auto"/>
        </w:rPr>
      </w:pPr>
    </w:p>
    <w:p>
      <w:pPr>
        <w:ind w:left="68"/>
        <w:spacing w:after="0"/>
        <w:rPr>
          <w:sz w:val="20"/>
          <w:szCs w:val="20"/>
          <w:color w:val="auto"/>
        </w:rPr>
      </w:pPr>
      <w:r>
        <w:rPr>
          <w:rFonts w:ascii="Arial" w:cs="Arial" w:eastAsia="Arial" w:hAnsi="Arial"/>
          <w:sz w:val="12"/>
          <w:szCs w:val="12"/>
          <w:color w:val="auto"/>
        </w:rPr>
        <w:t>Steven B. Binder</w:t>
      </w:r>
    </w:p>
    <w:p>
      <w:pPr>
        <w:spacing w:after="0" w:line="15" w:lineRule="exact"/>
        <w:rPr>
          <w:sz w:val="20"/>
          <w:szCs w:val="20"/>
          <w:color w:val="auto"/>
        </w:rPr>
      </w:pPr>
    </w:p>
    <w:p>
      <w:pPr>
        <w:ind w:left="68"/>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923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66" w:lineRule="exact"/>
        <w:rPr>
          <w:sz w:val="20"/>
          <w:szCs w:val="20"/>
          <w:color w:val="auto"/>
        </w:rPr>
      </w:pPr>
    </w:p>
    <w:p>
      <w:pPr>
        <w:jc w:val="both"/>
        <w:ind w:left="388" w:right="420" w:hanging="319"/>
        <w:spacing w:after="0" w:line="263" w:lineRule="auto"/>
        <w:tabs>
          <w:tab w:leader="none" w:pos="388" w:val="left"/>
        </w:tabs>
        <w:numPr>
          <w:ilvl w:val="0"/>
          <w:numId w:val="48"/>
        </w:numPr>
        <w:rPr>
          <w:rFonts w:ascii="Arial" w:cs="Arial" w:eastAsia="Arial" w:hAnsi="Arial"/>
          <w:sz w:val="10"/>
          <w:szCs w:val="10"/>
          <w:color w:val="auto"/>
        </w:rPr>
      </w:pPr>
      <w:r>
        <w:rPr>
          <w:rFonts w:ascii="Arial" w:cs="Arial" w:eastAsia="Arial" w:hAnsi="Arial"/>
          <w:sz w:val="12"/>
          <w:szCs w:val="12"/>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88"/>
      </w:cols>
      <w:pgMar w:left="212"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lvl w:ilvl="1">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lvl w:ilvl="1">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lvl w:ilvl="1">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lvl w:ilvl="1">
      <w:lvlJc w:val="left"/>
      <w:lvlText w:val="o"/>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3"/>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1"/>
    </w:lvl>
    <w:lvl w:ilvl="1">
      <w:lvlJc w:val="left"/>
      <w:lvlText w:val="(%2)"/>
      <w:numFmt w:val="decimal"/>
      <w:start w:val="3"/>
    </w:lvl>
  </w:abstractNum>
  <w:abstractNum w:abstractNumId="26">
    <w:nsid w:val="7724C67E"/>
    <w:multiLevelType w:val="hybridMultilevel"/>
    <w:lvl w:ilvl="0">
      <w:lvlJc w:val="left"/>
      <w:lvlText w:val="(%1)"/>
      <w:numFmt w:val="lowerLetter"/>
      <w:start w:val="2"/>
    </w:lvl>
    <w:lvl w:ilvl="1">
      <w:lvlJc w:val="left"/>
      <w:lvlText w:val="%2"/>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Roman"/>
      <w:start w:val="2"/>
    </w:lvl>
  </w:abstractNum>
  <w:abstractNum w:abstractNumId="32">
    <w:nsid w:val="580BD78F"/>
    <w:multiLevelType w:val="hybridMultilevel"/>
    <w:lvl w:ilvl="0">
      <w:lvlJc w:val="left"/>
      <w:lvlText w:val="(%1)"/>
      <w:numFmt w:val="lowerRoman"/>
      <w:start w:val="3"/>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3"/>
    </w:lvl>
  </w:abstractNum>
  <w:abstractNum w:abstractNumId="35">
    <w:nsid w:val="70A64E2A"/>
    <w:multiLevelType w:val="hybridMultilevel"/>
    <w:lvl w:ilvl="0">
      <w:lvlJc w:val="left"/>
      <w:lvlText w:val="%1."/>
      <w:numFmt w:val="decimal"/>
      <w:start w:val="4"/>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5"/>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5"/>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bullet"/>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27" Type="http://schemas.openxmlformats.org/officeDocument/2006/relationships/image" Target="media/image75.png"/><Relationship Id="rId128"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51" Type="http://schemas.openxmlformats.org/officeDocument/2006/relationships/image" Target="media/image79.png"/><Relationship Id="rId152" Type="http://schemas.openxmlformats.org/officeDocument/2006/relationships/image" Target="media/image80.png"/><Relationship Id="rId153" Type="http://schemas.openxmlformats.org/officeDocument/2006/relationships/image" Target="media/image81.png"/><Relationship Id="rId154" Type="http://schemas.openxmlformats.org/officeDocument/2006/relationships/image" Target="media/image82.png"/><Relationship Id="rId155" Type="http://schemas.openxmlformats.org/officeDocument/2006/relationships/image" Target="media/image83.png"/><Relationship Id="rId156" Type="http://schemas.openxmlformats.org/officeDocument/2006/relationships/image" Target="media/image84.png"/><Relationship Id="rId157" Type="http://schemas.openxmlformats.org/officeDocument/2006/relationships/image" Target="media/image85.png"/><Relationship Id="rId158" Type="http://schemas.openxmlformats.org/officeDocument/2006/relationships/image" Target="media/image86.png"/><Relationship Id="rId159" Type="http://schemas.openxmlformats.org/officeDocument/2006/relationships/image" Target="media/image87.png"/><Relationship Id="rId160" Type="http://schemas.openxmlformats.org/officeDocument/2006/relationships/image" Target="media/image88.png"/><Relationship Id="rId161" Type="http://schemas.openxmlformats.org/officeDocument/2006/relationships/image" Target="media/image89.png"/><Relationship Id="rId162" Type="http://schemas.openxmlformats.org/officeDocument/2006/relationships/image" Target="media/image90.png"/><Relationship Id="rId163" Type="http://schemas.openxmlformats.org/officeDocument/2006/relationships/image" Target="media/image91.png"/><Relationship Id="rId164" Type="http://schemas.openxmlformats.org/officeDocument/2006/relationships/image" Target="media/image92.png"/><Relationship Id="rId165" Type="http://schemas.openxmlformats.org/officeDocument/2006/relationships/image" Target="media/image93.png"/><Relationship Id="rId166" Type="http://schemas.openxmlformats.org/officeDocument/2006/relationships/image" Target="media/image94.png"/><Relationship Id="rId167" Type="http://schemas.openxmlformats.org/officeDocument/2006/relationships/image" Target="media/image95.png"/><Relationship Id="rId168" Type="http://schemas.openxmlformats.org/officeDocument/2006/relationships/image" Target="media/image96.png"/><Relationship Id="rId169" Type="http://schemas.openxmlformats.org/officeDocument/2006/relationships/image" Target="media/image97.png"/><Relationship Id="rId170" Type="http://schemas.openxmlformats.org/officeDocument/2006/relationships/image" Target="media/image98.png"/><Relationship Id="rId171" Type="http://schemas.openxmlformats.org/officeDocument/2006/relationships/image" Target="media/image99.png"/><Relationship Id="rId172" Type="http://schemas.openxmlformats.org/officeDocument/2006/relationships/image" Target="media/image100.png"/><Relationship Id="rId173" Type="http://schemas.openxmlformats.org/officeDocument/2006/relationships/image" Target="media/image101.png"/><Relationship Id="rId174" Type="http://schemas.openxmlformats.org/officeDocument/2006/relationships/image" Target="media/image102.png"/><Relationship Id="rId175" Type="http://schemas.openxmlformats.org/officeDocument/2006/relationships/image" Target="media/image103.png"/><Relationship Id="rId176" Type="http://schemas.openxmlformats.org/officeDocument/2006/relationships/image" Target="media/image104.png"/><Relationship Id="rId177" Type="http://schemas.openxmlformats.org/officeDocument/2006/relationships/image" Target="media/image105.png"/><Relationship Id="rId178" Type="http://schemas.openxmlformats.org/officeDocument/2006/relationships/image" Target="media/image106.png"/><Relationship Id="rId179" Type="http://schemas.openxmlformats.org/officeDocument/2006/relationships/image" Target="media/image107.png"/><Relationship Id="rId180" Type="http://schemas.openxmlformats.org/officeDocument/2006/relationships/image" Target="media/image108.png"/><Relationship Id="rId181" Type="http://schemas.openxmlformats.org/officeDocument/2006/relationships/image" Target="media/image109.png"/><Relationship Id="rId182" Type="http://schemas.openxmlformats.org/officeDocument/2006/relationships/image" Target="media/image110.png"/><Relationship Id="rId183" Type="http://schemas.openxmlformats.org/officeDocument/2006/relationships/image" Target="media/image111.png"/><Relationship Id="rId184" Type="http://schemas.openxmlformats.org/officeDocument/2006/relationships/image" Target="media/image112.png"/><Relationship Id="rId185" Type="http://schemas.openxmlformats.org/officeDocument/2006/relationships/image" Target="media/image113.png"/><Relationship Id="rId186" Type="http://schemas.openxmlformats.org/officeDocument/2006/relationships/image" Target="media/image114.png"/><Relationship Id="rId187" Type="http://schemas.openxmlformats.org/officeDocument/2006/relationships/image" Target="media/image115.png"/><Relationship Id="rId188" Type="http://schemas.openxmlformats.org/officeDocument/2006/relationships/image" Target="media/image116.png"/><Relationship Id="rId189" Type="http://schemas.openxmlformats.org/officeDocument/2006/relationships/image" Target="media/image117.png"/><Relationship Id="rId190" Type="http://schemas.openxmlformats.org/officeDocument/2006/relationships/image" Target="media/image118.png"/><Relationship Id="rId191" Type="http://schemas.openxmlformats.org/officeDocument/2006/relationships/image" Target="media/image119.png"/><Relationship Id="rId192" Type="http://schemas.openxmlformats.org/officeDocument/2006/relationships/image" Target="media/image120.png"/><Relationship Id="rId193" Type="http://schemas.openxmlformats.org/officeDocument/2006/relationships/image" Target="media/image121.png"/><Relationship Id="rId194" Type="http://schemas.openxmlformats.org/officeDocument/2006/relationships/image" Target="media/image122.png"/><Relationship Id="rId195" Type="http://schemas.openxmlformats.org/officeDocument/2006/relationships/image" Target="media/image123.png"/><Relationship Id="rId196" Type="http://schemas.openxmlformats.org/officeDocument/2006/relationships/image" Target="media/image124.png"/><Relationship Id="rId197" Type="http://schemas.openxmlformats.org/officeDocument/2006/relationships/image" Target="media/image125.png"/><Relationship Id="rId198" Type="http://schemas.openxmlformats.org/officeDocument/2006/relationships/image" Target="media/image126.png"/><Relationship Id="rId199" Type="http://schemas.openxmlformats.org/officeDocument/2006/relationships/image" Target="media/image127.png"/><Relationship Id="rId200" Type="http://schemas.openxmlformats.org/officeDocument/2006/relationships/image" Target="media/image128.png"/><Relationship Id="rId201" Type="http://schemas.openxmlformats.org/officeDocument/2006/relationships/image" Target="media/image129.png"/><Relationship Id="rId202" Type="http://schemas.openxmlformats.org/officeDocument/2006/relationships/image" Target="media/image130.png"/><Relationship Id="rId203" Type="http://schemas.openxmlformats.org/officeDocument/2006/relationships/image" Target="media/image131.png"/><Relationship Id="rId204" Type="http://schemas.openxmlformats.org/officeDocument/2006/relationships/image" Target="media/image132.png"/><Relationship Id="rId205" Type="http://schemas.openxmlformats.org/officeDocument/2006/relationships/image" Target="media/image133.png"/><Relationship Id="rId206" Type="http://schemas.openxmlformats.org/officeDocument/2006/relationships/image" Target="media/image134.png"/><Relationship Id="rId78" Type="http://schemas.openxmlformats.org/officeDocument/2006/relationships/hyperlink" Target="http://www.sec.gov/Archives/edgar/data/899460/000119312516676980/d225552dex31.htm" TargetMode="External"/><Relationship Id="rId79" Type="http://schemas.openxmlformats.org/officeDocument/2006/relationships/hyperlink" Target="http://www.sec.gov/Archives/edgar/data/899460/000119312517066630/d313758dex31.htm" TargetMode="External"/><Relationship Id="rId80" Type="http://schemas.openxmlformats.org/officeDocument/2006/relationships/hyperlink" Target="http://www.sec.gov/Archives/edgar/data/899460/000119312517368329/d511527dex31.htm" TargetMode="External"/><Relationship Id="rId81" Type="http://schemas.openxmlformats.org/officeDocument/2006/relationships/hyperlink" Target="http://www.sec.gov/Archives/edgar/data/899460/000095012407005941/v35880exv3w1.htm" TargetMode="External"/><Relationship Id="rId82" Type="http://schemas.openxmlformats.org/officeDocument/2006/relationships/hyperlink" Target="http://www.sec.gov/Archives/edgar/data/899460/000119312517085519/d305327dex42.htm" TargetMode="External"/><Relationship Id="rId83" Type="http://schemas.openxmlformats.org/officeDocument/2006/relationships/hyperlink" Target="http://www.sec.gov/Archives/edgar/data/899460/000119312513279522/d562665dex992.htm" TargetMode="External"/><Relationship Id="rId84" Type="http://schemas.openxmlformats.org/officeDocument/2006/relationships/hyperlink" Target="http://www.sec.gov/Archives/edgar/data/899460/000119312514080324/d647959dex47.htm" TargetMode="External"/><Relationship Id="rId85" Type="http://schemas.openxmlformats.org/officeDocument/2006/relationships/hyperlink" Target="http://www.sec.gov/Archives/edgar/data/899460/000119312514195057/d697163dex48.htm" TargetMode="External"/><Relationship Id="rId86" Type="http://schemas.openxmlformats.org/officeDocument/2006/relationships/hyperlink" Target="http://www.sec.gov/Archives/edgar/data/899460/000119312513279522/d562665dex993.htm" TargetMode="External"/><Relationship Id="rId87" Type="http://schemas.openxmlformats.org/officeDocument/2006/relationships/hyperlink" Target="http://www.sec.gov/Archives/edgar/data/899460/000119312513279522/d562665dex994.htm" TargetMode="External"/><Relationship Id="rId90" Type="http://schemas.openxmlformats.org/officeDocument/2006/relationships/hyperlink" Target="http://www.sec.gov/Archives/edgar/data/899460/000119312513279522/d562665dex991.htm" TargetMode="External"/><Relationship Id="rId91" Type="http://schemas.openxmlformats.org/officeDocument/2006/relationships/hyperlink" Target="http://www.sec.gov/Archives/edgar/data/899460/000119312514080324/d647959dex1039.htm" TargetMode="External"/><Relationship Id="rId92" Type="http://schemas.openxmlformats.org/officeDocument/2006/relationships/hyperlink" Target="http://www.sec.gov/Archives/edgar/data/899460/000119312514406347/d783199dex414.htm" TargetMode="External"/><Relationship Id="rId93" Type="http://schemas.openxmlformats.org/officeDocument/2006/relationships/hyperlink" Target="http://www.sec.gov/Archives/edgar/data/899460/000119312517217588/d419252dex992.htm" TargetMode="External"/><Relationship Id="rId94" Type="http://schemas.openxmlformats.org/officeDocument/2006/relationships/hyperlink" Target="http://www.sec.gov/Archives/edgar/data/899460/000119312517316062/d422089dex991.htm" TargetMode="External"/><Relationship Id="rId95" Type="http://schemas.openxmlformats.org/officeDocument/2006/relationships/hyperlink" Target="http://www.sec.gov/Archives/edgar/data/899460/000119312518013980/d478599dex991.htm" TargetMode="External"/><Relationship Id="rId96" Type="http://schemas.openxmlformats.org/officeDocument/2006/relationships/hyperlink" Target="http://www.sec.gov/Archives/edgar/data/899460/000119312518013980/d478599dex992.htm" TargetMode="External"/><Relationship Id="rId97" Type="http://schemas.openxmlformats.org/officeDocument/2006/relationships/hyperlink" Target="http://www.sec.gov/Archives/edgar/data/899460/000119312518188678/d600246dex991.htm" TargetMode="External"/><Relationship Id="rId98" Type="http://schemas.openxmlformats.org/officeDocument/2006/relationships/hyperlink" Target="http://www.sec.gov/Archives/edgar/data/899460/000119312518217309/d502299dex991.htm" TargetMode="External"/><Relationship Id="rId99" Type="http://schemas.openxmlformats.org/officeDocument/2006/relationships/hyperlink" Target="http://www.sec.gov/Archives/edgar/data/899460/000119312518267036/d609163dex991.htm" TargetMode="External"/><Relationship Id="rId100" Type="http://schemas.openxmlformats.org/officeDocument/2006/relationships/hyperlink" Target="http://www.sec.gov/Archives/edgar/data/899460/000119312518284687/d629664dex991.htm" TargetMode="External"/><Relationship Id="rId101" Type="http://schemas.openxmlformats.org/officeDocument/2006/relationships/hyperlink" Target="http://www.sec.gov/Archives/edgar/data/899460/000119312517324984/d485532dex41.htm" TargetMode="External"/><Relationship Id="rId102" Type="http://schemas.openxmlformats.org/officeDocument/2006/relationships/hyperlink" Target="http://www.sec.gov/Archives/edgar/data/899460/000119312516505366/d107849dex417.htm" TargetMode="External"/><Relationship Id="rId103" Type="http://schemas.openxmlformats.org/officeDocument/2006/relationships/hyperlink" Target="http://www.sec.gov/Archives/edgar/data/899460/000119312518078324/d549308dex991.htm" TargetMode="External"/><Relationship Id="rId104" Type="http://schemas.openxmlformats.org/officeDocument/2006/relationships/hyperlink" Target="http://www.sec.gov/Archives/edgar/data/899460/000119312518109958/d562642dex41.htm" TargetMode="External"/><Relationship Id="rId105" Type="http://schemas.openxmlformats.org/officeDocument/2006/relationships/hyperlink" Target="http://www.sec.gov/Archives/edgar/data/899460/000119312517229404/d406524dex991.htm" TargetMode="External"/><Relationship Id="rId108" Type="http://schemas.openxmlformats.org/officeDocument/2006/relationships/hyperlink" Target="http://www.sec.gov/Archives/edgar/data/899460/000119312516505366/d107849dex1038.htm" TargetMode="External"/><Relationship Id="rId109" Type="http://schemas.openxmlformats.org/officeDocument/2006/relationships/hyperlink" Target="http://www.sec.gov/Archives/edgar/data/899460/000119312517085519/d305327dex1036.htm" TargetMode="External"/><Relationship Id="rId110" Type="http://schemas.openxmlformats.org/officeDocument/2006/relationships/hyperlink" Target="http://www.sec.gov/Archives/edgar/data/899460/000156459018003510/mnkd-ex104_445.htm" TargetMode="External"/><Relationship Id="rId111" Type="http://schemas.openxmlformats.org/officeDocument/2006/relationships/hyperlink" Target="http://www.sec.gov/Archives/edgar/data/899460/000156459018003510/mnkd-ex105_446.htm" TargetMode="External"/><Relationship Id="rId112" Type="http://schemas.openxmlformats.org/officeDocument/2006/relationships/hyperlink" Target="http://www.sec.gov/Archives/edgar/data/899460/000156459018003510/mnkd-ex106_444.htm" TargetMode="External"/><Relationship Id="rId113" Type="http://schemas.openxmlformats.org/officeDocument/2006/relationships/hyperlink" Target="http://www.sec.gov/Archives/edgar/data/899460/000095012407005167/v34640aexv99w1.htm" TargetMode="External"/><Relationship Id="rId114" Type="http://schemas.openxmlformats.org/officeDocument/2006/relationships/hyperlink" Target="http://www.sec.gov/Archives/edgar/data/899460/000095014804000827/v98169orexv10w1.txt" TargetMode="External"/><Relationship Id="rId115" Type="http://schemas.openxmlformats.org/officeDocument/2006/relationships/hyperlink" Target="http://www.sec.gov/Archives/edgar/data/899460/000119312517116178/d350284dex991.htm" TargetMode="External"/><Relationship Id="rId116" Type="http://schemas.openxmlformats.org/officeDocument/2006/relationships/hyperlink" Target="http://www.sec.gov/Archives/edgar/data/899460/000095014806000014/v18231exv10w5.htm" TargetMode="External"/><Relationship Id="rId117" Type="http://schemas.openxmlformats.org/officeDocument/2006/relationships/hyperlink" Target="http://www.sec.gov/Archives/edgar/data/899460/000119312512153102/d328382ddef14a.htm" TargetMode="External"/><Relationship Id="rId118" Type="http://schemas.openxmlformats.org/officeDocument/2006/relationships/hyperlink" Target="http://www.sec.gov/Archives/edgar/data/899460/000095014804000827/v98169orexv10w2.txt" TargetMode="External"/><Relationship Id="rId119" Type="http://schemas.openxmlformats.org/officeDocument/2006/relationships/hyperlink" Target="http://www.sec.gov/Archives/edgar/data/899460/000095012905011954/v15351exv99w1.htm" TargetMode="External"/><Relationship Id="rId120" Type="http://schemas.openxmlformats.org/officeDocument/2006/relationships/hyperlink" Target="http://www.sec.gov/Archives/edgar/data/899460/000095014806000014/v18231exv10w20.htm" TargetMode="External"/><Relationship Id="rId121" Type="http://schemas.openxmlformats.org/officeDocument/2006/relationships/hyperlink" Target="http://www.sec.gov/Archives/edgar/data/899460/000119312516676980/d225552dex101.htm" TargetMode="External"/><Relationship Id="rId122" Type="http://schemas.openxmlformats.org/officeDocument/2006/relationships/hyperlink" Target="http://www.sec.gov/Archives/edgar/data/899460/000119312513232988/d543380dex992.htm" TargetMode="External"/><Relationship Id="rId123" Type="http://schemas.openxmlformats.org/officeDocument/2006/relationships/hyperlink" Target="http://www.sec.gov/Archives/edgar/data/899460/000119312513232988/d543380dex993.htm" TargetMode="External"/><Relationship Id="rId124" Type="http://schemas.openxmlformats.org/officeDocument/2006/relationships/hyperlink" Target="http://www.sec.gov/Archives/edgar/data/899460/000119312518183644/d578515dex991.htm" TargetMode="External"/><Relationship Id="rId125" Type="http://schemas.openxmlformats.org/officeDocument/2006/relationships/hyperlink" Target="http://www.sec.gov/Archives/edgar/data/899460/000119312518241209/d576776dex992.htm" TargetMode="External"/><Relationship Id="rId126" Type="http://schemas.openxmlformats.org/officeDocument/2006/relationships/hyperlink" Target="http://www.sec.gov/Archives/edgar/data/899460/000119312518241209/d576776dex993.htm" TargetMode="External"/><Relationship Id="rId129" Type="http://schemas.openxmlformats.org/officeDocument/2006/relationships/hyperlink" Target="http://www.sec.gov/Archives/edgar/data/899460/000119312517300310/d461992dex991.htm" TargetMode="External"/><Relationship Id="rId130" Type="http://schemas.openxmlformats.org/officeDocument/2006/relationships/hyperlink" Target="http://www.sec.gov/Archives/edgar/data/899460/000119312517307989/d465696dex991.htm" TargetMode="External"/><Relationship Id="rId131" Type="http://schemas.openxmlformats.org/officeDocument/2006/relationships/hyperlink" Target="http://www.sec.gov/Archives/edgar/data/899460/000119312518109958/d562642dex991.htm" TargetMode="External"/><Relationship Id="rId132" Type="http://schemas.openxmlformats.org/officeDocument/2006/relationships/hyperlink" Target="http://www.sec.gov/Archives/edgar/data/899460/000119312517307989/d465696dex992.htm" TargetMode="External"/><Relationship Id="rId133" Type="http://schemas.openxmlformats.org/officeDocument/2006/relationships/hyperlink" Target="http://www.sec.gov/Archives/edgar/data/899460/000119312517316062/d422089dex992.htm" TargetMode="External"/><Relationship Id="rId136" Type="http://schemas.openxmlformats.org/officeDocument/2006/relationships/hyperlink" Target="http://www.sec.gov/Archives/edgar/data/899460/000119312517127928/d258158dex991.htm" TargetMode="External"/><Relationship Id="rId137" Type="http://schemas.openxmlformats.org/officeDocument/2006/relationships/hyperlink" Target="http://www.sec.gov/Archives/edgar/data/899460/000119312518078324/d549308dex992.htm" TargetMode="External"/><Relationship Id="rId138" Type="http://schemas.openxmlformats.org/officeDocument/2006/relationships/hyperlink" Target="http://www.sec.gov/Archives/edgar/data/899460/000119312518174350/d567722dex991.htm" TargetMode="External"/><Relationship Id="rId139" Type="http://schemas.openxmlformats.org/officeDocument/2006/relationships/hyperlink" Target="http://www.sec.gov/Archives/edgar/data/899460/000119312517008314/d306799dex991.htm" TargetMode="External"/><Relationship Id="rId140" Type="http://schemas.openxmlformats.org/officeDocument/2006/relationships/hyperlink" Target="http://www.sec.gov/Archives/edgar/data/899460/000119312517085519/d305327dex1035.htm" TargetMode="External"/><Relationship Id="rId141" Type="http://schemas.openxmlformats.org/officeDocument/2006/relationships/hyperlink" Target="http://www.sec.gov/Archives/edgar/data/899460/000119312517217588/d419252dex991.htm" TargetMode="External"/><Relationship Id="rId142" Type="http://schemas.openxmlformats.org/officeDocument/2006/relationships/hyperlink" Target="http://www.sec.gov/Archives/edgar/data/899460/000119312514406347/d783199dex103.htm" TargetMode="External"/><Relationship Id="rId143" Type="http://schemas.openxmlformats.org/officeDocument/2006/relationships/hyperlink" Target="http://www.sec.gov/Archives/edgar/data/899460/000119312517085519/d305327dex1032.htm" TargetMode="External"/><Relationship Id="rId144" Type="http://schemas.openxmlformats.org/officeDocument/2006/relationships/hyperlink" Target="http://www.sec.gov/Archives/edgar/data/899460/000119312517085519/d305327dex1033.htm" TargetMode="External"/><Relationship Id="rId145" Type="http://schemas.openxmlformats.org/officeDocument/2006/relationships/hyperlink" Target="http://www.sec.gov/Archives/edgar/data/899460/000156459018012419/mnkd-ex108_456.htm" TargetMode="External"/><Relationship Id="rId146" Type="http://schemas.openxmlformats.org/officeDocument/2006/relationships/hyperlink" Target="http://www.sec.gov/Archives/edgar/data/899460/000119312516505366/d107849dex1037.htm" TargetMode="External"/><Relationship Id="rId147" Type="http://schemas.openxmlformats.org/officeDocument/2006/relationships/hyperlink" Target="http://www.sec.gov/Archives/edgar/data/899460/000119312517249866/d412831dex103.htm" TargetMode="External"/><Relationship Id="rId148" Type="http://schemas.openxmlformats.org/officeDocument/2006/relationships/hyperlink" Target="http://www.sec.gov/Archives/edgar/data/899460/000156459018003510/mnkd-ex1047_871.htm" TargetMode="External"/><Relationship Id="rId149" Type="http://schemas.openxmlformats.org/officeDocument/2006/relationships/hyperlink" Target="http://www.sec.gov/Archives/edgar/data/899460/000156459018026006/mnkd-ex108_399.htm" TargetMode="External"/><Relationship Id="rId150" Type="http://schemas.openxmlformats.org/officeDocument/2006/relationships/hyperlink" Target="http://www.sec.gov/Archives/edgar/data/899460/000156459018026006/mnkd-ex109_40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2019-12-28T15:39:36Z</dcterms:created>
  <dcterms:modified xsi:type="dcterms:W3CDTF">2019-12-28T15:39:36Z</dcterms:modified>
</cp:coreProperties>
</file>