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4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39" w:lineRule="exact"/>
        <w:rPr>
          <w:sz w:val="24"/>
          <w:szCs w:val="24"/>
          <w:color w:val="auto"/>
        </w:rPr>
      </w:pPr>
    </w:p>
    <w:p>
      <w:pPr>
        <w:ind w:left="20"/>
        <w:spacing w:after="0" w:line="207" w:lineRule="exact"/>
        <w:tabs>
          <w:tab w:leader="none" w:pos="30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MS PGothic" w:cs="MS PGothic" w:eastAsia="MS PGothic" w:hAnsi="MS PGothic"/>
          <w:sz w:val="17"/>
          <w:szCs w:val="17"/>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0" w:lineRule="exact"/>
        <w:rPr>
          <w:sz w:val="24"/>
          <w:szCs w:val="24"/>
          <w:color w:val="auto"/>
        </w:rPr>
      </w:pPr>
    </w:p>
    <w:p>
      <w:pPr>
        <w:spacing w:after="0" w:line="3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6883400" cy="6926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692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680"/>
        <w:spacing w:after="0"/>
        <w:rPr>
          <w:sz w:val="20"/>
          <w:szCs w:val="20"/>
          <w:color w:val="auto"/>
        </w:rPr>
      </w:pPr>
      <w:r>
        <w:rPr>
          <w:rFonts w:ascii="Arial" w:cs="Arial" w:eastAsia="Arial" w:hAnsi="Arial"/>
          <w:sz w:val="38"/>
          <w:szCs w:val="38"/>
          <w:b w:val="1"/>
          <w:bCs w:val="1"/>
          <w:color w:val="auto"/>
        </w:rPr>
        <w:t>Notice of</w:t>
      </w:r>
    </w:p>
    <w:p>
      <w:pPr>
        <w:spacing w:after="0" w:line="28" w:lineRule="exact"/>
        <w:rPr>
          <w:sz w:val="20"/>
          <w:szCs w:val="20"/>
          <w:color w:val="auto"/>
        </w:rPr>
      </w:pPr>
    </w:p>
    <w:p>
      <w:pPr>
        <w:ind w:left="7020"/>
        <w:spacing w:after="0"/>
        <w:rPr>
          <w:sz w:val="20"/>
          <w:szCs w:val="20"/>
          <w:color w:val="auto"/>
        </w:rPr>
      </w:pPr>
      <w:r>
        <w:rPr>
          <w:rFonts w:ascii="Arial" w:cs="Arial" w:eastAsia="Arial" w:hAnsi="Arial"/>
          <w:sz w:val="38"/>
          <w:szCs w:val="38"/>
          <w:b w:val="1"/>
          <w:bCs w:val="1"/>
          <w:color w:val="auto"/>
        </w:rPr>
        <w:t>2025 Meeting of</w:t>
      </w:r>
    </w:p>
    <w:p>
      <w:pPr>
        <w:ind w:left="6860"/>
        <w:spacing w:after="0"/>
        <w:rPr>
          <w:sz w:val="20"/>
          <w:szCs w:val="20"/>
          <w:color w:val="auto"/>
        </w:rPr>
      </w:pPr>
      <w:r>
        <w:rPr>
          <w:rFonts w:ascii="Arial" w:cs="Arial" w:eastAsia="Arial" w:hAnsi="Arial"/>
          <w:sz w:val="37"/>
          <w:szCs w:val="37"/>
          <w:b w:val="1"/>
          <w:bCs w:val="1"/>
          <w:color w:val="auto"/>
        </w:rPr>
        <w:t>Stockholders and</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38"/>
          <w:szCs w:val="38"/>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860"/>
        <w:spacing w:after="0"/>
        <w:rPr>
          <w:sz w:val="20"/>
          <w:szCs w:val="20"/>
          <w:color w:val="auto"/>
        </w:rPr>
      </w:pPr>
      <w:r>
        <w:rPr>
          <w:rFonts w:ascii="Arial" w:cs="Arial" w:eastAsia="Arial" w:hAnsi="Arial"/>
          <w:sz w:val="47"/>
          <w:szCs w:val="47"/>
          <w:b w:val="1"/>
          <w:bCs w:val="1"/>
          <w:color w:val="auto"/>
        </w:rPr>
        <w:t>life more</w:t>
      </w:r>
    </w:p>
    <w:p>
      <w:pPr>
        <w:spacing w:after="0" w:line="75" w:lineRule="exact"/>
        <w:rPr>
          <w:sz w:val="20"/>
          <w:szCs w:val="20"/>
          <w:color w:val="auto"/>
        </w:rPr>
      </w:pPr>
    </w:p>
    <w:p>
      <w:pPr>
        <w:ind w:left="6860"/>
        <w:spacing w:after="0"/>
        <w:rPr>
          <w:sz w:val="20"/>
          <w:szCs w:val="20"/>
          <w:color w:val="auto"/>
        </w:rPr>
      </w:pPr>
      <w:r>
        <w:rPr>
          <w:rFonts w:ascii="Arial" w:cs="Arial" w:eastAsia="Arial" w:hAnsi="Arial"/>
          <w:sz w:val="47"/>
          <w:szCs w:val="47"/>
          <w:b w:val="1"/>
          <w:bCs w:val="1"/>
          <w:color w:val="auto"/>
        </w:rPr>
        <w:t>humann</w:t>
      </w:r>
      <w:r>
        <w:rPr>
          <w:rFonts w:ascii="Arial" w:cs="Arial" w:eastAsia="Arial" w:hAnsi="Arial"/>
          <w:sz w:val="50"/>
          <w:szCs w:val="50"/>
          <w:b w:val="1"/>
          <w:bCs w:val="1"/>
          <w:color w:val="auto"/>
        </w:rPr>
        <w:t>.</w:t>
      </w: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1623060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40" w:right="4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wp:posOffset>
            </wp:positionV>
            <wp:extent cx="1688465" cy="28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28257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 Casper Street, Danbury, Connecticut 06810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(818) 661-5000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NOTICE OF ANNUAL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MEETING OF STOCKHOLDERS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Held On Wednesday, May 14, 2025</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MannKind Corporation, a Delaware corporation (“MannKind”). The meeting will be held live via the Internet on Wednesday, May 14, 2025 at 9:30 a.m. U.S. Pacific Time. To attend, please visit www.virtualshareholdermeeting.com/MNKD2025. You will not be able to attend the Annual Meeting in person. The Annual Meeting will consider the following matters:</w:t>
      </w:r>
    </w:p>
    <w:p>
      <w:pPr>
        <w:spacing w:after="0" w:line="72" w:lineRule="exact"/>
        <w:rPr>
          <w:sz w:val="20"/>
          <w:szCs w:val="20"/>
          <w:color w:val="auto"/>
        </w:rPr>
      </w:pPr>
    </w:p>
    <w:p>
      <w:pPr>
        <w:ind w:left="840" w:hanging="41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nine nominees named herein as directors to serve for the ensuing year and until their successors are elected;</w:t>
      </w:r>
    </w:p>
    <w:p>
      <w:pPr>
        <w:spacing w:after="0" w:line="11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named executive officers of MannKind, as disclosed in MannKind’s proxy statement for the Annual Meeting;</w:t>
      </w:r>
    </w:p>
    <w:p>
      <w:pPr>
        <w:spacing w:after="0" w:line="53" w:lineRule="exact"/>
        <w:rPr>
          <w:rFonts w:ascii="Times New Roman" w:cs="Times New Roman" w:eastAsia="Times New Roman" w:hAnsi="Times New Roman"/>
          <w:sz w:val="18"/>
          <w:szCs w:val="18"/>
          <w:color w:val="auto"/>
        </w:rPr>
      </w:pPr>
    </w:p>
    <w:p>
      <w:pPr>
        <w:ind w:left="840" w:right="560" w:hanging="413"/>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MannKind for its fiscal year ending December 31, 2025; and</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Annual Meeting is March 17, 2025. Only stockholders of record on that date may vote at the meeting or any adjournment thereof.</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1928495" cy="506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Thomson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via the Internet. Whether or not you expect to attend the meeting, please vote by proxy pursuant to the instructions set forth herein as promptly as possible in order to ensure your representation at the meeting. Even if you have voted by proxy, you may still vote live if you attend the meeting via the Internet.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07"/>
        </w:trPr>
        <w:tc>
          <w:tcPr>
            <w:tcW w:w="972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Proxy Statement Summary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88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724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96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 Principles and Board and Committee Matters</w:t>
            </w:r>
          </w:p>
        </w:tc>
        <w:tc>
          <w:tcPr>
            <w:tcW w:w="476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972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2 – Advisory Vote on Executive Compensation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88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72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Proposal 3 – Ratification of Selection of Deloitte &amp; Touche LLP as Independent Registered Public Accounting Firm</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280" w:type="dxa"/>
            <w:vAlign w:val="bottom"/>
            <w:tcBorders>
              <w:top w:val="single" w:sz="8" w:color="0000FF"/>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Report of the Audit Committee</w:t>
            </w:r>
          </w:p>
        </w:tc>
        <w:tc>
          <w:tcPr>
            <w:tcW w:w="20" w:type="dxa"/>
            <w:vAlign w:val="bottom"/>
            <w:tcBorders>
              <w:top w:val="single" w:sz="8" w:color="0000FF"/>
              <w:bottom w:val="single" w:sz="8" w:color="0000EE"/>
            </w:tcBorders>
          </w:tcPr>
          <w:p>
            <w:pPr>
              <w:spacing w:after="0"/>
              <w:rPr>
                <w:sz w:val="17"/>
                <w:szCs w:val="17"/>
                <w:color w:val="auto"/>
              </w:rPr>
            </w:pPr>
          </w:p>
        </w:tc>
        <w:tc>
          <w:tcPr>
            <w:tcW w:w="6100" w:type="dxa"/>
            <w:vAlign w:val="bottom"/>
            <w:tcBorders>
              <w:top w:val="single" w:sz="8" w:color="0000FF"/>
            </w:tcBorders>
            <w:gridSpan w:val="10"/>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262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Executive Officers of the Registrant</w:t>
            </w:r>
          </w:p>
        </w:tc>
        <w:tc>
          <w:tcPr>
            <w:tcW w:w="20" w:type="dxa"/>
            <w:vAlign w:val="bottom"/>
            <w:tcBorders>
              <w:bottom w:val="single" w:sz="8" w:color="0000EE"/>
            </w:tcBorders>
          </w:tcPr>
          <w:p>
            <w:pPr>
              <w:spacing w:after="0"/>
              <w:rPr>
                <w:sz w:val="17"/>
                <w:szCs w:val="17"/>
                <w:color w:val="auto"/>
              </w:rPr>
            </w:pPr>
          </w:p>
        </w:tc>
        <w:tc>
          <w:tcPr>
            <w:tcW w:w="708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972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Executive Compensation – Compensation Discussion and Analysis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8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72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246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72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4900" w:type="dxa"/>
            <w:vAlign w:val="bottom"/>
            <w:tcBorders>
              <w:left w:val="single" w:sz="8" w:color="0000EE"/>
            </w:tcBorders>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72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Householding of Proxy Materials, Annual Report and Other Matters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607"/>
        </w:trPr>
        <w:tc>
          <w:tcPr>
            <w:tcW w:w="18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 w:name="page5"/>
    <w:bookmarkEnd w:id="4"/>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57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4675"/>
                    </a:xfrm>
                    <a:prstGeom prst="rect">
                      <a:avLst/>
                    </a:prstGeom>
                    <a:noFill/>
                  </pic:spPr>
                </pic:pic>
              </a:graphicData>
            </a:graphic>
          </wp:anchor>
        </w:drawing>
        <w:t>Proxy Statement</w:t>
      </w:r>
    </w:p>
    <w:p>
      <w:pPr>
        <w:sectPr>
          <w:pgSz w:w="11900" w:h="16838" w:orient="portrait"/>
          <w:cols w:equalWidth="0" w:num="1">
            <w:col w:w="11220"/>
          </w:cols>
          <w:pgMar w:left="320" w:top="1278" w:right="3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Casper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Danbury, Connecticut 06810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(818) 661-5000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 THE 2025 ANNUAL MEETING OF STOCKHOLDERS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be held on May 14,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QUESTIONS AND ANSWERS ABOUT THESE PROXY MATERIALS AND VOTING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the “Board”) of MannKind Corporation (sometimes referred to as “we,” “us,” the “Company” or “MannKind”) is soliciting your proxy to vote at the 2025 Annual Meeting of Stockholders (the “Annual Meeting”), including any adjournments or postponements of the Annual Meeting. This year’s Annual Meeting will be held entirely via the Internet. You are invited to attend the Annual Meeting to vote on the proposals described in this proxy statement. However, you do not need to attend the meeting via the Internet to vote your shares.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will be mailed on April 4, 2025 to our stockholders of record entitled to vote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ten days after mailing the first Notice.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we holding a virtual Annual Meeting?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recent years we have implemented a virtual format for our Annual Meeting, which is conducted via live audio webcast and online stockholder tools. Our experience has been that a virtual format helps to facilitate stockholder attendance and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increase stockholder communication. For example, the virtual format allows stockholders to communicate with us in advance of, and during, the Annual Meeting so they can ask questions of our Board of Directors or management. During the Annual Meeting, we are able to answer questions submitted during the Annual Meeting and address those asked in advance, to the extent relevant to the business of the Annual Meeting. We do not intend to post questions received during the Annual Meeting on our website.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17, 2025 (the “record date”) will be entitled to vote at the Annual Meeting. On this record date, there were 303,845,383 shares of common stock outstanding and entitled to vote. A list of MannKind's stockholders of record will be open for examination by any stockholder beginning ten days prior to the Annual Meeting at our principal executive office located at 1 Casper Street, Danbury, Connecticut 06810. If you would like to view the list, please contact our Corporate Secretary to schedule an appointment by calling (818) 661-5000 or writing to him at the address above. In addition, the list will be available for inspection by stockholders on the virtual meeting website during the Annual Meeting.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MannKind’s transfer agent, Computershare, then you are a stockholder of record. As a stockholder of record, you may vote live at the meeting or vote by proxy. Whether or not you plan to attend the Annual Meeting, we urge you to vote by proxy pursuant to the instructions set forth below to ensure your vote is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on how to vote the shares in your account. You are also invited to attend the Annual Meeting. However, because you are not the stockholder of record, you may not vote your shares live at the Annual Meeting unless you request and obtain a valid proxy from your broker or other agent.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presenting the following three proposals for stockholder vote: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Nine Directors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first proposal to be voted on is the election of our nine nominees named herein as directors for a one-year term ending at our 2026 Annual Meeting of Stockholders. The Board has nominated these nine people as directors. You may find information about these nominees, as well as information about MannKind’s Board of Directors and its committees, director compensation and other related matters beginning on page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“For” all the nominees, “Withhold” your votes as to all nominees or “Withhold” your votes as to specific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all the director nominees named in Proposal 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Advisory Vote on Executive Compensation</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second proposal to be voted on is an advisory vote regarding the compensation of the Company’s named executive officers as described in this proxy statement, including the disclosures under “Compensation Discussion and Analysis,” the compensation tables and the narrative discussion following the compensation tables. You may find information about this proposal beginning on page 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2.</w:t>
      </w:r>
    </w:p>
    <w:p>
      <w:pPr>
        <w:spacing w:after="0" w:line="223"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Proposal 3. Ratification of Selection by the Audit Committee of the Board of Directors of Deloitte &amp; Touche LLP as the Company’s Independent Registered Public Accounting Firm for the Fiscal Year Ending December 31, 2025</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third proposal to be voted on is the ratification of the selection by the Audit Committee of the Board of Directors of Deloitte &amp; Touche LLP as the Company’s independent registered public accounting firm for the fiscal year ending December 31, 2025. It is expected that representatives of Deloitte &amp; Touche LLP will attend the Annual Meeting and be available to make a statement or respond to appropriate questions. You may find information about this proposal beginning on page 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proxy to vote on those matters in accordance with their best judgment.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live at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live if you have already voted by proxy.</w:t>
      </w:r>
    </w:p>
    <w:p>
      <w:pPr>
        <w:spacing w:after="0" w:line="68" w:lineRule="exact"/>
        <w:rPr>
          <w:sz w:val="20"/>
          <w:szCs w:val="20"/>
          <w:color w:val="auto"/>
        </w:rPr>
      </w:pPr>
    </w:p>
    <w:p>
      <w:pPr>
        <w:ind w:left="760" w:right="20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live, attend the Annual Meeting and follow the instructions for voting. To attend the meeting, please visit www.virtualshareholdermeeting.com/MNKD2025. You will be asked to provide the control number from the Notice.</w:t>
      </w:r>
    </w:p>
    <w:p>
      <w:pPr>
        <w:spacing w:after="0" w:line="53"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Your signed proxy card must be received by 11:59 PM U.S. Eastern time on May 13, 2025 to be counted.</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(800) 690-6903 using a touch-tone phone and follow the recorded instructions. You will be asked to provide the control number from the Notice. Your vote must be received by 11:59 PM U.S. Eastern time on May 13, 2025 to be counted.</w:t>
      </w:r>
    </w:p>
    <w:p>
      <w:pPr>
        <w:spacing w:after="0" w:line="53"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in advance of the Annual Meeting, go to http://www.proxyvote.com to complete an electronic proxy card. You will be asked to provide the control number from the Notice. Your vote must be received by 11:59 PM U.S. Eastern time on May 13, 2025 to be counted.</w:t>
      </w:r>
    </w:p>
    <w:p>
      <w:pPr>
        <w:spacing w:after="0" w:line="6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Voting at the Annual Meeting and Internet proxy voting have procedures designed to ensure the authenticity and correctness of your vote or voting instructions. However, please be aware that you must bear any costs associated with your internet access, such as usage charges from Internet access providers and telephone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MannKind. Simply follow the voting instructions in the Notice to ensure that your vote is counted. To vote live at the Annual Meeting, follow the instructions after logging into the meeting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record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by proxy but do not make specific choices?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voted by proxy without marking any voting selections, your shares will be voted “For” the election of each of the nine nominees for director listed in Proposal 1, “For” the advisory vote on executive compensation as provided in Proposal 2, and “For” the ratification of the selection of Deloitte &amp; Touche LLP as our independent registered public accounting firm for the fiscal year ending December 31, 2025 as provided in Proposal 3. If any other matter is properly presented at the Annual Meeting, your proxy (one of the individuals named on your proxy card) will vote your shares using his or her best judgment.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for the entire cost of soliciting proxies.</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If you receive more than one Notice, your shares are registered in more than one name or are registered in different accounts.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 Similarly, if you are a stockholder of record and you receive more than one Notice, your shares are registered in more than one name.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a stockholder of record, you may revoke your proxy in any one of the following ways:</w:t>
      </w:r>
    </w:p>
    <w:p>
      <w:pPr>
        <w:spacing w:after="0" w:line="54" w:lineRule="exact"/>
        <w:rPr>
          <w:sz w:val="20"/>
          <w:szCs w:val="20"/>
          <w:color w:val="auto"/>
        </w:rPr>
      </w:pPr>
    </w:p>
    <w:p>
      <w:pPr>
        <w:ind w:left="760" w:right="2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MannKind’s Corporate Secretary at 1 Casper Street, Danbury, Connecticut 06810.</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another proxy by telephone or through the Internet.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live. Simply attending the Annual Meeting will not, by itself, revoke your proxy or vote your shares.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whether submitted by proxy card, telephone or Internet, is the one that is counted.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the proposal to elect directors, votes “For,” “Withhold” and broker non-votes; and with respect to other proposals, “For” and “Against” votes, abstentions and, if applicable, broker non-votes. Abstentions will be counted towards the vote total for each proposal, except with respect to the election of directors, and will have the same effect as “Against” votes. Broker non-votes, if any, will have no effect and will not be counted towards the vote total for any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(shares are held by your broker as your nominee), the beneficial owner of the shares is entitled to give voting instructions to the broker or nominee holding the shares. If you do not give instructions to your broker, your broker can vote your shares with respect to matters that are considered to be “routine,” but not with respect to “non-routine” matters. Under the rules and interpretations of the New York Stock Exchange, “non-routine” matters are generally those involving a matter that may substantially affect the rights or privileges of stockholders, such as mergers or stockholder proposals, election of directors (even if not contested) and executive compensation, including stockholder advisory votes on executive compensation. Proposals 1 and 2, regarding the election of directors and the advisory vote regarding executive compensation, respectively, are non-routine matters. Proposal 3 to ratify Deloitte &amp; Touche LLP as our independent registered public accounting firm is a routine matter.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election of directors, the nine nominees receiving the most “For” votes (among votes properly cast live at the Annual Meeting or by proxy) will be elected. Only votes “For” will affect the outcome. Only the nine nominees named herein have been properly nominated for election as directors.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Proposals 2 and 3 regarding approval, on an advisory basis, of the compensation of the Company’s named executive officers and ratification of the Audit Committee’s selection of the independent registered public accounting firm, respectively, must receive a “For” vote from the majority of shares present and entitled to vote generally on the subject matter either live at the Annual Meeting or by proxy in order to be approved. If you abstain from voting on either of these proposals, it will have the same effect as an “Against” vote. Broker non-votes, if any, will have no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Annual Meeting. A quorum will be present if at least a majority of the outstanding shares entitled to vote are represented by stockholders present at the Annual Meeting or by proxy. On the record date, there were 303,845,383 shares outstanding and entitled to vote. Thus, 151,922,692 shares must be represented by stockholders present at the Annual Meeting or by proxy to have a quorum.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 w:name="page9"/>
    <w:bookmarkEnd w:id="8"/>
    <w:p>
      <w:pPr>
        <w:ind w:right="46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live at the Annual Meeting. Abstentions and broker non-votes will be counted towards the quorum requirement. If there is no quorum, the chair of the Annual Meeting or a majority of the votes present at the Annual Meeting may adjourn the meeting to another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that we expect to file no later than four business days following the date of the Annual Meeting. If final voting results are not available to us in time to file a Form 8-K on or before such date,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MannKind’s proxy material for next year’s annual meeting, your proposal must be submitted in writing by December 5, 2025 to Attn: Corporate Secretary, MannKind Corporation, 1 Casper Street, Danbury, Connecticut 06810. If you wish to submit a proposal (including a director nomination) that is not to be included in MannKind’s proxy materials, you must do so not earlier than January 14, 2026 and not later than February 13, 2026. You are also advised to review the Company’s Amended and Restated Bylaws, which contain additional requirements about advance notice of stockholder proposals and director nominations.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our nominees must provide in their notice any additional information required by Rule 14a-19(b) under the Securities Exchange Act of 1934, as amended (the “Exchange Act”).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proxy materials contain “forward-looking statements” as that term is defined in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expectations and intentions regarding our future corporate governance practices and policies and board structure; our plans and expectations regarding our compensation practices, principles and philosophies; and the potential of our products and product candidates. These statements are based on our current expectations and involve risks and uncertainties. No forward-looking statement can be guaranteed and actual results may differ materially from those stated or implied by forward-looking statements. We undertake no obligation to publicly update any forward-looking statement, except as required under applicable law. Forward-looking statements should be evaluated together with the many risks and uncertainties that affect our business, particularly those mentioned under the “Risk Factors” heading of our Annual Report on Form 10-K for the year ended December 31, 2024, which was filed with the SEC on February 26, 2025.</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57"/>
          <w:szCs w:val="57"/>
          <w:b w:val="1"/>
          <w:bCs w:val="1"/>
          <w:color w:val="FFFFFF"/>
        </w:rPr>
        <w:t>Proposal 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ELECTION OF DIRECTORS</w:t>
      </w:r>
    </w:p>
    <w:p>
      <w:pPr>
        <w:spacing w:after="0" w:line="3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currently consists of nine directors. There are nine nominees for director this year, all of whom were nominated by our Board, consisting of our incumbent directors. Each director to be elected will hold office until the next annual meeting of stockholders and until his or her successor is elected, or until the director’s earlier death, resignation or removal. All nominees listed below are currently our directors and were previously elected by our stockholders at the 2024 Annual Meeting of Stockholders, except for Mr. Binder who was appointed to the Board in October 2024. It is our policy that directors are invited and expected to attend annual meetings. All of our directors attended the 2024 Annual Meeting of Stockholders.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properly cast at the Annual Meeting or by proxy. The nine nominees receiving the highest number of affirmative votes will be elected. Shares represented by executed proxies will be voted, if authority to do so is not withheld, for the election of the nine nominees named below. If any nominee becomes unavailable for election as a result of an unexpected occurrence, your shares may be voted for the election of a substitute nominee proposed by our Nominating and Corporate Governance Committee. Each person nominated for election has agreed to serve if elected. Our management has no reason to believe that any nominee will be unable to serve.</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that we have an accomplished slate of nominees, with diversity of thought, experience, perspective and skills beneficial to the Company. All nominees except Messrs. Castagna and Binder are independent. The average tenure of our directors is approximately 9.3 years, which includes three directors with more than a dozen years of history with the Company and four directors who joined the Board after 2019. We believe that a mix of service lengths is beneficial to the overall functioning of the Board.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our Board of Directors to conclude that each nominee should serve as a member of the Board.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JAMES S. SHANNON, M.D.,</w:t>
            </w:r>
          </w:p>
        </w:tc>
        <w:tc>
          <w:tcPr>
            <w:tcW w:w="48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Chair of the Board of Directors</w:t>
            </w:r>
          </w:p>
        </w:tc>
        <w:tc>
          <w:tcPr>
            <w:tcW w:w="376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Age: 68</w:t>
            </w: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MRCP (UK)</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Member, Compensation Committee</w:t>
            </w:r>
          </w:p>
        </w:tc>
        <w:tc>
          <w:tcPr>
            <w:tcW w:w="37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Director since: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Dr. Shannon’s business experience and his extensive experience in drug development, combined with his business acumen and judgment provide our Board with valuable scientific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Times New Roman" w:cs="Times New Roman" w:eastAsia="Times New Roman" w:hAnsi="Times New Roman"/>
          <w:sz w:val="18"/>
          <w:szCs w:val="18"/>
          <w:color w:val="auto"/>
        </w:rPr>
        <w:t>James S. Shannon, M.D. rejoined our Board in May 2015 after previously serving as a director from February 2010 until April 2012. Dr. Shannon was appointed Chairman of the Board of Directors in December 2020. From May 2012 until his retirement in April 2015, Dr. Shannon was the Chief Medical Officer of GSK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 from those of Ciba-Geigy Ltd. and Sandoz. Following the merger, he was appointed Head of the Cardiovascular Strategic Team and subsequently became Global Head of Project and Portfolio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has also served on the boards of Immodulon Therapeutics Limited from July 2015 until December 2021 and Horizon Therapeutics from August 2017 to October 2023. He is currently Chairman of the boards of Kyowa Kirin (NA), Inc. (since July 2019) and of ProQR Therapeutics NV (since May 2024), and has served on the boards of Leyden Labs since September 2020 and Xilio Therapeutics since June 2024.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spacing w:after="0" w:line="200" w:lineRule="exact"/>
        <w:rPr>
          <w:sz w:val="20"/>
          <w:szCs w:val="20"/>
          <w:color w:val="auto"/>
        </w:rPr>
      </w:pPr>
    </w:p>
    <w:p>
      <w:pPr>
        <w:sectPr>
          <w:pgSz w:w="11900" w:h="16838" w:orient="portrait"/>
          <w:cols w:equalWidth="0" w:num="2">
            <w:col w:w="2580" w:space="400"/>
            <w:col w:w="82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MICHAEL E. CASTAGNA,</w:t>
            </w:r>
          </w:p>
        </w:tc>
        <w:tc>
          <w:tcPr>
            <w:tcW w:w="44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240" w:type="dxa"/>
            <w:vAlign w:val="bottom"/>
            <w:tcBorders>
              <w:top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Age: 48</w:t>
            </w:r>
          </w:p>
        </w:tc>
      </w:tr>
      <w:tr>
        <w:trPr>
          <w:trHeight w:val="23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PHARM.D.</w:t>
            </w:r>
          </w:p>
        </w:tc>
        <w:tc>
          <w:tcPr>
            <w:tcW w:w="44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42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Director since: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Mr. Castagna’s knowledge and extensive experience with commercial pharmaceutical companies,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100"/>
        <w:spacing w:after="0" w:line="253" w:lineRule="auto"/>
        <w:rPr>
          <w:sz w:val="20"/>
          <w:szCs w:val="20"/>
          <w:color w:val="auto"/>
        </w:rPr>
      </w:pPr>
      <w:r>
        <w:rPr>
          <w:rFonts w:ascii="Times New Roman" w:cs="Times New Roman" w:eastAsia="Times New Roman" w:hAnsi="Times New Roman"/>
          <w:sz w:val="18"/>
          <w:szCs w:val="18"/>
          <w:color w:val="auto"/>
        </w:rPr>
        <w:t>Michael E. Castagna, Pharm.D. has served as our Chief Executive Officer and as one of our directors since May 2017. Mr. Castagna also served as our Corporate Vice President, Chief Commercial Officer from March 2016 until May 2017. From November 2012 until he joined us, Mr.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Before BMS, Mr.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130175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300"/>
            <w:col w:w="8260"/>
          </w:cols>
          <w:pgMar w:left="320" w:top="981" w:right="33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3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STEVEN B. BINDER</w:t>
            </w:r>
          </w:p>
        </w:tc>
        <w:tc>
          <w:tcPr>
            <w:tcW w:w="4080" w:type="dxa"/>
            <w:vAlign w:val="bottom"/>
            <w:tcBorders>
              <w:top w:val="single" w:sz="8" w:color="auto"/>
            </w:tcBorders>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820" w:type="dxa"/>
            <w:vAlign w:val="bottom"/>
            <w:tcBorders>
              <w:top w:val="single" w:sz="8" w:color="auto"/>
            </w:tcBorders>
          </w:tcPr>
          <w:p>
            <w:pPr>
              <w:ind w:left="2800"/>
              <w:spacing w:after="0"/>
              <w:rPr>
                <w:sz w:val="20"/>
                <w:szCs w:val="20"/>
                <w:color w:val="auto"/>
              </w:rPr>
            </w:pPr>
            <w:r>
              <w:rPr>
                <w:rFonts w:ascii="Times New Roman" w:cs="Times New Roman" w:eastAsia="Times New Roman" w:hAnsi="Times New Roman"/>
                <w:sz w:val="18"/>
                <w:szCs w:val="18"/>
                <w:b w:val="1"/>
                <w:bCs w:val="1"/>
                <w:color w:val="auto"/>
              </w:rPr>
              <w:t>Age: 62</w:t>
            </w:r>
          </w:p>
        </w:tc>
        <w:tc>
          <w:tcPr>
            <w:tcW w:w="0" w:type="dxa"/>
            <w:vAlign w:val="bottom"/>
          </w:tcPr>
          <w:p>
            <w:pPr>
              <w:spacing w:after="0"/>
              <w:rPr>
                <w:sz w:val="1"/>
                <w:szCs w:val="1"/>
                <w:color w:val="auto"/>
              </w:rPr>
            </w:pPr>
          </w:p>
        </w:tc>
      </w:tr>
      <w:tr>
        <w:trPr>
          <w:trHeight w:val="130"/>
        </w:trPr>
        <w:tc>
          <w:tcPr>
            <w:tcW w:w="2340" w:type="dxa"/>
            <w:vAlign w:val="bottom"/>
            <w:vMerge w:val="continue"/>
          </w:tcPr>
          <w:p>
            <w:pPr>
              <w:spacing w:after="0"/>
              <w:rPr>
                <w:sz w:val="11"/>
                <w:szCs w:val="11"/>
                <w:color w:val="auto"/>
              </w:rPr>
            </w:pPr>
          </w:p>
        </w:tc>
        <w:tc>
          <w:tcPr>
            <w:tcW w:w="4080" w:type="dxa"/>
            <w:vAlign w:val="bottom"/>
            <w:vMerge w:val="continue"/>
          </w:tcPr>
          <w:p>
            <w:pPr>
              <w:spacing w:after="0"/>
              <w:rPr>
                <w:sz w:val="11"/>
                <w:szCs w:val="11"/>
                <w:color w:val="auto"/>
              </w:rPr>
            </w:pPr>
          </w:p>
        </w:tc>
        <w:tc>
          <w:tcPr>
            <w:tcW w:w="482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Director since: 2024</w:t>
            </w: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p>
      <w:pPr>
        <w:spacing w:after="0" w:line="317"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Mr. Binder’s knowledge and understanding of accounting and finance, his experience as a former executive officer at MannKind and Stryker Corporation, and senior leadership roles at BMS, combined with his business acumen and judgment provide our Board with valuable accounting, financial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8"/>
          <w:szCs w:val="18"/>
          <w:color w:val="auto"/>
        </w:rPr>
        <w:t>Steven B. Binder joined our Board in October 2024 and was our Chief Financial Officer from July 2017 to April 2024. He also served as our Executive Vice President, Special Projects, from April 2024 to September 2024. Before joining us, from 2013 to 2017, Mr. Binder served as Vice President and Chief 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from 2012 to 2013, Europe from 2008 to 2011, AsiaPacific from 2005 to 2007, and Japan from 2003 to 2005. Prior to his international experience, Mr. Binder served in three senior leadership roles for Oncology Therapeutics Network, a U.S.-based independent subsidiary of BMS: Vice President, Strategic Development from 2001 to 2003, Vice President, Customer Operations from 2000 to 2001, and Chief Financial Officer from 1997 to 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132715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300"/>
            <w:col w:w="8260"/>
          </w:cols>
          <w:pgMar w:left="320" w:top="984" w:right="339" w:bottom="1440" w:gutter="0" w:footer="0" w:header="0"/>
          <w:type w:val="continuous"/>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Borders>
              <w:top w:val="single" w:sz="8" w:color="auto"/>
            </w:tcBorders>
          </w:tcPr>
          <w:p>
            <w:pPr>
              <w:spacing w:after="0"/>
              <w:rPr>
                <w:sz w:val="18"/>
                <w:szCs w:val="18"/>
                <w:color w:val="auto"/>
              </w:rPr>
            </w:pPr>
          </w:p>
        </w:tc>
        <w:tc>
          <w:tcPr>
            <w:tcW w:w="59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78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Age: 81</w:t>
            </w:r>
          </w:p>
        </w:tc>
        <w:tc>
          <w:tcPr>
            <w:tcW w:w="0" w:type="dxa"/>
            <w:vAlign w:val="bottom"/>
          </w:tcPr>
          <w:p>
            <w:pPr>
              <w:spacing w:after="0"/>
              <w:rPr>
                <w:sz w:val="1"/>
                <w:szCs w:val="1"/>
                <w:color w:val="auto"/>
              </w:rPr>
            </w:pPr>
          </w:p>
        </w:tc>
      </w:tr>
      <w:tr>
        <w:trPr>
          <w:trHeight w:val="10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RONALD J. CONSIGLIO</w:t>
            </w:r>
          </w:p>
        </w:tc>
        <w:tc>
          <w:tcPr>
            <w:tcW w:w="59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Chair, Audit Committee</w:t>
            </w: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278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59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Member, Nominating and Corporate Governance Committee</w:t>
            </w: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p>
      <w:pPr>
        <w:ind w:left="20"/>
        <w:spacing w:after="0" w:line="252" w:lineRule="auto"/>
        <w:rPr>
          <w:sz w:val="20"/>
          <w:szCs w:val="20"/>
          <w:color w:val="auto"/>
        </w:rPr>
      </w:pPr>
      <w:r>
        <w:rPr>
          <w:rFonts w:ascii="Times New Roman" w:cs="Times New Roman" w:eastAsia="Times New Roman" w:hAnsi="Times New Roman"/>
          <w:sz w:val="18"/>
          <w:szCs w:val="18"/>
          <w:i w:val="1"/>
          <w:iCs w:val="1"/>
          <w:color w:val="auto"/>
        </w:rPr>
        <w:t>The Board believes that Mr. Consiglio’s knowledge and understanding of accounting and finance, his experience as a board member and executive officer at financial services firms, combined with his business acumen and judgment provide our Board with valuable accounting, financial and operational expertise and leadership and qualify him to serve on our Board of Directors. Mr. Consiglio meets the requirements of an SEC designated Audit Committee Financial Expert.</w:t>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Times New Roman" w:cs="Times New Roman" w:eastAsia="Times New Roman" w:hAnsi="Times New Roman"/>
          <w:sz w:val="18"/>
          <w:szCs w:val="18"/>
          <w:color w:val="auto"/>
        </w:rPr>
        <w:t>Ronald J. Consiglio has been one of our directors since October 2003. Since 1999, Mr. Consiglio has been the Managing Director of Synergy Trading, a 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served as a member of the board of trustees for the Metropolitan West Funds from 2003 to 2023. Mr. Consiglio served as a certified public accountant for over 17 years and was a partner in the international accounting firm of Deloitte, Haskins &amp; Sells (now Deloitte &amp; Touche LLP). He holds a bachelor’s degree in accounting from California State University at Northridge.</w:t>
      </w:r>
    </w:p>
    <w:p>
      <w:pPr>
        <w:spacing w:after="0" w:line="1267" w:lineRule="exact"/>
        <w:rPr>
          <w:sz w:val="20"/>
          <w:szCs w:val="20"/>
          <w:color w:val="auto"/>
        </w:rPr>
      </w:pPr>
    </w:p>
    <w:p>
      <w:pPr>
        <w:sectPr>
          <w:pgSz w:w="11900" w:h="16838" w:orient="portrait"/>
          <w:cols w:equalWidth="0" w:num="2">
            <w:col w:w="2680" w:space="300"/>
            <w:col w:w="8260"/>
          </w:cols>
          <w:pgMar w:left="320" w:top="98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00" w:type="dxa"/>
            <w:vAlign w:val="bottom"/>
            <w:tcBorders>
              <w:top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3240" w:type="dxa"/>
            <w:vAlign w:val="bottom"/>
            <w:tcBorders>
              <w:top w:val="single" w:sz="8" w:color="auto"/>
            </w:tcBorders>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Age: 81</w:t>
            </w:r>
          </w:p>
        </w:tc>
        <w:tc>
          <w:tcPr>
            <w:tcW w:w="0" w:type="dxa"/>
            <w:vAlign w:val="bottom"/>
          </w:tcPr>
          <w:p>
            <w:pPr>
              <w:spacing w:after="0"/>
              <w:rPr>
                <w:sz w:val="1"/>
                <w:szCs w:val="1"/>
                <w:color w:val="auto"/>
              </w:rPr>
            </w:pPr>
          </w:p>
        </w:tc>
      </w:tr>
      <w:tr>
        <w:trPr>
          <w:trHeight w:val="108"/>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MICHAEL A. FRIEDMAN, M.D.    Member, Nominating and Corporate Governance</w:t>
            </w: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0" w:type="dxa"/>
            <w:vAlign w:val="bottom"/>
            <w:vMerge w:val="continue"/>
          </w:tcPr>
          <w:p>
            <w:pPr>
              <w:spacing w:after="0"/>
              <w:rPr>
                <w:sz w:val="9"/>
                <w:szCs w:val="9"/>
                <w:color w:val="auto"/>
              </w:rPr>
            </w:pPr>
          </w:p>
        </w:tc>
        <w:tc>
          <w:tcPr>
            <w:tcW w:w="3240" w:type="dxa"/>
            <w:vAlign w:val="bottom"/>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800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0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Dr. Friedman’s business experience, including his experience as an executive officer at biopharmaceutical companies and a leading clinical and research center specializing in cancer and diabetes, and his service at the Food and Drug Administration, combined with his business acumen and judgment provide our Board with valuable scientific and operational</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Times New Roman" w:cs="Times New Roman" w:eastAsia="Times New Roman" w:hAnsi="Times New Roman"/>
          <w:sz w:val="17"/>
          <w:szCs w:val="17"/>
          <w:color w:val="auto"/>
        </w:rPr>
        <w:t>Michael A. Friedman, M.D. has been one of our directors since December 2003. In 2014, Dr. Friedman completed a decade of service as the President and 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w:t>
      </w:r>
    </w:p>
    <w:p>
      <w:pPr>
        <w:spacing w:after="0" w:line="3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680" w:space="300"/>
            <w:col w:w="8260"/>
          </w:cols>
          <w:pgMar w:left="320" w:top="984"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i w:val="1"/>
          <w:iCs w:val="1"/>
          <w:color w:val="auto"/>
        </w:rPr>
        <w:t>expertise and leadership and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him to serve on our Board 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Borders>
              <w:top w:val="single" w:sz="8" w:color="auto"/>
            </w:tcBorders>
          </w:tcPr>
          <w:p>
            <w:pPr>
              <w:spacing w:after="0"/>
              <w:rPr>
                <w:sz w:val="18"/>
                <w:szCs w:val="18"/>
                <w:color w:val="auto"/>
              </w:rPr>
            </w:pPr>
          </w:p>
        </w:tc>
        <w:tc>
          <w:tcPr>
            <w:tcW w:w="51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4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234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Age: 53</w:t>
            </w:r>
          </w:p>
        </w:tc>
        <w:tc>
          <w:tcPr>
            <w:tcW w:w="0" w:type="dxa"/>
            <w:vAlign w:val="bottom"/>
          </w:tcPr>
          <w:p>
            <w:pPr>
              <w:spacing w:after="0"/>
              <w:rPr>
                <w:sz w:val="1"/>
                <w:szCs w:val="1"/>
                <w:color w:val="auto"/>
              </w:rPr>
            </w:pPr>
          </w:p>
        </w:tc>
      </w:tr>
      <w:tr>
        <w:trPr>
          <w:trHeight w:val="108"/>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JENNIFER GRANCIO</w:t>
            </w:r>
          </w:p>
        </w:tc>
        <w:tc>
          <w:tcPr>
            <w:tcW w:w="51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4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vMerge w:val="continue"/>
          </w:tcPr>
          <w:p>
            <w:pPr>
              <w:spacing w:after="0"/>
              <w:rPr>
                <w:sz w:val="9"/>
                <w:szCs w:val="9"/>
                <w:color w:val="auto"/>
              </w:rPr>
            </w:pPr>
          </w:p>
        </w:tc>
        <w:tc>
          <w:tcPr>
            <w:tcW w:w="51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51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140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51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p>
      <w:pPr>
        <w:ind w:left="20"/>
        <w:spacing w:after="0" w:line="254" w:lineRule="auto"/>
        <w:rPr>
          <w:sz w:val="20"/>
          <w:szCs w:val="20"/>
          <w:color w:val="auto"/>
        </w:rPr>
      </w:pPr>
      <w:r>
        <w:rPr>
          <w:rFonts w:ascii="Times New Roman" w:cs="Times New Roman" w:eastAsia="Times New Roman" w:hAnsi="Times New Roman"/>
          <w:sz w:val="18"/>
          <w:szCs w:val="18"/>
          <w:i w:val="1"/>
          <w:iCs w:val="1"/>
          <w:color w:val="auto"/>
        </w:rPr>
        <w:t>The Board believes that Ms. Grancio’s business acumen and judgment including her service on other public company boards,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8"/>
          <w:szCs w:val="18"/>
          <w:color w:val="auto"/>
        </w:rPr>
        <w:t>Jennifer Grancio has been one of our directors since March 2020. Since October 2023, Ms. Grancio has been the Global Head of Wealth at the TCW Group. From October 2020 until October 2023, Ms. Grancio served as the Chief Executive Officer of Engine No. 1, an impact investment firm. From November 2018 until October 2020, she consulted through Grancio Capital, where she worked with CEOs to accelerate high-growth company success. From 1999 to 2018, she served as a founder and executive with BlackRock’s iShares business, where she spearheaded the distribution of iShares in the United States and Europe and acted as the Global Head of Marketing and Partnerships for BlackRock’s index business. Prior to BlackRock, she was a senior associate with PricewaterhouseCoopers, a management consulting firm. Ms. Grancio serves as a board member for Ethic Inc., a sustainable investing firm, and for Harvest Savings &amp; Wealth Technologies, Inc. She is also on the advisory boards of Say Technologies LLC and m+ funds (from Alaia Capital, LLC). Ms. Grancio earned a bachelor’s degree in economics and international relations from Stanford University, and an MBA degree in strategy and finance from Columbia Business School.</w:t>
      </w:r>
    </w:p>
    <w:p>
      <w:pPr>
        <w:spacing w:after="0" w:line="193" w:lineRule="exact"/>
        <w:rPr>
          <w:sz w:val="20"/>
          <w:szCs w:val="20"/>
          <w:color w:val="auto"/>
        </w:rPr>
      </w:pPr>
    </w:p>
    <w:p>
      <w:pPr>
        <w:sectPr>
          <w:pgSz w:w="11900" w:h="16838" w:orient="portrait"/>
          <w:cols w:equalWidth="0" w:num="2">
            <w:col w:w="2680" w:space="300"/>
            <w:col w:w="8260"/>
          </w:cols>
          <w:pgMar w:left="320" w:top="99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38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3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234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Age: 70</w:t>
            </w:r>
          </w:p>
        </w:tc>
        <w:tc>
          <w:tcPr>
            <w:tcW w:w="0" w:type="dxa"/>
            <w:vAlign w:val="bottom"/>
          </w:tcPr>
          <w:p>
            <w:pPr>
              <w:spacing w:after="0"/>
              <w:rPr>
                <w:sz w:val="1"/>
                <w:szCs w:val="1"/>
                <w:color w:val="auto"/>
              </w:rPr>
            </w:pPr>
          </w:p>
        </w:tc>
      </w:tr>
      <w:tr>
        <w:trPr>
          <w:trHeight w:val="10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ANTHONY HOOPER</w:t>
            </w:r>
          </w:p>
        </w:tc>
        <w:tc>
          <w:tcPr>
            <w:tcW w:w="42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32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vMerge w:val="continue"/>
          </w:tcPr>
          <w:p>
            <w:pPr>
              <w:spacing w:after="0"/>
              <w:rPr>
                <w:sz w:val="9"/>
                <w:szCs w:val="9"/>
                <w:color w:val="auto"/>
              </w:rPr>
            </w:pPr>
          </w:p>
        </w:tc>
        <w:tc>
          <w:tcPr>
            <w:tcW w:w="420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42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232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Mr. Hooper’s business experience, his extensive experience in drug commercialization and his service on other public company boards,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8"/>
          <w:szCs w:val="18"/>
          <w:color w:val="auto"/>
        </w:rPr>
        <w:t>Anthony Hooper has been one of our directors since January 2020. He is also a director of BeiGene, Ltd. and Amplity Health. Mr. Hooper served as executive vice president of Global Commercial Operations for Amgen Inc. from October 2011 until August 2018. Prior to joining Amgen, Mr. Hooper spent more than 15 years at BMS.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w:t>
      </w:r>
    </w:p>
    <w:p>
      <w:pPr>
        <w:spacing w:after="0" w:line="836" w:lineRule="exact"/>
        <w:rPr>
          <w:sz w:val="20"/>
          <w:szCs w:val="20"/>
          <w:color w:val="auto"/>
        </w:rPr>
      </w:pPr>
    </w:p>
    <w:p>
      <w:pPr>
        <w:sectPr>
          <w:pgSz w:w="11900" w:h="16838" w:orient="portrait"/>
          <w:cols w:equalWidth="0" w:num="2">
            <w:col w:w="2600" w:space="380"/>
            <w:col w:w="8260"/>
          </w:cols>
          <w:pgMar w:left="320" w:top="99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SABRINA KAY, ED.D.</w:t>
            </w:r>
          </w:p>
        </w:tc>
        <w:tc>
          <w:tcPr>
            <w:tcW w:w="59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0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Age: 62</w:t>
            </w:r>
          </w:p>
        </w:tc>
        <w:tc>
          <w:tcPr>
            <w:tcW w:w="0" w:type="dxa"/>
            <w:vAlign w:val="bottom"/>
          </w:tcPr>
          <w:p>
            <w:pPr>
              <w:spacing w:after="0"/>
              <w:rPr>
                <w:sz w:val="1"/>
                <w:szCs w:val="1"/>
                <w:color w:val="auto"/>
              </w:rPr>
            </w:pPr>
          </w:p>
        </w:tc>
      </w:tr>
      <w:tr>
        <w:trPr>
          <w:trHeight w:val="130"/>
        </w:trPr>
        <w:tc>
          <w:tcPr>
            <w:tcW w:w="2400" w:type="dxa"/>
            <w:vAlign w:val="bottom"/>
            <w:vMerge w:val="continue"/>
          </w:tcPr>
          <w:p>
            <w:pPr>
              <w:spacing w:after="0"/>
              <w:rPr>
                <w:sz w:val="11"/>
                <w:szCs w:val="11"/>
                <w:color w:val="auto"/>
              </w:rPr>
            </w:pPr>
          </w:p>
        </w:tc>
        <w:tc>
          <w:tcPr>
            <w:tcW w:w="59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Member, Audit Committee and Compensation Committee</w:t>
            </w: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p>
      <w:pPr>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The Board believes that Dr. Kay’s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Dr. Sabrina Kay has been a member of our Board of Directors since December 2020. She currently serves as the CEO of Fremont Private Investments and a Strategic Partner at VSS Capital. A serial entrepreneur, Dr. Kay was the founder and CEO of The Art Institute of Hollywood (sold to Education Management Corporation), Premier Business Bank (sold to First Foundation Inc.), Fremont University (sold to Select Education Group), Fashion Umbrella, and Dale Carnegie of Los Angeles. She serves on the boards of East West Bank and Hagerty. As a philanthropist, she has been involved with more than 30 charitable and civic organizations and currently serves on the boards of the Los Angeles Sports and Entertainment Commission, Petersen Automotive Museum, the Leadership Council of International Medical Corps, and After-School All-Stars Los Angeles, which she chaired for over 20 years. Dr. Kay holds an Ed.D. and M.Sc. in Education from the University of Pennsylvania and an MBA from the University of Southern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132080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300"/>
            <w:col w:w="8260"/>
          </w:cols>
          <w:pgMar w:left="320" w:top="997" w:right="33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500" w:type="dxa"/>
            <w:vAlign w:val="bottom"/>
            <w:tcBorders>
              <w:top w:val="single" w:sz="8" w:color="auto"/>
            </w:tcBorders>
          </w:tcPr>
          <w:p>
            <w:pPr>
              <w:spacing w:after="0"/>
              <w:rPr>
                <w:sz w:val="18"/>
                <w:szCs w:val="18"/>
                <w:color w:val="auto"/>
              </w:rPr>
            </w:pPr>
          </w:p>
        </w:tc>
        <w:tc>
          <w:tcPr>
            <w:tcW w:w="63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3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Age: 56</w:t>
            </w:r>
          </w:p>
        </w:tc>
        <w:tc>
          <w:tcPr>
            <w:tcW w:w="0" w:type="dxa"/>
            <w:vAlign w:val="bottom"/>
          </w:tcPr>
          <w:p>
            <w:pPr>
              <w:spacing w:after="0"/>
              <w:rPr>
                <w:sz w:val="1"/>
                <w:szCs w:val="1"/>
                <w:color w:val="auto"/>
              </w:rPr>
            </w:pPr>
          </w:p>
        </w:tc>
      </w:tr>
      <w:tr>
        <w:trPr>
          <w:trHeight w:val="10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CHRISTINE MUNDKUR</w:t>
            </w:r>
          </w:p>
        </w:tc>
        <w:tc>
          <w:tcPr>
            <w:tcW w:w="63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Member, Audit Committee and Nominating and Corporate Governance</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636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 since: 2018</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63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636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Ms. Mundkur’s business experience, including her experience as chair of the board and chief executive officer at a pharmaceutical company developing inhaled drugs, combined with her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Times New Roman" w:cs="Times New Roman" w:eastAsia="Times New Roman" w:hAnsi="Times New Roman"/>
          <w:sz w:val="18"/>
          <w:szCs w:val="18"/>
          <w:color w:val="auto"/>
        </w:rPr>
        <w:t>Christine Mundkur has been one of our directors since November 2018. Ms. Mundkur most recently served as Chief Executive Officer and non-voting Chairman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and served on the board of directors of Lupin Limited from April 2019 through December 2022. Ms. Mundkur holds a J.D. from the St. Louis University School of Law and received her B.S. degree in chemistry from St. Louis University.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63" w:lineRule="exact"/>
        <w:rPr>
          <w:sz w:val="20"/>
          <w:szCs w:val="20"/>
          <w:color w:val="auto"/>
        </w:rPr>
      </w:pPr>
    </w:p>
    <w:p>
      <w:pPr>
        <w:sectPr>
          <w:pgSz w:w="11900" w:h="16838" w:orient="portrait"/>
          <w:cols w:equalWidth="0" w:num="2">
            <w:col w:w="2660" w:space="320"/>
            <w:col w:w="8260"/>
          </w:cols>
          <w:pgMar w:left="320" w:top="98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 VOTE “FOR” THE ELECTION OF ALL DIRECTOR NOMINEES NAMED ABOVE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AND COMMITTEE MATTERS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Our Board consults with the Company’s counsel to ensure that the Board’s determinations are consistent with all relevant securities and other laws and regulations regarding the definition of “independent,” including those set forth in pertinent listing standards of Nasdaq, as in effect time to time.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auditors, the Board affirmatively has determined that all of the Company’s directors, other than Messrs. Castagna and Binder, are independent within the meaning of the applicable Nasdaq listing standards. Mr. Castagna was determined not to be independent under applicable Nasdaq listing standards due to his position as an executive officer of our company. Mr. Binder was similarly determined not to be independent under applicable Nasdaq listing standards due to his former position as an executive officer of the Company. In making this determination, the Board found that none of the other directors has a disqualifying relationship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its Committees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are committed to maintaining the highest standards of business conduct and ethics. Our Board has adopted a Code of Business Conduct and Ethics and adheres to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charters for various Board committees set forth the practices the Board will follow with respect to board composition and selection, board meetings and involvement of senior management, Chief Executive Officer performance evaluation and succession planning, and board committees and compensation. Our Board adopted these measures to, among other things, reflect changes to the Nasdaq listing standards and SEC rules adopted to implement provisions of the Sarbanes-Oxley Act of 2002, as amended. Our Code of Business Conduct and Ethics, as well as the charters for each committee of the Board, may be viewed on our website at </w:t>
      </w:r>
      <w:r>
        <w:rPr>
          <w:rFonts w:ascii="Times New Roman" w:cs="Times New Roman" w:eastAsia="Times New Roman" w:hAnsi="Times New Roman"/>
          <w:sz w:val="18"/>
          <w:szCs w:val="18"/>
          <w:i w:val="1"/>
          <w:iCs w:val="1"/>
          <w:color w:val="auto"/>
        </w:rPr>
        <w:t>mannkindcorp.com/corporate-governance/.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Board is chaired by Dr. Shannon. As a general policy, our Board of Directors believes that separation of the positions of Chair and Chief Executive Officer reinforces the independence of the Board from management, creates an environment that encourages objective oversight of management’s performance and enhances the effectiveness of the Board as a whole. As such, Mr. Castagna serves as our Chief Executive Officer while Dr. Shannon serves as our Chair of the Board but is not an officer. We expect and intend the positions of Chair of the Board and Chief Executive Officer to continue to be held by separate individuals in the future. If in the future we conclude there is a compelling reason for the positions of Chair of the Board and Chief Executive Officer to be occupied by the same individual, we would expect to appoint one of our other directors to the position of lead independent director to help reinforce the independence of the Board from management.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the Company’s risk management process. The Board does not have a standing risk management committee, but rather administers this oversight function directly through the Board as a whole, as well as through various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review our enterprise risk management process, to consider and discuss our major financial risk exposures and the steps our management has taken to monitor and control these exposures, including an annual review of specific risks and mitigating plans identified by management and guidelines and policies to govern the process by which risk assessment and management is undertaken. The Audit Committee is also responsible for overseeing our cybersecurity risk management processes, including oversight of mitigation of risks from cybersecurity threats. Our Compensation Committee reviews and approves individual and corporate performance goals, advises the Board regarding the adoption, modification, or termination of compensation plans and policies and assesses and monitors whether any of our compensation policies and programs has the potential to encourage excessive risk-taking.</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Board has three standing committees: an Audit Committee, a Compensation Committee, and a Nominating and Corporate Governance Committee. All three committees operate under written charters adopted by our Board, all of which are available on our website at </w:t>
      </w:r>
      <w:r>
        <w:rPr>
          <w:rFonts w:ascii="Times New Roman" w:cs="Times New Roman" w:eastAsia="Times New Roman" w:hAnsi="Times New Roman"/>
          <w:sz w:val="18"/>
          <w:szCs w:val="18"/>
          <w:i w:val="1"/>
          <w:iCs w:val="1"/>
          <w:color w:val="auto"/>
        </w:rPr>
        <w:t>mannkindcorp.com/corporate-governance/.</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rules and regulations regarding “independence” and that each member is free of any relationship that would interfere with his or her individual exercise of independent judgment with regard to the Company. Below is a description of each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Mr. Consiglio (Chair), Ms. Grancio, Mr. Hooper, Dr. Kay and Ms. Mundkur, each of whom is an independent member of our Board (as determined by our Board based on its annual review of the independence requirement of Audit Committee members provided in Rule 5605(c)(2)(A)(i) and (ii) of the Nasdaq listing standards). Our Audit Committee was established by the Board in accordance with Section 3(a)(58)(A) of the Exchange Act, to oversee the Company’s corporate accounting and financial reporting processes and audits of its financial statements. The functions of this committee include, among others:</w:t>
      </w:r>
    </w:p>
    <w:p>
      <w:pPr>
        <w:spacing w:after="0" w:line="7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the independent registered public accounting firm to perform any proposed permissible non-audit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engagement team as required by law;</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internal controls over financial reporting;</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jc w:val="both"/>
        <w:ind w:left="760" w:right="2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as appropriate, our independent registered public accounting firm, our guidelines and policies with respect to risk identification, risk assessment and risk management, including cybersecurity risks and our major enterprise risk exposures and the steps taken by management to monitor and control these risks and exposures;</w:t>
      </w:r>
    </w:p>
    <w:p>
      <w:pPr>
        <w:spacing w:after="0" w:line="67"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adherence to applicable laws and rules as well as to our Code of Business Conduct and Ethics, including review and approval of every transaction with a related person that must be disclosed pursuant to the applicable SEC rules;</w:t>
      </w:r>
    </w:p>
    <w:p>
      <w:pPr>
        <w:spacing w:after="0" w:line="6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 quarterly basis, the investment portfolio for adherence to our Investment Policy and associated financial returns; and</w:t>
      </w:r>
    </w:p>
    <w:p>
      <w:pPr>
        <w:spacing w:after="0" w:line="53"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Board has determined that Mr. Consiglio qualifies as an “audit committee financial expert,” as that term is defined in applicable SEC rules. In making such determinations, the Board made a qualitative assessment of Mr. Consiglio’s level of knowledge and experience based on a number of factors, including his formal education and experience. Both our independent registered public accounting firm and internal financial personnel regularly meet privately with our Audit Committee and have unrestricted access to this committee. Our Audit Committee charter can be found on our corporate website at </w:t>
      </w:r>
      <w:r>
        <w:rPr>
          <w:rFonts w:ascii="Times New Roman" w:cs="Times New Roman" w:eastAsia="Times New Roman" w:hAnsi="Times New Roman"/>
          <w:sz w:val="18"/>
          <w:szCs w:val="18"/>
          <w:i w:val="1"/>
          <w:iCs w:val="1"/>
          <w:color w:val="auto"/>
        </w:rPr>
        <w:t xml:space="preserve">mannkindcorp.com/corporate-governance/. </w:t>
      </w:r>
      <w:r>
        <w:rPr>
          <w:rFonts w:ascii="Times New Roman" w:cs="Times New Roman" w:eastAsia="Times New Roman" w:hAnsi="Times New Roman"/>
          <w:sz w:val="18"/>
          <w:szCs w:val="18"/>
          <w:color w:val="auto"/>
        </w:rPr>
        <w:t>The Audit Committee met eight times during 2024. The report of the Audit Committee is included herein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Mr. Hooper (Chair), Dr. Kay and Dr. Shannon, each of whom is an independent member of our Board (as independence is currently defined in Rules 5605(a)(2) and 5605(d)(2) of the Nasdaq listing standards). The functions of this committee include, among others: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ind w:left="760" w:right="40" w:hanging="37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or approving (or with respect to our Chief Executive Officer, recommending to the full Board for approval) policy relating to compensation and benefits of our officers and employees, including reviewing and approving corporate goals and objectives relevant to compensation of our executive and other senior officers, evaluating the performance of these officers in light of those goals and objectives, and recommending or approving (or with respect to our Chief Executive Officer, recommending to the full Board for approval) compensation of these officers based on such evaluations;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benefit plans and the issuance of stock options and other awards under our stock plans;</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type and amount of compensation to be paid or awarded to non-employee members of our Board of Directors, including consulting, retainer, meeting, committee and committee chair fees and restricted stock unit awards;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for succession with respect to the position of Chief Executive Officer and other senior officers;</w:t>
      </w:r>
    </w:p>
    <w:p>
      <w:pPr>
        <w:spacing w:after="0" w:line="117"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with respect to our Chief Executive Officer, recommending to the full Board for approval) the terms of any employment agreements, severance arrangements, change-of-control protections and any other compensatory arrangements for our executive officers; and</w:t>
      </w:r>
    </w:p>
    <w:p>
      <w:pPr>
        <w:spacing w:after="0" w:line="6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Compensation Committee and its members, including compliance of the Compensation Committee with its charter.</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has ever been one of our officers or employees. During 2024, none of our executive officers served as a member of the Board of Directors or compensation committee of any other entity that had one or more executive officers who served on our Board of Directors or Compensation Committee.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Compensation Committee met five times during 2024.</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processes and procedures of the Compensation Committee with respect to executive compensation are described in greater detail in the “Compensation Discussion and Analysis” section of this proxy statement. Our Compensation Committee charter can be found on our corporate website at </w:t>
      </w:r>
      <w:r>
        <w:rPr>
          <w:rFonts w:ascii="Times New Roman" w:cs="Times New Roman" w:eastAsia="Times New Roman" w:hAnsi="Times New Roman"/>
          <w:sz w:val="18"/>
          <w:szCs w:val="18"/>
          <w:i w:val="1"/>
          <w:iCs w:val="1"/>
          <w:color w:val="auto"/>
        </w:rPr>
        <w:t xml:space="preserve">mannkindcorp.com/corporate-governance/. </w:t>
      </w:r>
      <w:r>
        <w:rPr>
          <w:rFonts w:ascii="Times New Roman" w:cs="Times New Roman" w:eastAsia="Times New Roman" w:hAnsi="Times New Roman"/>
          <w:sz w:val="18"/>
          <w:szCs w:val="18"/>
          <w:color w:val="auto"/>
        </w:rPr>
        <w:t>The report of the Compensation Committee is included herein on page 51.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Grancio (Chair), Mr. Consiglio, Dr. Friedman and Ms. Mundkur, each of whom is an independent member of our Board (as independence is currently defined in Rule 5605(a)(2) of the Nasdaq listing standards). The functions of this committee include, among others:</w:t>
      </w:r>
    </w:p>
    <w:p>
      <w:pPr>
        <w:spacing w:after="0" w:line="6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nominees for election as directors;</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Board committees and making recommendations to the Board regarding directors qualified to serve on and chair such committees;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current list of the functional needs and qualifications of members of the Board;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Board and monitoring committee evaluations;</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with respect to, our strategy, initiatives and policies concerning corporate social responsibility, including environmental, social and governance matters;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members of the Compensation Committee, as requested, in determining the compensation for non-employee directors; and</w:t>
      </w:r>
    </w:p>
    <w:p>
      <w:pPr>
        <w:spacing w:after="0" w:line="117" w:lineRule="exact"/>
        <w:rPr>
          <w:rFonts w:ascii="Times New Roman" w:cs="Times New Roman" w:eastAsia="Times New Roman" w:hAnsi="Times New Roman"/>
          <w:sz w:val="18"/>
          <w:szCs w:val="18"/>
          <w:color w:val="auto"/>
        </w:rPr>
      </w:pPr>
    </w:p>
    <w:p>
      <w:pPr>
        <w:ind w:left="760" w:right="6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Nominating and Corporate Governance Committee and its members, including compliance of the Nominating and Corporate Governance Committee with its charter.</w:t>
      </w:r>
    </w:p>
    <w:p>
      <w:pPr>
        <w:spacing w:after="0" w:line="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charter can be found on our corporate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xml:space="preserve"> The Nominating and Corporate Governance Committee met four times during 2024.</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Qualifications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being able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discretion to modify these qualifications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Evaluating Nominees for Director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reviews candidates for director nominees in the context of the current composition of the Board of Directors, the operating requirements of the Company and the long-term interests of the Company’s stockholders. In conducting this assessment, the Nominating and Corporate Governance Committee considers age, skills, and such other factors as it deems appropriate given the current needs of the Board and the Company, to maintain a balance of knowledge, experience and capability. In the case of incumbent directors,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would be independent, which determination is based upon applicable Nasdaq listing standards, applicable SEC rules and regulations and the advice of counsel, if necessary. The Nominating and Corporate Governance Committee does not have a formal policy with respect to diversity; however, the Board and the Nominating and Corporate Governance Committee believe that it is important that directors represent different educational backgrounds, professional experiences, viewpoints and skills. The Nominating and Corporate Governance Committee assesses these factors in connection with the annual nomination process as well as in new director searches.</w:t>
      </w:r>
    </w:p>
    <w:p>
      <w:pPr>
        <w:spacing w:after="0" w:line="19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one or more nominees for recommendation to the Board by majority vote. To date, the Nominating and Corporate Governance Committee has not paid a fee to any third party to assist in the process of identifying or evaluating director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a candidate was recommended by a stockholder or not. Stockholders who wish to recommend individuals for consideration by the Nominating and Corporate Governance Committee to become nominees for election to the Board must do so by delivering at least 120 days prior to the anniversary date of the mailing of MannKind’s proxy statement for its last annual meeting of stockholders a written recommendation to the Nominating and Corporate Governance Committee, c/o MannKind Corporation, 1 Casper Street, Danbury, Connecticut 06810, Attn: Corporate Secretary. Each submission must set forth:</w:t>
      </w:r>
    </w:p>
    <w:p>
      <w:pPr>
        <w:spacing w:after="0" w:line="81"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MannKind stockholder on whose behalf the submission is made;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MannKind shares that are owned beneficially by such stockholder as of the date of the submission;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 of the proposed candidate;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business experience for at least the previous five years;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biographical information for the proposed candidate;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qualifications as a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submission must be accompanied by the written consent of the proposed candidate to be named as a nominee and to serve as a director if elected.</w:t>
      </w:r>
    </w:p>
    <w:p>
      <w:pPr>
        <w:spacing w:after="0" w:line="223"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color w:val="auto"/>
        </w:rPr>
        <w:t xml:space="preserve">Our policy regarding stockholder recommendations of director nominees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60"/>
        <w:spacing w:after="0" w:line="282" w:lineRule="auto"/>
        <w:rPr>
          <w:sz w:val="20"/>
          <w:szCs w:val="20"/>
          <w:color w:val="auto"/>
        </w:rPr>
      </w:pPr>
      <w:r>
        <w:rPr>
          <w:rFonts w:ascii="Times New Roman" w:cs="Times New Roman" w:eastAsia="Times New Roman" w:hAnsi="Times New Roman"/>
          <w:sz w:val="18"/>
          <w:szCs w:val="18"/>
          <w:color w:val="auto"/>
        </w:rPr>
        <w:t>To date, the Nominating and Corporate Governance Committee has not received a timely nomination of a candidate for election as a director at any annual meeting from a stockholder or group of stockholders holding more than 5% of our voting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Board met nine times during the last fiscal year. Each director attended 75% or more of the aggregate number of the meetings of the Board, and of the committees on which he or she served, held during the period for which he or she was a director or committee member.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our independent directors meet in regularly scheduled executive sessions at which only independent directors are present.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or an individual director may send a written communication to the Board or such director c/o MannKind Corporation,</w:t>
      </w:r>
    </w:p>
    <w:p>
      <w:pPr>
        <w:spacing w:after="0" w:line="252" w:lineRule="auto"/>
        <w:rPr>
          <w:sz w:val="20"/>
          <w:szCs w:val="20"/>
          <w:color w:val="auto"/>
        </w:rPr>
      </w:pPr>
      <w:r>
        <w:rPr>
          <w:rFonts w:ascii="Times New Roman" w:cs="Times New Roman" w:eastAsia="Times New Roman" w:hAnsi="Times New Roman"/>
          <w:sz w:val="18"/>
          <w:szCs w:val="18"/>
          <w:color w:val="auto"/>
        </w:rPr>
        <w:t>1 Casper Street, Danbury, Connecticut 06810, Attn: Corporate Secretary. Communications also may be sent by e-mail to the following address: board@mannkindcorp.com. Each communication must set forth the name and address of the MannKind stockholder on whose behalf the communication is sent. Each communication will be screened by MannKind’s Corporate Secretary to determine whether it is appropriate for presentation to the Board or such director. Examples of inappropriate communications include junk mail, mass mailings, product complaints, product inquiries, new product suggestions, resumes, job inquiries, surveys, business solicitations and advertisements, as well as unduly hostile, threatening, illegal, unsuitable, frivolous, patently offensive or otherwise inappropriate material. Communications determined by the Corporate Secretary to be appropriate for presentation to the Board of Directors or such director will be submitted to the Board or such director on a periodic basis.</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screening procedures have been approved by a majority of the independent directors of the Board. All communications directed to the Audit Committee in accordance with the Company’s Code of Business Conduct and Ethics that relate to questionable accounting or auditing matters involving the Company will be promptly and directly forwarded to the Audit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process for security holder communications with the Board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Policy and Procedures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adopted a Related-Person Transactions Policy that sets forth the policies and procedures regarding the identification, review, consideration and approval or ratification of “related-person transactions.” For purposes of the Company’s policy only, a “related-person transaction” is a transaction, arrangement or relationship (or any series of similar transactions, arrangements or relationships) in which the Company (including any of its subsidiaries) and any “related person” are, were or will be participants involving an amount that exceeds $120,000.</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the Company as an employee, consultant or director are not covered by this policy. A related person is any executive officer, director, nominee for director or more than 5% beneficial stockholder of the Company, including any of their immediate family members, and any entity owned or controlled by such persons.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significant stockholders. In considering related-person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right="280"/>
        <w:spacing w:after="0" w:line="282" w:lineRule="auto"/>
        <w:rPr>
          <w:sz w:val="20"/>
          <w:szCs w:val="20"/>
          <w:color w:val="auto"/>
        </w:rPr>
      </w:pPr>
      <w:r>
        <w:rPr>
          <w:rFonts w:ascii="Times New Roman" w:cs="Times New Roman" w:eastAsia="Times New Roman" w:hAnsi="Times New Roman"/>
          <w:sz w:val="18"/>
          <w:szCs w:val="18"/>
          <w:color w:val="auto"/>
        </w:rPr>
        <w:t>transaction is in, or is not inconsistent with, the best interests of the Company and its stockholders, as the Audit Committee determines in the good faith exercise of its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we had no related-person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Anti-Corruption</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and employees (including our principal executive officer, principal financial officer, principal accounting officer and controller), and have posted the text of the code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In addition, we intend to promptly disclose on our website (i) the nature of any amendment to the policy that applies to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adopted an Anti-Corruption Policy and have posted the text of the policy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This policy strictly prohibits our directors and employees from (i) promising, offering, providing, or authorizing cash payments (such as bribes or kickbacks) or anything else of value directly or indirectly to any person to achieve an improper purpose related to the Company’s business and (ii) requesting, agreeing to receive, or accepting money or anything else of value from any person to achieve an improper purpose related to the Company’s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Hedging Policy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part of our Insider Trading Policy, we prohibit speculation based on fluctuations in the market. As a result, the following transactions are prohibited, whether or not the director, employee, officer or consultant is in possession of inside information:</w:t>
      </w:r>
    </w:p>
    <w:p>
      <w:pPr>
        <w:spacing w:after="0" w:line="54"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any derivative security of the Company, including without limitation, puts and calls;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stock on margin;</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the Company’s stock (i.e., where a person borrows shares of the Company’s stock, sells them and then purchases stock at a later date to replace the borrowed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loaning shares of the Company’s stock through a brokerage or otherwise in order to facilitate the short sales of other persons;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buying or selling options for the Company’s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the Company’s stock as security or collateral for a loan or any other obligation; and</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referenced above, any other hedging transaction involving the Company’s stock or any derivative security of the Company, or any other inherently speculative transaction involving the Company’s stock.</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prohibition on these transactions also applies to members of the households of directors, officers, employees and consultants of the Company or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2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a performance-based stock option granted to Steven B. Binder in 2017 vested on August 7, 2023. The Form 4 for this vesting event was not filed until November 19, 2024 (the “Delinquent Form 4”). During the fiscal year ended December 31, 2024, no Form 5 was filed in relation to the Delinquent Form 4.</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6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(the “director compensation program”), as amended in August 2024, each of our non-employee directors receives an annual retainer and fees for their service on our standing board committees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20" w:type="dxa"/>
            <w:vAlign w:val="bottom"/>
          </w:tcPr>
          <w:p>
            <w:pPr>
              <w:spacing w:after="0"/>
              <w:rPr>
                <w:sz w:val="15"/>
                <w:szCs w:val="15"/>
                <w:color w:val="auto"/>
              </w:rPr>
            </w:pPr>
          </w:p>
        </w:tc>
        <w:tc>
          <w:tcPr>
            <w:tcW w:w="38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4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$ 50,000</w:t>
            </w:r>
          </w:p>
        </w:tc>
      </w:t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Chair Premium</w:t>
            </w:r>
          </w:p>
        </w:tc>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$ 50,000</w:t>
            </w:r>
          </w:p>
        </w:tc>
      </w:tr>
      <w:tr>
        <w:trPr>
          <w:trHeight w:val="216"/>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220" w:type="dxa"/>
            <w:vAlign w:val="bottom"/>
            <w:shd w:val="clear" w:color="auto" w:fill="CFF0FC"/>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 $25,000</w:t>
            </w:r>
          </w:p>
        </w:tc>
      </w:t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members: $10,000</w:t>
            </w:r>
          </w:p>
        </w:tc>
      </w:tr>
      <w:tr>
        <w:trPr>
          <w:trHeight w:val="216"/>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220" w:type="dxa"/>
            <w:vAlign w:val="bottom"/>
            <w:shd w:val="clear" w:color="auto" w:fill="CFF0FC"/>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 $20,000</w:t>
            </w:r>
          </w:p>
        </w:tc>
      </w:t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members: $7,500</w:t>
            </w:r>
          </w:p>
        </w:tc>
      </w:tr>
      <w:tr>
        <w:trPr>
          <w:trHeight w:val="216"/>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20" w:type="dxa"/>
            <w:vAlign w:val="bottom"/>
            <w:shd w:val="clear" w:color="auto" w:fill="CFF0FC"/>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 $10,000</w:t>
            </w:r>
          </w:p>
        </w:tc>
      </w:tr>
      <w:tr>
        <w:trPr>
          <w:trHeight w:val="234"/>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members: $5,000</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Board are also eligible for reimbursement for their expenses incurred in attending Board meetings in accordance with Company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annual fees described above, our non-employee directors do not receive meeting fees or other compensation for their attendance at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committee meetings.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director compensation program specifies that each non-employee director of the Company is also eligible to receive annual equity awards under our 2018 Equity Incentive Plan (the "EIP"). Specifically, on the date of each of our annual stockholder meetings, each of our non-employee directors receives a restricted stock unit ("RSU") award determined by dividing $250,000 by the then-current stock price used for valuing employee equity awards, which in no event is less than the last reported closing price of the Company’s common stock. Each such annual RSU award vests immediately, but shares are not distributed until the director separates from service to the Board (i.e. retires, is removed or dies).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non-employee director who joins the Board between annual stockholders meetings is entitled to a pro-rata compensation package.</w:t>
      </w:r>
    </w:p>
    <w:p>
      <w:pPr>
        <w:spacing w:after="0" w:line="22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Non-employee directors have an option to receive their annual $50,000 retainer in cash or common stock of the Company. If a non-employee director elects to receive his or her annual retainer in common stock, such director will be granted an RSU award consisting of that number of shares that equals 100% of the annual retainer, based on the 20-day trailing average closing price as of the trading day immediately preceding the date of the annual stockholder meeting. This award vests immediately, but shares are not distributed until the director separates from service to the Board (i.e. retires, is removed or dies). Non-employee directors who do not elect this option receive the full annual retainer in cash shortly after the date of the stockholder meeting.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director compensation received for the fiscal year ended December 31, 2024 by our non-employee directors, other than Mr. Binder whose compensation is set forth in our 2024 Summary Compensation Table: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4300" w:type="dxa"/>
            <w:vAlign w:val="bottom"/>
            <w:gridSpan w:val="4"/>
          </w:tcPr>
          <w:p>
            <w:pPr>
              <w:jc w:val="center"/>
              <w:ind w:right="236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40" w:type="dxa"/>
            <w:vAlign w:val="bottom"/>
          </w:tcPr>
          <w:p>
            <w:pPr>
              <w:jc w:val="center"/>
              <w:ind w:left="435"/>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34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($)(1)(2)</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J. Consiglio</w:t>
            </w:r>
          </w:p>
        </w:tc>
        <w:tc>
          <w:tcPr>
            <w:tcW w:w="1340" w:type="dxa"/>
            <w:vAlign w:val="bottom"/>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Friedman</w:t>
            </w:r>
          </w:p>
        </w:tc>
        <w:tc>
          <w:tcPr>
            <w:tcW w:w="134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Grancio</w:t>
            </w:r>
          </w:p>
        </w:tc>
        <w:tc>
          <w:tcPr>
            <w:tcW w:w="1340" w:type="dxa"/>
            <w:vAlign w:val="bottom"/>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Hooper</w:t>
            </w:r>
          </w:p>
        </w:tc>
        <w:tc>
          <w:tcPr>
            <w:tcW w:w="134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Sabrina Kay</w:t>
            </w:r>
          </w:p>
        </w:tc>
        <w:tc>
          <w:tcPr>
            <w:tcW w:w="1340" w:type="dxa"/>
            <w:vAlign w:val="bottom"/>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 Kresa (3)</w:t>
            </w:r>
          </w:p>
        </w:tc>
        <w:tc>
          <w:tcPr>
            <w:tcW w:w="134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Christine Mundkur</w:t>
            </w:r>
          </w:p>
        </w:tc>
        <w:tc>
          <w:tcPr>
            <w:tcW w:w="1340" w:type="dxa"/>
            <w:vAlign w:val="bottom"/>
            <w:shd w:val="clear" w:color="auto" w:fill="CFF0FC"/>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S. Shannon</w:t>
            </w:r>
          </w:p>
        </w:tc>
        <w:tc>
          <w:tcPr>
            <w:tcW w:w="134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155,959</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165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9" w:lineRule="exact"/>
        <w:rPr>
          <w:sz w:val="20"/>
          <w:szCs w:val="20"/>
          <w:color w:val="auto"/>
        </w:rPr>
      </w:pPr>
    </w:p>
    <w:p>
      <w:pPr>
        <w:ind w:left="460" w:right="60" w:hanging="452"/>
        <w:spacing w:after="0" w:line="241"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option grants to non-employee directors in 2024. As of December 31, 2024, the non-employee directors listed in the table above had option grants outstanding to purchase 166,506 shares of our common stock as follows: Mr. Consiglio, 36,881 shares; Dr. Friedman, 50,400 shares; Mr. Kresa, 34,720; and Dr. Shannon, 44,505 shares. Ms. Grancio, Mr. Hooper, Dr. Kay and Ms. Mundkur had no option grants outstanding as of December 31, 2024.</w:t>
      </w:r>
    </w:p>
    <w:p>
      <w:pPr>
        <w:spacing w:after="0" w:line="68" w:lineRule="exact"/>
        <w:rPr>
          <w:rFonts w:ascii="Times New Roman" w:cs="Times New Roman" w:eastAsia="Times New Roman" w:hAnsi="Times New Roman"/>
          <w:sz w:val="14"/>
          <w:szCs w:val="14"/>
          <w:color w:val="auto"/>
        </w:rPr>
      </w:pPr>
    </w:p>
    <w:p>
      <w:pPr>
        <w:ind w:left="460" w:right="60" w:hanging="452"/>
        <w:spacing w:after="0" w:line="229"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grant date fair value of all restricted stock unit awards to non-employee directors in 2024. Restricted stock units are valued based on the market price on the grant date. Reference Note 15 “Stock Award Plans” in the notes to our financial statements for the year ended December 31, 2024, included in Part IV of our Annual Report on Form 10-K for the fiscal year ended December 31, 2024 filed with the SEC on February 26, 2025, which identifies the assumptions made in the valuation of restricted stock unit awards. Restricted stock unit awards granted to non-employee directors in 2024 vested immediately, but the shares will not be delivered until there is a separation of service, such as through resignation or retirement from the Board or his or her death. As of December 31, 2024, the non-employee directors listed in the table above had no unvested restricted stock units outstanding and had vested restricted stock units to receive shares of our common stock as follows: Mr. Consiglio, 458,702 shares; Dr. Friedman, 375,047 shares; Ms. Grancio, 249,751 shares; Mr. Hooper, 329,726 shares; Dr. Kay, 193,614 shares; Ms. Mundkur, 342,455 shares and Dr. Shannon, 470,550 shares. Mr. Kresa had no RSU awards outstanding as of December 31, 2024.</w:t>
      </w:r>
    </w:p>
    <w:p>
      <w:pPr>
        <w:spacing w:after="0" w:line="72"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Kresa retired from the Board of Directors on September 30, 2024.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non-employee directors are subject to our stock ownership guidelines, which require each such individual to hold a specified number of shares of our common stock calculated by dividing three times the annual retainer by the current stock price.</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non-employee director has five years to reach the applicable guideline, beginning January 1, 2020 or when the individual was first appointed or elected to the Board, whichever is later. Upon completion of the grace period, for anyone out of compliance with the guidelines, the Board may restrict their sale of shares or may choose to deliver the annual retainer in stock rather than cash until the guidelines are satisfied. As of December 31, 2024, all non-employee directors were in compliance with our stock ownership guidelines.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74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57"/>
          <w:szCs w:val="57"/>
          <w:b w:val="1"/>
          <w:bCs w:val="1"/>
          <w:color w:val="FFFFFF"/>
        </w:rPr>
        <w:t>Proposal 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ADVISORY VOTE ON EXECUTIVE COMPENSATION</w:t>
      </w:r>
    </w:p>
    <w:p>
      <w:pPr>
        <w:spacing w:after="0" w:line="1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approve, on an advisory or non-binding basis, the compensation of the Company’s named executive officers as described in the “Compensation Discussion and Analysis” section of this proxy statement. This proposal is commonly referred to as a “say on pay” proposal. This vote is not intended to address any specific item of compensation, but rather the overall compensation of our named executive officers and the philosophy, policies and practices described in this proxy statement.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compensation of our named executive officers is disclosed in the Compensation Discussion and Analysis, the compensation tables, and the related narrative disclosure contained in this proxy statement. As discussed in those disclosures, the Company believes that its compensation policies and decisions are appropriately designed to attract and retain the individuals needed to support the Company’s business strategy and to compete effectively with pharmaceutical and biotechnology companies while aligning with the long-term interests of the Company’s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our pay practices are reasonable and in the best interests of our Company and our stockholders. Our compensation programs are guided by the following principles:</w:t>
      </w:r>
    </w:p>
    <w:p>
      <w:pPr>
        <w:spacing w:after="0" w:line="52" w:lineRule="exact"/>
        <w:rPr>
          <w:sz w:val="20"/>
          <w:szCs w:val="20"/>
          <w:color w:val="auto"/>
        </w:rPr>
      </w:pPr>
    </w:p>
    <w:p>
      <w:pPr>
        <w:ind w:left="760" w:hanging="378"/>
        <w:spacing w:after="0" w:line="25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Emphasis on pay-for-performance. </w:t>
      </w:r>
      <w:r>
        <w:rPr>
          <w:rFonts w:ascii="Times New Roman" w:cs="Times New Roman" w:eastAsia="Times New Roman" w:hAnsi="Times New Roman"/>
          <w:sz w:val="18"/>
          <w:szCs w:val="18"/>
          <w:color w:val="auto"/>
        </w:rPr>
        <w:t>We believe a significant portion of the compensation for our executive officers should be variable, at risk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tied directly to the Company’s measurable performance. Consistent with these principles, a material portion of the compensation of our executive officers is in the form of performance-based incentives that are earned upon the attainment of pre-established objectives. The annual cash incentive awards under our short-term incentive (“STI”) plan are intended to compensate our executive officers for achieving our annual financial and operational objectives, the attainment of which requires significant effort.</w:t>
      </w:r>
    </w:p>
    <w:p>
      <w:pPr>
        <w:spacing w:after="0" w:line="75"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as a key component of compensation to align with our stockholders’ interests. </w:t>
      </w:r>
      <w:r>
        <w:rPr>
          <w:rFonts w:ascii="Times New Roman" w:cs="Times New Roman" w:eastAsia="Times New Roman" w:hAnsi="Times New Roman"/>
          <w:sz w:val="18"/>
          <w:szCs w:val="18"/>
          <w:color w:val="auto"/>
        </w:rPr>
        <w:t>The use of equity-based compensation for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(“LTI”) aligns the interests of our executive officers with those of our stockholders by encouraging long-term performance and growth in stockholder value. Multi-year vesting schedules create incentives for our employees to sustain performance over the long term and encourage retention as the Company executes its business strategy.</w:t>
      </w:r>
    </w:p>
    <w:p>
      <w:pPr>
        <w:spacing w:after="0" w:line="71" w:lineRule="exact"/>
        <w:rPr>
          <w:rFonts w:ascii="Times New Roman" w:cs="Times New Roman" w:eastAsia="Times New Roman" w:hAnsi="Times New Roman"/>
          <w:sz w:val="18"/>
          <w:szCs w:val="18"/>
          <w:color w:val="auto"/>
        </w:rPr>
      </w:pPr>
    </w:p>
    <w:p>
      <w:pPr>
        <w:jc w:val="both"/>
        <w:ind w:left="760" w:right="280" w:hanging="378"/>
        <w:spacing w:after="0" w:line="290" w:lineRule="auto"/>
        <w:tabs>
          <w:tab w:leader="none" w:pos="7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Target compensation value at or close to the peer group median. </w:t>
      </w:r>
      <w:r>
        <w:rPr>
          <w:rFonts w:ascii="Times New Roman" w:cs="Times New Roman" w:eastAsia="Times New Roman" w:hAnsi="Times New Roman"/>
          <w:sz w:val="17"/>
          <w:szCs w:val="17"/>
          <w:color w:val="auto"/>
        </w:rPr>
        <w:t>We target total compensation levels for executives at the median of our peer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on the basis that we believe this target to be an appropriate level of compensation to attract and retain qualified and capable executives. However, actual compensation may fall above or below this level under a range of circumstances, including Company performance.</w:t>
      </w:r>
    </w:p>
    <w:p>
      <w:pPr>
        <w:spacing w:after="0" w:line="47" w:lineRule="exact"/>
        <w:rPr>
          <w:rFonts w:ascii="Times New Roman" w:cs="Times New Roman" w:eastAsia="Times New Roman" w:hAnsi="Times New Roman"/>
          <w:sz w:val="17"/>
          <w:szCs w:val="17"/>
          <w:color w:val="auto"/>
        </w:rPr>
      </w:pPr>
    </w:p>
    <w:p>
      <w:pPr>
        <w:ind w:left="760" w:right="480" w:hanging="378"/>
        <w:spacing w:after="0" w:line="26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perquisites or tax gross-ups</w:t>
      </w:r>
      <w:r>
        <w:rPr>
          <w:rFonts w:ascii="Times New Roman" w:cs="Times New Roman" w:eastAsia="Times New Roman" w:hAnsi="Times New Roman"/>
          <w:sz w:val="18"/>
          <w:szCs w:val="18"/>
          <w:color w:val="auto"/>
        </w:rPr>
        <w:t>. We have no structured perquisite benefits nor do we provide supplemental pensions to any of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we do not use tax gross-ups, guaranteed bonuses, “single-trigger” benefits payable upon a change in control without a corresponding separation from service, or similar pay practices.</w:t>
      </w:r>
    </w:p>
    <w:p>
      <w:pPr>
        <w:spacing w:after="0" w:line="65"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stock ownership policy. </w:t>
      </w:r>
      <w:r>
        <w:rPr>
          <w:rFonts w:ascii="Times New Roman" w:cs="Times New Roman" w:eastAsia="Times New Roman" w:hAnsi="Times New Roman"/>
          <w:sz w:val="18"/>
          <w:szCs w:val="18"/>
          <w:color w:val="auto"/>
        </w:rPr>
        <w:t>We have an executive stock ownership policy designed to align our executive officers’ long-term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 and to discourage excessive risk taking. The policy requires our CEO to achieve a stock ownership level of four times base salary, while the other executive officers must achieve stock ownership levels of two times base salary. Executive officers who have not achieved the ownership requirements within five years may be restricted from selling their shares or may receive salary or bonus payments in stock rather than cash until they are in compliance.</w:t>
      </w:r>
    </w:p>
    <w:p>
      <w:pPr>
        <w:spacing w:after="0" w:line="75" w:lineRule="exact"/>
        <w:rPr>
          <w:rFonts w:ascii="Times New Roman" w:cs="Times New Roman" w:eastAsia="Times New Roman" w:hAnsi="Times New Roman"/>
          <w:sz w:val="18"/>
          <w:szCs w:val="18"/>
          <w:color w:val="auto"/>
        </w:rPr>
      </w:pPr>
    </w:p>
    <w:p>
      <w:pPr>
        <w:ind w:left="760" w:right="1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compensation recovery policy (“clawback”). </w:t>
      </w:r>
      <w:r>
        <w:rPr>
          <w:rFonts w:ascii="Times New Roman" w:cs="Times New Roman" w:eastAsia="Times New Roman" w:hAnsi="Times New Roman"/>
          <w:sz w:val="18"/>
          <w:szCs w:val="18"/>
          <w:color w:val="auto"/>
        </w:rPr>
        <w:t>Our incentive recoupment policy provides that any incentive compensation awarded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executive officers that is granted, earned or vested based wholly or in part upon the attainment of a financial reporting measure may be recovered in the event of any material financial restatement. For the full text of our Dodd-Frank Act-compliant clawback policy, see Exhibit 97 in our Annual Report on Form 10-K for the year ended December 31, 2024.</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Commitment to Strong Governance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adopting and maintaining good corporate governance standards with respect to our compensation programs, procedures and practices.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our practices include the following:</w:t>
      </w:r>
    </w:p>
    <w:p>
      <w:pPr>
        <w:spacing w:after="0" w:line="97" w:lineRule="exact"/>
        <w:rPr>
          <w:sz w:val="20"/>
          <w:szCs w:val="20"/>
          <w:color w:val="auto"/>
        </w:rPr>
      </w:pPr>
    </w:p>
    <w:p>
      <w:pPr>
        <w:ind w:left="760" w:right="740" w:hanging="378"/>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compensation committee. </w:t>
      </w:r>
      <w:r>
        <w:rPr>
          <w:rFonts w:ascii="Times New Roman" w:cs="Times New Roman" w:eastAsia="Times New Roman" w:hAnsi="Times New Roman"/>
          <w:sz w:val="18"/>
          <w:szCs w:val="18"/>
          <w:color w:val="auto"/>
        </w:rPr>
        <w:t>Our Compensation Committee designs and oversees our executive compensation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is comprised entirely of independent directors.</w:t>
      </w:r>
    </w:p>
    <w:p>
      <w:pPr>
        <w:spacing w:after="0" w:line="50" w:lineRule="exact"/>
        <w:rPr>
          <w:rFonts w:ascii="Times New Roman" w:cs="Times New Roman" w:eastAsia="Times New Roman" w:hAnsi="Times New Roman"/>
          <w:sz w:val="18"/>
          <w:szCs w:val="18"/>
          <w:color w:val="auto"/>
        </w:rPr>
      </w:pPr>
    </w:p>
    <w:p>
      <w:pPr>
        <w:ind w:left="760" w:right="420" w:hanging="378"/>
        <w:spacing w:after="0" w:line="26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goals. </w:t>
      </w:r>
      <w:r>
        <w:rPr>
          <w:rFonts w:ascii="Times New Roman" w:cs="Times New Roman" w:eastAsia="Times New Roman" w:hAnsi="Times New Roman"/>
          <w:sz w:val="18"/>
          <w:szCs w:val="18"/>
          <w:color w:val="auto"/>
        </w:rPr>
        <w:t>A material portion of executive compensation is in the form of performance-based annual cash and long-term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that are earned upon the attainment of pre-established financial or operational objectives. These objectives are tied directly to the Company’s measurable performance and designed to align the interests of our executives with those of our stockholders.</w:t>
      </w:r>
    </w:p>
    <w:p>
      <w:pPr>
        <w:spacing w:after="0" w:line="65" w:lineRule="exact"/>
        <w:rPr>
          <w:rFonts w:ascii="Times New Roman" w:cs="Times New Roman" w:eastAsia="Times New Roman" w:hAnsi="Times New Roman"/>
          <w:sz w:val="18"/>
          <w:szCs w:val="18"/>
          <w:color w:val="auto"/>
        </w:rPr>
      </w:pPr>
    </w:p>
    <w:p>
      <w:pPr>
        <w:ind w:left="760" w:right="360" w:hanging="378"/>
        <w:spacing w:after="0" w:line="26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to engage independent consultants. </w:t>
      </w:r>
      <w:r>
        <w:rPr>
          <w:rFonts w:ascii="Times New Roman" w:cs="Times New Roman" w:eastAsia="Times New Roman" w:hAnsi="Times New Roman"/>
          <w:sz w:val="18"/>
          <w:szCs w:val="18"/>
          <w:color w:val="auto"/>
        </w:rPr>
        <w:t>Our Compensation Committee has the authority to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legal counsel or other advisers to assist in designing and assessing our executive compensation programs and pay practices. Our current independent compensation consultant is Mercer LLC.</w:t>
      </w:r>
    </w:p>
    <w:p>
      <w:pPr>
        <w:spacing w:after="0" w:line="65" w:lineRule="exact"/>
        <w:rPr>
          <w:rFonts w:ascii="Times New Roman" w:cs="Times New Roman" w:eastAsia="Times New Roman" w:hAnsi="Times New Roman"/>
          <w:sz w:val="18"/>
          <w:szCs w:val="18"/>
          <w:color w:val="auto"/>
        </w:rPr>
      </w:pPr>
    </w:p>
    <w:p>
      <w:pPr>
        <w:ind w:left="760" w:right="280" w:hanging="378"/>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on speculative trading. </w:t>
      </w:r>
      <w:r>
        <w:rPr>
          <w:rFonts w:ascii="Times New Roman" w:cs="Times New Roman" w:eastAsia="Times New Roman" w:hAnsi="Times New Roman"/>
          <w:sz w:val="18"/>
          <w:szCs w:val="18"/>
          <w:color w:val="auto"/>
        </w:rPr>
        <w:t>Board members, officers and employees are prohibited under the Company’s Insider Trading Policy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short-term or speculative transactions in our common stock or other securities.</w:t>
      </w:r>
    </w:p>
    <w:p>
      <w:pPr>
        <w:spacing w:after="0" w:line="50"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say-on-pay advisory vote. </w:t>
      </w:r>
      <w:r>
        <w:rPr>
          <w:rFonts w:ascii="Times New Roman" w:cs="Times New Roman" w:eastAsia="Times New Roman" w:hAnsi="Times New Roman"/>
          <w:sz w:val="18"/>
          <w:szCs w:val="18"/>
          <w:color w:val="auto"/>
        </w:rPr>
        <w:t>Since 2011, we have held annual say-on-pay advisory votes in accordance with good governance practices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accountability to our stockholders. The results of our say-on-pay advisory votes, combined with input from investors have informed our compensation philosophy, which includes awards of long-term compensation to executive officers that will pay out, if at all, in proportion to the Company’s total stockholder return relative to a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REQUIRED VOTE AND BOARD OF DIRECTORS RECOMMENDATION</w:t>
      </w:r>
    </w:p>
    <w:p>
      <w:pPr>
        <w:spacing w:after="0" w:line="1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the 2023 Annual Meeting of Stockholders, our stockholders indicated their preference that the Company solicit a non-binding advisory vote on the compensation of the named executive officers every year. The Board has adopted a policy that is consistent with that preference. In accordance with that policy, this year, we are again asking our stockholders to support the compensation of the Company’s named executive officers as described in this proxy statement by casting a non-binding advisory vote “FOR” the following resolution: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2025 Annual Meeting of Stockholders pursuant to the compensation disclosure rules of the Securities and Exchange Commission, including the Compensation Discussion and Analysis, the 2024 Summary Compensation Table and the other related tables and disclosure.”</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While this advisory vote on executive compensation is non-binding, the Board of Directors and the Compensation Committee, which is responsible for designing and administering the Company’s executive compensation program, will review the voting results and consider the outcome of the vote when making future compensation decisions for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p>
      <w:pPr>
        <w:ind w:left="120"/>
        <w:spacing w:after="0"/>
        <w:rPr>
          <w:sz w:val="20"/>
          <w:szCs w:val="20"/>
          <w:color w:val="auto"/>
        </w:rPr>
      </w:pPr>
      <w:r>
        <w:rPr>
          <w:rFonts w:ascii="Times New Roman" w:cs="Times New Roman" w:eastAsia="Times New Roman" w:hAnsi="Times New Roman"/>
          <w:sz w:val="58"/>
          <w:szCs w:val="58"/>
          <w:b w:val="1"/>
          <w:bCs w:val="1"/>
          <w:color w:val="FFFFFF"/>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574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7404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340"/>
        <w:spacing w:after="0" w:line="287" w:lineRule="auto"/>
        <w:rPr>
          <w:sz w:val="20"/>
          <w:szCs w:val="20"/>
          <w:color w:val="auto"/>
        </w:rPr>
      </w:pPr>
      <w:r>
        <w:rPr>
          <w:rFonts w:ascii="Times New Roman" w:cs="Times New Roman" w:eastAsia="Times New Roman" w:hAnsi="Times New Roman"/>
          <w:sz w:val="25"/>
          <w:szCs w:val="25"/>
          <w:b w:val="1"/>
          <w:bCs w:val="1"/>
          <w:color w:val="auto"/>
        </w:rPr>
        <w:t>RATIFICATION OF SELECTION OF DELOITTE &amp; TOUCHE LLP AS INDEPENDENT REGISTERED PUBLIC ACCOUNTING FIRM</w:t>
      </w:r>
    </w:p>
    <w:p>
      <w:pPr>
        <w:spacing w:after="0" w:line="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Deloitte &amp; Touche LLP (“Deloitte”), as the Company’s independent registered public accounting firm for the fiscal year ending December 31, 2025 and has directed management to submit the selection of Deloitte for ratification by the stockholders at the Annual Meeting.</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Deloitte has served as the Company’s independent auditor since 2001. Representatives of Deloitte are expected to be present at the Annual Meeting. They will have an opportunity to make a statement if they so desire and will be available to respond to appropriate questions.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Stockholder ratification of the selection of Deloitte as our independent registered public accounting firm is not required by our Amended and Restated Bylaws or otherwise. The Board is seeking such ratification as a matter of good corporate practice. If the stockholders fail to ratify the selection of Deloitte as our independent registered public accounting firm, the Audit Committee will consider whether to retain that firm for the fiscal year ending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2024 and 2023 by Deloitte and its subsidiaries, the affiliates of Deloitte &amp; Touche LLP, Deloitte Touche Tohmatsu Limited and its member firm (collectively, the Deloitte entities). All of these entities collectively represent the Company’s principal accounting firm.</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1,450,163</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1,205,510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8"/>
                <w:szCs w:val="18"/>
                <w:color w:val="auto"/>
              </w:rPr>
            </w:pPr>
          </w:p>
        </w:tc>
      </w:tr>
      <w:tr>
        <w:trPr>
          <w:trHeight w:val="25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1,450,163</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1,207,405</w:t>
            </w:r>
          </w:p>
        </w:tc>
        <w:tc>
          <w:tcPr>
            <w:tcW w:w="100" w:type="dxa"/>
            <w:vAlign w:val="bottom"/>
            <w:shd w:val="clear" w:color="auto" w:fill="CFF0FC"/>
          </w:tcPr>
          <w:p>
            <w:pPr>
              <w:spacing w:after="0"/>
              <w:rPr>
                <w:sz w:val="21"/>
                <w:szCs w:val="21"/>
                <w:color w:val="auto"/>
              </w:rPr>
            </w:pPr>
          </w:p>
        </w:tc>
      </w:tr>
      <w:tr>
        <w:trPr>
          <w:trHeight w:val="61"/>
        </w:trPr>
        <w:tc>
          <w:tcPr>
            <w:tcW w:w="1840" w:type="dxa"/>
            <w:vAlign w:val="bottom"/>
            <w:tcBorders>
              <w:top w:val="single" w:sz="8" w:color="CFF0FC"/>
              <w:bottom w:val="single" w:sz="8" w:color="auto"/>
            </w:tcBorders>
          </w:tcPr>
          <w:p>
            <w:pPr>
              <w:spacing w:after="0"/>
              <w:rPr>
                <w:sz w:val="5"/>
                <w:szCs w:val="5"/>
                <w:color w:val="auto"/>
              </w:rPr>
            </w:pPr>
          </w:p>
        </w:tc>
        <w:tc>
          <w:tcPr>
            <w:tcW w:w="5880" w:type="dxa"/>
            <w:vAlign w:val="bottom"/>
            <w:tcBorders>
              <w:top w:val="single" w:sz="8" w:color="CFF0FC"/>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320" w:type="dxa"/>
            <w:vAlign w:val="bottom"/>
            <w:tcBorders>
              <w:top w:val="single" w:sz="8" w:color="CFF0FC"/>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-85090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-67945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 w:lineRule="exact"/>
        <w:rPr>
          <w:sz w:val="20"/>
          <w:szCs w:val="20"/>
          <w:color w:val="auto"/>
        </w:rPr>
      </w:pPr>
    </w:p>
    <w:p>
      <w:pPr>
        <w:ind w:left="380" w:right="460" w:hanging="372"/>
        <w:spacing w:after="0" w:line="26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fees billed for professional services rendered for the reviews and audit of our consolidated financial statements and internal control over financial reporting including related regulatory filings and related comfort letters on such.</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fees paid for an online accounting research tool.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Deloitte and the Deloitte entities. The policy generally pre-approves specified services in the defined categories of audit services, audit-related services, tax services and other services up to specified amounts. Pre-approval may also be given on an individual explicit case-by-case basis before the independent principal accounting firm is engaged to provide each service. The pre-approval of services may be delegated to one or more of the Audit Committee’s members, but the decision must be reported to the full Audit Committee at its next scheduled meeting. The delegation of pre-approval of services is limited to non-audit services, as set forth in the Audit Committee Charter.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6" w:name="page27"/>
    <w:bookmarkEnd w:id="26"/>
    <w:p>
      <w:pPr>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by the Deloitte entities of the non-audit services described above was allowed under Rule 2-01(c)(4) of Regulation S-X and was compatible with maintaining the independence of the registered public accountants and has concluded that the Deloitte entities were and are independent of us in all respects.</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VOTE “FOR” PROPOSAL 3</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by any general statement incorporating by reference this proxy statement into any filing of MannKind under the Securities Act or the Exchange Act, except to the extent MannKind specifically incorporates this report by reference.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financial statements in the Annual Report with Company management, including a discussion on the quality, not just the acceptability, of the accounting principles; the reasonableness of significant judgments; and the clarity of the disclosures within the financial statements.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recognizes the importance of maintaining the independence of the Company’s independent auditor, both in fact and appearance. In fulfilling its oversight responsibility as to the audit process, the Audit Committee obtained from Deloitte &amp; Touche LLP (“Deloitte”) the written disclosures and the letter describing all relationships between MannKind and its independent auditors that might bear on the auditors’ independence consistent with applicable requirements of the Public Company Accounting Oversight Board (“PCAOB”) Rule 3526, </w:t>
      </w:r>
      <w:r>
        <w:rPr>
          <w:rFonts w:ascii="Times New Roman" w:cs="Times New Roman" w:eastAsia="Times New Roman" w:hAnsi="Times New Roman"/>
          <w:sz w:val="18"/>
          <w:szCs w:val="18"/>
          <w:i w:val="1"/>
          <w:iCs w:val="1"/>
          <w:color w:val="auto"/>
        </w:rPr>
        <w:t>Communication with Audit Committees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The Audit Committee has discussed Deloitte’s independence with Company management and Deloitte, and considered the compatibility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non-audit services with the independent auditor’s independence.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Audit Committee Charter provides that one duty of the Audit Committee is to determine whether to retain or to terminate MannKind’s existing auditors or to appoint and engage new auditors for the ensuing year. In performing that duty, the Audit Committee evaluated the performance of Deloitte in performing the examination of MannKind’s financial statements for the fiscal year ended December 31, 2024, considered the auditors’ technical expertise and knowledge of the Company’s operation and industry, and considered auditors’ independence, objectivity, and professional skepticism. Based on this evaluation, the Audit Committee determined to engage Deloitte as MannKind’s independent auditors for the fiscal year ending December 31, 2025.</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discussed with Deloitte the matters required to be discussed by the applicable PCAOB standards and the SEC. In addition, with and without management present, the Audit Committee discussed and reviewed MannKind’s financial statements and the results of Deloitte’s audit of MannKind’s financial statements and internal control. Based upon the Audit Committee’s discussion with management and Deloitte and the Audit Committee’s review of MannKind’s financial statements, the representations of MannKind’s management and the independent auditors’ report to the Audit Committee, the Audit Committee recommended to the Board of Directors that MannKind include the audited financial statements in its Annual Report on Form 10-K for the fiscal year ended December 31, 2024, for filing with the SEC.</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Ronald J. Consiglio</w:t>
      </w:r>
    </w:p>
    <w:p>
      <w:pPr>
        <w:spacing w:after="0" w:line="3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Jennifer Grancio</w:t>
      </w:r>
    </w:p>
    <w:p>
      <w:pPr>
        <w:spacing w:after="0" w:line="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Anthony Hooper</w:t>
      </w:r>
    </w:p>
    <w:p>
      <w:pPr>
        <w:spacing w:after="0" w:line="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Sabrina Kay</w:t>
      </w:r>
    </w:p>
    <w:p>
      <w:pPr>
        <w:spacing w:after="0" w:line="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Christine Mundkur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211" w:lineRule="exact"/>
        <w:rPr>
          <w:sz w:val="20"/>
          <w:szCs w:val="20"/>
          <w:color w:val="auto"/>
        </w:rPr>
      </w:pPr>
    </w:p>
    <w:p>
      <w:pPr>
        <w:sectPr>
          <w:pgSz w:w="11900" w:h="16838" w:orient="portrait"/>
          <w:cols w:equalWidth="0" w:num="2">
            <w:col w:w="7200" w:space="680"/>
            <w:col w:w="3360"/>
          </w:cols>
          <w:pgMar w:left="320" w:top="9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8" w:name="page29"/>
    <w:bookmarkEnd w:id="28"/>
    <w:p>
      <w:pPr>
        <w:ind w:right="3620" w:firstLine="3626"/>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EXECUTIVE OFFICERS OF THE REGISTRANT </w:t>
      </w:r>
      <w:r>
        <w:rPr>
          <w:rFonts w:ascii="Times New Roman" w:cs="Times New Roman" w:eastAsia="Times New Roman" w:hAnsi="Times New Roman"/>
          <w:sz w:val="18"/>
          <w:szCs w:val="18"/>
          <w:color w:val="auto"/>
        </w:rPr>
        <w:t>The following table sets forth our current executive officers and their 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 w:type="dxa"/>
            <w:vAlign w:val="bottom"/>
          </w:tcPr>
          <w:p>
            <w:pPr>
              <w:spacing w:after="0"/>
              <w:rPr>
                <w:sz w:val="20"/>
                <w:szCs w:val="20"/>
                <w:color w:val="auto"/>
              </w:rPr>
            </w:pPr>
          </w:p>
        </w:tc>
        <w:tc>
          <w:tcPr>
            <w:tcW w:w="642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E. Castagna, Pharm.D.</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shd w:val="clear" w:color="auto" w:fill="CFF0FC"/>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Prentiss</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49</w:t>
            </w: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Burkhard Blank, M.D.</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70</w:t>
            </w:r>
          </w:p>
        </w:tc>
        <w:tc>
          <w:tcPr>
            <w:tcW w:w="180" w:type="dxa"/>
            <w:vAlign w:val="bottom"/>
            <w:shd w:val="clear" w:color="auto" w:fill="CFF0FC"/>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Chief Medical Officer</w:t>
            </w: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Dominic Marasco</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President, Endocrine Business Unit</w:t>
            </w:r>
          </w:p>
        </w:tc>
      </w:tr>
      <w:tr>
        <w:trPr>
          <w:trHeight w:val="21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Lauren M. Sabella</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64</w:t>
            </w:r>
          </w:p>
        </w:tc>
        <w:tc>
          <w:tcPr>
            <w:tcW w:w="180" w:type="dxa"/>
            <w:vAlign w:val="bottom"/>
            <w:shd w:val="clear" w:color="auto" w:fill="CFF0FC"/>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Operations</w:t>
            </w: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Sanjay Singh, M Pharm, MBA</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Technical Operations</w:t>
            </w:r>
          </w:p>
        </w:tc>
      </w:tr>
      <w:tr>
        <w:trPr>
          <w:trHeight w:val="21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B. Thomson, Ph.D., J.D.</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180" w:type="dxa"/>
            <w:vAlign w:val="bottom"/>
            <w:shd w:val="clear" w:color="auto" w:fill="CFF0FC"/>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A. Tross, Ph.D.</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1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People and Workplace Officer</w:t>
            </w: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E. Castagna, Pharm.D</w:t>
      </w:r>
      <w:r>
        <w:rPr>
          <w:rFonts w:ascii="Times New Roman" w:cs="Times New Roman" w:eastAsia="Times New Roman" w:hAnsi="Times New Roman"/>
          <w:sz w:val="18"/>
          <w:szCs w:val="18"/>
          <w:color w:val="auto"/>
        </w:rPr>
        <w:t>. Mr. Castagna’s biographical information is included under Proposal 1 above.</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B. Prentiss </w:t>
      </w:r>
      <w:r>
        <w:rPr>
          <w:rFonts w:ascii="Times New Roman" w:cs="Times New Roman" w:eastAsia="Times New Roman" w:hAnsi="Times New Roman"/>
          <w:sz w:val="18"/>
          <w:szCs w:val="18"/>
          <w:color w:val="auto"/>
        </w:rPr>
        <w:t>has been our Chief Financial Officer since April 2024. From September 2022 until March 2024, Mr. Prentiss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ADARx Pharmaceuticals, Inc., a privately held clinical-stage biotechnology company. Between April 2015 and November 2021, he held a series of finance positions of increasing responsibility at the commercial-stage biotech company Adamas Pharmaceuticals, Inc. (“Adamas”), culminating in Chief Financial Officer commencing in November 2019. His responsibilities at Adamas included finance, accounting, investor relations, information technology and facilities. From June 2013 until March 2015, he was Vice President, Finance and Corporate Controller of InterMune Inc., a commercial-stage biotech with responsibilities over all aspects of corporate accounting, reporting, and treasury. Prior to that, Mr. Prentiss was Senior Director, Controller at Dynavax Technologies Corporation, a clinical-stage biopharmaceutical company, from May 2012 to June 2013, where he was responsible for the accounting and tax functions. From 2005 to 2012, Mr. Prentiss worked here at MannKind, where he held senior finance positions of increasing responsibility. Prior to that, Mr. Prentiss was a Senior Manager at KPMG LLP in the assurance practice. Mr. Prentiss received a B.Sc. degree in Accounting from Loyola Marymount University, and an MBA from Indiana University. Mr. Prentiss is a licensed CPA (inactive) in California.</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Burkhard Blank, M.D</w:t>
      </w:r>
      <w:r>
        <w:rPr>
          <w:rFonts w:ascii="Times New Roman" w:cs="Times New Roman" w:eastAsia="Times New Roman" w:hAnsi="Times New Roman"/>
          <w:sz w:val="18"/>
          <w:szCs w:val="18"/>
          <w:color w:val="auto"/>
        </w:rPr>
        <w:t>. has been our Executive Vice President, Research and Development and our Chief Medical Officer since May 2023. Before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since 2022, Dr. Blank served as CMO/Head of R&amp;D at Pharnext SA after serving seven years in the same position at Acorda Therapeutics, Inc. ("Acorda"). While at Acorda, he oversaw the Phase 3 development in North America and in Europe for Inbrija® (levodopa inhalation powder) for Parkinson’s disease with subsequent one-cycle approvals by the FDA and the EMA. Earlier in his career, Dr. Blank spent 20 years between Boehringer Ingelheim Pharmaceuticals in Ridgefield, CT, and Boehringer Ingelheim GmbH in Germany, serving in progressive leadership roles. Under his guidance, four products received approval including Spiriva® (for COPD) for which he oversaw development and led the presentation at the FDA advisory committee meeting. Dr. Blank received his medical degree from Universitaet Marburg, Germany, and is board-certified in internal medicine.</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Dominic Marasco, R.Ph., </w:t>
      </w:r>
      <w:r>
        <w:rPr>
          <w:rFonts w:ascii="Times New Roman" w:cs="Times New Roman" w:eastAsia="Times New Roman" w:hAnsi="Times New Roman"/>
          <w:sz w:val="18"/>
          <w:szCs w:val="18"/>
          <w:color w:val="auto"/>
        </w:rPr>
        <w:t>has been our President, Endocrine Business Unit since January 2025. Prior to joining us, Mr. Marasco held the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President, Chief Commercial Officer for Envision Pharma Group, a global technology-enabled strategic solutions partner for the life sciences industry, from February 2023 until August 2024, leading its technology and artificial intelligence business units and all commercial operations. Before joining Envision Pharma, Mr. Marasco was Chief Commercial Officer at BioAgilytix Labs, Inc., a global bioanalytical laboratory, from December 2019 until December 2022. Prior to BioAgilytix, he was Executive Vice President, Global Business Development, Commercial Group at Syneos Health from February 2018 until December 2019, after serving in progressive leadership roles at Amgen, Inc. including Head of U.S. Sales for the Neuroscience Business Unit and before that Global Commercial Head, Amgen Biosimilars. Mr. Marasco also held successful commercial leadership roles at Sandoz Biopharmaceuticals, a Novartis Company, and Quintiles Transnational Holdings Inc (now IQVIA). He began his career as a pharmacist before joining Eli Lilly and Company in a sales capacity. Mr. Marasco has a Bachelor of Science degree from the Philadelphia College of Pharmacy and completed Harvard Business School’s Advanced Management Program.</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Lauren Sabella </w:t>
      </w:r>
      <w:r>
        <w:rPr>
          <w:rFonts w:ascii="Times New Roman" w:cs="Times New Roman" w:eastAsia="Times New Roman" w:hAnsi="Times New Roman"/>
          <w:sz w:val="18"/>
          <w:szCs w:val="18"/>
          <w:color w:val="auto"/>
        </w:rPr>
        <w:t>has been our Executive Vice President, Operations since January 2025 and previously served as our Chief Operating Officer from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January 2025. Prior to joining us, Ms. Sabella served as Principal at LS Consulting Group, a strategic advisory group providing consulting services to pharmaceutical and emerging biotech companies, from September 2022 until March 2023. From September 2021 until September 2022, Ms. Sabella served as Chief Operating Officer at Acorda. Ms. Sabella was previously Acorda’s Chief Commercial Officer from February 2015 to September 2021. Before that, from January 2010 to February 2015, she was Acorda’s Executive Vice President, Commercial Development. Prior to that, Ms. Sabella was the Founder and Principal of Tugboat Consulting Group, an independent consulting practice assisting companies in the commercialization process. Ms. Sabella also served as Corporate Officer and Vice President of Commercial Development at Altus Pharmaceuticals Inc. (“Altus”) from May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ind w:right="140"/>
        <w:spacing w:after="0" w:line="258" w:lineRule="auto"/>
        <w:rPr>
          <w:sz w:val="20"/>
          <w:szCs w:val="20"/>
          <w:color w:val="auto"/>
        </w:rPr>
      </w:pPr>
      <w:r>
        <w:rPr>
          <w:rFonts w:ascii="Times New Roman" w:cs="Times New Roman" w:eastAsia="Times New Roman" w:hAnsi="Times New Roman"/>
          <w:sz w:val="18"/>
          <w:szCs w:val="18"/>
          <w:color w:val="auto"/>
        </w:rPr>
        <w:t>2006 to September 2008, with responsibility for all aspects of commercialization. Prior to joining Altus, Ms. Sabella was employed by Boehringer Ingelheim Pharmaceuticals for 18 years in positions of increasing responsibility, which included over ten years of marketing experience during which she led several product launches including Mobic, an NSAID that became a $1 billion brand. In her last role, she served as Vice President of Sales, Eastern Zone, where she led the sales launch of Spiriva and ran both Primary Care and Specialty Divisions, including Neurology, Urology and Cardio/Pulmonary. Ms. Sabella holds a B.B.A. from Hofstra University.</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Sanjay Singh </w:t>
      </w:r>
      <w:r>
        <w:rPr>
          <w:rFonts w:ascii="Times New Roman" w:cs="Times New Roman" w:eastAsia="Times New Roman" w:hAnsi="Times New Roman"/>
          <w:sz w:val="18"/>
          <w:szCs w:val="18"/>
          <w:color w:val="auto"/>
        </w:rPr>
        <w:t>has been our Executive Vice President, Technical Operations since October 2022. Before joining us, since 2011 Mr. Singh served as Sr.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Associate President Technical Operations in India and USA at Aurobindo Pharma, a leading generic pharmaceutical manufacturing company, headquartered in Hyderabad, India. Prior to Aurobindo, Mr. Singh worked in various leadership roles at Cipla Ltd from 2000 to 2007 and 2008 to 2011, Glenmark Pharma from 2007 to 2008, Nicholas Piramal India Ltd from 1992 to 2000 and Cadila Laboratories from 1990 to 1991. Mr. Singh has been associated with the Parenteral Drug Association (PDA) and was the founding president of the PDA, India chapter before moving to the US in 2015. Mr. Singh received an M. Pharma. degree in Pharmaceutical Chemistry from LM College of Pharmacy, Ahmedabad, India and an MBA degree from Institute of Management Studies, Indore, India.</w:t>
      </w:r>
    </w:p>
    <w:p>
      <w:pPr>
        <w:spacing w:after="0" w:line="18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B. Thomson, Ph.D., J.D. </w:t>
      </w:r>
      <w:r>
        <w:rPr>
          <w:rFonts w:ascii="Times New Roman" w:cs="Times New Roman" w:eastAsia="Times New Roman" w:hAnsi="Times New Roman"/>
          <w:sz w:val="18"/>
          <w:szCs w:val="18"/>
          <w:color w:val="auto"/>
        </w:rPr>
        <w:t>has been our General Counsel and Corporate Secretary since January 2002. Prior to joining us, he practiced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spacing w:after="0" w:line="17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Stuart A. Tross, Ph.D. </w:t>
      </w:r>
      <w:r>
        <w:rPr>
          <w:rFonts w:ascii="Times New Roman" w:cs="Times New Roman" w:eastAsia="Times New Roman" w:hAnsi="Times New Roman"/>
          <w:sz w:val="18"/>
          <w:szCs w:val="18"/>
          <w:color w:val="auto"/>
        </w:rPr>
        <w:t>has been our Executive Vice President, Human Resources since December 2016, with responsibilities for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180" w:lineRule="exact"/>
        <w:rPr>
          <w:sz w:val="20"/>
          <w:szCs w:val="20"/>
          <w:color w:val="auto"/>
        </w:rPr>
      </w:pPr>
    </w:p>
    <w:p>
      <w:pPr>
        <w:jc w:val="center"/>
        <w:ind w:right="160"/>
        <w:spacing w:after="0" w:line="485" w:lineRule="auto"/>
        <w:rPr>
          <w:sz w:val="20"/>
          <w:szCs w:val="20"/>
          <w:color w:val="auto"/>
        </w:rPr>
      </w:pPr>
      <w:r>
        <w:rPr>
          <w:rFonts w:ascii="Times New Roman" w:cs="Times New Roman" w:eastAsia="Times New Roman" w:hAnsi="Times New Roman"/>
          <w:sz w:val="18"/>
          <w:szCs w:val="18"/>
          <w:color w:val="auto"/>
        </w:rPr>
        <w:t>Executive officers serve at the discretion of our Board of Directors. There are no family relationships between any of our directors and executive officers.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pleased to present our report on executive compensation. This report is intended to assist our stockholders in understanding the objectives and procedures used by the Compensation Committee of our Board of Directors in establishing its recommendations to the Board regarding the compensation of our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MannKind is a biopharmaceutical company focused on the development and commercialization of innovative therapeutic products and devices to address serious unmet medical needs for those living with endocrine and orphan lung diseases. Our signature technologies – Technosphere dry-powder formulations and Dreamboat inhalation devices – offer rapid and convenient delivery of medicines to the deep lung where they can exert an effect locally or enter the systemic circulation. 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our orphan lung disease pipeline, Tyvaso DPI (treprostinil) inhalation powder, received FDA approval in May 2022. Our collaboration partner, United Therapeutics Corporation (“UT”) began commercializing Tyvaso DPI in June 2022. UT pays us a royalty on net sales of Tyvaso DPI as well as a margin on supplies of Tyvaso DPI that we manufacture for UT. Our pipeline of potential treatments for orphan lung diseases includes MNKD-101, a nebulized formulation of clofazimine for the treatment of severe chronic and recurrent pulmonary infections, including nontuberculous mycobacterial lung disease, and MNKD-201, a dry-powder formulation of nintedanib for the treatment of idiopathic pulmonary fibrosis.</w:t>
      </w:r>
    </w:p>
    <w:p>
      <w:pPr>
        <w:spacing w:after="0" w:line="19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short-term incentive, or STI, compensation plan is designed to reward achievements that are expected to produce positive stockholder returns in the near-term in our operational areas of focus. Other elements of our compensation program, particularly equity compensation, are aimed at rewarding performance of the Company over the longer time periods typically associated with the development cycles of biopharmaceutical products. We place more emphasis on performance-based compensation than on fixed compensation, but we are mindful of the fact that an over-emphasis on at-risk compensation could jeopardize our ability to retain key talent. We discuss below how we use a mix of compensation elements in order to achieve our objectives.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the Executive Compensation Program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Compensation Committee is responsible for establishing and administering our policies governing the compensation for our executive officers. The Compensation Committee is composed entirely of independent directors within the meaning of applicable SEC and Nasdaq rules. The Compensation Committee’s responsibilities and duties are outlined in detail in the Compensation Committee charter, which is available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A primary responsibility of the Compensation Committee is to make recommendations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our executive officers, including the determination and confirmation of annual corporate goal achievement for purposes of awarding short-term incentive compensation, to the full Board for its approval. As part of this process, the Compensation Committee has historically invited our CEO to attend Compensation Committee meetings or portions thereof to obtain his insight and guidance with respect to other executive officers, though the Chief Executive Officer is not a member of the Compensation Committee. The Compensation Committee engages a third-party consulting firm, Mercer LLC, to assist in developing compensation levels and practices and to provide external market data.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The Compensation Committee conducted an independence assessment with respect to Mercer’s role in recommending or determining the amount and form of executive compensation and considered the required six factors. After conducting this assessment, the Compensation Committee concluded that Mercer’s role in recommending or determining the amount and form of execution compensation for the fiscal year ended December 31, 2024 did not raise any conflict of interest.</w:t>
      </w:r>
    </w:p>
    <w:p>
      <w:pPr>
        <w:spacing w:after="0" w:line="1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outside the presence of our CEO in order to consider the appropriate compensation for, and in setting the compensation of, our CEO. The Compensation Committee relies on compensation data provided by Mercer in setting CEO compensation. The CEO in 2024 did not maintain personal or business relationships (including any interlocking relationships) with any of the Compensation Committee members (outside of their relationship within the Company) that would impair the Compensation Committee members’ ability to remain independent and assess the CEO’s compensation without any conflict of interest. Thus, the determination of the CEO compensation was made without undue influence from the CEO. During 2024, for all other named executive officers, the Compensation Committee met outside the presence of all executive officers except our CEO. The annual performance of each of our executive officers is considered by the Compensation Committee when making decisions regarding base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1" w:name="page32"/>
    <w:bookmarkEnd w:id="31"/>
    <w:p>
      <w:pPr>
        <w:ind w:right="120"/>
        <w:spacing w:after="0" w:line="261" w:lineRule="auto"/>
        <w:rPr>
          <w:sz w:val="20"/>
          <w:szCs w:val="20"/>
          <w:color w:val="auto"/>
        </w:rPr>
      </w:pPr>
      <w:r>
        <w:rPr>
          <w:rFonts w:ascii="Times New Roman" w:cs="Times New Roman" w:eastAsia="Times New Roman" w:hAnsi="Times New Roman"/>
          <w:sz w:val="18"/>
          <w:szCs w:val="18"/>
          <w:color w:val="auto"/>
        </w:rPr>
        <w:t>salary, targets for and payments under our STI plan and grants of equity incentive awards. When making recommendations regarding individual executive officers, the Compensation Committee considers the importance of the position to us, the past compensation history of the executive officer and the contributions made by the individual in the past and the contributions we expect the executive officer to make in the future towards the success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within the context of a compensation philosophy. This philosophy is to provide compensation and benefits programs designed to attract, engage, and retain a high caliber workforce that enables us to compete with companies in the pharmaceutical and biotechnology industries and to reward individual and corporate performance. We believe that a well-designed compensation program for our executive officers should:</w:t>
      </w:r>
    </w:p>
    <w:p>
      <w:pPr>
        <w:spacing w:after="0" w:line="7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goals of the executive officer with the goals of our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initiative and achievement;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total compensation that enables us to compete with companies in the pharmaceutical and biotechnology industries;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our short-term and long-term corporate objectives and strategy, focusing executive officer behavior on the fulfillment of those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keeping with this philosophy, our executive compensation program is designed to achieve the following objectives:</w:t>
      </w:r>
    </w:p>
    <w:p>
      <w:pPr>
        <w:spacing w:after="0" w:line="11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talented and experienced executives;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executives and employees who are instrumental in accomplishing our corporate goals;</w:t>
      </w:r>
    </w:p>
    <w:p>
      <w:pPr>
        <w:spacing w:after="0" w:line="11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and stockholders by motivating executives to increase stockholder value and rewarding executives when stockholder value increases;</w:t>
      </w:r>
    </w:p>
    <w:p>
      <w:pPr>
        <w:spacing w:after="0" w:line="5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which is weighted towards pay-for-performance (including, when appropriate, long-term incentives such as performance equity awards), and in which total compensation is primarily determined by the Company’s and the individual’s achievement of results;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 Company’s and their individual goals;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to manage our business to meet our long-term objectives.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 Assessment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less frequently than annually, the Compensation Committee reviews competitive market data to determine if our compensation levels remain at targeted levels and our pay practices are appropriate. These assessments include a review of base salary, STI compensation, and long-term incentive ("LTI") compensation. These components are benchmarked against a group of peer companies.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peer group of similarly situated companies was developed by considering U.S.-based companies in the same industry (biotechnology/pharmaceutical) with similar company characteristics, such as revenue, market capitalization, and number of employees. In addition to these criteria, we consider companies with a similar competitive strategy, including utilizing an internal sales force, and maintaining internal manufacturing capabilities. In order to ensure that we do not exclude potential peers, we also take note of companies considered to be our peers by Institutional Shareholder Services for their benchmarking purposes. We review the list annually to ensure that our peer group is relevant while also striving for year-over-year consistency.</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accordance with our annual process, the Compensation Committee reviewed our peer group in the first quarter of 2024. Based on data compiled by Mercer and reviewed by the Compensation Committee during this process, the Compensation Committee determined that two companies needed to be removed from the list: Sangamo Therapeutics, Inc., who does not have a product on the market and does not employ a sales force and Agenus Inc., whose market value is outside our peer screening criteria and who also does not have a product on the market and does not employ a sales force. In place of these companies, the Compensation Committee added two companies that satisfied our criteria for peer companies: Ironwood Pharmaceuticals, Inc. and Mirum Pharmaceuticals, Inc.</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Accordingly, the full 2024 peer group consisted of the following 12 companies:</w:t>
            </w:r>
          </w:p>
        </w:tc>
        <w:tc>
          <w:tcPr>
            <w:tcW w:w="5100" w:type="dxa"/>
            <w:vAlign w:val="bottom"/>
          </w:tcPr>
          <w:p>
            <w:pPr>
              <w:spacing w:after="0"/>
              <w:rPr>
                <w:sz w:val="20"/>
                <w:szCs w:val="20"/>
                <w:color w:val="auto"/>
              </w:rPr>
            </w:pPr>
          </w:p>
        </w:tc>
      </w:tr>
      <w:tr>
        <w:trPr>
          <w:trHeight w:val="216"/>
        </w:trPr>
        <w:tc>
          <w:tcPr>
            <w:tcW w:w="614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ADMA Biologics, Inc. (ADMA)</w:t>
            </w:r>
          </w:p>
        </w:tc>
        <w:tc>
          <w:tcPr>
            <w:tcW w:w="5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Ironwood Pharmaceuticals, Inc. (IRWD)</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Anika Therapeutics, Inc. (ANIK)</w:t>
            </w: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Karyopharm Therapeutics Inc. (KPTI)</w:t>
            </w: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BioCryst Pharmaceuticals, Inc. (BCRX)</w:t>
            </w:r>
          </w:p>
        </w:tc>
        <w:tc>
          <w:tcPr>
            <w:tcW w:w="5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Macrogenics Inc. (MGNX)</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Deciphera Pharmaceuticals, Inc. (DCPH)</w:t>
            </w: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Mirum Pharmaceuticals, Inc. (MIRM)</w:t>
            </w:r>
          </w:p>
        </w:tc>
      </w:tr>
      <w:tr>
        <w:trPr>
          <w:trHeight w:val="21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Dynavax Technologies Corporation (DVAX)</w:t>
            </w:r>
          </w:p>
        </w:tc>
        <w:tc>
          <w:tcPr>
            <w:tcW w:w="5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Rigel Pharmaceuticals Inc. (RIGL)</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Insmed Inc. (INSM)</w:t>
            </w: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Vanda Pharmaceuticals Inc. (VNDA)</w:t>
            </w:r>
          </w:p>
        </w:tc>
      </w:tr>
    </w:tbl>
    <w:p>
      <w:pPr>
        <w:spacing w:after="0" w:line="17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some executive positions, the peer group data may not be sufficiently robust, or the position may not have an appropriate counterpart at our peer companies. In those cases, we will also consider industry specific and general published survey compensation data, such as the Aon Radford McLagan Global Life Sciences Executive Survey.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Positioning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executive compensation at least annually, establishes competitive compensation levels and designs the compensation program to provide pay commensurate with individual and corporate performance. With support from Mercer, we have targeted total compensation levels for executives at the median of our peer group. We believe this target to be an appropriate level of compensation to attract and retain qualified and capable executives. However, actual compensation (or individual elements of compensation) may fall above or below this level under a range of circumstances, such as individual and Company performance, tenure with the Company or retention concerns.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factors listed above, we also consider, among other things:</w:t>
      </w:r>
    </w:p>
    <w:p>
      <w:pPr>
        <w:spacing w:after="0" w:line="11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need for the executive officer’s skills;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contributions that the executive officer has made, or we believe will make,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transferability of the executive officer’s managerial skills to other potential employers;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relevance of the executive officer’s experience to other potential employers, particularly in the pharmaceutical and biotechnology industries.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discussed in more detail below, we consider each element of executive compensation and make adjustments as appropriate. We believe our executive compensation packages are reasonable when considering our business strategy, the revenue potential of our business, our compensation philosophy and the competitive market data.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Past Say-on-Pay Results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annual say-on-pay advisory vote is a good governance practice that allows us to maintain accountability to our stockholders. The result of this advisory vote, including in years where support is lower (see table below), can provide valuable insight into the perceptions of our executive compensation programs and areas where we need to improve. When combined with the feedback we receive from direct engagements with investors and analysts, we can better appreciate how different investors assess the alignment between pay and performance differently depending on their time horizons for investment decisions, expectations about the cadence for corporate milestones and other factors.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4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Say-on-Pay Support</w:t>
            </w:r>
          </w:p>
        </w:tc>
      </w:tr>
      <w:tr>
        <w:trPr>
          <w:trHeight w:val="209"/>
        </w:trPr>
        <w:tc>
          <w:tcPr>
            <w:tcW w:w="5400" w:type="dxa"/>
            <w:vAlign w:val="bottom"/>
            <w:shd w:val="clear" w:color="auto" w:fill="CFF0FC"/>
          </w:tcPr>
          <w:p>
            <w:pPr>
              <w:ind w:left="2520"/>
              <w:spacing w:after="0"/>
              <w:rPr>
                <w:sz w:val="20"/>
                <w:szCs w:val="20"/>
                <w:color w:val="auto"/>
              </w:rPr>
            </w:pPr>
            <w:r>
              <w:rPr>
                <w:rFonts w:ascii="Times New Roman" w:cs="Times New Roman" w:eastAsia="Times New Roman" w:hAnsi="Times New Roman"/>
                <w:sz w:val="18"/>
                <w:szCs w:val="18"/>
                <w:color w:val="auto"/>
              </w:rPr>
              <w:t>2019</w:t>
            </w:r>
          </w:p>
        </w:tc>
        <w:tc>
          <w:tcPr>
            <w:tcW w:w="5840" w:type="dxa"/>
            <w:vAlign w:val="bottom"/>
            <w:gridSpan w:val="2"/>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w w:val="96"/>
              </w:rPr>
              <w:t>67%</w:t>
            </w:r>
          </w:p>
        </w:tc>
      </w:tr>
      <w:tr>
        <w:trPr>
          <w:trHeight w:val="216"/>
        </w:trPr>
        <w:tc>
          <w:tcPr>
            <w:tcW w:w="54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2020</w:t>
            </w:r>
          </w:p>
        </w:tc>
        <w:tc>
          <w:tcPr>
            <w:tcW w:w="58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61%</w:t>
            </w:r>
          </w:p>
        </w:tc>
      </w:tr>
      <w:tr>
        <w:trPr>
          <w:trHeight w:val="216"/>
        </w:trPr>
        <w:tc>
          <w:tcPr>
            <w:tcW w:w="5400" w:type="dxa"/>
            <w:vAlign w:val="bottom"/>
            <w:shd w:val="clear" w:color="auto" w:fill="CFF0FC"/>
          </w:tcPr>
          <w:p>
            <w:pPr>
              <w:ind w:left="2520"/>
              <w:spacing w:after="0"/>
              <w:rPr>
                <w:sz w:val="20"/>
                <w:szCs w:val="20"/>
                <w:color w:val="auto"/>
              </w:rPr>
            </w:pPr>
            <w:r>
              <w:rPr>
                <w:rFonts w:ascii="Times New Roman" w:cs="Times New Roman" w:eastAsia="Times New Roman" w:hAnsi="Times New Roman"/>
                <w:sz w:val="18"/>
                <w:szCs w:val="18"/>
                <w:color w:val="auto"/>
              </w:rPr>
              <w:t>2021</w:t>
            </w:r>
          </w:p>
        </w:tc>
        <w:tc>
          <w:tcPr>
            <w:tcW w:w="5840" w:type="dxa"/>
            <w:vAlign w:val="bottom"/>
            <w:gridSpan w:val="2"/>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w w:val="96"/>
              </w:rPr>
              <w:t>89%</w:t>
            </w:r>
          </w:p>
        </w:tc>
      </w:tr>
      <w:tr>
        <w:trPr>
          <w:trHeight w:val="216"/>
        </w:trPr>
        <w:tc>
          <w:tcPr>
            <w:tcW w:w="54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2022</w:t>
            </w:r>
          </w:p>
        </w:tc>
        <w:tc>
          <w:tcPr>
            <w:tcW w:w="58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88%</w:t>
            </w:r>
          </w:p>
        </w:tc>
      </w:tr>
      <w:tr>
        <w:trPr>
          <w:trHeight w:val="216"/>
        </w:trPr>
        <w:tc>
          <w:tcPr>
            <w:tcW w:w="5400" w:type="dxa"/>
            <w:vAlign w:val="bottom"/>
            <w:shd w:val="clear" w:color="auto" w:fill="CFF0FC"/>
          </w:tcPr>
          <w:p>
            <w:pPr>
              <w:ind w:left="2520"/>
              <w:spacing w:after="0"/>
              <w:rPr>
                <w:sz w:val="20"/>
                <w:szCs w:val="20"/>
                <w:color w:val="auto"/>
              </w:rPr>
            </w:pPr>
            <w:r>
              <w:rPr>
                <w:rFonts w:ascii="Times New Roman" w:cs="Times New Roman" w:eastAsia="Times New Roman" w:hAnsi="Times New Roman"/>
                <w:sz w:val="18"/>
                <w:szCs w:val="18"/>
                <w:color w:val="auto"/>
              </w:rPr>
              <w:t>2023</w:t>
            </w:r>
          </w:p>
        </w:tc>
        <w:tc>
          <w:tcPr>
            <w:tcW w:w="5840" w:type="dxa"/>
            <w:vAlign w:val="bottom"/>
            <w:gridSpan w:val="2"/>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w w:val="96"/>
              </w:rPr>
              <w:t>90%</w:t>
            </w:r>
          </w:p>
        </w:tc>
      </w:tr>
      <w:tr>
        <w:trPr>
          <w:trHeight w:val="234"/>
        </w:trPr>
        <w:tc>
          <w:tcPr>
            <w:tcW w:w="54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2024</w:t>
            </w:r>
          </w:p>
        </w:tc>
        <w:tc>
          <w:tcPr>
            <w:tcW w:w="58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90%</w:t>
            </w:r>
          </w:p>
        </w:tc>
      </w:tr>
    </w:tbl>
    <w:p>
      <w:pPr>
        <w:spacing w:after="0" w:line="1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Aided by these insights, our annual equity award program for executives and other senior employees is designed to emphasize performance-based vesting, measured over a multi-year period. This component of long-term compensation pays out, if at all, in proportion to the Company’s total stockholder return relative to the Russell 3000 Pharmaceutical and Biotechnology industry index over a multi-year period. We believe that this approach to long-term compensation is responsive to investors’ preference for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performance-vesting long-term compensation while also providing compensation that attracts, motivates, incentivizes and retains highly qualified executive officers to drive the success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order to provide a total compensation package that is tied to stockholder value creation and the achievement of strategic corporate goals, our executive compensation package is comprised of several components. These components are designed to work together to create a balanced approach to compensation, rewarding both short-term and long-term performance and fostering sufficient retentive effect to secure the services of our executive officers while we execute on our plans. Currently, our compensation structure for executive officers includes a combination of base salary, STI compensation, LTI compensation in the form of equity awards, 401(k), medical and other benefits, and severance and change in control and other post termination provisions. Each component is described in further detail below.</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charts break down the total compensation that the CEO and the other named executive officers (on average) received in 2024, including the grant date fair value of equity awards granted to these officers in 2024. These charts are derived from the Summary Compensation Table on page 34, excluding income associated with employer contributions to individual 401(k) plans, supplemental medical benefits, airline club reimbursements and other taxable income. The charts illustrate the extent to which a greater percentage of total compensation for our named executive officers is delivered in the form of performance-based compensation as compared to fixed compensation (salary and time-based equity awards). Specifically, performance-based compensation accounted for approximately 70% of the 2024 total compensation for the CEO and approximately 65% for the other named executive officers. Mr. Prentiss and Mr. Binder were excluded from these calculations because they were employed for only part of the past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131445</wp:posOffset>
            </wp:positionV>
            <wp:extent cx="5734685" cy="2160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3468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the above compensation structure appropriately balances the dual objectives of promoting long-term stockholder value creation and preventing excessive risk-taking.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 salaries are designed to provide compensation for the day-to-day management of the Company, assuming satisfactory levels of performance. This component is designed to provide consistent and steady cash flow for the executive and represents only a portion of total compensation. Salary levels are based primarily upon the competitive market for the executive officers’ services, as reflected by the peer group. Base salaries for our executives are generally intended to fall within 10% of the median of the competitive market, although individual performance, responsibility, and the importance of each role in our organization can also impact base salary levels.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2024, the Compensation Committee reviewed executive salaries and other elements of compensation against the benchmarks provided by our peer group. The base salaries of all executives were found to be consistent with the competitive market (inclusive of a 3% cost of living increase in base salaries from 2023 to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Incentive Plan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of our executive officers is eligible to receive an annual performance-based cash payment. The annual cash incentive awards under our STI plan are intended to compensate our executive officers for achieving our annual goals at the corporate level and for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140"/>
        <w:spacing w:after="0" w:line="256" w:lineRule="auto"/>
        <w:rPr>
          <w:sz w:val="20"/>
          <w:szCs w:val="20"/>
          <w:color w:val="auto"/>
        </w:rPr>
      </w:pPr>
      <w:r>
        <w:rPr>
          <w:rFonts w:ascii="Times New Roman" w:cs="Times New Roman" w:eastAsia="Times New Roman" w:hAnsi="Times New Roman"/>
          <w:sz w:val="18"/>
          <w:szCs w:val="18"/>
          <w:color w:val="auto"/>
        </w:rPr>
        <w:t>achieving individual annual performance objectives. The objectives for our company and individual measures are established so that performance at or above target levels requires significant effort on the part of our executives. The STI plan is funded based on the overall achievement of corporate objectives, as determined by the Compensation Committee in its evaluation of the accomplishments of the Company during the previous year. Evaluation criteria can be quantitative or qualitative, depending on the objective. Quantitative objectives are typically evaluated using a leverage curve that allows up to a 200% payout for over-achievement of up to 120% of the stated target and imposes on a 0% payout for any achievement that falls below 80% of the stated target.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STI plan is an important part of our pay-for-performance culture. We believe that tying a significant portion of our executive cash compensation to financial and operational goals – such as production goals, revenue metrics and progress of product development milestones – encourages corporate performance and stock price growth. This element of compensation is truly at risk, as reflected in the table below that shows the various achievement level of the corporate objectives over the last few years: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 Achieved</w:t>
            </w:r>
          </w:p>
        </w:tc>
        <w:tc>
          <w:tcPr>
            <w:tcW w:w="4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6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the following year)</w:t>
            </w:r>
          </w:p>
        </w:tc>
        <w:tc>
          <w:tcPr>
            <w:tcW w:w="420" w:type="dxa"/>
            <w:vAlign w:val="bottom"/>
          </w:tcPr>
          <w:p>
            <w:pPr>
              <w:spacing w:after="0"/>
              <w:rPr>
                <w:sz w:val="20"/>
                <w:szCs w:val="20"/>
                <w:color w:val="auto"/>
              </w:rPr>
            </w:pPr>
          </w:p>
        </w:tc>
        <w:tc>
          <w:tcPr>
            <w:tcW w:w="47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STI Achievement Level</w:t>
            </w:r>
          </w:p>
        </w:tc>
      </w:tr>
      <w:tr>
        <w:trPr>
          <w:trHeight w:val="209"/>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514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90%</w:t>
            </w:r>
          </w:p>
        </w:tc>
      </w:tr>
      <w:tr>
        <w:trPr>
          <w:trHeight w:val="216"/>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51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514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93%</w:t>
            </w:r>
          </w:p>
        </w:tc>
      </w:tr>
      <w:tr>
        <w:trPr>
          <w:trHeight w:val="216"/>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5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125%</w:t>
            </w:r>
          </w:p>
        </w:tc>
      </w:tr>
      <w:tr>
        <w:trPr>
          <w:trHeight w:val="216"/>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514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9"/>
              </w:rPr>
              <w:t>115%</w:t>
            </w:r>
          </w:p>
        </w:tc>
      </w:tr>
      <w:tr>
        <w:trPr>
          <w:trHeight w:val="216"/>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5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124%</w:t>
            </w:r>
          </w:p>
        </w:tc>
      </w:tr>
      <w:tr>
        <w:trPr>
          <w:trHeight w:val="216"/>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514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9"/>
              </w:rPr>
              <w:t>144%</w:t>
            </w:r>
          </w:p>
        </w:tc>
      </w:tr>
      <w:tr>
        <w:trPr>
          <w:trHeight w:val="234"/>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5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125%</w:t>
            </w:r>
          </w:p>
        </w:tc>
      </w:tr>
    </w:tbl>
    <w:p>
      <w:pPr>
        <w:spacing w:after="0" w:line="1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Early in 2024, the Board of Directors specified three main corporate objectives for 2024. In January 2025, the Compensation Committee evaluated the performance of the Company against the corporate objectives as follows: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20" w:type="dxa"/>
            <w:vAlign w:val="bottom"/>
          </w:tcPr>
          <w:p>
            <w:pPr>
              <w:spacing w:after="0"/>
              <w:rPr>
                <w:sz w:val="20"/>
                <w:szCs w:val="20"/>
                <w:color w:val="auto"/>
              </w:rPr>
            </w:pPr>
          </w:p>
        </w:tc>
        <w:tc>
          <w:tcPr>
            <w:tcW w:w="40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Assessment</w:t>
            </w: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Result</w:t>
            </w:r>
          </w:p>
        </w:tc>
      </w:tr>
      <w:tr>
        <w:trPr>
          <w:trHeight w:val="191"/>
        </w:trPr>
        <w:tc>
          <w:tcPr>
            <w:tcW w:w="46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Deliver on Tyvaso DPI production</w:t>
            </w:r>
          </w:p>
        </w:tc>
        <w:tc>
          <w:tcPr>
            <w:tcW w:w="1180" w:type="dxa"/>
            <w:vAlign w:val="bottom"/>
            <w:gridSpan w:val="2"/>
            <w:shd w:val="clear" w:color="auto" w:fill="CFF0FC"/>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6"/>
                <w:szCs w:val="16"/>
                <w:color w:val="auto"/>
              </w:rPr>
            </w:pPr>
          </w:p>
        </w:tc>
        <w:tc>
          <w:tcPr>
            <w:tcW w:w="40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Assessed quantitatively with respect to production</w:t>
            </w:r>
          </w:p>
        </w:tc>
        <w:tc>
          <w:tcPr>
            <w:tcW w:w="1160" w:type="dxa"/>
            <w:vAlign w:val="bottom"/>
            <w:gridSpan w:val="2"/>
            <w:shd w:val="clear" w:color="auto" w:fill="CFF0FC"/>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8"/>
              </w:rPr>
              <w:t>57.5%</w:t>
            </w:r>
          </w:p>
        </w:tc>
      </w:tr>
      <w:tr>
        <w:trPr>
          <w:trHeight w:val="216"/>
        </w:trPr>
        <w:tc>
          <w:tcPr>
            <w:tcW w:w="4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goals and qualitatively with respect to actions taken to</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34"/>
        </w:trPr>
        <w:tc>
          <w:tcPr>
            <w:tcW w:w="4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expand production</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198"/>
        </w:trPr>
        <w:tc>
          <w:tcPr>
            <w:tcW w:w="4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Drive endocrinology business</w:t>
            </w:r>
          </w:p>
        </w:tc>
        <w:tc>
          <w:tcPr>
            <w:tcW w:w="118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7"/>
                <w:szCs w:val="17"/>
                <w:color w:val="auto"/>
              </w:rPr>
            </w:pPr>
          </w:p>
        </w:tc>
        <w:tc>
          <w:tcPr>
            <w:tcW w:w="4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Assessed quantitatively with respect to financial</w:t>
            </w:r>
          </w:p>
        </w:tc>
        <w:tc>
          <w:tcPr>
            <w:tcW w:w="116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35.0%</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metrics and qualitatively with respect to clinical</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milestones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8"/>
        </w:trPr>
        <w:tc>
          <w:tcPr>
            <w:tcW w:w="4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Advance pipeline opportunities</w:t>
            </w:r>
          </w:p>
        </w:tc>
        <w:tc>
          <w:tcPr>
            <w:tcW w:w="1180" w:type="dxa"/>
            <w:vAlign w:val="bottom"/>
            <w:gridSpan w:val="2"/>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7"/>
                <w:szCs w:val="17"/>
                <w:color w:val="auto"/>
              </w:rPr>
            </w:pPr>
          </w:p>
        </w:tc>
        <w:tc>
          <w:tcPr>
            <w:tcW w:w="40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Assessed quantitatively with respect to the</w:t>
            </w:r>
          </w:p>
        </w:tc>
        <w:tc>
          <w:tcPr>
            <w:tcW w:w="116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21.5%</w:t>
            </w:r>
          </w:p>
        </w:tc>
      </w:tr>
      <w:tr>
        <w:trPr>
          <w:trHeight w:val="234"/>
        </w:trPr>
        <w:tc>
          <w:tcPr>
            <w:tcW w:w="4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achievement of development milestones</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Finance/Quality</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Assessed qualitatively</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Overall Result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125.0%</w:t>
            </w: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eligible position, including the executive officers, is assigned a target STI opportunity expressed as a percentage of base salary, which reflects market competitive levels. Target STI opportunities are generally intended to be at the 50th percentile of the market. For Mr. Castagna, the target STI opportunity is 80% of base salary. For all other executive officers, the target STI opportunity is 50% of base salary.</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a result of the Compensation Committee’s determination that the Company as a whole achieved 125.0% of its 2024 corporate goals, 125.0% of the aggregate target STI opportunity for all executive officers was made available for cash incentive awards to be paid in April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order to provide a significant retention incentive and to ensure a strong link to the long-term interests of stockholders, we provide a portion of our total compensation in the form of LTI compensation, which is generally delivered as an equity award (typically restricted stock units). In 2024, all employees, including executive officers, were eligible to receive equity awards. Equity awards are granted under the 2018 Equity Incentive Plan, which is administered by the Compensation Committee pursuant to a delegation of concurrent authority by our Board of Directors. The awards are made at the discretion of the Compensation Committee, after taking into consideration grant guidelines that we have developed. In 2024, based on the benchmarks provided by our peer group, the Compensation Committee determined that our equity guidelines for executive officers had fallen below the median of our peer group. Accordingly, the annual long-term incentive awards for executive officers were revised to target $4.5 million (from 450% of base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80"/>
        <w:spacing w:after="0" w:line="261" w:lineRule="auto"/>
        <w:rPr>
          <w:sz w:val="20"/>
          <w:szCs w:val="20"/>
          <w:color w:val="auto"/>
        </w:rPr>
      </w:pPr>
      <w:r>
        <w:rPr>
          <w:rFonts w:ascii="Times New Roman" w:cs="Times New Roman" w:eastAsia="Times New Roman" w:hAnsi="Times New Roman"/>
          <w:sz w:val="18"/>
          <w:szCs w:val="18"/>
          <w:color w:val="auto"/>
        </w:rPr>
        <w:t>salary target used in the prior year) for the CEO and $1.25 million (an increase from the 200% of median base salary target used in the prior year) for all other executive officers. These revised targets correspond to approximately the 60th percentile of the competitive market, but they can be modified at the discretion of the Compensation Committee for a range of reasons, including but not limited to, company performance, individual employee performance, financial position of the company, number of shares available for grant under the equity incentive plan, the volatility of the stock price, and similar factors.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policy with regard to the timing of grants of equity compensation is to issue annual grants of equity awards in connection with a regularly scheduled quarterly meeting of the Compensation Committee. The timing of grant dates is not based on any favorable or unfavorable non-public information anticipated to be disclosed at a later date. All stock option awards are granted with an exercise price equal to the closing price of our common stock on the Nasdaq Global Market on the date of the meeting at which such stock options were granted.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2024, annual equity awards were delivered as grants of both performance-based and time-based restricted stock units. The total target amount of annual equity compensation (i.e., $4.5 million for the CEO; $1.25 million for each of the other executive officers) was converted into a number of shares using the then-current 20-day trailing average stock price and the resulting number was divided into two awards of restricted stock units. For clarity, the values of these grants for purposes of the Summary Compensation Table on page 34 and the Grants of Plan table on page 36 are calculated on the basis of a Monte Carlo simulation of the grant date fair market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Time-based</w:t>
            </w:r>
          </w:p>
        </w:tc>
      </w:tr>
      <w:tr>
        <w:trPr>
          <w:trHeight w:val="238"/>
        </w:trPr>
        <w:tc>
          <w:tcPr>
            <w:tcW w:w="366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LTI Guideline</w:t>
            </w:r>
          </w:p>
        </w:tc>
        <w:tc>
          <w:tcPr>
            <w:tcW w:w="1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Award</w:t>
            </w:r>
          </w:p>
        </w:tc>
        <w:tc>
          <w:tcPr>
            <w:tcW w:w="20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Award</w:t>
            </w:r>
          </w:p>
        </w:tc>
      </w:tr>
      <w:tr>
        <w:trPr>
          <w:trHeight w:val="209"/>
        </w:trPr>
        <w:tc>
          <w:tcPr>
            <w:tcW w:w="3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 Castagna</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1,034,000 shares</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569,000 RSUs</w:t>
            </w:r>
          </w:p>
        </w:tc>
        <w:tc>
          <w:tcPr>
            <w:tcW w:w="20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465,000 RSUs</w:t>
            </w:r>
          </w:p>
        </w:tc>
      </w:tr>
      <w:tr>
        <w:trPr>
          <w:trHeight w:val="198"/>
        </w:trPr>
        <w:tc>
          <w:tcPr>
            <w:tcW w:w="36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Messrs. Blank, Prentiss, Singh, Thomson, Tross</w:t>
            </w: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Ms. Sabella</w:t>
            </w:r>
          </w:p>
        </w:tc>
        <w:tc>
          <w:tcPr>
            <w:tcW w:w="1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287,000 shares</w:t>
            </w:r>
          </w:p>
        </w:tc>
        <w:tc>
          <w:tcPr>
            <w:tcW w:w="1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158,000 RSUs</w:t>
            </w:r>
          </w:p>
        </w:tc>
        <w:tc>
          <w:tcPr>
            <w:tcW w:w="2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129,000 RSUs</w:t>
            </w:r>
          </w:p>
        </w:tc>
      </w:tr>
      <w:tr>
        <w:trPr>
          <w:trHeight w:val="216"/>
        </w:trPr>
        <w:tc>
          <w:tcPr>
            <w:tcW w:w="3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 Binder (1)</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287,000 shares</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 RSUs</w:t>
            </w:r>
          </w:p>
        </w:tc>
        <w:tc>
          <w:tcPr>
            <w:tcW w:w="20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287,000 RSUs</w:t>
            </w:r>
          </w:p>
        </w:tc>
      </w:tr>
      <w:tr>
        <w:trPr>
          <w:trHeight w:val="81"/>
        </w:trPr>
        <w:tc>
          <w:tcPr>
            <w:tcW w:w="184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40" w:type="dxa"/>
            <w:vAlign w:val="bottom"/>
          </w:tcPr>
          <w:p>
            <w:pPr>
              <w:spacing w:after="0"/>
              <w:rPr>
                <w:sz w:val="7"/>
                <w:szCs w:val="7"/>
                <w:color w:val="auto"/>
              </w:rPr>
            </w:pPr>
          </w:p>
        </w:tc>
      </w:tr>
    </w:tbl>
    <w:p>
      <w:pPr>
        <w:spacing w:after="0" w:line="139" w:lineRule="exact"/>
        <w:rPr>
          <w:sz w:val="20"/>
          <w:szCs w:val="20"/>
          <w:color w:val="auto"/>
        </w:rPr>
      </w:pPr>
    </w:p>
    <w:p>
      <w:pPr>
        <w:ind w:left="700" w:right="200" w:hanging="679"/>
        <w:spacing w:after="0" w:line="261" w:lineRule="auto"/>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Binder did not receive any performance-based restricted stock unit awards during the year ended December 31, 2024. Prior to the grant date, Mr. Binder had transitioned out of the role of Chief Financial Officer and announced his intention to retire later in 2024.</w:t>
      </w:r>
    </w:p>
    <w:p>
      <w:pPr>
        <w:spacing w:after="0" w:line="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One award, representing approximately 45% of total annual equity incentive, was delivered as a time-based restricted stock unit that vests 25% annually, commencing in July 2025 and ending in July 2028. The other award, representing approximately 55% of the total annual equity incentive, was delivered as a performance stock unit that cliff-vests in July 2027. The number of shares delivered on the vesting date, as a percentage of the target number specified in the table above, will be determined by the percentile ranking of the Company’s total stockholder return (“TSR”) over a three-year measurement period from July 2024 until June 2027 relative to the TSR of the Russell 3000 Pharmaceutical &amp; Biotechnology Index over the same period, as follows:</w:t>
      </w:r>
    </w:p>
    <w:p>
      <w:pPr>
        <w:spacing w:after="0" w:line="8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50%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100%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200%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300% of target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 values will be interpolated between the percentile rankings above.</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reflected in the Summary Compensation Table on page 34, executive officers who were awarded a performance-based stock unit in 2021 received a payout from such awards in May 2024. Based on the relative performance of the Company’s TSR over the measurement period (198%), each such executive officer received a number of shares that corresponded to 198% of target for such awards.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believe that the use of relative TSR is an appropriate metric for LTI compensation whereas operational metrics, such as revenue growth, are better suited for STI. Putting a majority of the LTI at risk and tying the value of that compensation to stockholder returns over the same period aligns with our pay-for performance philosophy. At the same time, the inclusion of time-based awards within the LTI program encourages employee retention and fosters equity ownership, which are additional objectives of our compensation program.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All of our executive officers are subject to our Dodd-Frank Act-compliant clawback policy, which applies to all incentive-based compensation, including STI and LTI, that is granted, earned or vested based wholly or in part upon the attainment of a financial reporting measure, which are measures that are determined and presented in accordance with the accounting principles used in preparing the Company’s financial statements, and any measures derived wholly or in part from such measures, including Company stock price and TSR. The policy provides that such incentive-based compensation is subject to recoupment for any material financial restatement, regardless of whether the executive is at fault and regardless of any fraud or willful misconduct. The policy applies to any incentive compensation received by an executive officer on or after October 2,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executive officers are subject to our stock ownership guidelines, which require each such individual to hold a specified number of shares of our common stock calculated by dividing the dollar amount below by the current stock price: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Borders>
              <w:bottom w:val="single" w:sz="8" w:color="auto"/>
            </w:tcBorders>
          </w:tcPr>
          <w:p>
            <w:pPr>
              <w:ind w:left="39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20" w:type="dxa"/>
            <w:vAlign w:val="bottom"/>
          </w:tcPr>
          <w:p>
            <w:pPr>
              <w:spacing w:after="0"/>
              <w:rPr>
                <w:sz w:val="20"/>
                <w:szCs w:val="20"/>
                <w:color w:val="auto"/>
              </w:rPr>
            </w:pPr>
          </w:p>
        </w:tc>
        <w:tc>
          <w:tcPr>
            <w:tcW w:w="2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Ownership Guideline</w:t>
            </w:r>
          </w:p>
        </w:tc>
      </w:tr>
      <w:tr>
        <w:trPr>
          <w:trHeight w:val="210"/>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 times base salary</w:t>
            </w:r>
          </w:p>
        </w:tc>
      </w:tr>
      <w:tr>
        <w:trPr>
          <w:trHeight w:val="216"/>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Presidents</w:t>
            </w: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 times base salary</w:t>
            </w:r>
          </w:p>
        </w:tc>
      </w:tr>
      <w:tr>
        <w:trPr>
          <w:trHeight w:val="216"/>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Vice Presidents and Vice Presidents serving on the Executive Leadership Team</w:t>
            </w:r>
          </w:p>
        </w:tc>
        <w:tc>
          <w:tcPr>
            <w:tcW w:w="2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times base salary</w:t>
            </w: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individual subject to the stock ownership guidelines has five years to reach the applicable guideline, beginning January 1, 2020 or when the individual is hired or promoted into the eligible role, whichever is later. Upon completion of the grace period, for anyone out of compliance with the guidelines, the Board or the Compensation Committee may restrict their sale of shares or may choose to deliver salary or STI payments in stock rather than cash until the guidelines are satisfied. All executive officers are currently in compliance with our stock ownership guidelines.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provide a competitive benefits package to all full-time employees, which includes health and welfare benefits, such as medical, dental, vision care, life insurance benefits, and a 401(k) savings plan (as described below). Executives, including the named executive officers, receive additional benefits, including executive medical reimbursement insurance, as well as additional short-term and long-term disability insurance.</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no other structured perquisite benefits (e.g. automobile allowance, or financial planning services) for any executive officer, including the named executive officers, and we currently do not provide any deferred compensation programs or supplemental pensions to any executive officer, including the named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employees, including our executive officers, are eligible to participate in a defined contribution retirement plan that provides eligible employees with an opportunity to save for retirement on a tax advantaged basis. Eligible employees may elect to defer up to 100% of their eligible compensation into the plan on a pretax or after tax basis, up to annual limits prescribed by the Internal Revenue Code (the "Code"), with an annual match of up to 5% of the amount deferred, defined as a 50% match up to 10% eligible employee contribution, subject to the limitations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order to encourage stock ownership and provide greater incentives to contribute to our success at all levels, we provide all employees, including executive officers, the ability to purchase our common stock at a discount under our 2004 employee stock purchase plan (the “Purchase Plan”). The Purchase Plan is designed to comply with Section 423 of the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5,000 shares of common stock on any purchase date. The executives’ rights under the Purchase Plan are identical to those of all other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Provisions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Currently, we have no severance agreements with our executive officers, except with Mr. Thomson. The terms of the agreement and amounts that may be realized are detailed under the heading “Potential Payments Upon Termination or Change of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Provisions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entered into change of control agreements with each of our executive officers in order to ensure that we have the continued dedication of these executives and in order to provide them with reasonable compensation and benefit arrangements in the event of termination of their employment following a change of control. We believe that it is imperative to diminish any distraction of our executives arising from the personal uncertainty and insecurity that arises in the absence of any assurance of job security, thereby allowing executives to focus on corporate objectives and strategy. The terms of these agreements and amounts that may be realized are detailed under the heading “Potential Payments Upon Termination or Change of Control.”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Section 162(m) of the Code (“Section 162(m)”), compensation paid to any publicly held corporation’s “covered employees” that exceeds $1 million per taxable year for any covered employee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for the three year period ended December 31, 2024 compensation awarded to, or earned by:</w:t>
      </w:r>
    </w:p>
    <w:p>
      <w:pPr>
        <w:spacing w:after="0" w:line="11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served as our principal executive officer ("PEO") or principal financial officer for any portion of 2024;</w:t>
      </w:r>
    </w:p>
    <w:p>
      <w:pPr>
        <w:spacing w:after="0" w:line="117"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three most highly compensated executive officers in 2024, other than the individuals listed above, who were serving as executive officers during 2024 and as of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Non-Equity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440" w:type="dxa"/>
            <w:vAlign w:val="bottom"/>
          </w:tcPr>
          <w:p>
            <w:pPr>
              <w:spacing w:after="0"/>
              <w:rPr>
                <w:sz w:val="14"/>
                <w:szCs w:val="14"/>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20" w:type="dxa"/>
            <w:vAlign w:val="bottom"/>
          </w:tcPr>
          <w:p>
            <w:pPr>
              <w:spacing w:after="0"/>
              <w:rPr>
                <w:sz w:val="13"/>
                <w:szCs w:val="13"/>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w:t>
            </w:r>
          </w:p>
        </w:tc>
        <w:tc>
          <w:tcPr>
            <w:tcW w:w="440" w:type="dxa"/>
            <w:vAlign w:val="bottom"/>
          </w:tcPr>
          <w:p>
            <w:pPr>
              <w:spacing w:after="0"/>
              <w:rPr>
                <w:sz w:val="13"/>
                <w:szCs w:val="13"/>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1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Michael E. Castagna</w:t>
            </w:r>
          </w:p>
        </w:tc>
        <w:tc>
          <w:tcPr>
            <w:tcW w:w="1020" w:type="dxa"/>
            <w:vAlign w:val="bottom"/>
            <w:gridSpan w:val="2"/>
            <w:shd w:val="clear" w:color="auto" w:fill="CFF0FC"/>
          </w:tcPr>
          <w:p>
            <w:pPr>
              <w:ind w:left="500"/>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766,442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7,929,950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766,442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27,794</w:t>
            </w:r>
          </w:p>
        </w:tc>
        <w:tc>
          <w:tcPr>
            <w:tcW w:w="44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9,490,628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Chief Executive Officer</w:t>
            </w:r>
          </w:p>
        </w:tc>
        <w:tc>
          <w:tcPr>
            <w:tcW w:w="10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701,546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5,536,550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808,181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21,837</w:t>
            </w:r>
          </w:p>
        </w:tc>
        <w:tc>
          <w:tcPr>
            <w:tcW w:w="4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7,068,114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623,358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2,646,400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571,619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63,681</w:t>
            </w: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3,905,058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1"/>
                <w:szCs w:val="11"/>
                <w:color w:val="auto"/>
              </w:rPr>
            </w:pPr>
          </w:p>
        </w:tc>
        <w:tc>
          <w:tcPr>
            <w:tcW w:w="2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1"/>
                <w:szCs w:val="11"/>
                <w:color w:val="auto"/>
              </w:rPr>
            </w:pPr>
          </w:p>
        </w:tc>
        <w:tc>
          <w:tcPr>
            <w:tcW w:w="2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Christopher B. Prentiss (6)</w:t>
            </w:r>
          </w:p>
        </w:tc>
        <w:tc>
          <w:tcPr>
            <w:tcW w:w="1020" w:type="dxa"/>
            <w:vAlign w:val="bottom"/>
            <w:gridSpan w:val="2"/>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300,769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2,662,470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187,981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201,632</w:t>
            </w:r>
          </w:p>
        </w:tc>
        <w:tc>
          <w:tcPr>
            <w:tcW w:w="4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3,352,852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Steven B. Binder (8)</w:t>
            </w:r>
          </w:p>
        </w:tc>
        <w:tc>
          <w:tcPr>
            <w:tcW w:w="10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396,076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1,277,150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247,548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202,040</w:t>
            </w:r>
          </w:p>
        </w:tc>
        <w:tc>
          <w:tcPr>
            <w:tcW w:w="4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2,122,814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Former Chief Financial Officer</w:t>
            </w:r>
          </w:p>
        </w:tc>
        <w:tc>
          <w:tcPr>
            <w:tcW w:w="1020" w:type="dxa"/>
            <w:vAlign w:val="bottom"/>
            <w:gridSpan w:val="2"/>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482,750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1,480,800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347,580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23,949</w:t>
            </w: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2,335,079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464,877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936,500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304,494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30,833</w:t>
            </w:r>
          </w:p>
        </w:tc>
        <w:tc>
          <w:tcPr>
            <w:tcW w:w="4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1,736,704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Burkhard Blank</w:t>
            </w:r>
          </w:p>
        </w:tc>
        <w:tc>
          <w:tcPr>
            <w:tcW w:w="1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449,646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2,201,450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281,029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26,164</w:t>
            </w:r>
          </w:p>
        </w:tc>
        <w:tc>
          <w:tcPr>
            <w:tcW w:w="4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2,958,289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EVP, Chief Medical Officer</w:t>
            </w:r>
          </w:p>
        </w:tc>
        <w:tc>
          <w:tcPr>
            <w:tcW w:w="1020" w:type="dxa"/>
            <w:vAlign w:val="bottom"/>
            <w:gridSpan w:val="2"/>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250,462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955,500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180,332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5,371</w:t>
            </w: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1,391,665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Lauren M. Sabella</w:t>
            </w:r>
          </w:p>
        </w:tc>
        <w:tc>
          <w:tcPr>
            <w:tcW w:w="1020" w:type="dxa"/>
            <w:vAlign w:val="bottom"/>
            <w:gridSpan w:val="2"/>
            <w:vMerge w:val="restart"/>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449,646</w:t>
            </w:r>
          </w:p>
        </w:tc>
        <w:tc>
          <w:tcPr>
            <w:tcW w:w="2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2,201,450</w:t>
            </w:r>
          </w:p>
        </w:tc>
        <w:tc>
          <w:tcPr>
            <w:tcW w:w="2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281,029</w:t>
            </w:r>
          </w:p>
        </w:tc>
        <w:tc>
          <w:tcPr>
            <w:tcW w:w="2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38,231</w:t>
            </w:r>
          </w:p>
        </w:tc>
        <w:tc>
          <w:tcPr>
            <w:tcW w:w="44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(11</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2,970,356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40" w:type="dxa"/>
            <w:vAlign w:val="bottom"/>
            <w:tcBorders>
              <w:bottom w:val="single" w:sz="8" w:color="CFF0FC"/>
            </w:tcBorders>
            <w:vMerge w:val="continue"/>
            <w:shd w:val="clear" w:color="auto" w:fill="CFF0FC"/>
          </w:tcPr>
          <w:p>
            <w:pPr>
              <w:spacing w:after="0"/>
              <w:rPr>
                <w:sz w:val="11"/>
                <w:szCs w:val="11"/>
                <w:color w:val="auto"/>
              </w:rPr>
            </w:pPr>
          </w:p>
        </w:tc>
        <w:tc>
          <w:tcPr>
            <w:tcW w:w="1020" w:type="dxa"/>
            <w:vAlign w:val="bottom"/>
            <w:tcBorders>
              <w:bottom w:val="single" w:sz="8" w:color="CFF0FC"/>
            </w:tcBorders>
            <w:gridSpan w:val="2"/>
            <w:vMerge w:val="continue"/>
            <w:shd w:val="clear" w:color="auto" w:fill="CFF0FC"/>
          </w:tcPr>
          <w:p>
            <w:pPr>
              <w:spacing w:after="0"/>
              <w:rPr>
                <w:sz w:val="11"/>
                <w:szCs w:val="11"/>
                <w:color w:val="auto"/>
              </w:rPr>
            </w:pPr>
          </w:p>
        </w:tc>
        <w:tc>
          <w:tcPr>
            <w:tcW w:w="1060" w:type="dxa"/>
            <w:vAlign w:val="bottom"/>
            <w:tcBorders>
              <w:bottom w:val="single" w:sz="8" w:color="CFF0FC"/>
            </w:tcBorders>
            <w:gridSpan w:val="2"/>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98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11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1260" w:type="dxa"/>
            <w:vAlign w:val="bottom"/>
            <w:tcBorders>
              <w:bottom w:val="single" w:sz="8" w:color="CFF0FC"/>
            </w:tcBorders>
            <w:vMerge w:val="continue"/>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ind w:lef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EVP, Chief Operating Officer</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321,539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1,347,588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5,654</w:t>
            </w:r>
          </w:p>
        </w:tc>
        <w:tc>
          <w:tcPr>
            <w:tcW w:w="4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David B. Thomson</w:t>
            </w:r>
          </w:p>
        </w:tc>
        <w:tc>
          <w:tcPr>
            <w:tcW w:w="1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505,580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2,201,450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315,988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36,870</w:t>
            </w:r>
          </w:p>
        </w:tc>
        <w:tc>
          <w:tcPr>
            <w:tcW w:w="4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3,059,888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EVP, General Counsel and Secretary</w:t>
            </w:r>
          </w:p>
        </w:tc>
        <w:tc>
          <w:tcPr>
            <w:tcW w:w="1020" w:type="dxa"/>
            <w:vAlign w:val="bottom"/>
            <w:gridSpan w:val="2"/>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489,611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1,480,800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352,520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20,099</w:t>
            </w:r>
          </w:p>
        </w:tc>
        <w:tc>
          <w:tcPr>
            <w:tcW w:w="4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2,343,030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14"/>
                <w:szCs w:val="14"/>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471,484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308,822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18,229</w:t>
            </w: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1,735,035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165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679" w:hanging="679"/>
        <w:spacing w:after="0"/>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earned but deferred at the election of the named executive officer, such as salary deferrals under our 401(k) Plan established under Section 401(k) of the Code.</w:t>
      </w:r>
    </w:p>
    <w:p>
      <w:pPr>
        <w:spacing w:after="0" w:line="95" w:lineRule="exact"/>
        <w:rPr>
          <w:rFonts w:ascii="Times New Roman" w:cs="Times New Roman" w:eastAsia="Times New Roman" w:hAnsi="Times New Roman"/>
          <w:sz w:val="14"/>
          <w:szCs w:val="14"/>
          <w:color w:val="auto"/>
        </w:rPr>
      </w:pPr>
    </w:p>
    <w:p>
      <w:pPr>
        <w:ind w:left="679" w:right="180" w:hanging="679"/>
        <w:spacing w:after="0" w:line="261"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the restricted stock unit awards comprised of time-based and performance-based stock awards. Time-based restricted stock unit awards are valued based on the market price of the stock on the grant date.</w:t>
      </w:r>
    </w:p>
    <w:p>
      <w:pPr>
        <w:spacing w:after="0" w:line="54" w:lineRule="exact"/>
        <w:rPr>
          <w:rFonts w:ascii="Times New Roman" w:cs="Times New Roman" w:eastAsia="Times New Roman" w:hAnsi="Times New Roman"/>
          <w:sz w:val="14"/>
          <w:szCs w:val="14"/>
          <w:color w:val="auto"/>
        </w:rPr>
      </w:pPr>
    </w:p>
    <w:p>
      <w:pPr>
        <w:ind w:left="679"/>
        <w:spacing w:after="0" w:line="22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unit awards are valued based on a Monte-Carlo simulation model. Those issued during the year ended December 31, 2024 had a grant date fair value of $10.30 per share and will vest on July 15, 2027. The fair value of the performance-based restricted stock unit awards was determined using a share price of $4.45, risk-free interest rate of 4.46%, volatility of 61%, and a dividend yield of 0%. The number of shares delivered on the vesting date is determined by the percentile ranking of TSR over the period from July 1, 2024 until June 30, 2027 relative to the TSR of the Russell 3000 Pharmaceutical &amp; Biotechnology Index over the same period, as follows: less than 25th percentile=0% of target, 25th percentile=50% of target, 50th percentile=100% of target, 75th percentile=200% of target, 90th percentile or higher=300% maximum. Payout values will be interpolated between these percentile rankings. The 300% maximum yields the following: Mr. Castagna, $7,596,150; Mr. Prentiss, $2,109,300; Dr. Blank, $2,109,300; Ms. Sabella, $2,109,300 and Mr. Thomson, $2,109,300. Mr. Binder did not receive any performance-based restricted stock unit awards during the year ended December 31, 2024.</w:t>
      </w:r>
    </w:p>
    <w:p>
      <w:pPr>
        <w:spacing w:after="0" w:line="72" w:lineRule="exact"/>
        <w:rPr>
          <w:rFonts w:ascii="Times New Roman" w:cs="Times New Roman" w:eastAsia="Times New Roman" w:hAnsi="Times New Roman"/>
          <w:sz w:val="14"/>
          <w:szCs w:val="14"/>
          <w:color w:val="auto"/>
        </w:rPr>
      </w:pPr>
    </w:p>
    <w:p>
      <w:pPr>
        <w:ind w:left="679" w:right="140" w:hanging="679"/>
        <w:spacing w:after="0" w:line="261"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non-equity incentive plan compensation earned in the applicable year which is paid (or will be paid) in the following year. Non-equity incentive plan compensation is based on individual performance in the achievement of corporate objectives. Performance is compared to these objectives annually.</w:t>
      </w:r>
    </w:p>
    <w:p>
      <w:pPr>
        <w:jc w:val="both"/>
        <w:ind w:left="679" w:right="100" w:hanging="679"/>
        <w:spacing w:after="0" w:line="241"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employer contributions credited under our 401(k) Plan and the incremental cost of perquisites received by the named executive officers. Under the 401(k) Plan, which is open to substantially all of our employees, we make matching contributions based on each participant’s voluntary salary deferrals, subject to the provisions of the 401(k) Plan and limits of the Code.</w:t>
      </w:r>
    </w:p>
    <w:p>
      <w:pPr>
        <w:spacing w:after="0" w:line="68" w:lineRule="exact"/>
        <w:rPr>
          <w:rFonts w:ascii="Times New Roman" w:cs="Times New Roman" w:eastAsia="Times New Roman" w:hAnsi="Times New Roman"/>
          <w:sz w:val="14"/>
          <w:szCs w:val="14"/>
          <w:color w:val="auto"/>
        </w:rPr>
      </w:pPr>
    </w:p>
    <w:p>
      <w:pPr>
        <w:ind w:left="679" w:hanging="679"/>
        <w:spacing w:after="0"/>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$11,500 in contributions under the 401(k) Plan, $14,439 in medical benefits and $1,855 in group term life insurance benefits.</w:t>
      </w:r>
    </w:p>
    <w:p>
      <w:pPr>
        <w:spacing w:after="0" w:line="95" w:lineRule="exact"/>
        <w:rPr>
          <w:rFonts w:ascii="Times New Roman" w:cs="Times New Roman" w:eastAsia="Times New Roman" w:hAnsi="Times New Roman"/>
          <w:sz w:val="14"/>
          <w:szCs w:val="14"/>
          <w:color w:val="auto"/>
        </w:rPr>
      </w:pPr>
    </w:p>
    <w:p>
      <w:pPr>
        <w:ind w:left="679" w:hanging="679"/>
        <w:spacing w:after="0"/>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22, 2024, Mr. Prentiss was appointed as Chief Financial Officer.</w:t>
      </w:r>
    </w:p>
    <w:p>
      <w:pPr>
        <w:spacing w:after="0" w:line="95" w:lineRule="exact"/>
        <w:rPr>
          <w:rFonts w:ascii="Times New Roman" w:cs="Times New Roman" w:eastAsia="Times New Roman" w:hAnsi="Times New Roman"/>
          <w:sz w:val="14"/>
          <w:szCs w:val="14"/>
          <w:color w:val="auto"/>
        </w:rPr>
      </w:pPr>
    </w:p>
    <w:p>
      <w:pPr>
        <w:ind w:left="679" w:hanging="679"/>
        <w:spacing w:after="0"/>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$191,609 in relocation benefits, $6,989 in contributions under the 401(k) Plan, $1,943 in medical benefits and $1,092 in group term life insurance benefits</w:t>
      </w:r>
    </w:p>
    <w:p>
      <w:pPr>
        <w:spacing w:after="0" w:line="95" w:lineRule="exact"/>
        <w:rPr>
          <w:rFonts w:ascii="Times New Roman" w:cs="Times New Roman" w:eastAsia="Times New Roman" w:hAnsi="Times New Roman"/>
          <w:sz w:val="14"/>
          <w:szCs w:val="14"/>
          <w:color w:val="auto"/>
        </w:rPr>
      </w:pPr>
    </w:p>
    <w:p>
      <w:pPr>
        <w:ind w:left="679" w:right="420" w:hanging="679"/>
        <w:spacing w:after="0" w:line="261"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22, 2024, Mr. Binder retired as our Chief Financial Officer and was appointed as our Executive Vice President, Special Projects until he joined the Board effective September 30, 2024.</w:t>
      </w:r>
    </w:p>
    <w:p>
      <w:pPr>
        <w:spacing w:after="0" w:line="54" w:lineRule="exact"/>
        <w:rPr>
          <w:rFonts w:ascii="Times New Roman" w:cs="Times New Roman" w:eastAsia="Times New Roman" w:hAnsi="Times New Roman"/>
          <w:sz w:val="14"/>
          <w:szCs w:val="14"/>
          <w:color w:val="auto"/>
        </w:rPr>
      </w:pPr>
    </w:p>
    <w:p>
      <w:pPr>
        <w:ind w:left="679" w:hanging="679"/>
        <w:spacing w:after="0" w:line="241" w:lineRule="auto"/>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$15,250 in contributions under the 401(k) Plan, $32,058 in medical benefits and $3,295 in group term life insurance benefits. Also includes $33,333 as a pro-rated cash retainer for his Board service and $118,104 which represents the grant date fair value of a restricted stock unit award that Mr. Binder received on November 18, 2024 as a pro-rated equity award made in connection with his Board appointment effective September 30, 2024.</w:t>
      </w:r>
    </w:p>
    <w:p>
      <w:pPr>
        <w:spacing w:after="0" w:line="68" w:lineRule="exact"/>
        <w:rPr>
          <w:rFonts w:ascii="Times New Roman" w:cs="Times New Roman" w:eastAsia="Times New Roman" w:hAnsi="Times New Roman"/>
          <w:sz w:val="14"/>
          <w:szCs w:val="14"/>
          <w:color w:val="auto"/>
        </w:rPr>
      </w:pPr>
    </w:p>
    <w:p>
      <w:pPr>
        <w:ind w:left="679" w:hanging="679"/>
        <w:spacing w:after="0"/>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$15,250 in contributions under the 401(k) Plan, $7,664 in group term life insurance benefits and $3,250 in other stipend.</w:t>
      </w:r>
    </w:p>
    <w:p>
      <w:pPr>
        <w:spacing w:after="0" w:line="95" w:lineRule="exact"/>
        <w:rPr>
          <w:rFonts w:ascii="Times New Roman" w:cs="Times New Roman" w:eastAsia="Times New Roman" w:hAnsi="Times New Roman"/>
          <w:sz w:val="14"/>
          <w:szCs w:val="14"/>
          <w:color w:val="auto"/>
        </w:rPr>
      </w:pPr>
    </w:p>
    <w:p>
      <w:pPr>
        <w:ind w:left="679" w:hanging="679"/>
        <w:spacing w:after="0"/>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$13,542 in contributions under the 401(k) Plan, $20,366 in medical benefits and $4,323 in group term life insurance benefits.</w:t>
      </w:r>
    </w:p>
    <w:p>
      <w:pPr>
        <w:spacing w:after="0" w:line="95" w:lineRule="exact"/>
        <w:rPr>
          <w:rFonts w:ascii="Times New Roman" w:cs="Times New Roman" w:eastAsia="Times New Roman" w:hAnsi="Times New Roman"/>
          <w:sz w:val="14"/>
          <w:szCs w:val="14"/>
          <w:color w:val="auto"/>
        </w:rPr>
      </w:pPr>
    </w:p>
    <w:p>
      <w:pPr>
        <w:ind w:left="679" w:hanging="679"/>
        <w:spacing w:after="0"/>
        <w:tabs>
          <w:tab w:leader="none" w:pos="6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$12,150 in contributions under the 401(k) Plan, $21,063 in medical benefits and $3,658 in group term life insurance benefits.</w:t>
      </w:r>
    </w:p>
    <w:p>
      <w:pPr>
        <w:spacing w:after="0" w:line="200" w:lineRule="exact"/>
        <w:rPr>
          <w:sz w:val="20"/>
          <w:szCs w:val="20"/>
          <w:color w:val="auto"/>
        </w:rPr>
      </w:pPr>
    </w:p>
    <w:p>
      <w:pPr>
        <w:spacing w:after="0" w:line="291"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9"/>
          </w:cols>
          <w:pgMar w:left="341" w:top="1143" w:right="539" w:bottom="1440" w:gutter="0" w:footer="0" w:header="0"/>
        </w:sectPr>
      </w:pPr>
    </w:p>
    <w:bookmarkStart w:id="39" w:name="page40"/>
    <w:bookmarkEnd w:id="39"/>
    <w:p>
      <w:pPr>
        <w:ind w:left="44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plan-based awards granted to the named executive officers during the fiscal year ended December 31, 2024.</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20" w:type="dxa"/>
            <w:vAlign w:val="bottom"/>
          </w:tcPr>
          <w:p>
            <w:pPr>
              <w:spacing w:after="0"/>
              <w:rPr>
                <w:sz w:val="12"/>
                <w:szCs w:val="12"/>
                <w:color w:val="auto"/>
              </w:rPr>
            </w:pPr>
          </w:p>
        </w:tc>
        <w:tc>
          <w:tcPr>
            <w:tcW w:w="29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 Plan Awards (1)</w:t>
            </w:r>
          </w:p>
        </w:tc>
        <w:tc>
          <w:tcPr>
            <w:tcW w:w="220" w:type="dxa"/>
            <w:vAlign w:val="bottom"/>
          </w:tcPr>
          <w:p>
            <w:pPr>
              <w:spacing w:after="0"/>
              <w:rPr>
                <w:sz w:val="14"/>
                <w:szCs w:val="14"/>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or</w:t>
            </w:r>
          </w:p>
        </w:tc>
        <w:tc>
          <w:tcPr>
            <w:tcW w:w="2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17"/>
        </w:trPr>
        <w:tc>
          <w:tcPr>
            <w:tcW w:w="13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0"/>
                <w:szCs w:val="10"/>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vMerge w:val="restart"/>
          </w:tcPr>
          <w:p>
            <w:pPr>
              <w:spacing w:after="0"/>
              <w:rPr>
                <w:sz w:val="10"/>
                <w:szCs w:val="10"/>
                <w:color w:val="auto"/>
              </w:rPr>
            </w:pPr>
          </w:p>
        </w:tc>
        <w:tc>
          <w:tcPr>
            <w:tcW w:w="88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2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240" w:type="dxa"/>
            <w:vAlign w:val="bottom"/>
          </w:tcPr>
          <w:p>
            <w:pPr>
              <w:spacing w:after="0"/>
              <w:rPr>
                <w:sz w:val="10"/>
                <w:szCs w:val="10"/>
                <w:color w:val="auto"/>
              </w:rPr>
            </w:pPr>
          </w:p>
        </w:tc>
        <w:tc>
          <w:tcPr>
            <w:tcW w:w="860" w:type="dxa"/>
            <w:vAlign w:val="bottom"/>
          </w:tcPr>
          <w:p>
            <w:pPr>
              <w:jc w:val="right"/>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tcPr>
          <w:p>
            <w:pPr>
              <w:spacing w:after="0"/>
              <w:rPr>
                <w:sz w:val="10"/>
                <w:szCs w:val="10"/>
                <w:color w:val="auto"/>
              </w:rPr>
            </w:pPr>
          </w:p>
        </w:tc>
        <w:tc>
          <w:tcPr>
            <w:tcW w:w="840" w:type="dxa"/>
            <w:vAlign w:val="bottom"/>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22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200" w:type="dxa"/>
            <w:vAlign w:val="bottom"/>
          </w:tcPr>
          <w:p>
            <w:pPr>
              <w:spacing w:after="0"/>
              <w:rPr>
                <w:sz w:val="10"/>
                <w:szCs w:val="10"/>
                <w:color w:val="auto"/>
              </w:rPr>
            </w:pPr>
          </w:p>
        </w:tc>
        <w:tc>
          <w:tcPr>
            <w:tcW w:w="860" w:type="dxa"/>
            <w:vAlign w:val="bottom"/>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220" w:type="dxa"/>
            <w:vAlign w:val="bottom"/>
          </w:tcPr>
          <w:p>
            <w:pPr>
              <w:spacing w:after="0"/>
              <w:rPr>
                <w:sz w:val="10"/>
                <w:szCs w:val="10"/>
                <w:color w:val="auto"/>
              </w:rPr>
            </w:pPr>
          </w:p>
        </w:tc>
        <w:tc>
          <w:tcPr>
            <w:tcW w:w="10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38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Michael E. Castagna</w:t>
            </w:r>
          </w:p>
        </w:tc>
        <w:tc>
          <w:tcPr>
            <w:tcW w:w="1280" w:type="dxa"/>
            <w:vAlign w:val="bottom"/>
            <w:gridSpan w:val="4"/>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3"/>
                <w:szCs w:val="13"/>
                <w:color w:val="auto"/>
              </w:rPr>
              <w:t>5/15/2024 (2</w:t>
            </w:r>
          </w:p>
        </w:tc>
        <w:tc>
          <w:tcPr>
            <w:tcW w:w="880" w:type="dxa"/>
            <w:vAlign w:val="bottom"/>
            <w:shd w:val="clear" w:color="auto" w:fill="CFF0FC"/>
          </w:tcPr>
          <w:p>
            <w:pPr>
              <w:ind w:left="7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284,500</w:t>
            </w:r>
          </w:p>
        </w:tc>
        <w:tc>
          <w:tcPr>
            <w:tcW w:w="10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569,000</w:t>
            </w:r>
          </w:p>
        </w:tc>
        <w:tc>
          <w:tcPr>
            <w:tcW w:w="10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1,707,000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5,860,700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14"/>
                <w:szCs w:val="14"/>
                <w:color w:val="auto"/>
              </w:rPr>
            </w:pPr>
          </w:p>
        </w:tc>
        <w:tc>
          <w:tcPr>
            <w:tcW w:w="12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28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(3</w:t>
            </w:r>
          </w:p>
        </w:tc>
        <w:tc>
          <w:tcPr>
            <w:tcW w:w="88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465,000</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2,069,250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613,154</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1,226,307</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Christopher B. Prentiss</w:t>
            </w:r>
          </w:p>
        </w:tc>
        <w:tc>
          <w:tcPr>
            <w:tcW w:w="128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(2</w:t>
            </w:r>
          </w:p>
        </w:tc>
        <w:tc>
          <w:tcPr>
            <w:tcW w:w="88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79,000</w:t>
            </w:r>
          </w:p>
        </w:tc>
        <w:tc>
          <w:tcPr>
            <w:tcW w:w="10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158,000</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474,000</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1,627,400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80" w:type="dxa"/>
            <w:vAlign w:val="bottom"/>
            <w:shd w:val="clear" w:color="auto" w:fill="CFF0FC"/>
          </w:tcPr>
          <w:p>
            <w:pPr>
              <w:spacing w:after="0"/>
              <w:rPr>
                <w:sz w:val="10"/>
                <w:szCs w:val="10"/>
                <w:color w:val="auto"/>
              </w:rPr>
            </w:pPr>
          </w:p>
        </w:tc>
        <w:tc>
          <w:tcPr>
            <w:tcW w:w="1280" w:type="dxa"/>
            <w:vAlign w:val="bottom"/>
            <w:gridSpan w:val="4"/>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(3</w:t>
            </w:r>
          </w:p>
        </w:tc>
        <w:tc>
          <w:tcPr>
            <w:tcW w:w="880" w:type="dxa"/>
            <w:vAlign w:val="bottom"/>
            <w:shd w:val="clear" w:color="auto" w:fill="CFF0FC"/>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129,000</w:t>
            </w:r>
          </w:p>
        </w:tc>
        <w:tc>
          <w:tcPr>
            <w:tcW w:w="11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574,050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14"/>
                <w:szCs w:val="14"/>
                <w:color w:val="auto"/>
              </w:rPr>
            </w:pPr>
          </w:p>
        </w:tc>
        <w:tc>
          <w:tcPr>
            <w:tcW w:w="12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28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(4</w:t>
            </w:r>
          </w:p>
        </w:tc>
        <w:tc>
          <w:tcPr>
            <w:tcW w:w="88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103,600</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461,020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150,385</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300,769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Steven B. Binder</w:t>
            </w:r>
          </w:p>
        </w:tc>
        <w:tc>
          <w:tcPr>
            <w:tcW w:w="128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(3</w:t>
            </w:r>
          </w:p>
        </w:tc>
        <w:tc>
          <w:tcPr>
            <w:tcW w:w="88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287,000</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1,277,150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80" w:type="dxa"/>
            <w:vAlign w:val="bottom"/>
            <w:shd w:val="clear" w:color="auto" w:fill="CFF0FC"/>
          </w:tcPr>
          <w:p>
            <w:pPr>
              <w:spacing w:after="0"/>
              <w:rPr>
                <w:sz w:val="10"/>
                <w:szCs w:val="10"/>
                <w:color w:val="auto"/>
              </w:rPr>
            </w:pPr>
          </w:p>
        </w:tc>
        <w:tc>
          <w:tcPr>
            <w:tcW w:w="1280" w:type="dxa"/>
            <w:vAlign w:val="bottom"/>
            <w:gridSpan w:val="4"/>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11/18/2024 (5</w:t>
            </w:r>
          </w:p>
        </w:tc>
        <w:tc>
          <w:tcPr>
            <w:tcW w:w="880" w:type="dxa"/>
            <w:vAlign w:val="bottom"/>
            <w:shd w:val="clear" w:color="auto" w:fill="CFF0FC"/>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17,575</w:t>
            </w:r>
          </w:p>
        </w:tc>
        <w:tc>
          <w:tcPr>
            <w:tcW w:w="11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118,104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14"/>
                <w:szCs w:val="14"/>
                <w:color w:val="auto"/>
              </w:rPr>
            </w:pPr>
          </w:p>
        </w:tc>
        <w:tc>
          <w:tcPr>
            <w:tcW w:w="12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198,038</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396,076</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Burkhard Blank</w:t>
            </w:r>
          </w:p>
        </w:tc>
        <w:tc>
          <w:tcPr>
            <w:tcW w:w="1280" w:type="dxa"/>
            <w:vAlign w:val="bottom"/>
            <w:gridSpan w:val="4"/>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(2</w:t>
            </w:r>
          </w:p>
        </w:tc>
        <w:tc>
          <w:tcPr>
            <w:tcW w:w="880" w:type="dxa"/>
            <w:vAlign w:val="bottom"/>
            <w:shd w:val="clear" w:color="auto" w:fill="CFF0FC"/>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79,000</w:t>
            </w:r>
          </w:p>
        </w:tc>
        <w:tc>
          <w:tcPr>
            <w:tcW w:w="10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158,000</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474,000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1,627,400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14"/>
                <w:szCs w:val="14"/>
                <w:color w:val="auto"/>
              </w:rPr>
            </w:pPr>
          </w:p>
        </w:tc>
        <w:tc>
          <w:tcPr>
            <w:tcW w:w="12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28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(3</w:t>
            </w:r>
          </w:p>
        </w:tc>
        <w:tc>
          <w:tcPr>
            <w:tcW w:w="88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129,000</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574,050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224,823</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449,646</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Lauren M. Sabella</w:t>
            </w:r>
          </w:p>
        </w:tc>
        <w:tc>
          <w:tcPr>
            <w:tcW w:w="128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(2</w:t>
            </w:r>
          </w:p>
        </w:tc>
        <w:tc>
          <w:tcPr>
            <w:tcW w:w="88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79,000</w:t>
            </w:r>
          </w:p>
        </w:tc>
        <w:tc>
          <w:tcPr>
            <w:tcW w:w="10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158,000</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474,000</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1,627,400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80" w:type="dxa"/>
            <w:vAlign w:val="bottom"/>
            <w:shd w:val="clear" w:color="auto" w:fill="CFF0FC"/>
          </w:tcPr>
          <w:p>
            <w:pPr>
              <w:spacing w:after="0"/>
              <w:rPr>
                <w:sz w:val="10"/>
                <w:szCs w:val="10"/>
                <w:color w:val="auto"/>
              </w:rPr>
            </w:pPr>
          </w:p>
        </w:tc>
        <w:tc>
          <w:tcPr>
            <w:tcW w:w="1280" w:type="dxa"/>
            <w:vAlign w:val="bottom"/>
            <w:gridSpan w:val="4"/>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(3</w:t>
            </w:r>
          </w:p>
        </w:tc>
        <w:tc>
          <w:tcPr>
            <w:tcW w:w="880" w:type="dxa"/>
            <w:vAlign w:val="bottom"/>
            <w:shd w:val="clear" w:color="auto" w:fill="CFF0FC"/>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129,000</w:t>
            </w:r>
          </w:p>
        </w:tc>
        <w:tc>
          <w:tcPr>
            <w:tcW w:w="11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574,050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14"/>
                <w:szCs w:val="14"/>
                <w:color w:val="auto"/>
              </w:rPr>
            </w:pPr>
          </w:p>
        </w:tc>
        <w:tc>
          <w:tcPr>
            <w:tcW w:w="12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224,823</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449,646</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David B. Thomson</w:t>
            </w:r>
          </w:p>
        </w:tc>
        <w:tc>
          <w:tcPr>
            <w:tcW w:w="1280" w:type="dxa"/>
            <w:vAlign w:val="bottom"/>
            <w:gridSpan w:val="4"/>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(2</w:t>
            </w:r>
          </w:p>
        </w:tc>
        <w:tc>
          <w:tcPr>
            <w:tcW w:w="880" w:type="dxa"/>
            <w:vAlign w:val="bottom"/>
            <w:shd w:val="clear" w:color="auto" w:fill="CFF0FC"/>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79,000</w:t>
            </w:r>
          </w:p>
        </w:tc>
        <w:tc>
          <w:tcPr>
            <w:tcW w:w="10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158,000</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474,000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1,627,400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14"/>
                <w:szCs w:val="14"/>
                <w:color w:val="auto"/>
              </w:rPr>
            </w:pPr>
          </w:p>
        </w:tc>
        <w:tc>
          <w:tcPr>
            <w:tcW w:w="12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128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5/15/2024 (3</w:t>
            </w:r>
          </w:p>
        </w:tc>
        <w:tc>
          <w:tcPr>
            <w:tcW w:w="88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129,000</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574,050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ind w:left="7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252,790</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505,580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40" w:right="40" w:hanging="419"/>
        <w:spacing w:after="0" w:line="226" w:lineRule="auto"/>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incentive awards under our STI plan are based on a percentage of base salary of 80% for Mr. Castagna and 50% for other NEOs. Actual payout of these awards is assessed by the Compensation Committee as a result of performance against defined corporate objectives. Estimates of these payouts are computed using the following percentages of meeting the corporate objectives: threshold = 0%, target = 100%, and maximum = 200%. The Compensation Committee assessed the achievement of corporate goals of 125.0% for the year ended December 31, 2024, resulting in the following amounts payable: Mr. Castagna, $766,442; Mr. Prentiss, $187,981; Mr. Binder, $247,548; Dr. Blank, $281,029; Ms. Sabella, $281,029; and Mr. Thomson, $315,988.</w:t>
      </w:r>
    </w:p>
    <w:p>
      <w:pPr>
        <w:ind w:left="440" w:right="100" w:hanging="419"/>
        <w:spacing w:after="0" w:line="230" w:lineRule="auto"/>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on July 15, 2027 subject to continuing service. The number of shares delivered on the vesting date is determined by the percentile ranking of the Company’s total stockholder return (TSR) over the period from July 1, 2024 until June 30, 2027 relative to the TSR of the Russell 3000 Pharmaceutical &amp; Biotechnology Index over the same period, as follows: less than 25th percentile=0% of target, 25th percentile=50% of target, 50th percentile=100% of target, 75th percentile=200% percent of target, 90th percentile or higher=300% maximum. The grant date fair value is based on a Monte-Carlo simulation model.</w:t>
      </w:r>
    </w:p>
    <w:p>
      <w:pPr>
        <w:spacing w:after="0" w:line="68" w:lineRule="exact"/>
        <w:rPr>
          <w:rFonts w:ascii="Times New Roman" w:cs="Times New Roman" w:eastAsia="Times New Roman" w:hAnsi="Times New Roman"/>
          <w:sz w:val="14"/>
          <w:szCs w:val="14"/>
          <w:color w:val="auto"/>
        </w:rPr>
      </w:pPr>
    </w:p>
    <w:p>
      <w:pPr>
        <w:ind w:left="440" w:right="480" w:hanging="419"/>
        <w:spacing w:after="0" w:line="261" w:lineRule="auto"/>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25% on each one year anniversary of the vesting commencement date of July 15, 2024 until fully vested on the fourth anniversary of the vesting commencement date, subject to continuing service. The grant date fair value is based on the market price of the stock on the grant date.</w:t>
      </w:r>
    </w:p>
    <w:p>
      <w:pPr>
        <w:spacing w:after="0" w:line="54" w:lineRule="exact"/>
        <w:rPr>
          <w:rFonts w:ascii="Times New Roman" w:cs="Times New Roman" w:eastAsia="Times New Roman" w:hAnsi="Times New Roman"/>
          <w:sz w:val="14"/>
          <w:szCs w:val="14"/>
          <w:color w:val="auto"/>
        </w:rPr>
      </w:pPr>
    </w:p>
    <w:p>
      <w:pPr>
        <w:ind w:left="440" w:right="20" w:hanging="419"/>
        <w:spacing w:after="0" w:line="261" w:lineRule="auto"/>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33% on April 22, 2026 and each anniversary until fully vested on the fourth anniversary of the vesting commencement date of April 22, 2024, subject to continuing service. The grant date fair value is based on the market price of the stock on the grant date.</w:t>
      </w:r>
    </w:p>
    <w:p>
      <w:pPr>
        <w:spacing w:after="0" w:line="54" w:lineRule="exact"/>
        <w:rPr>
          <w:rFonts w:ascii="Times New Roman" w:cs="Times New Roman" w:eastAsia="Times New Roman" w:hAnsi="Times New Roman"/>
          <w:sz w:val="14"/>
          <w:szCs w:val="14"/>
          <w:color w:val="auto"/>
        </w:rPr>
      </w:pPr>
    </w:p>
    <w:p>
      <w:pPr>
        <w:ind w:left="440" w:right="40" w:hanging="419"/>
        <w:spacing w:after="0" w:line="261" w:lineRule="auto"/>
        <w:tabs>
          <w:tab w:leader="none" w:pos="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vested immediately upon the grant of a pro-rated restricted stock unit award granted to Mr. Binder upon his appointment to the Board. The shares subject to such award shall not be delivered until there is a separation of service, such as through resignation or retirement from the Board or death.</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summary information regarding the outstanding equity awards at December 31, 2024 granted to each of our named executive officers.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9"/>
                <w:szCs w:val="9"/>
                <w:color w:val="auto"/>
              </w:rPr>
            </w:pP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3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32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3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2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3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3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32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3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32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3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3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3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3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32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3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2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 Vested</w:t>
            </w:r>
          </w:p>
        </w:tc>
        <w:tc>
          <w:tcPr>
            <w:tcW w:w="32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 Vested</w:t>
            </w:r>
          </w:p>
        </w:tc>
      </w:tr>
      <w:tr>
        <w:trPr>
          <w:trHeight w:val="155"/>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($)(21)</w:t>
            </w:r>
          </w:p>
        </w:tc>
        <w:tc>
          <w:tcPr>
            <w:tcW w:w="120" w:type="dxa"/>
            <w:vAlign w:val="bottom"/>
          </w:tcPr>
          <w:p>
            <w:pPr>
              <w:spacing w:after="0"/>
              <w:rPr>
                <w:sz w:val="13"/>
                <w:szCs w:val="13"/>
                <w:color w:val="auto"/>
              </w:rPr>
            </w:pPr>
          </w:p>
        </w:tc>
      </w:tr>
      <w:tr>
        <w:trPr>
          <w:trHeight w:val="129"/>
        </w:trPr>
        <w:tc>
          <w:tcPr>
            <w:tcW w:w="1200" w:type="dxa"/>
            <w:vAlign w:val="bottom"/>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Michael E. Castagna</w:t>
            </w:r>
          </w:p>
        </w:tc>
        <w:tc>
          <w:tcPr>
            <w:tcW w:w="8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65,840</w:t>
            </w:r>
          </w:p>
        </w:tc>
        <w:tc>
          <w:tcPr>
            <w:tcW w:w="30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(1)</w:t>
            </w:r>
          </w:p>
        </w:tc>
        <w:tc>
          <w:tcPr>
            <w:tcW w:w="980" w:type="dxa"/>
            <w:vAlign w:val="bottom"/>
            <w:shd w:val="clear" w:color="auto" w:fill="CFF0FC"/>
          </w:tcPr>
          <w:p>
            <w:pPr>
              <w:ind w:left="8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4.55</w:t>
            </w:r>
          </w:p>
        </w:tc>
        <w:tc>
          <w:tcPr>
            <w:tcW w:w="10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5/19/2026</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150,000</w:t>
            </w:r>
          </w:p>
        </w:tc>
        <w:tc>
          <w:tcPr>
            <w:tcW w:w="3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3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5/19/2026</w:t>
            </w:r>
          </w:p>
        </w:tc>
        <w:tc>
          <w:tcPr>
            <w:tcW w:w="2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112,575</w:t>
            </w:r>
          </w:p>
        </w:tc>
        <w:tc>
          <w:tcPr>
            <w:tcW w:w="3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37,525</w:t>
            </w:r>
          </w:p>
        </w:tc>
        <w:tc>
          <w:tcPr>
            <w:tcW w:w="3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0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5/25/2027</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173,250</w:t>
            </w:r>
          </w:p>
        </w:tc>
        <w:tc>
          <w:tcPr>
            <w:tcW w:w="3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57,750</w:t>
            </w:r>
          </w:p>
        </w:tc>
        <w:tc>
          <w:tcPr>
            <w:tcW w:w="3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5/29/2027</w:t>
            </w:r>
          </w:p>
        </w:tc>
        <w:tc>
          <w:tcPr>
            <w:tcW w:w="2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191,000</w:t>
            </w:r>
          </w:p>
        </w:tc>
        <w:tc>
          <w:tcPr>
            <w:tcW w:w="3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10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5/29/2027</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534,000</w:t>
            </w:r>
          </w:p>
        </w:tc>
        <w:tc>
          <w:tcPr>
            <w:tcW w:w="3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5/16/2028</w:t>
            </w:r>
          </w:p>
        </w:tc>
        <w:tc>
          <w:tcPr>
            <w:tcW w:w="2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584,000</w:t>
            </w:r>
          </w:p>
        </w:tc>
        <w:tc>
          <w:tcPr>
            <w:tcW w:w="3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0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5/14/2029</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47,523</w:t>
            </w:r>
          </w:p>
        </w:tc>
        <w:tc>
          <w:tcPr>
            <w:tcW w:w="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305,573</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311,000</w:t>
            </w:r>
          </w:p>
        </w:tc>
        <w:tc>
          <w:tcPr>
            <w:tcW w:w="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1,999,730</w:t>
            </w:r>
          </w:p>
        </w:tc>
        <w:tc>
          <w:tcPr>
            <w:tcW w:w="120" w:type="dxa"/>
            <w:vAlign w:val="bottom"/>
          </w:tcPr>
          <w:p>
            <w:pPr>
              <w:spacing w:after="0"/>
              <w:rPr>
                <w:sz w:val="11"/>
                <w:szCs w:val="11"/>
                <w:color w:val="auto"/>
              </w:rPr>
            </w:pP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(10</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(11</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816,610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2,713,460</w:t>
            </w:r>
          </w:p>
        </w:tc>
        <w:tc>
          <w:tcPr>
            <w:tcW w:w="120" w:type="dxa"/>
            <w:vAlign w:val="bottom"/>
            <w:shd w:val="clear" w:color="auto" w:fill="CFF0FC"/>
          </w:tcPr>
          <w:p>
            <w:pPr>
              <w:spacing w:after="0"/>
              <w:rPr>
                <w:sz w:val="13"/>
                <w:szCs w:val="13"/>
                <w:color w:val="auto"/>
              </w:rPr>
            </w:pP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(12</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(13</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258,750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1,663,763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569,000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3,658,670</w:t>
            </w:r>
          </w:p>
        </w:tc>
        <w:tc>
          <w:tcPr>
            <w:tcW w:w="120" w:type="dxa"/>
            <w:vAlign w:val="bottom"/>
          </w:tcPr>
          <w:p>
            <w:pPr>
              <w:spacing w:after="0"/>
              <w:rPr>
                <w:sz w:val="13"/>
                <w:szCs w:val="13"/>
                <w:color w:val="auto"/>
              </w:rPr>
            </w:pP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2,989,950</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2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Christopher B.</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(15</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(13</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Prentiss</w:t>
            </w: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103,600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666,148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1,015,940</w:t>
            </w:r>
          </w:p>
        </w:tc>
        <w:tc>
          <w:tcPr>
            <w:tcW w:w="120" w:type="dxa"/>
            <w:vAlign w:val="bottom"/>
          </w:tcPr>
          <w:p>
            <w:pPr>
              <w:spacing w:after="0"/>
              <w:rPr>
                <w:sz w:val="13"/>
                <w:szCs w:val="13"/>
                <w:color w:val="auto"/>
              </w:rPr>
            </w:pP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829,470</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2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Steven B. Binder</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45,025</w:t>
            </w: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214,000</w:t>
            </w:r>
          </w:p>
        </w:tc>
        <w:tc>
          <w:tcPr>
            <w:tcW w:w="3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0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5/16/2028</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234,000</w:t>
            </w:r>
          </w:p>
        </w:tc>
        <w:tc>
          <w:tcPr>
            <w:tcW w:w="3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5/14/2029</w:t>
            </w:r>
          </w:p>
        </w:tc>
        <w:tc>
          <w:tcPr>
            <w:tcW w:w="2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17,268</w:t>
            </w:r>
          </w:p>
        </w:tc>
        <w:tc>
          <w:tcPr>
            <w:tcW w:w="3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111,033</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110,000</w:t>
            </w:r>
          </w:p>
        </w:tc>
        <w:tc>
          <w:tcPr>
            <w:tcW w:w="3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707,300</w:t>
            </w:r>
          </w:p>
        </w:tc>
        <w:tc>
          <w:tcPr>
            <w:tcW w:w="120" w:type="dxa"/>
            <w:vAlign w:val="bottom"/>
            <w:shd w:val="clear" w:color="auto" w:fill="CFF0FC"/>
          </w:tcPr>
          <w:p>
            <w:pPr>
              <w:spacing w:after="0"/>
              <w:rPr>
                <w:sz w:val="11"/>
                <w:szCs w:val="11"/>
                <w:color w:val="auto"/>
              </w:rPr>
            </w:pP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(10</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(11</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289,350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726,590</w:t>
            </w:r>
          </w:p>
        </w:tc>
        <w:tc>
          <w:tcPr>
            <w:tcW w:w="120" w:type="dxa"/>
            <w:vAlign w:val="bottom"/>
          </w:tcPr>
          <w:p>
            <w:pPr>
              <w:spacing w:after="0"/>
              <w:rPr>
                <w:sz w:val="13"/>
                <w:szCs w:val="13"/>
                <w:color w:val="auto"/>
              </w:rPr>
            </w:pP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(12</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443,670</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1,845,410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(17</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17,575</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113,007</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(18</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(13</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Burkhard Blank</w:t>
            </w: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157,500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1,012,725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1,015,940</w:t>
            </w:r>
          </w:p>
        </w:tc>
        <w:tc>
          <w:tcPr>
            <w:tcW w:w="120" w:type="dxa"/>
            <w:vAlign w:val="bottom"/>
          </w:tcPr>
          <w:p>
            <w:pPr>
              <w:spacing w:after="0"/>
              <w:rPr>
                <w:sz w:val="13"/>
                <w:szCs w:val="13"/>
                <w:color w:val="auto"/>
              </w:rPr>
            </w:pP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829,470</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(19</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(11</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Lauren M. Sabella</w:t>
            </w: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157,500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1,012,725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180,040</w:t>
            </w:r>
          </w:p>
        </w:tc>
        <w:tc>
          <w:tcPr>
            <w:tcW w:w="120" w:type="dxa"/>
            <w:vAlign w:val="bottom"/>
          </w:tcPr>
          <w:p>
            <w:pPr>
              <w:spacing w:after="0"/>
              <w:rPr>
                <w:sz w:val="13"/>
                <w:szCs w:val="13"/>
                <w:color w:val="auto"/>
              </w:rPr>
            </w:pP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(12</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(13</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17,437</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112,120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1,015,940</w:t>
            </w:r>
          </w:p>
        </w:tc>
        <w:tc>
          <w:tcPr>
            <w:tcW w:w="120" w:type="dxa"/>
            <w:vAlign w:val="bottom"/>
            <w:shd w:val="clear" w:color="auto" w:fill="CFF0FC"/>
          </w:tcPr>
          <w:p>
            <w:pPr>
              <w:spacing w:after="0"/>
              <w:rPr>
                <w:sz w:val="13"/>
                <w:szCs w:val="13"/>
                <w:color w:val="auto"/>
              </w:rPr>
            </w:pP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129,000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829,470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w w:val="92"/>
              </w:rPr>
              <w:t>(20</w:t>
            </w: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David B. Thomson</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8/27/2025</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w w:val="92"/>
              </w:rPr>
              <w:t>(21</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87,780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2/18/2026</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60,000</w:t>
            </w:r>
          </w:p>
        </w:tc>
        <w:tc>
          <w:tcPr>
            <w:tcW w:w="3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20,000</w:t>
            </w:r>
          </w:p>
        </w:tc>
        <w:tc>
          <w:tcPr>
            <w:tcW w:w="3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10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5/19/2026</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112,575</w:t>
            </w:r>
          </w:p>
        </w:tc>
        <w:tc>
          <w:tcPr>
            <w:tcW w:w="3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37,525</w:t>
            </w:r>
          </w:p>
        </w:tc>
        <w:tc>
          <w:tcPr>
            <w:tcW w:w="3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5/25/2027</w:t>
            </w:r>
          </w:p>
        </w:tc>
        <w:tc>
          <w:tcPr>
            <w:tcW w:w="2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214,000</w:t>
            </w:r>
          </w:p>
        </w:tc>
        <w:tc>
          <w:tcPr>
            <w:tcW w:w="30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0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5/16/2028</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234,000</w:t>
            </w:r>
          </w:p>
        </w:tc>
        <w:tc>
          <w:tcPr>
            <w:tcW w:w="3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980" w:type="dxa"/>
            <w:vAlign w:val="bottom"/>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5/14/2029</w:t>
            </w:r>
          </w:p>
        </w:tc>
        <w:tc>
          <w:tcPr>
            <w:tcW w:w="2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ind w:left="8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17,353</w:t>
            </w:r>
          </w:p>
        </w:tc>
        <w:tc>
          <w:tcPr>
            <w:tcW w:w="3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(8)</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111,580</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110,000</w:t>
            </w:r>
          </w:p>
        </w:tc>
        <w:tc>
          <w:tcPr>
            <w:tcW w:w="3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707,300</w:t>
            </w:r>
          </w:p>
        </w:tc>
        <w:tc>
          <w:tcPr>
            <w:tcW w:w="120" w:type="dxa"/>
            <w:vAlign w:val="bottom"/>
            <w:shd w:val="clear" w:color="auto" w:fill="CFF0FC"/>
          </w:tcPr>
          <w:p>
            <w:pPr>
              <w:spacing w:after="0"/>
              <w:rPr>
                <w:sz w:val="11"/>
                <w:szCs w:val="11"/>
                <w:color w:val="auto"/>
              </w:rPr>
            </w:pP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(10</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(11</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289,350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726,590</w:t>
            </w:r>
          </w:p>
        </w:tc>
        <w:tc>
          <w:tcPr>
            <w:tcW w:w="120" w:type="dxa"/>
            <w:vAlign w:val="bottom"/>
          </w:tcPr>
          <w:p>
            <w:pPr>
              <w:spacing w:after="0"/>
              <w:rPr>
                <w:sz w:val="13"/>
                <w:szCs w:val="13"/>
                <w:color w:val="auto"/>
              </w:rPr>
            </w:pPr>
          </w:p>
        </w:tc>
      </w:tr>
      <w:tr>
        <w:trPr>
          <w:trHeight w:val="117"/>
        </w:trPr>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(12</w:t>
            </w: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2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(13</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443,670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1,015,940</w:t>
            </w:r>
          </w:p>
        </w:tc>
        <w:tc>
          <w:tcPr>
            <w:tcW w:w="120" w:type="dxa"/>
            <w:vAlign w:val="bottom"/>
            <w:shd w:val="clear" w:color="auto" w:fill="CFF0FC"/>
          </w:tcPr>
          <w:p>
            <w:pPr>
              <w:spacing w:after="0"/>
              <w:rPr>
                <w:sz w:val="13"/>
                <w:szCs w:val="13"/>
                <w:color w:val="auto"/>
              </w:rPr>
            </w:pPr>
          </w:p>
        </w:tc>
      </w:tr>
      <w:tr>
        <w:trPr>
          <w:trHeight w:val="117"/>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4"/>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129,000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829,470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70"/>
        </w:trPr>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85" w:lineRule="exact"/>
        <w:rPr>
          <w:sz w:val="20"/>
          <w:szCs w:val="20"/>
          <w:color w:val="auto"/>
        </w:rPr>
      </w:pPr>
    </w:p>
    <w:p>
      <w:pPr>
        <w:ind w:left="360" w:right="240" w:hanging="339"/>
        <w:spacing w:after="0" w:line="261" w:lineRule="auto"/>
        <w:tabs>
          <w:tab w:leader="none" w:pos="3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first anniversary of the vesting commencement date and 1/48th per month thereafter; being fully vested on the fourth anniversary of the vesting commencement date. The vesting commencement date is May 19, 2016.</w:t>
      </w:r>
    </w:p>
    <w:p>
      <w:pPr>
        <w:spacing w:after="0" w:line="54"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19, 2016, which shall vest upon the achievement of certain corporate objectives.</w:t>
      </w:r>
    </w:p>
    <w:p>
      <w:pPr>
        <w:spacing w:after="0" w:line="95"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25, 2017, which shall vest upon the achievement of certain corporate objectives.</w:t>
      </w:r>
    </w:p>
    <w:p>
      <w:pPr>
        <w:spacing w:after="0" w:line="95"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29, 2017, which shall vest upon the achievement of certain corporate objectives.</w:t>
      </w:r>
    </w:p>
    <w:p>
      <w:pPr>
        <w:spacing w:after="0" w:line="95" w:lineRule="exact"/>
        <w:rPr>
          <w:rFonts w:ascii="Times New Roman" w:cs="Times New Roman" w:eastAsia="Times New Roman" w:hAnsi="Times New Roman"/>
          <w:sz w:val="14"/>
          <w:szCs w:val="14"/>
          <w:color w:val="auto"/>
        </w:rPr>
      </w:pPr>
    </w:p>
    <w:p>
      <w:pPr>
        <w:ind w:left="360" w:right="240" w:hanging="339"/>
        <w:spacing w:after="0" w:line="261" w:lineRule="auto"/>
        <w:tabs>
          <w:tab w:leader="none" w:pos="3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first anniversary of the vesting commencement date and 1/48th per month thereafter; being fully vested on the fourth anniversary of the vesting commencement date. The vesting commencement date is May 29, 2017.</w:t>
      </w:r>
    </w:p>
    <w:p>
      <w:pPr>
        <w:spacing w:after="0" w:line="54" w:lineRule="exact"/>
        <w:rPr>
          <w:rFonts w:ascii="Times New Roman" w:cs="Times New Roman" w:eastAsia="Times New Roman" w:hAnsi="Times New Roman"/>
          <w:sz w:val="14"/>
          <w:szCs w:val="14"/>
          <w:color w:val="auto"/>
        </w:rPr>
      </w:pPr>
    </w:p>
    <w:p>
      <w:pPr>
        <w:ind w:left="360" w:right="240" w:hanging="339"/>
        <w:spacing w:after="0" w:line="261" w:lineRule="auto"/>
        <w:tabs>
          <w:tab w:leader="none" w:pos="3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first anniversary of the vesting commencement date and 1/48th per month thereafter; being fully vested on the fourth anniversary of the vesting commencement date. The vesting commencement date is May 16, 2018.</w:t>
      </w:r>
    </w:p>
    <w:p>
      <w:pPr>
        <w:spacing w:after="0" w:line="54" w:lineRule="exact"/>
        <w:rPr>
          <w:rFonts w:ascii="Times New Roman" w:cs="Times New Roman" w:eastAsia="Times New Roman" w:hAnsi="Times New Roman"/>
          <w:sz w:val="14"/>
          <w:szCs w:val="14"/>
          <w:color w:val="auto"/>
        </w:rPr>
      </w:pPr>
    </w:p>
    <w:p>
      <w:pPr>
        <w:ind w:left="360" w:right="240" w:hanging="339"/>
        <w:spacing w:after="0" w:line="261" w:lineRule="auto"/>
        <w:tabs>
          <w:tab w:leader="none" w:pos="3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first anniversary of the vesting commencement date and 1/48th per month thereafter; being fully vested on the fourth anniversary of the vesting commencement date. The vesting commencement date is May 14, 2019.</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ind w:left="339" w:right="20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anniversary of the vesting commencement date; shares shall fully vest on the fourth anniversary of the vesting commencement date. The vesting commencement date is May 18, 2021.</w:t>
      </w:r>
    </w:p>
    <w:p>
      <w:pPr>
        <w:spacing w:after="0" w:line="54" w:lineRule="exact"/>
        <w:rPr>
          <w:rFonts w:ascii="Times New Roman" w:cs="Times New Roman" w:eastAsia="Times New Roman" w:hAnsi="Times New Roman"/>
          <w:sz w:val="14"/>
          <w:szCs w:val="14"/>
          <w:color w:val="auto"/>
        </w:rPr>
      </w:pPr>
    </w:p>
    <w:p>
      <w:pPr>
        <w:ind w:left="339" w:hanging="339"/>
        <w:spacing w:after="0" w:line="236"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May 10, 2025 provided that the closing price of the Company’s common stock on such vesting date is not less than the closing price on May 10, 2022. The number of shares delivered on the vesting date is determined by the percentile ranking of MannKind total stockholder return (TSR) over the period from May 10, 2022 until May 10, 2025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68" w:lineRule="exact"/>
        <w:rPr>
          <w:rFonts w:ascii="Times New Roman" w:cs="Times New Roman" w:eastAsia="Times New Roman" w:hAnsi="Times New Roman"/>
          <w:sz w:val="14"/>
          <w:szCs w:val="14"/>
          <w:color w:val="auto"/>
        </w:rPr>
      </w:pPr>
    </w:p>
    <w:p>
      <w:pPr>
        <w:ind w:left="339" w:right="20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anniversary of the vesting commencement date; shares shall fully vest on the fourth anniversary of the vesting commencement date. The vesting commencement date is May 10, 2022.</w:t>
      </w:r>
    </w:p>
    <w:p>
      <w:pPr>
        <w:spacing w:after="0" w:line="54" w:lineRule="exact"/>
        <w:rPr>
          <w:rFonts w:ascii="Times New Roman" w:cs="Times New Roman" w:eastAsia="Times New Roman" w:hAnsi="Times New Roman"/>
          <w:sz w:val="14"/>
          <w:szCs w:val="14"/>
          <w:color w:val="auto"/>
        </w:rPr>
      </w:pPr>
    </w:p>
    <w:p>
      <w:pPr>
        <w:ind w:left="339" w:right="100" w:hanging="339"/>
        <w:spacing w:after="0" w:line="236"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July 15, 2026 provided that the closing price of the Company’s common stock on June 30, 2026 is not less than the closing price on July 1, 2023. The number of shares delivered on the vesting date is determined by the percentile ranking of MannKind total stockholder return (TSR) over the period from July 1, 2023 until June 30, 2026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68" w:lineRule="exact"/>
        <w:rPr>
          <w:rFonts w:ascii="Times New Roman" w:cs="Times New Roman" w:eastAsia="Times New Roman" w:hAnsi="Times New Roman"/>
          <w:sz w:val="14"/>
          <w:szCs w:val="14"/>
          <w:color w:val="auto"/>
        </w:rPr>
      </w:pPr>
    </w:p>
    <w:p>
      <w:pPr>
        <w:ind w:left="339" w:right="20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anniversary of the vesting commencement date; shares shall fully vest on the fourth anniversary of the vesting commencement date. The vesting commencement date is July 15, 2023.</w:t>
      </w:r>
    </w:p>
    <w:p>
      <w:pPr>
        <w:spacing w:after="0" w:line="54" w:lineRule="exact"/>
        <w:rPr>
          <w:rFonts w:ascii="Times New Roman" w:cs="Times New Roman" w:eastAsia="Times New Roman" w:hAnsi="Times New Roman"/>
          <w:sz w:val="14"/>
          <w:szCs w:val="14"/>
          <w:color w:val="auto"/>
        </w:rPr>
      </w:pPr>
    </w:p>
    <w:p>
      <w:pPr>
        <w:ind w:left="339" w:hanging="339"/>
        <w:spacing w:after="0"/>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July 15, 2027. The number of shares delivered on the vesting date is determined by the percentile ranking of MannKind total stockholder return</w:t>
      </w:r>
    </w:p>
    <w:p>
      <w:pPr>
        <w:spacing w:after="0" w:line="3" w:lineRule="exact"/>
        <w:rPr>
          <w:rFonts w:ascii="Times New Roman" w:cs="Times New Roman" w:eastAsia="Times New Roman" w:hAnsi="Times New Roman"/>
          <w:sz w:val="14"/>
          <w:szCs w:val="14"/>
          <w:color w:val="auto"/>
        </w:rPr>
      </w:pPr>
    </w:p>
    <w:p>
      <w:pPr>
        <w:ind w:left="339" w:right="2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over the period from July 1, 2024 until June 30, 2027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68" w:lineRule="exact"/>
        <w:rPr>
          <w:rFonts w:ascii="Times New Roman" w:cs="Times New Roman" w:eastAsia="Times New Roman" w:hAnsi="Times New Roman"/>
          <w:sz w:val="14"/>
          <w:szCs w:val="14"/>
          <w:color w:val="auto"/>
        </w:rPr>
      </w:pPr>
    </w:p>
    <w:p>
      <w:pPr>
        <w:ind w:left="339" w:right="6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anniversary of the vesting commencement date until fully vested on the fourth anniversary of the vesting commencement date. The vesting commencement date is July 15, 2024.</w:t>
      </w:r>
    </w:p>
    <w:p>
      <w:pPr>
        <w:spacing w:after="0" w:line="54" w:lineRule="exact"/>
        <w:rPr>
          <w:rFonts w:ascii="Times New Roman" w:cs="Times New Roman" w:eastAsia="Times New Roman" w:hAnsi="Times New Roman"/>
          <w:sz w:val="14"/>
          <w:szCs w:val="14"/>
          <w:color w:val="auto"/>
        </w:rPr>
      </w:pPr>
    </w:p>
    <w:p>
      <w:pPr>
        <w:ind w:left="339" w:right="16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33% vest on April 22, 2026 and an additional 33% vest on each anniversary until fully vested on the fourth anniversary of the vesting commencement date. The vesting commencement date is April 22, 2024.</w:t>
      </w:r>
    </w:p>
    <w:p>
      <w:pPr>
        <w:spacing w:after="0" w:line="54" w:lineRule="exact"/>
        <w:rPr>
          <w:rFonts w:ascii="Times New Roman" w:cs="Times New Roman" w:eastAsia="Times New Roman" w:hAnsi="Times New Roman"/>
          <w:sz w:val="14"/>
          <w:szCs w:val="14"/>
          <w:color w:val="auto"/>
        </w:rPr>
      </w:pPr>
    </w:p>
    <w:p>
      <w:pPr>
        <w:ind w:left="339" w:hanging="339"/>
        <w:spacing w:after="0"/>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August 24, 2017, which shall vest upon the achievement of certain corporate objectives.</w:t>
      </w:r>
    </w:p>
    <w:p>
      <w:pPr>
        <w:spacing w:after="0" w:line="95" w:lineRule="exact"/>
        <w:rPr>
          <w:rFonts w:ascii="Times New Roman" w:cs="Times New Roman" w:eastAsia="Times New Roman" w:hAnsi="Times New Roman"/>
          <w:sz w:val="14"/>
          <w:szCs w:val="14"/>
          <w:color w:val="auto"/>
        </w:rPr>
      </w:pPr>
    </w:p>
    <w:p>
      <w:pPr>
        <w:ind w:left="339" w:right="24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Granted upon appointment to the Board effective September 30, 2024. 100% vest immediately, but the shares subject to such award shall not be delivered until there is a separation of service, such as through resignation or retirement from the Board or death. The vesting commencement date is November 18, 2024.</w:t>
      </w:r>
    </w:p>
    <w:p>
      <w:pPr>
        <w:spacing w:after="0" w:line="54" w:lineRule="exact"/>
        <w:rPr>
          <w:rFonts w:ascii="Times New Roman" w:cs="Times New Roman" w:eastAsia="Times New Roman" w:hAnsi="Times New Roman"/>
          <w:sz w:val="14"/>
          <w:szCs w:val="14"/>
          <w:color w:val="auto"/>
        </w:rPr>
      </w:pPr>
    </w:p>
    <w:p>
      <w:pPr>
        <w:ind w:left="339" w:right="6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anniversary of the vesting commencement date until fully vested on the fourth anniversary of the vesting commencement date. The vesting commencement date is May 25, 2023.</w:t>
      </w:r>
    </w:p>
    <w:p>
      <w:pPr>
        <w:spacing w:after="0" w:line="54" w:lineRule="exact"/>
        <w:rPr>
          <w:rFonts w:ascii="Times New Roman" w:cs="Times New Roman" w:eastAsia="Times New Roman" w:hAnsi="Times New Roman"/>
          <w:sz w:val="14"/>
          <w:szCs w:val="14"/>
          <w:color w:val="auto"/>
        </w:rPr>
      </w:pPr>
    </w:p>
    <w:p>
      <w:pPr>
        <w:ind w:left="339" w:right="6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anniversary of the vesting commencement date until fully vested on the fourth anniversary of the vesting commencement date. The vesting commencement date is March 27, 2023.</w:t>
      </w:r>
    </w:p>
    <w:p>
      <w:pPr>
        <w:spacing w:after="0" w:line="54" w:lineRule="exact"/>
        <w:rPr>
          <w:rFonts w:ascii="Times New Roman" w:cs="Times New Roman" w:eastAsia="Times New Roman" w:hAnsi="Times New Roman"/>
          <w:sz w:val="14"/>
          <w:szCs w:val="14"/>
          <w:color w:val="auto"/>
        </w:rPr>
      </w:pPr>
    </w:p>
    <w:p>
      <w:pPr>
        <w:ind w:left="339" w:right="2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first anniversary of the vesting commencement date and 1/48th per month thereafter until fully vested on the fourth anniversary of the vesting commencement date. The vesting commencement date is August 27, 2015.</w:t>
      </w:r>
    </w:p>
    <w:p>
      <w:pPr>
        <w:spacing w:after="0" w:line="54" w:lineRule="exact"/>
        <w:rPr>
          <w:rFonts w:ascii="Times New Roman" w:cs="Times New Roman" w:eastAsia="Times New Roman" w:hAnsi="Times New Roman"/>
          <w:sz w:val="14"/>
          <w:szCs w:val="14"/>
          <w:color w:val="auto"/>
        </w:rPr>
      </w:pPr>
    </w:p>
    <w:p>
      <w:pPr>
        <w:ind w:left="339" w:right="2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first anniversary of the vesting commencement date and 1/48th per month thereafter until fully vested on the fourth anniversary of the vesting commencement date. The vesting commencement date is February 18, 2016.</w:t>
      </w:r>
    </w:p>
    <w:p>
      <w:pPr>
        <w:spacing w:after="0" w:line="54" w:lineRule="exact"/>
        <w:rPr>
          <w:rFonts w:ascii="Times New Roman" w:cs="Times New Roman" w:eastAsia="Times New Roman" w:hAnsi="Times New Roman"/>
          <w:sz w:val="14"/>
          <w:szCs w:val="14"/>
          <w:color w:val="auto"/>
        </w:rPr>
      </w:pPr>
    </w:p>
    <w:p>
      <w:pPr>
        <w:ind w:left="339" w:right="360" w:hanging="339"/>
        <w:spacing w:after="0" w:line="261" w:lineRule="auto"/>
        <w:tabs>
          <w:tab w:leader="none" w:pos="33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or payout value of unearned or unvested EIP Awards was computed using the closing price of our common stock of $6.43 on December 31, 2024 multiplied by the number of unearned or unvested EIP Awards at December 31, 2024.</w:t>
      </w:r>
    </w:p>
    <w:p>
      <w:pPr>
        <w:spacing w:after="0" w:line="235"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9"/>
          </w:cols>
          <w:pgMar w:left="341" w:top="98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exercise of stock option awards and vesting of stock unit awards by the named executive officers during the fiscal year ended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 xml:space="preserve">Option Awards </w:t>
            </w:r>
            <w:r>
              <w:rPr>
                <w:rFonts w:ascii="Times New Roman" w:cs="Times New Roman" w:eastAsia="Times New Roman" w:hAnsi="Times New Roman"/>
                <w:sz w:val="14"/>
                <w:szCs w:val="14"/>
                <w:color w:val="auto"/>
              </w:rPr>
              <w:t>(1)</w:t>
            </w:r>
          </w:p>
        </w:tc>
        <w:tc>
          <w:tcPr>
            <w:tcW w:w="240" w:type="dxa"/>
            <w:vAlign w:val="bottom"/>
          </w:tcPr>
          <w:p>
            <w:pPr>
              <w:spacing w:after="0"/>
              <w:rPr>
                <w:sz w:val="20"/>
                <w:szCs w:val="20"/>
                <w:color w:val="auto"/>
              </w:rPr>
            </w:pPr>
          </w:p>
        </w:tc>
        <w:tc>
          <w:tcPr>
            <w:tcW w:w="4140" w:type="dxa"/>
            <w:vAlign w:val="bottom"/>
            <w:gridSpan w:val="4"/>
          </w:tcPr>
          <w:p>
            <w:pPr>
              <w:ind w:left="1360"/>
              <w:spacing w:after="0"/>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14"/>
                <w:szCs w:val="14"/>
                <w:color w:val="auto"/>
              </w:rPr>
              <w:t>(2)</w:t>
            </w:r>
          </w:p>
        </w:tc>
      </w:tr>
      <w:tr>
        <w:trPr>
          <w:trHeight w:val="187"/>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 Acquired</w:t>
            </w:r>
          </w:p>
        </w:tc>
        <w:tc>
          <w:tcPr>
            <w:tcW w:w="2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Value Realized</w:t>
            </w:r>
          </w:p>
        </w:tc>
        <w:tc>
          <w:tcPr>
            <w:tcW w:w="240" w:type="dxa"/>
            <w:vAlign w:val="bottom"/>
          </w:tcPr>
          <w:p>
            <w:pPr>
              <w:spacing w:after="0"/>
              <w:rPr>
                <w:sz w:val="16"/>
                <w:szCs w:val="16"/>
                <w:color w:val="auto"/>
              </w:rPr>
            </w:pPr>
          </w:p>
        </w:tc>
        <w:tc>
          <w:tcPr>
            <w:tcW w:w="1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 Acquired</w:t>
            </w:r>
          </w:p>
        </w:tc>
        <w:tc>
          <w:tcPr>
            <w:tcW w:w="4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Value Realized</w:t>
            </w:r>
          </w:p>
        </w:tc>
        <w:tc>
          <w:tcPr>
            <w:tcW w:w="12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Exercise</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Exercise</w:t>
            </w: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Vesting</w:t>
            </w:r>
          </w:p>
        </w:tc>
        <w:tc>
          <w:tcPr>
            <w:tcW w:w="44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r>
      <w:tr>
        <w:trPr>
          <w:trHeight w:val="238"/>
        </w:trPr>
        <w:tc>
          <w:tcPr>
            <w:tcW w:w="29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r>
      <w:tr>
        <w:trPr>
          <w:trHeight w:val="209"/>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E. Castagna</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525,523</w:t>
            </w: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3,599,326</w:t>
            </w:r>
          </w:p>
        </w:tc>
        <w:tc>
          <w:tcPr>
            <w:tcW w:w="120" w:type="dxa"/>
            <w:vAlign w:val="bottom"/>
            <w:shd w:val="clear" w:color="auto" w:fill="CFF0FC"/>
          </w:tcPr>
          <w:p>
            <w:pPr>
              <w:spacing w:after="0"/>
              <w:rPr>
                <w:sz w:val="18"/>
                <w:szCs w:val="18"/>
                <w:color w:val="auto"/>
              </w:rPr>
            </w:pPr>
          </w:p>
        </w:tc>
      </w:tr>
      <w:tr>
        <w:trPr>
          <w:trHeight w:val="21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B. Prentiss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135,075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722,651</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200,344</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1,249,103</w:t>
            </w:r>
          </w:p>
        </w:tc>
        <w:tc>
          <w:tcPr>
            <w:tcW w:w="120" w:type="dxa"/>
            <w:vAlign w:val="bottom"/>
            <w:shd w:val="clear" w:color="auto" w:fill="CFF0FC"/>
          </w:tcPr>
          <w:p>
            <w:pPr>
              <w:spacing w:after="0"/>
              <w:rPr>
                <w:sz w:val="18"/>
                <w:szCs w:val="18"/>
                <w:color w:val="auto"/>
              </w:rPr>
            </w:pPr>
          </w:p>
        </w:tc>
      </w:tr>
      <w:tr>
        <w:trPr>
          <w:trHeight w:val="21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Burkhard Blank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4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250,950</w:t>
            </w:r>
          </w:p>
        </w:tc>
        <w:tc>
          <w:tcPr>
            <w:tcW w:w="120" w:type="dxa"/>
            <w:vAlign w:val="bottom"/>
          </w:tcPr>
          <w:p>
            <w:pPr>
              <w:spacing w:after="0"/>
              <w:rPr>
                <w:sz w:val="18"/>
                <w:szCs w:val="18"/>
                <w:color w:val="auto"/>
              </w:rPr>
            </w:pPr>
          </w:p>
        </w:tc>
      </w:tr>
      <w:tr>
        <w:trPr>
          <w:trHeight w:val="216"/>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Lauren M. Sabella</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276,965</w:t>
            </w:r>
          </w:p>
        </w:tc>
        <w:tc>
          <w:tcPr>
            <w:tcW w:w="120" w:type="dxa"/>
            <w:vAlign w:val="bottom"/>
            <w:shd w:val="clear" w:color="auto" w:fill="CFF0FC"/>
          </w:tcPr>
          <w:p>
            <w:pPr>
              <w:spacing w:after="0"/>
              <w:rPr>
                <w:sz w:val="18"/>
                <w:szCs w:val="18"/>
                <w:color w:val="auto"/>
              </w:rPr>
            </w:pPr>
          </w:p>
        </w:tc>
      </w:tr>
      <w:tr>
        <w:trPr>
          <w:trHeight w:val="23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 Thomson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182,853</w:t>
            </w:r>
          </w:p>
        </w:tc>
        <w:tc>
          <w:tcPr>
            <w:tcW w:w="4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1,249,488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165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28" w:lineRule="exact"/>
        <w:rPr>
          <w:sz w:val="20"/>
          <w:szCs w:val="20"/>
          <w:color w:val="auto"/>
        </w:rPr>
      </w:pPr>
    </w:p>
    <w:p>
      <w:pPr>
        <w:ind w:left="440" w:hanging="419"/>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acquired on the exercise of performance-based non-qualified option awards during the one-year period.</w:t>
      </w:r>
    </w:p>
    <w:p>
      <w:pPr>
        <w:spacing w:after="0" w:line="95" w:lineRule="exact"/>
        <w:rPr>
          <w:rFonts w:ascii="Times New Roman" w:cs="Times New Roman" w:eastAsia="Times New Roman" w:hAnsi="Times New Roman"/>
          <w:sz w:val="14"/>
          <w:szCs w:val="14"/>
          <w:color w:val="auto"/>
        </w:rPr>
      </w:pPr>
    </w:p>
    <w:p>
      <w:pPr>
        <w:ind w:left="440" w:hanging="419"/>
        <w:spacing w:after="0"/>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acquired on vesting represent restricted stock unit awards that vested during the one-year period.</w:t>
      </w:r>
    </w:p>
    <w:p>
      <w:pPr>
        <w:spacing w:after="0" w:line="95" w:lineRule="exact"/>
        <w:rPr>
          <w:rFonts w:ascii="Times New Roman" w:cs="Times New Roman" w:eastAsia="Times New Roman" w:hAnsi="Times New Roman"/>
          <w:sz w:val="14"/>
          <w:szCs w:val="14"/>
          <w:color w:val="auto"/>
        </w:rPr>
      </w:pPr>
    </w:p>
    <w:p>
      <w:pPr>
        <w:ind w:left="440" w:right="380" w:hanging="419"/>
        <w:spacing w:after="0" w:line="261" w:lineRule="auto"/>
        <w:tabs>
          <w:tab w:leader="none" w:pos="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17,575 shares that vested immediately upon the grant of a pro-rated restricted stock unit award granted to Mr. Binder upon his appointment to the Board. The shares subject to such award shall not be delivered until there is a separation of service, such as through resignation or retirement from the Board or death.</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Mr. Michael Castagna, our Chief Executive Officer.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calculating the annual total compensation, we used the actual base salary in 2024, the actual cash short-term incentive compensation paid in 2025 for performance in 2024, the grant date fair value of the equity awards granted in 2024, and the value of all other compensation, contributions under the 401(k) plan and medical benefits. We identified the median employee by examining the 2024 total compensation for all individuals, excluding our CEO, who were employed by us on December 31, 2024. We included all employees, as all our employees are U.S.-based.</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annual total compensation for 2024 was $176,105 for our median employee and $9,490,628 for Mr. Castagna. The resulting ratio of our CEO’s pay to the pay of our median employee for 2024 is approximately 54 to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named executive officer (“NEO”) pay. For additional information about our pay-for-performance philosophy and how we align executive compensation with Company performance, refer to the Compensation Discussion and Analysis beginning on page 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Tabular Disclosure of Pay Versus Performance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for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gridSpan w:val="3"/>
          </w:tcPr>
          <w:p>
            <w:pPr>
              <w:jc w:val="right"/>
              <w:ind w:right="249"/>
              <w:spacing w:after="0" w:line="118" w:lineRule="exact"/>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Investment Based on:(4)</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NASDAQ</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Biotechnology</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Index Total</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2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73"/>
        </w:trPr>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9,490,628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22,841,604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2,892,840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5,529,410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498.45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27,588</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285,504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7,068,114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96,764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2,201,163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351,865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118.87</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(11,938 )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3,905,058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9,653,678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1,481,321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2,201,087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408.53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113.65</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(87,400 )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4,030,833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7,317,812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1,730,384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3,037,694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(80,926 )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3,563,295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7,424,884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1,613,615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3,137,880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(57,240 )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80" w:hanging="459"/>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individuals are our PEO and other non-PEO NEOs for each fiscal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24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PEO</w:t>
            </w:r>
          </w:p>
        </w:tc>
        <w:tc>
          <w:tcPr>
            <w:tcW w:w="180" w:type="dxa"/>
            <w:vAlign w:val="bottom"/>
          </w:tcPr>
          <w:p>
            <w:pPr>
              <w:spacing w:after="0"/>
              <w:rPr>
                <w:sz w:val="20"/>
                <w:szCs w:val="20"/>
                <w:color w:val="auto"/>
              </w:rPr>
            </w:pPr>
          </w:p>
        </w:tc>
        <w:tc>
          <w:tcPr>
            <w:tcW w:w="596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Non-PEO NEOs</w:t>
            </w:r>
          </w:p>
        </w:tc>
      </w:tr>
      <w:tr>
        <w:trPr>
          <w:trHeight w:val="191"/>
        </w:trPr>
        <w:tc>
          <w:tcPr>
            <w:tcW w:w="2460" w:type="dxa"/>
            <w:vAlign w:val="bottom"/>
            <w:shd w:val="clear" w:color="auto" w:fill="CFF0FC"/>
          </w:tcPr>
          <w:p>
            <w:pPr>
              <w:ind w:left="106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6"/>
                <w:szCs w:val="16"/>
                <w:color w:val="auto"/>
              </w:rPr>
            </w:pPr>
          </w:p>
        </w:tc>
        <w:tc>
          <w:tcPr>
            <w:tcW w:w="24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shd w:val="clear" w:color="auto" w:fill="CFF0FC"/>
          </w:tcPr>
          <w:p>
            <w:pPr>
              <w:spacing w:after="0"/>
              <w:rPr>
                <w:sz w:val="16"/>
                <w:szCs w:val="16"/>
                <w:color w:val="auto"/>
              </w:rPr>
            </w:pPr>
          </w:p>
        </w:tc>
        <w:tc>
          <w:tcPr>
            <w:tcW w:w="59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B. Prentiss, Steven B. Binder, Burkhard Blank, Lauren M. Sabella,</w:t>
            </w:r>
          </w:p>
        </w:tc>
      </w:tr>
      <w:tr>
        <w:trPr>
          <w:trHeight w:val="234"/>
        </w:trPr>
        <w:tc>
          <w:tcPr>
            <w:tcW w:w="2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David B. Thomson</w:t>
            </w:r>
          </w:p>
        </w:tc>
      </w:tr>
      <w:tr>
        <w:trPr>
          <w:trHeight w:val="216"/>
        </w:trPr>
        <w:tc>
          <w:tcPr>
            <w:tcW w:w="2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tcPr>
          <w:p>
            <w:pPr>
              <w:spacing w:after="0"/>
              <w:rPr>
                <w:sz w:val="18"/>
                <w:szCs w:val="18"/>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B. Binder, Lauren M. Sabella, David B. Thomson, and Stuart A. Tross</w:t>
            </w:r>
          </w:p>
        </w:tc>
      </w:tr>
      <w:tr>
        <w:trPr>
          <w:trHeight w:val="198"/>
        </w:trPr>
        <w:tc>
          <w:tcPr>
            <w:tcW w:w="2460" w:type="dxa"/>
            <w:vAlign w:val="bottom"/>
            <w:shd w:val="clear" w:color="auto" w:fill="CFF0FC"/>
          </w:tcPr>
          <w:p>
            <w:pPr>
              <w:ind w:left="106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shd w:val="clear" w:color="auto" w:fill="CFF0FC"/>
          </w:tcPr>
          <w:p>
            <w:pPr>
              <w:spacing w:after="0"/>
              <w:rPr>
                <w:sz w:val="17"/>
                <w:szCs w:val="17"/>
                <w:color w:val="auto"/>
              </w:rPr>
            </w:pPr>
          </w:p>
        </w:tc>
        <w:tc>
          <w:tcPr>
            <w:tcW w:w="59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Steven B. Binder, Alejandro Galindo, Joseph Kocinsky, Sanjay Singh, David B.</w:t>
            </w:r>
          </w:p>
        </w:tc>
      </w:tr>
      <w:tr>
        <w:trPr>
          <w:trHeight w:val="234"/>
        </w:trPr>
        <w:tc>
          <w:tcPr>
            <w:tcW w:w="2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Thomson, and Stuart A. Tross</w:t>
            </w:r>
          </w:p>
        </w:tc>
      </w:tr>
      <w:tr>
        <w:trPr>
          <w:trHeight w:val="216"/>
        </w:trPr>
        <w:tc>
          <w:tcPr>
            <w:tcW w:w="2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tcPr>
          <w:p>
            <w:pPr>
              <w:spacing w:after="0"/>
              <w:rPr>
                <w:sz w:val="18"/>
                <w:szCs w:val="18"/>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B. Binder, Joseph Kocinsky, David B. Thomson, and Stuart A. Tross</w:t>
            </w:r>
          </w:p>
        </w:tc>
      </w:tr>
      <w:tr>
        <w:trPr>
          <w:trHeight w:val="216"/>
        </w:trPr>
        <w:tc>
          <w:tcPr>
            <w:tcW w:w="24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shd w:val="clear" w:color="auto" w:fill="CFF0FC"/>
          </w:tcPr>
          <w:p>
            <w:pPr>
              <w:spacing w:after="0"/>
              <w:rPr>
                <w:sz w:val="18"/>
                <w:szCs w:val="18"/>
                <w:color w:val="auto"/>
              </w:rPr>
            </w:pPr>
          </w:p>
        </w:tc>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B. Binder, Joseph Kocinsky, David B. Thomson, and Stuart A. Tross</w:t>
            </w:r>
          </w:p>
        </w:tc>
      </w:tr>
    </w:tbl>
    <w:p>
      <w:pPr>
        <w:spacing w:after="0" w:line="207" w:lineRule="exact"/>
        <w:rPr>
          <w:sz w:val="20"/>
          <w:szCs w:val="20"/>
          <w:color w:val="auto"/>
        </w:rPr>
      </w:pPr>
    </w:p>
    <w:p>
      <w:pPr>
        <w:jc w:val="both"/>
        <w:ind w:left="480" w:right="20" w:hanging="459"/>
        <w:spacing w:after="0" w:line="242"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and (d) are the amounts of total compensation reported for Mr. Castagna (our Chief Executive Officer and PEO) and the average total compensation for our non-PEO NEOs for each corresponding year in the “Total” column of the Summary Compensation Table. Refer to “Executive Compensation—Summary Compensation Table.”</w:t>
      </w:r>
    </w:p>
    <w:p>
      <w:pPr>
        <w:spacing w:after="0" w:line="228" w:lineRule="exact"/>
        <w:rPr>
          <w:rFonts w:ascii="Times New Roman" w:cs="Times New Roman" w:eastAsia="Times New Roman" w:hAnsi="Times New Roman"/>
          <w:sz w:val="14"/>
          <w:szCs w:val="14"/>
          <w:color w:val="auto"/>
        </w:rPr>
      </w:pPr>
    </w:p>
    <w:p>
      <w:pPr>
        <w:jc w:val="both"/>
        <w:ind w:left="480" w:right="20" w:hanging="459"/>
        <w:spacing w:after="0" w:line="236"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and (e) represent the amount of CAP to Mr. Castagna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reported total compensation for each year to determine the CAP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26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PEO</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Average Non-PEO NEOs</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196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9,490,628</w:t>
            </w:r>
          </w:p>
        </w:tc>
        <w:tc>
          <w:tcPr>
            <w:tcW w:w="30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2,892,840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Grant Date Fair Value of "Stock Awards” Column in the Summary Compensation Table for Applicable FY</w:t>
            </w:r>
          </w:p>
        </w:tc>
        <w:tc>
          <w:tcPr>
            <w:tcW w:w="2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(7,929,950 )</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(2,108,794 )</w:t>
            </w:r>
          </w:p>
        </w:tc>
        <w:tc>
          <w:tcPr>
            <w:tcW w:w="0" w:type="dxa"/>
            <w:vAlign w:val="bottom"/>
          </w:tcPr>
          <w:p>
            <w:pPr>
              <w:spacing w:after="0"/>
              <w:rPr>
                <w:sz w:val="1"/>
                <w:szCs w:val="1"/>
                <w:color w:val="auto"/>
              </w:rPr>
            </w:pPr>
          </w:p>
        </w:tc>
      </w:tr>
      <w:tr>
        <w:trPr>
          <w:trHeight w:val="126"/>
        </w:trPr>
        <w:tc>
          <w:tcPr>
            <w:tcW w:w="69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Add: Fair Value at Applicable FY End of Awards Granted during Applicable FY that Remain Unvested as of</w:t>
            </w:r>
          </w:p>
        </w:tc>
        <w:tc>
          <w:tcPr>
            <w:tcW w:w="1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11,729,781</w:t>
            </w:r>
          </w:p>
        </w:tc>
        <w:tc>
          <w:tcPr>
            <w:tcW w:w="300" w:type="dxa"/>
            <w:vAlign w:val="bottom"/>
            <w:shd w:val="clear" w:color="auto" w:fill="CFF0FC"/>
          </w:tcPr>
          <w:p>
            <w:pPr>
              <w:spacing w:after="0"/>
              <w:rPr>
                <w:sz w:val="10"/>
                <w:szCs w:val="10"/>
                <w:color w:val="auto"/>
              </w:rPr>
            </w:pPr>
          </w:p>
        </w:tc>
        <w:tc>
          <w:tcPr>
            <w:tcW w:w="1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3,107,390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Applicable FY End (7)</w:t>
            </w:r>
          </w:p>
        </w:tc>
        <w:tc>
          <w:tcPr>
            <w:tcW w:w="196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9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Add: Change in Fair Value of Awards Granted during Prior FY that were Outstanding and Unvested as of</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7,754,489</w:t>
            </w:r>
          </w:p>
        </w:tc>
        <w:tc>
          <w:tcPr>
            <w:tcW w:w="300" w:type="dxa"/>
            <w:vAlign w:val="bottom"/>
          </w:tcPr>
          <w:p>
            <w:pPr>
              <w:spacing w:after="0"/>
              <w:rPr>
                <w:sz w:val="10"/>
                <w:szCs w:val="10"/>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1,302,263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Applicable FY End (7)</w:t>
            </w:r>
          </w:p>
        </w:tc>
        <w:tc>
          <w:tcPr>
            <w:tcW w:w="1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Vesting Date Fair Value of Awards Granted during Applicable FY that Vested During Applicable FY</w:t>
            </w:r>
          </w:p>
        </w:tc>
        <w:tc>
          <w:tcPr>
            <w:tcW w:w="2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Vesting Date Fair Value of Awards Granted during Prior FY that Vested During Applicable FY</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1,796,656</w:t>
            </w: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Deduct: Fair Value at Prior Year End of Awards Granted during Prior FY that were Forfeited during Applicable FY</w:t>
            </w:r>
          </w:p>
        </w:tc>
        <w:tc>
          <w:tcPr>
            <w:tcW w:w="2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Dividends or Other Earnings Paid during Applicable FY prior to Vesting Date</w:t>
            </w: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22,841,604</w:t>
            </w:r>
          </w:p>
        </w:tc>
        <w:tc>
          <w:tcPr>
            <w:tcW w:w="300" w:type="dxa"/>
            <w:vAlign w:val="bottom"/>
            <w:tcBorders>
              <w:bottom w:val="single" w:sz="8" w:color="CFF0FC"/>
            </w:tcBorders>
            <w:shd w:val="clear" w:color="auto" w:fill="CFF0FC"/>
          </w:tcPr>
          <w:p>
            <w:pPr>
              <w:spacing w:after="0"/>
              <w:rPr>
                <w:sz w:val="20"/>
                <w:szCs w:val="20"/>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5,529,410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480" w:right="20" w:hanging="459"/>
        <w:spacing w:after="0" w:line="261" w:lineRule="auto"/>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 the cumulative total shareholder return of our common stock (column (f)) and the NASDAQ Biotechnology Index (column (g)) at the end of each fiscal year. In each case, assume an initial investment of $100 on December 31, 2019, and reinvestment of dividends, if any.</w:t>
      </w:r>
    </w:p>
    <w:p>
      <w:pPr>
        <w:spacing w:after="0" w:line="54" w:lineRule="exact"/>
        <w:rPr>
          <w:rFonts w:ascii="Times New Roman" w:cs="Times New Roman" w:eastAsia="Times New Roman" w:hAnsi="Times New Roman"/>
          <w:sz w:val="14"/>
          <w:szCs w:val="14"/>
          <w:color w:val="auto"/>
        </w:rPr>
      </w:pPr>
    </w:p>
    <w:p>
      <w:pPr>
        <w:ind w:left="480" w:hanging="459"/>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(h) represent the net income (loss) as reported in the Company’s audited financial statements for the applicable year.</w:t>
      </w:r>
    </w:p>
    <w:p>
      <w:pPr>
        <w:spacing w:after="0" w:line="95" w:lineRule="exact"/>
        <w:rPr>
          <w:rFonts w:ascii="Times New Roman" w:cs="Times New Roman" w:eastAsia="Times New Roman" w:hAnsi="Times New Roman"/>
          <w:sz w:val="14"/>
          <w:szCs w:val="14"/>
          <w:color w:val="auto"/>
        </w:rPr>
      </w:pPr>
    </w:p>
    <w:p>
      <w:pPr>
        <w:ind w:left="480" w:hanging="459"/>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required by Item 402(v) of Regulation S-K, we have determined that Total Revenue is the Company-Selected Measure.</w:t>
      </w:r>
    </w:p>
    <w:p>
      <w:pPr>
        <w:spacing w:after="0" w:line="95" w:lineRule="exact"/>
        <w:rPr>
          <w:rFonts w:ascii="Times New Roman" w:cs="Times New Roman" w:eastAsia="Times New Roman" w:hAnsi="Times New Roman"/>
          <w:sz w:val="14"/>
          <w:szCs w:val="14"/>
          <w:color w:val="auto"/>
        </w:rPr>
      </w:pPr>
    </w:p>
    <w:p>
      <w:pPr>
        <w:jc w:val="both"/>
        <w:ind w:left="480" w:right="20" w:hanging="459"/>
        <w:spacing w:after="0" w:line="241" w:lineRule="auto"/>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PSUs and stock options vested during the fiscal year or outstanding as of fiscal year end were estimated using the Monte Carlo simulation model and Black-Scholes option valuation model, respectively. The following valuation assumptions used to calculate the fair values of these awards differed materially from the assumptions used to value the awards on their respective grant dates: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320" w:type="dxa"/>
            <w:vAlign w:val="bottom"/>
          </w:tcPr>
          <w:p>
            <w:pPr>
              <w:spacing w:after="0"/>
              <w:rPr>
                <w:sz w:val="18"/>
                <w:szCs w:val="18"/>
                <w:color w:val="auto"/>
              </w:rPr>
            </w:pPr>
          </w:p>
        </w:tc>
        <w:tc>
          <w:tcPr>
            <w:tcW w:w="292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PSUs</w:t>
            </w:r>
          </w:p>
        </w:tc>
        <w:tc>
          <w:tcPr>
            <w:tcW w:w="260" w:type="dxa"/>
            <w:vAlign w:val="bottom"/>
          </w:tcPr>
          <w:p>
            <w:pPr>
              <w:spacing w:after="0"/>
              <w:rPr>
                <w:sz w:val="18"/>
                <w:szCs w:val="18"/>
                <w:color w:val="auto"/>
              </w:rPr>
            </w:pPr>
          </w:p>
        </w:tc>
        <w:tc>
          <w:tcPr>
            <w:tcW w:w="28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0" w:type="dxa"/>
            <w:vAlign w:val="bottom"/>
          </w:tcPr>
          <w:p>
            <w:pPr>
              <w:spacing w:after="0"/>
              <w:rPr>
                <w:sz w:val="18"/>
                <w:szCs w:val="18"/>
                <w:color w:val="auto"/>
              </w:rPr>
            </w:pPr>
          </w:p>
        </w:tc>
      </w:tr>
      <w:tr>
        <w:trPr>
          <w:trHeight w:val="19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Term (years)</w:t>
            </w:r>
          </w:p>
        </w:tc>
        <w:tc>
          <w:tcPr>
            <w:tcW w:w="320" w:type="dxa"/>
            <w:vAlign w:val="bottom"/>
            <w:shd w:val="clear" w:color="auto" w:fill="CFF0FC"/>
          </w:tcPr>
          <w:p>
            <w:pPr>
              <w:spacing w:after="0"/>
              <w:rPr>
                <w:sz w:val="17"/>
                <w:szCs w:val="17"/>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 — 2.49</w:t>
            </w:r>
          </w:p>
        </w:tc>
        <w:tc>
          <w:tcPr>
            <w:tcW w:w="260" w:type="dxa"/>
            <w:vAlign w:val="bottom"/>
            <w:shd w:val="clear" w:color="auto" w:fill="CFF0FC"/>
          </w:tcPr>
          <w:p>
            <w:pPr>
              <w:spacing w:after="0"/>
              <w:rPr>
                <w:sz w:val="17"/>
                <w:szCs w:val="17"/>
                <w:color w:val="auto"/>
              </w:rPr>
            </w:pPr>
          </w:p>
        </w:tc>
        <w:tc>
          <w:tcPr>
            <w:tcW w:w="3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 — 2.00</w:t>
            </w: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Correlation Coefficient — MannKind</w:t>
            </w:r>
          </w:p>
        </w:tc>
        <w:tc>
          <w:tcPr>
            <w:tcW w:w="320" w:type="dxa"/>
            <w:vAlign w:val="bottom"/>
          </w:tcPr>
          <w:p>
            <w:pPr>
              <w:spacing w:after="0"/>
              <w:rPr>
                <w:sz w:val="17"/>
                <w:szCs w:val="17"/>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 — 0.43</w:t>
            </w:r>
          </w:p>
        </w:tc>
        <w:tc>
          <w:tcPr>
            <w:tcW w:w="260" w:type="dxa"/>
            <w:vAlign w:val="bottom"/>
          </w:tcPr>
          <w:p>
            <w:pPr>
              <w:spacing w:after="0"/>
              <w:rPr>
                <w:sz w:val="17"/>
                <w:szCs w:val="17"/>
                <w:color w:val="auto"/>
              </w:rPr>
            </w:pPr>
          </w:p>
        </w:tc>
        <w:tc>
          <w:tcPr>
            <w:tcW w:w="3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Correlation Coefficient — Peer Average</w:t>
            </w:r>
          </w:p>
        </w:tc>
        <w:tc>
          <w:tcPr>
            <w:tcW w:w="320" w:type="dxa"/>
            <w:vAlign w:val="bottom"/>
            <w:shd w:val="clear" w:color="auto" w:fill="CFF0FC"/>
          </w:tcPr>
          <w:p>
            <w:pPr>
              <w:spacing w:after="0"/>
              <w:rPr>
                <w:sz w:val="17"/>
                <w:szCs w:val="17"/>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 — 0.32</w:t>
            </w:r>
          </w:p>
        </w:tc>
        <w:tc>
          <w:tcPr>
            <w:tcW w:w="260" w:type="dxa"/>
            <w:vAlign w:val="bottom"/>
            <w:shd w:val="clear" w:color="auto" w:fill="CFF0FC"/>
          </w:tcPr>
          <w:p>
            <w:pPr>
              <w:spacing w:after="0"/>
              <w:rPr>
                <w:sz w:val="17"/>
                <w:szCs w:val="17"/>
                <w:color w:val="auto"/>
              </w:rPr>
            </w:pPr>
          </w:p>
        </w:tc>
        <w:tc>
          <w:tcPr>
            <w:tcW w:w="3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Correlation Coefficient — Peer Median</w:t>
            </w:r>
          </w:p>
        </w:tc>
        <w:tc>
          <w:tcPr>
            <w:tcW w:w="320" w:type="dxa"/>
            <w:vAlign w:val="bottom"/>
          </w:tcPr>
          <w:p>
            <w:pPr>
              <w:spacing w:after="0"/>
              <w:rPr>
                <w:sz w:val="17"/>
                <w:szCs w:val="17"/>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 — 0.33</w:t>
            </w:r>
          </w:p>
        </w:tc>
        <w:tc>
          <w:tcPr>
            <w:tcW w:w="260" w:type="dxa"/>
            <w:vAlign w:val="bottom"/>
          </w:tcPr>
          <w:p>
            <w:pPr>
              <w:spacing w:after="0"/>
              <w:rPr>
                <w:sz w:val="17"/>
                <w:szCs w:val="17"/>
                <w:color w:val="auto"/>
              </w:rPr>
            </w:pPr>
          </w:p>
        </w:tc>
        <w:tc>
          <w:tcPr>
            <w:tcW w:w="3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Average Stock Price</w:t>
            </w:r>
          </w:p>
        </w:tc>
        <w:tc>
          <w:tcPr>
            <w:tcW w:w="320" w:type="dxa"/>
            <w:vAlign w:val="bottom"/>
            <w:shd w:val="clear" w:color="auto" w:fill="CFF0FC"/>
          </w:tcPr>
          <w:p>
            <w:pPr>
              <w:spacing w:after="0"/>
              <w:rPr>
                <w:sz w:val="17"/>
                <w:szCs w:val="17"/>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$2.95—$5.09</w:t>
            </w:r>
          </w:p>
        </w:tc>
        <w:tc>
          <w:tcPr>
            <w:tcW w:w="260" w:type="dxa"/>
            <w:vAlign w:val="bottom"/>
            <w:shd w:val="clear" w:color="auto" w:fill="CFF0FC"/>
          </w:tcPr>
          <w:p>
            <w:pPr>
              <w:spacing w:after="0"/>
              <w:rPr>
                <w:sz w:val="17"/>
                <w:szCs w:val="17"/>
                <w:color w:val="auto"/>
              </w:rPr>
            </w:pPr>
          </w:p>
        </w:tc>
        <w:tc>
          <w:tcPr>
            <w:tcW w:w="3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Date Stock Price</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6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Initial TSR</w:t>
            </w:r>
          </w:p>
        </w:tc>
        <w:tc>
          <w:tcPr>
            <w:tcW w:w="320" w:type="dxa"/>
            <w:vAlign w:val="bottom"/>
            <w:shd w:val="clear" w:color="auto" w:fill="CFF0FC"/>
          </w:tcPr>
          <w:p>
            <w:pPr>
              <w:spacing w:after="0"/>
              <w:rPr>
                <w:sz w:val="17"/>
                <w:szCs w:val="17"/>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26.33% — 117.97%</w:t>
            </w:r>
          </w:p>
        </w:tc>
        <w:tc>
          <w:tcPr>
            <w:tcW w:w="260" w:type="dxa"/>
            <w:vAlign w:val="bottom"/>
            <w:shd w:val="clear" w:color="auto" w:fill="CFF0FC"/>
          </w:tcPr>
          <w:p>
            <w:pPr>
              <w:spacing w:after="0"/>
              <w:rPr>
                <w:sz w:val="17"/>
                <w:szCs w:val="17"/>
                <w:color w:val="auto"/>
              </w:rPr>
            </w:pPr>
          </w:p>
        </w:tc>
        <w:tc>
          <w:tcPr>
            <w:tcW w:w="3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320" w:type="dxa"/>
            <w:vAlign w:val="bottom"/>
          </w:tcPr>
          <w:p>
            <w:pPr>
              <w:spacing w:after="0"/>
              <w:rPr>
                <w:sz w:val="17"/>
                <w:szCs w:val="17"/>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 — 4.26%</w:t>
            </w:r>
          </w:p>
        </w:tc>
        <w:tc>
          <w:tcPr>
            <w:tcW w:w="260" w:type="dxa"/>
            <w:vAlign w:val="bottom"/>
          </w:tcPr>
          <w:p>
            <w:pPr>
              <w:spacing w:after="0"/>
              <w:rPr>
                <w:sz w:val="17"/>
                <w:szCs w:val="17"/>
                <w:color w:val="auto"/>
              </w:rPr>
            </w:pPr>
          </w:p>
        </w:tc>
        <w:tc>
          <w:tcPr>
            <w:tcW w:w="3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 — MannKind</w:t>
            </w:r>
          </w:p>
        </w:tc>
        <w:tc>
          <w:tcPr>
            <w:tcW w:w="320" w:type="dxa"/>
            <w:vAlign w:val="bottom"/>
            <w:shd w:val="clear" w:color="auto" w:fill="CFF0FC"/>
          </w:tcPr>
          <w:p>
            <w:pPr>
              <w:spacing w:after="0"/>
              <w:rPr>
                <w:sz w:val="17"/>
                <w:szCs w:val="17"/>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 — 51.34%</w:t>
            </w:r>
          </w:p>
        </w:tc>
        <w:tc>
          <w:tcPr>
            <w:tcW w:w="3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57.46 %</w:t>
            </w: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 — Peer Average</w:t>
            </w:r>
          </w:p>
        </w:tc>
        <w:tc>
          <w:tcPr>
            <w:tcW w:w="320" w:type="dxa"/>
            <w:vAlign w:val="bottom"/>
          </w:tcPr>
          <w:p>
            <w:pPr>
              <w:spacing w:after="0"/>
              <w:rPr>
                <w:sz w:val="17"/>
                <w:szCs w:val="17"/>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 — 73.92%</w:t>
            </w:r>
          </w:p>
        </w:tc>
        <w:tc>
          <w:tcPr>
            <w:tcW w:w="260" w:type="dxa"/>
            <w:vAlign w:val="bottom"/>
          </w:tcPr>
          <w:p>
            <w:pPr>
              <w:spacing w:after="0"/>
              <w:rPr>
                <w:sz w:val="17"/>
                <w:szCs w:val="17"/>
                <w:color w:val="auto"/>
              </w:rPr>
            </w:pPr>
          </w:p>
        </w:tc>
        <w:tc>
          <w:tcPr>
            <w:tcW w:w="3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 — Peer Median</w:t>
            </w:r>
          </w:p>
        </w:tc>
        <w:tc>
          <w:tcPr>
            <w:tcW w:w="320" w:type="dxa"/>
            <w:vAlign w:val="bottom"/>
            <w:shd w:val="clear" w:color="auto" w:fill="CFF0FC"/>
          </w:tcPr>
          <w:p>
            <w:pPr>
              <w:spacing w:after="0"/>
              <w:rPr>
                <w:sz w:val="17"/>
                <w:szCs w:val="17"/>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59.77% — 72.12%</w:t>
            </w:r>
          </w:p>
        </w:tc>
        <w:tc>
          <w:tcPr>
            <w:tcW w:w="260" w:type="dxa"/>
            <w:vAlign w:val="bottom"/>
            <w:shd w:val="clear" w:color="auto" w:fill="CFF0FC"/>
          </w:tcPr>
          <w:p>
            <w:pPr>
              <w:spacing w:after="0"/>
              <w:rPr>
                <w:sz w:val="17"/>
                <w:szCs w:val="17"/>
                <w:color w:val="auto"/>
              </w:rPr>
            </w:pPr>
          </w:p>
        </w:tc>
        <w:tc>
          <w:tcPr>
            <w:tcW w:w="3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32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$1.42 — $4.55</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8"/>
          <w:szCs w:val="18"/>
          <w:b w:val="1"/>
          <w:bCs w:val="1"/>
          <w:color w:val="auto"/>
        </w:rPr>
        <w:t>Required Disclosure of the Relationship Between Compensation Actually Paid and Financial Performance Measures</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total shareholder return and that of the NASDAQ Biotechnology Index. As noted above, CAP for purposes of the tabular disclosure and the following graphs were calculated in accordance with SEC rules and does not represent the compensation actually earned by or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265430</wp:posOffset>
            </wp:positionV>
            <wp:extent cx="6060440" cy="3857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6044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748030</wp:posOffset>
            </wp:positionH>
            <wp:positionV relativeFrom="page">
              <wp:posOffset>646430</wp:posOffset>
            </wp:positionV>
            <wp:extent cx="6060440" cy="7886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60440" cy="788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266" w:lineRule="auto"/>
        <w:rPr>
          <w:sz w:val="20"/>
          <w:szCs w:val="20"/>
          <w:color w:val="auto"/>
        </w:rPr>
      </w:pPr>
      <w:r>
        <w:rPr>
          <w:rFonts w:ascii="Times New Roman" w:cs="Times New Roman" w:eastAsia="Times New Roman" w:hAnsi="Times New Roman"/>
          <w:sz w:val="18"/>
          <w:szCs w:val="18"/>
          <w:color w:val="auto"/>
        </w:rPr>
        <w:t>The most important financial and non-financial performance measures used by the Company to link CAP to the Company’s NEOs for the most recently completed fiscal year to the company’s performance are set forth below. For further information regarding these performance metrics and their function in our executive compensation program, please see “Compensation Discussion and Analysis” beginning on page 27.</w:t>
      </w:r>
    </w:p>
    <w:p>
      <w:pPr>
        <w:spacing w:after="0" w:line="7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revenue;</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shareholder return;</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Deliver on Tyvaso DPI production;</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Drive endocrinology business; and</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Advance pipeline opportunities.</w:t>
      </w:r>
    </w:p>
    <w:p>
      <w:pPr>
        <w:spacing w:after="0" w:line="8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0"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not granted stock options, stock appreciation rights, or similar instruments with option-like features for many years and have no policies or practices to disclose pursuant to Item 402(x)(1) of Regulation S-K.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Potential Payments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entered into a severance agreement with Mr. Thomson and change of control agreements with each named executive officer. The table below sets forth the estimated current value of payments and benefits to each of the named executive officers upon certain terminations or upon certain terminations in connection with a change of control, as described following the table below. The amounts shown assume that the triggering event occurred on December 31, 2024 and do not include other benefits earned during the term of the named executive officer’s employment that are available to all salaried employees, such as accrued vacation and benefits paid by insurance providers under life and disability policies.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4"/>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Triggering Event</w:t>
            </w:r>
          </w:p>
        </w:tc>
        <w:tc>
          <w:tcPr>
            <w:tcW w:w="100" w:type="dxa"/>
            <w:vAlign w:val="bottom"/>
          </w:tcPr>
          <w:p>
            <w:pPr>
              <w:spacing w:after="0"/>
              <w:rPr>
                <w:sz w:val="20"/>
                <w:szCs w:val="20"/>
                <w:color w:val="auto"/>
              </w:rPr>
            </w:pPr>
          </w:p>
        </w:tc>
      </w:tr>
      <w:tr>
        <w:trPr>
          <w:trHeight w:val="187"/>
        </w:trPr>
        <w:tc>
          <w:tcPr>
            <w:tcW w:w="1960" w:type="dxa"/>
            <w:vAlign w:val="bottom"/>
            <w:shd w:val="clear" w:color="auto" w:fill="CFF0FC"/>
          </w:tcPr>
          <w:p>
            <w:pPr>
              <w:spacing w:after="0"/>
              <w:rPr>
                <w:sz w:val="16"/>
                <w:szCs w:val="16"/>
                <w:color w:val="auto"/>
              </w:rPr>
            </w:pPr>
          </w:p>
        </w:tc>
        <w:tc>
          <w:tcPr>
            <w:tcW w:w="4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80" w:type="dxa"/>
            <w:vAlign w:val="bottom"/>
            <w:shd w:val="clear" w:color="auto" w:fill="CFF0FC"/>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Termination</w:t>
            </w: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Change in Control</w:t>
            </w:r>
          </w:p>
        </w:tc>
      </w:tr>
      <w:tr>
        <w:trPr>
          <w:trHeight w:val="238"/>
        </w:trPr>
        <w:tc>
          <w:tcPr>
            <w:tcW w:w="1960" w:type="dxa"/>
            <w:vAlign w:val="bottom"/>
            <w:tcBorders>
              <w:bottom w:val="single" w:sz="8" w:color="CFF0FC"/>
            </w:tcBorders>
            <w:shd w:val="clear" w:color="auto" w:fill="CFF0FC"/>
          </w:tcPr>
          <w:p>
            <w:pPr>
              <w:spacing w:after="0"/>
              <w:rPr>
                <w:sz w:val="20"/>
                <w:szCs w:val="20"/>
                <w:color w:val="auto"/>
              </w:rPr>
            </w:pPr>
          </w:p>
        </w:tc>
        <w:tc>
          <w:tcPr>
            <w:tcW w:w="4680" w:type="dxa"/>
            <w:vAlign w:val="bottom"/>
            <w:tcBorders>
              <w:bottom w:val="single" w:sz="8" w:color="CFF0FC"/>
            </w:tcBorders>
            <w:shd w:val="clear" w:color="auto" w:fill="CFF0FC"/>
          </w:tcPr>
          <w:p>
            <w:pPr>
              <w:spacing w:after="0"/>
              <w:rPr>
                <w:sz w:val="20"/>
                <w:szCs w:val="20"/>
                <w:color w:val="auto"/>
              </w:rPr>
            </w:pPr>
          </w:p>
        </w:tc>
        <w:tc>
          <w:tcPr>
            <w:tcW w:w="2020" w:type="dxa"/>
            <w:vAlign w:val="bottom"/>
            <w:tcBorders>
              <w:bottom w:val="single" w:sz="8" w:color="auto"/>
            </w:tcBorders>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FF0FC"/>
            </w:tcBorders>
            <w:shd w:val="clear" w:color="auto" w:fill="CFF0FC"/>
          </w:tcPr>
          <w:p>
            <w:pPr>
              <w:spacing w:after="0"/>
              <w:rPr>
                <w:sz w:val="20"/>
                <w:szCs w:val="20"/>
                <w:color w:val="auto"/>
              </w:rPr>
            </w:pPr>
          </w:p>
        </w:tc>
        <w:tc>
          <w:tcPr>
            <w:tcW w:w="2020" w:type="dxa"/>
            <w:vAlign w:val="bottom"/>
            <w:tcBorders>
              <w:bottom w:val="single" w:sz="8" w:color="auto"/>
            </w:tcBorders>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 Castagna</w:t>
            </w: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2,998,313</w:t>
            </w:r>
          </w:p>
        </w:tc>
        <w:tc>
          <w:tcPr>
            <w:tcW w:w="100" w:type="dxa"/>
            <w:vAlign w:val="bottom"/>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52,793</w:t>
            </w: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(3)(4)</w:t>
            </w:r>
          </w:p>
        </w:tc>
        <w:tc>
          <w:tcPr>
            <w:tcW w:w="14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25,782,553</w:t>
            </w:r>
          </w:p>
        </w:tc>
        <w:tc>
          <w:tcPr>
            <w:tcW w:w="100" w:type="dxa"/>
            <w:vAlign w:val="bottom"/>
          </w:tcPr>
          <w:p>
            <w:pPr>
              <w:spacing w:after="0"/>
              <w:rPr>
                <w:sz w:val="18"/>
                <w:szCs w:val="18"/>
                <w:color w:val="auto"/>
              </w:rPr>
            </w:pPr>
          </w:p>
        </w:tc>
      </w:tr>
      <w:tr>
        <w:trPr>
          <w:trHeight w:val="210"/>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28,833,659</w:t>
            </w: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Christopher B. Prentiss</w:t>
            </w: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1,285,891</w:t>
            </w: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51,794</w:t>
            </w:r>
          </w:p>
        </w:tc>
        <w:tc>
          <w:tcPr>
            <w:tcW w:w="100" w:type="dxa"/>
            <w:vAlign w:val="bottom"/>
          </w:tcPr>
          <w:p>
            <w:pPr>
              <w:spacing w:after="0"/>
              <w:rPr>
                <w:sz w:val="18"/>
                <w:szCs w:val="18"/>
                <w:color w:val="auto"/>
              </w:rPr>
            </w:pPr>
          </w:p>
        </w:tc>
      </w:tr>
      <w:tr>
        <w:trPr>
          <w:trHeight w:val="216"/>
        </w:trPr>
        <w:tc>
          <w:tcPr>
            <w:tcW w:w="1960" w:type="dxa"/>
            <w:vAlign w:val="bottom"/>
            <w:tcBorders>
              <w:bottom w:val="single" w:sz="8" w:color="CFF0FC"/>
            </w:tcBorders>
            <w:shd w:val="clear" w:color="auto" w:fill="CFF0FC"/>
          </w:tcPr>
          <w:p>
            <w:pPr>
              <w:spacing w:after="0"/>
              <w:rPr>
                <w:sz w:val="18"/>
                <w:szCs w:val="18"/>
                <w:color w:val="auto"/>
              </w:rPr>
            </w:pPr>
          </w:p>
        </w:tc>
        <w:tc>
          <w:tcPr>
            <w:tcW w:w="46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(3)(5)</w:t>
            </w:r>
          </w:p>
        </w:tc>
        <w:tc>
          <w:tcPr>
            <w:tcW w:w="14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gridSpan w:val="2"/>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3,801,802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5,139,487</w:t>
            </w:r>
          </w:p>
        </w:tc>
        <w:tc>
          <w:tcPr>
            <w:tcW w:w="100" w:type="dxa"/>
            <w:vAlign w:val="bottom"/>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Continuing health and welfare benefits</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Value of accelerated unvested equity awards</w:t>
            </w:r>
          </w:p>
        </w:tc>
        <w:tc>
          <w:tcPr>
            <w:tcW w:w="14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(6)</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Burkhard Blank</w:t>
            </w: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1,394,976</w:t>
            </w: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00" w:type="dxa"/>
            <w:vAlign w:val="bottom"/>
          </w:tcPr>
          <w:p>
            <w:pPr>
              <w:spacing w:after="0"/>
              <w:rPr>
                <w:sz w:val="18"/>
                <w:szCs w:val="18"/>
                <w:color w:val="auto"/>
              </w:rPr>
            </w:pPr>
          </w:p>
        </w:tc>
      </w:tr>
      <w:tr>
        <w:trPr>
          <w:trHeight w:val="216"/>
        </w:trPr>
        <w:tc>
          <w:tcPr>
            <w:tcW w:w="1960" w:type="dxa"/>
            <w:vAlign w:val="bottom"/>
            <w:tcBorders>
              <w:bottom w:val="single" w:sz="8" w:color="CFF0FC"/>
            </w:tcBorders>
            <w:shd w:val="clear" w:color="auto" w:fill="CFF0FC"/>
          </w:tcPr>
          <w:p>
            <w:pPr>
              <w:spacing w:after="0"/>
              <w:rPr>
                <w:sz w:val="18"/>
                <w:szCs w:val="18"/>
                <w:color w:val="auto"/>
              </w:rPr>
            </w:pPr>
          </w:p>
        </w:tc>
        <w:tc>
          <w:tcPr>
            <w:tcW w:w="46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(3)(7)</w:t>
            </w:r>
          </w:p>
        </w:tc>
        <w:tc>
          <w:tcPr>
            <w:tcW w:w="14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gridSpan w:val="2"/>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4,148,379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5,560,316</w:t>
            </w:r>
          </w:p>
        </w:tc>
        <w:tc>
          <w:tcPr>
            <w:tcW w:w="100" w:type="dxa"/>
            <w:vAlign w:val="bottom"/>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M. Sabella</w:t>
            </w: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1,398,752</w:t>
            </w:r>
          </w:p>
        </w:tc>
        <w:tc>
          <w:tcPr>
            <w:tcW w:w="100" w:type="dxa"/>
            <w:vAlign w:val="bottom"/>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37,150</w:t>
            </w: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(3)(8)</w:t>
            </w:r>
          </w:p>
        </w:tc>
        <w:tc>
          <w:tcPr>
            <w:tcW w:w="14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4,708,798</w:t>
            </w:r>
          </w:p>
        </w:tc>
        <w:tc>
          <w:tcPr>
            <w:tcW w:w="100" w:type="dxa"/>
            <w:vAlign w:val="bottom"/>
          </w:tcPr>
          <w:p>
            <w:pPr>
              <w:spacing w:after="0"/>
              <w:rPr>
                <w:sz w:val="18"/>
                <w:szCs w:val="18"/>
                <w:color w:val="auto"/>
              </w:rPr>
            </w:pPr>
          </w:p>
        </w:tc>
      </w:tr>
      <w:tr>
        <w:trPr>
          <w:trHeight w:val="210"/>
        </w:trPr>
        <w:tc>
          <w:tcPr>
            <w:tcW w:w="1960" w:type="dxa"/>
            <w:vAlign w:val="bottom"/>
            <w:shd w:val="clear" w:color="auto" w:fill="CFF0FC"/>
          </w:tcPr>
          <w:p>
            <w:pPr>
              <w:spacing w:after="0"/>
              <w:rPr>
                <w:sz w:val="18"/>
                <w:szCs w:val="18"/>
                <w:color w:val="auto"/>
              </w:rPr>
            </w:pP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6,144,700</w:t>
            </w: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B. Thomson</w:t>
            </w:r>
          </w:p>
        </w:tc>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1,406,129</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1,569,017</w:t>
            </w:r>
          </w:p>
        </w:tc>
        <w:tc>
          <w:tcPr>
            <w:tcW w:w="10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53,198</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53,198</w:t>
            </w:r>
          </w:p>
        </w:tc>
        <w:tc>
          <w:tcPr>
            <w:tcW w:w="100" w:type="dxa"/>
            <w:vAlign w:val="bottom"/>
          </w:tcPr>
          <w:p>
            <w:pPr>
              <w:spacing w:after="0"/>
              <w:rPr>
                <w:sz w:val="18"/>
                <w:szCs w:val="18"/>
                <w:color w:val="auto"/>
              </w:rPr>
            </w:pPr>
          </w:p>
        </w:tc>
      </w:tr>
      <w:tr>
        <w:trPr>
          <w:trHeight w:val="216"/>
        </w:trPr>
        <w:tc>
          <w:tcPr>
            <w:tcW w:w="1960" w:type="dxa"/>
            <w:vAlign w:val="bottom"/>
            <w:tcBorders>
              <w:bottom w:val="single" w:sz="8" w:color="CFF0FC"/>
            </w:tcBorders>
            <w:shd w:val="clear" w:color="auto" w:fill="CFF0FC"/>
          </w:tcPr>
          <w:p>
            <w:pPr>
              <w:spacing w:after="0"/>
              <w:rPr>
                <w:sz w:val="18"/>
                <w:szCs w:val="18"/>
                <w:color w:val="auto"/>
              </w:rPr>
            </w:pPr>
          </w:p>
        </w:tc>
        <w:tc>
          <w:tcPr>
            <w:tcW w:w="46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(3)(9)</w:t>
            </w:r>
          </w:p>
        </w:tc>
        <w:tc>
          <w:tcPr>
            <w:tcW w:w="14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gridSpan w:val="2"/>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7,564,050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1960" w:type="dxa"/>
            <w:vAlign w:val="bottom"/>
          </w:tcPr>
          <w:p>
            <w:pPr>
              <w:spacing w:after="0"/>
              <w:rPr>
                <w:sz w:val="19"/>
                <w:szCs w:val="19"/>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1,459,327</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9,186,265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-4048760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-4048760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-2934335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-2934335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-1545590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-1545590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-156845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1165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1" w:lineRule="exact"/>
        <w:rPr>
          <w:sz w:val="20"/>
          <w:szCs w:val="20"/>
          <w:color w:val="auto"/>
        </w:rPr>
      </w:pPr>
    </w:p>
    <w:p>
      <w:pPr>
        <w:ind w:left="440" w:right="60" w:hanging="419"/>
        <w:spacing w:after="0" w:line="261" w:lineRule="auto"/>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current value of payments and benefits payable upon termination without cause or resignation for good reason following a change of control. The terms of change of control agreements with our named executive officers are detailed under the heading “Change of Control Provisions.”</w:t>
      </w:r>
    </w:p>
    <w:p>
      <w:pPr>
        <w:spacing w:after="0" w:line="54" w:lineRule="exact"/>
        <w:rPr>
          <w:rFonts w:ascii="Times New Roman" w:cs="Times New Roman" w:eastAsia="Times New Roman" w:hAnsi="Times New Roman"/>
          <w:sz w:val="14"/>
          <w:szCs w:val="14"/>
          <w:color w:val="auto"/>
        </w:rPr>
      </w:pPr>
    </w:p>
    <w:p>
      <w:pPr>
        <w:ind w:left="440" w:right="40" w:hanging="419"/>
        <w:spacing w:after="0" w:line="261" w:lineRule="auto"/>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 of providing or paying for continuing medical and dental coverage for 18 months. The amounts for medical and dental insurance coverage are based on rates charged to our employees for post-employment coverage provided in accordance with the Consolidated Omnibus Reconciliation Act of 1985, or COBRA.</w:t>
      </w:r>
    </w:p>
    <w:p>
      <w:pPr>
        <w:spacing w:after="0" w:line="54" w:lineRule="exact"/>
        <w:rPr>
          <w:rFonts w:ascii="Times New Roman" w:cs="Times New Roman" w:eastAsia="Times New Roman" w:hAnsi="Times New Roman"/>
          <w:sz w:val="14"/>
          <w:szCs w:val="14"/>
          <w:color w:val="auto"/>
        </w:rPr>
      </w:pPr>
    </w:p>
    <w:p>
      <w:pPr>
        <w:ind w:left="440" w:right="80" w:hanging="419"/>
        <w:spacing w:after="0" w:line="261" w:lineRule="auto"/>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SEC rules, the intrinsic value of accelerated unvested stock options was calculated using the closing price of our common stock of $6.43 on December 31, 2024. The intrinsic value is the aggregate spread between $6.43 and the exercise price of the accelerated options, if less than $6.43. Accelerated options with</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4"/>
          <w:szCs w:val="14"/>
          <w:color w:val="auto"/>
        </w:rPr>
        <w:t>exercise prices equal to or greater than $6.43 have no intrinsic value. The full value awards are valued at the December 31, 2024 closing price of our common stock.</w:t>
      </w:r>
    </w:p>
    <w:p>
      <w:pPr>
        <w:spacing w:after="0" w:line="96" w:lineRule="exact"/>
        <w:rPr>
          <w:sz w:val="20"/>
          <w:szCs w:val="20"/>
          <w:color w:val="auto"/>
        </w:rPr>
      </w:pPr>
    </w:p>
    <w:p>
      <w:pPr>
        <w:ind w:left="420" w:right="40" w:hanging="419"/>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145,275 unvested stock options, 898,273 shares subject to unvested restricted stock units and 3,023,500 shares subject to unvested performance restricted stock units based on an estimated share delivery assumption of 219%, 249% and 227% for awards issued in 2022, 2023 and 2024, respectively.</w:t>
      </w:r>
    </w:p>
    <w:p>
      <w:pPr>
        <w:spacing w:after="0" w:line="54" w:lineRule="exact"/>
        <w:rPr>
          <w:rFonts w:ascii="Times New Roman" w:cs="Times New Roman" w:eastAsia="Times New Roman" w:hAnsi="Times New Roman"/>
          <w:sz w:val="14"/>
          <w:szCs w:val="14"/>
          <w:color w:val="auto"/>
        </w:rPr>
      </w:pPr>
    </w:p>
    <w:p>
      <w:pPr>
        <w:ind w:left="420" w:right="400" w:hanging="419"/>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232,600 shares subject to unvested restricted stock units and 358,660 shares subject to unvested performance restricted stock units based on an estimated share delivery assumption of 219%, 249% and 227% for awards issued in 2022, 2023 and 2024, respectively.</w:t>
      </w:r>
    </w:p>
    <w:p>
      <w:pPr>
        <w:spacing w:after="0" w:line="54" w:lineRule="exact"/>
        <w:rPr>
          <w:rFonts w:ascii="Times New Roman" w:cs="Times New Roman" w:eastAsia="Times New Roman" w:hAnsi="Times New Roman"/>
          <w:sz w:val="14"/>
          <w:szCs w:val="14"/>
          <w:color w:val="auto"/>
        </w:rPr>
      </w:pPr>
    </w:p>
    <w:p>
      <w:pPr>
        <w:ind w:left="420" w:hanging="419"/>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22, 2024, Mr. Binder retired as our Chief Financial Officer and was appointed as our Executive Vice President, Special Projects until he joined the Board effective September 30, 2024. As a result, his change of control agreement with us was terminated and he was not entitled to any benefits thereunder as of December 31, 2024.</w:t>
      </w:r>
    </w:p>
    <w:p>
      <w:pPr>
        <w:spacing w:after="0" w:line="54" w:lineRule="exact"/>
        <w:rPr>
          <w:rFonts w:ascii="Times New Roman" w:cs="Times New Roman" w:eastAsia="Times New Roman" w:hAnsi="Times New Roman"/>
          <w:sz w:val="14"/>
          <w:szCs w:val="14"/>
          <w:color w:val="auto"/>
        </w:rPr>
      </w:pPr>
    </w:p>
    <w:p>
      <w:pPr>
        <w:ind w:left="420" w:right="400" w:hanging="419"/>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286,500 shares subject to unvested restricted stock units and 358,660 shares subject to unvested performance restricted stock units based on an estimated share delivery assumption of 219%, 249% and 227% for awards issued in 2022, 2023 and 2024, respectively.</w:t>
      </w:r>
    </w:p>
    <w:p>
      <w:pPr>
        <w:spacing w:after="0" w:line="54" w:lineRule="exact"/>
        <w:rPr>
          <w:rFonts w:ascii="Times New Roman" w:cs="Times New Roman" w:eastAsia="Times New Roman" w:hAnsi="Times New Roman"/>
          <w:sz w:val="14"/>
          <w:szCs w:val="14"/>
          <w:color w:val="auto"/>
        </w:rPr>
      </w:pPr>
    </w:p>
    <w:p>
      <w:pPr>
        <w:ind w:left="420" w:right="400" w:hanging="419"/>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303,937 shares subject to unvested restricted stock units and 428,380 shares subject to unvested performance restricted stock units based on an estimated share delivery assumption of 219%, 249% and 227% for awards issued in 2022, 2023 and 2024, respectively.</w:t>
      </w:r>
    </w:p>
    <w:p>
      <w:pPr>
        <w:spacing w:after="0" w:line="54" w:lineRule="exact"/>
        <w:rPr>
          <w:rFonts w:ascii="Times New Roman" w:cs="Times New Roman" w:eastAsia="Times New Roman" w:hAnsi="Times New Roman"/>
          <w:sz w:val="14"/>
          <w:szCs w:val="14"/>
          <w:color w:val="auto"/>
        </w:rPr>
      </w:pPr>
    </w:p>
    <w:p>
      <w:pPr>
        <w:ind w:left="420" w:right="220" w:hanging="419"/>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57,525 unvested stock options, 260,353 shares subject to unvested restricted stock units and 880,930 shares subject to unvested performance restricted stock units based on an estimated share delivery assumption of 219%, 249% and 227% for awards issued in 2022, 2023 and 2024, respectively.</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Agreements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October 2007, we entered into an executive severance agreement with Mr. Thomson. This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agreement provides that Mr. Thomson is an “at will” employee and that his employment with us may be terminated at any time by him or by us. Under the agreement, in the event we terminate Mr. Thomson’s employment without cause (as defined below) or he terminates his employment with us for good reason (as defined below), then he is generally entitled to receive the following:</w:t>
      </w:r>
    </w:p>
    <w:p>
      <w:pPr>
        <w:spacing w:after="0" w:line="68"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him and any accrued paid time-off to which he is entitled under our policy;</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he met the performance criteria for earning an annual bonus prior to his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jc w:val="both"/>
        <w:ind w:left="760" w:right="18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he did not meet the performance criteria for earning an annual bonus prior to his termination, but the Board determines that all such criteria could have been satisfied if he remained employed for the full fiscal year, then a portion of his average annual bonus for the three years prior to his termination, based on the number of days worked during the year;</w:t>
      </w:r>
    </w:p>
    <w:p>
      <w:pPr>
        <w:spacing w:after="0" w:line="6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he executes and does not revoke a general release and settlement agreement, or release, in favor of us, then he will become entitled to receive:</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annual base salary on the date of termination for a period of 18 months following his termination, subject to certain limitations;</w:t>
      </w:r>
    </w:p>
    <w:p>
      <w:pPr>
        <w:spacing w:after="0" w:line="117" w:lineRule="exact"/>
        <w:rPr>
          <w:rFonts w:ascii="Times New Roman" w:cs="Times New Roman" w:eastAsia="Times New Roman" w:hAnsi="Times New Roman"/>
          <w:sz w:val="18"/>
          <w:szCs w:val="18"/>
          <w:color w:val="auto"/>
        </w:rPr>
      </w:pPr>
    </w:p>
    <w:p>
      <w:pPr>
        <w:ind w:left="1540" w:right="360" w:hanging="514"/>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average annual bonus received by him for the three years prior to his termination (or the prior period up to three years during which he was one of our executive officers and received a bonus);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and, under certain circumstances, life, disability and other insurance benefits for a period expiring on the earlier of 18 months following his termination or until he qualifies for related benefits from another employer.</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executive severance agreement provides that, on the condition that Mr. Thomson executes and does not revoke a release, each vested stock option held by him on the date of termination will be exercisable for a period ending on the earlier of 18 months following that date or the end of the original term of the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his agreement, Mr. Thomson may be terminated for cause if he, among other things:</w:t>
      </w:r>
    </w:p>
    <w:p>
      <w:pPr>
        <w:spacing w:after="0" w:line="117"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lawful duties or any lawful instruction of our Board of Directors or senior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Mr. Thomson’s agreement, good reason includes, among other things:</w:t>
      </w:r>
    </w:p>
    <w:p>
      <w:pPr>
        <w:spacing w:after="0" w:line="11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his annual base salary to a level below his salary as of October 10, 2007;</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his position, authority, duties or responsibilities with us, subject to certain limitations;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him to an office located more than 50 miles from his current residence and worksite</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executive severance agreement by us, on the condition that he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executive severance agreement by us.</w:t>
      </w:r>
    </w:p>
    <w:p>
      <w:pPr>
        <w:spacing w:after="0" w:line="22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Under Mr. Thomson’s agreement, he must inform us if he intends to terminate his agreement for good reason. We have 30 days from the date we receive notice of his intent to terminate the agreement for good reason to cure the default.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Agreements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Starting in April 2017, we entered into change of control agreements with each named executive officer. Each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agreements, a change of control will be deemed to occur upon:</w:t>
      </w:r>
    </w:p>
    <w:p>
      <w:pPr>
        <w:spacing w:after="0" w:line="117" w:lineRule="exact"/>
        <w:rPr>
          <w:sz w:val="20"/>
          <w:szCs w:val="20"/>
          <w:color w:val="auto"/>
        </w:rPr>
      </w:pPr>
    </w:p>
    <w:p>
      <w:pPr>
        <w:ind w:left="760" w:right="18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results in a person or group acquiring beneficial ownership of 50% or more of our voting stock, other than us or one of our employee benefit plans;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reorganization of us in which our stockholders immediately prior to the transaction hold less than 50% of the voting power of the surviving entity following the transaction, subject to certain limitations;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we sell all or substantially all of our assets, subject to certain limitations;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reorganization of our Board of Directors in which our incumbent directors (as defined in the agreements) cease for any reason to constitute a majority of the members of our Board.</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agreements provide that in the event of a change of control, the employee is generally entitled to maintain the same position, authority and responsibilities held before the change of control, as well as the following compensation and benefits during the period ending on the earlier of two years following the change of control or the termination of his or her employment with us:</w:t>
      </w:r>
    </w:p>
    <w:p>
      <w:pPr>
        <w:spacing w:after="0" w:line="68"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annual base salary in an amount equal or greater to his or her annual salary as of the date the change of control occurs;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in an amount equal to the average annual bonus received by him or her for the three years prior to his or her termination (or the prior period up to three years during which he was one of our executive officers and received a bonus);</w:t>
      </w:r>
    </w:p>
    <w:p>
      <w:pPr>
        <w:spacing w:after="0" w:line="53"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other insurance, and any other benefits we may offer to our executives; and prompt reimbursement for all reasonable employment expenses incurred by him or her in accordance with our policies and procedures.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change of control agreements, we may terminate an executive with or without cause (as defined below) and the executive may terminate his or her employment with us for good reason (as defined below) or any reason at any time during the two-year period following a change of control. In the event we terminate an executive without cause or an executive terminates his or her employment with us for good reason, he or she is generally entitled to receive the following:</w:t>
      </w:r>
    </w:p>
    <w:p>
      <w:pPr>
        <w:spacing w:after="0" w:line="72"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or her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the employee and any accrued paid time-off that the employee is entitled to under our policy;</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employee met the performance criteria for earning an annual bonus prior to his or her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did not meet the performance criteria for earning an annual bonus prior to his or her termination, but the Board determines that all such criteria could have been satisfied if the employee remained employed for the full fiscal year, then a portion of his or her average annual bonus for the three years prior to his or her termination, based on the number of days worked during the year;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the employee executes and does not revoke a release, then the employee will become entitled to received:</w:t>
      </w:r>
    </w:p>
    <w:p>
      <w:pPr>
        <w:spacing w:after="0" w:line="117" w:lineRule="exact"/>
        <w:rPr>
          <w:rFonts w:ascii="Times New Roman" w:cs="Times New Roman" w:eastAsia="Times New Roman" w:hAnsi="Times New Roman"/>
          <w:sz w:val="18"/>
          <w:szCs w:val="18"/>
          <w:color w:val="auto"/>
        </w:rPr>
      </w:pPr>
    </w:p>
    <w:p>
      <w:pPr>
        <w:ind w:left="1540" w:right="840" w:hanging="514"/>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employee’s annual base salary on the date of termination for a period of 18 months following his or her termination, subject to certain limitations;</w:t>
      </w:r>
    </w:p>
    <w:p>
      <w:pPr>
        <w:spacing w:after="0" w:line="53" w:lineRule="exact"/>
        <w:rPr>
          <w:rFonts w:ascii="Times New Roman" w:cs="Times New Roman" w:eastAsia="Times New Roman" w:hAnsi="Times New Roman"/>
          <w:sz w:val="18"/>
          <w:szCs w:val="18"/>
          <w:color w:val="auto"/>
        </w:rPr>
      </w:pPr>
    </w:p>
    <w:p>
      <w:pPr>
        <w:ind w:left="1540" w:right="80" w:hanging="514"/>
        <w:spacing w:after="0" w:line="266"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150% of his or her average annual bonus received by the employee for the three years prior to his or her termination (or the prior period up to three years during which the employee was one of our executive officers and received a bonus); and</w:t>
      </w:r>
    </w:p>
    <w:p>
      <w:pPr>
        <w:spacing w:after="0" w:line="67" w:lineRule="exact"/>
        <w:rPr>
          <w:rFonts w:ascii="Times New Roman" w:cs="Times New Roman" w:eastAsia="Times New Roman" w:hAnsi="Times New Roman"/>
          <w:sz w:val="18"/>
          <w:szCs w:val="18"/>
          <w:color w:val="auto"/>
        </w:rPr>
      </w:pPr>
    </w:p>
    <w:p>
      <w:pPr>
        <w:ind w:left="1540" w:hanging="514"/>
        <w:spacing w:after="0" w:line="260"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and, under certain circumstances, life, disability and other insurance benefits for a period expiring on the earlier of 18 months following his or her termination or until he qualifies for related benefits from another employer.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52" w:name="page53"/>
    <w:bookmarkEnd w:id="52"/>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the agreements provide that, on the condition the employee executes and does not revoke a release, each equity award held by him or her as of the termination date will become fully vested and exercisable at any point during the term of the option, subject to certain limitations.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the agreements, in the event we terminate an employee with cause or an employee terminates his or her employment with us without good reason, his or her agreement will terminate without any further obligation to either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of control agreements provide that an employee may be terminated for cause if he or she, among other things:</w:t>
      </w:r>
    </w:p>
    <w:p>
      <w:pPr>
        <w:spacing w:after="0" w:line="117" w:lineRule="exact"/>
        <w:rPr>
          <w:sz w:val="20"/>
          <w:szCs w:val="20"/>
          <w:color w:val="auto"/>
        </w:rPr>
      </w:pPr>
    </w:p>
    <w:p>
      <w:pPr>
        <w:ind w:left="760" w:right="70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or her lawful duties or any lawful instruction of our Board of Directors or senior management;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 before a change of control occurs.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agreements, good reason includes, among other things:</w:t>
      </w:r>
    </w:p>
    <w:p>
      <w:pPr>
        <w:spacing w:after="0" w:line="1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position, authority, duties or responsibilities with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the employee to an office located more than 50 miles from the employee’s current residence and worksite;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change of control agreement by us, on the condition that the employee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change of control agreement by us.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the change of control agreements, an employee must inform us if he or she intends to terminate his or her agreement for good reason. We have 30 days from the date we receive notice of the employee’s intent to terminate the agreement for good reason to cure the default.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executive severance agreements and the change of control agreements with Mr. Thomson provide that in the event such executive becomes entitled to benefits under both agreements, compensation payments and other benefits will be coordinated to ensure the executive is entitled to receive the benefits described above without duplicating coverage.</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2024.</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bl>
      <w:tblPr>
        <w:tblLayout w:type="fixed"/>
        <w:tblInd w:w="0" w:type="dxa"/>
        <w:tblCellMar>
          <w:top w:w="0" w:type="dxa"/>
          <w:left w:w="0" w:type="dxa"/>
          <w:bottom w:w="0" w:type="dxa"/>
          <w:right w:w="0" w:type="dxa"/>
        </w:tblCellMar>
      </w:tblPr>
      <w:tr>
        <w:trPr>
          <w:trHeight w:val="155"/>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6280" w:type="dxa"/>
            <w:vAlign w:val="bottom"/>
            <w:vMerge w:val="restart"/>
          </w:tcPr>
          <w:p>
            <w:pPr>
              <w:ind w:left="27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73"/>
        </w:trPr>
        <w:tc>
          <w:tcPr>
            <w:tcW w:w="6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 )</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7,271,966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20" w:type="dxa"/>
            <w:vAlign w:val="bottom"/>
            <w:gridSpan w:val="3"/>
            <w:shd w:val="clear" w:color="auto" w:fill="CFF0FC"/>
          </w:tcPr>
          <w:p>
            <w:pPr>
              <w:jc w:val="right"/>
              <w:ind w:right="140"/>
              <w:spacing w:after="0" w:line="210" w:lineRule="exact"/>
              <w:rPr>
                <w:sz w:val="20"/>
                <w:szCs w:val="20"/>
                <w:color w:val="auto"/>
              </w:rPr>
            </w:pPr>
            <w:r>
              <w:rPr>
                <w:rFonts w:ascii="Times New Roman" w:cs="Times New Roman" w:eastAsia="Times New Roman" w:hAnsi="Times New Roman"/>
                <w:sz w:val="16"/>
                <w:szCs w:val="16"/>
                <w:color w:val="auto"/>
              </w:rPr>
              <w:t xml:space="preserve">23,931,600  </w:t>
            </w:r>
            <w:r>
              <w:rPr>
                <w:rFonts w:ascii="Times New Roman" w:cs="Times New Roman" w:eastAsia="Times New Roman" w:hAnsi="Times New Roman"/>
                <w:sz w:val="24"/>
                <w:szCs w:val="24"/>
                <w:color w:val="auto"/>
                <w:vertAlign w:val="subscript"/>
              </w:rPr>
              <w:t>(1)</w:t>
            </w:r>
          </w:p>
        </w:tc>
        <w:tc>
          <w:tcPr>
            <w:tcW w:w="0" w:type="dxa"/>
            <w:vAlign w:val="bottom"/>
          </w:tcPr>
          <w:p>
            <w:pPr>
              <w:spacing w:after="0"/>
              <w:rPr>
                <w:sz w:val="1"/>
                <w:szCs w:val="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14"/>
                <w:szCs w:val="14"/>
                <w:color w:val="auto"/>
              </w:rPr>
              <w:t>(2)</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165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7"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4"/>
          <w:szCs w:val="14"/>
          <w:color w:val="auto"/>
        </w:rPr>
        <w:t>Includes 21,533,033 shares available for issuance under the EIP and 2,398,567 shares available for purchase under our Employee Stock Purchase Plan. The amount of shares available for issuance under the EIP was determined with a share delivery assumption of 219%, 249% and 227% for performance restricted stock units issued in 2022, 2023 and 2024, respectively.</w:t>
      </w:r>
    </w:p>
    <w:p>
      <w:pPr>
        <w:spacing w:after="0" w:line="56" w:lineRule="exact"/>
        <w:rPr>
          <w:sz w:val="20"/>
          <w:szCs w:val="20"/>
          <w:color w:val="auto"/>
        </w:rPr>
      </w:pPr>
    </w:p>
    <w:p>
      <w:pPr>
        <w:ind w:left="440" w:hanging="419"/>
        <w:spacing w:after="0"/>
        <w:tabs>
          <w:tab w:leader="none" w:pos="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we did not have any equity compensation plans that were not approved by our security holders.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into any filing of MannKind under the Securities Act or the Exchange Act, except to the extent MannKind specifically incorporates this report by reference.</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contained in this proxy statement. Based on this review and discussion, the Compensation Committee has recommended to our Board of Directors that the Compensation Discussion and Analysis be included in this proxy statement and incorporated into our Annual Report on Form 10-K for the fiscal year ended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4900" w:type="dxa"/>
            <w:vAlign w:val="bottom"/>
          </w:tcPr>
          <w:p>
            <w:pPr>
              <w:spacing w:after="0"/>
              <w:rPr>
                <w:sz w:val="20"/>
                <w:szCs w:val="20"/>
                <w:color w:val="auto"/>
              </w:rPr>
            </w:pPr>
          </w:p>
        </w:tc>
      </w:tr>
      <w:tr>
        <w:trPr>
          <w:trHeight w:val="229"/>
        </w:trPr>
        <w:tc>
          <w:tcPr>
            <w:tcW w:w="63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Anthony Hooper</w:t>
            </w:r>
          </w:p>
        </w:tc>
        <w:tc>
          <w:tcPr>
            <w:tcW w:w="4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Committee Chair</w:t>
            </w:r>
          </w:p>
        </w:tc>
      </w:tr>
      <w:tr>
        <w:trPr>
          <w:trHeight w:val="229"/>
        </w:trPr>
        <w:tc>
          <w:tcPr>
            <w:tcW w:w="63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Sabrina Kay</w:t>
            </w:r>
          </w:p>
        </w:tc>
        <w:tc>
          <w:tcPr>
            <w:tcW w:w="4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Committee Member</w:t>
            </w:r>
          </w:p>
        </w:tc>
      </w:tr>
      <w:tr>
        <w:trPr>
          <w:trHeight w:val="234"/>
        </w:trPr>
        <w:tc>
          <w:tcPr>
            <w:tcW w:w="63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James S. Shannon</w:t>
            </w:r>
          </w:p>
        </w:tc>
        <w:tc>
          <w:tcPr>
            <w:tcW w:w="4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Committee Member</w:t>
            </w:r>
          </w:p>
        </w:tc>
      </w:tr>
      <w:tr>
        <w:trPr>
          <w:trHeight w:val="608"/>
        </w:trPr>
        <w:tc>
          <w:tcPr>
            <w:tcW w:w="63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51</w:t>
            </w:r>
          </w:p>
        </w:tc>
        <w:tc>
          <w:tcPr>
            <w:tcW w:w="4900" w:type="dxa"/>
            <w:vAlign w:val="bottom"/>
          </w:tcPr>
          <w:p>
            <w:pPr>
              <w:spacing w:after="0"/>
              <w:rPr>
                <w:sz w:val="24"/>
                <w:szCs w:val="24"/>
                <w:color w:val="auto"/>
              </w:rPr>
            </w:pPr>
          </w:p>
        </w:tc>
      </w:tr>
      <w:tr>
        <w:trPr>
          <w:trHeight w:val="763"/>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20, 2025 by: (i) each person, entity or group known to the Company to be the beneficial owner of more than 5% of the Company’s common stock; (ii) each director and nominee for director; (iii) each of the executive officers named in the Summary Compensation Table, who we refer to as the named executive officers; and (iv) all current executive officers and directors of the Company as a group. Unless otherwise indicated in the footnotes to the table below and subject to community property laws where applicable, we believe that each of the stockholders named in the table has sole voting and investment power with respect to the shares indicated as beneficially owned.</w:t>
      </w:r>
    </w:p>
    <w:p>
      <w:pPr>
        <w:spacing w:after="0" w:line="7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Applicable percentages are based on 303,855,633 shares outstanding on March 20, 2025, adjusted as required by rules promulgated by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May 19, 2025, which is 60 days after March 20, 2025.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address for each person or entity listed in the table is c/o MannKind Corporation, 1 Casper Street, Danbury, Connecticut 06810.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Identity of Owner or Group</w:t>
            </w:r>
          </w:p>
        </w:tc>
        <w:tc>
          <w:tcPr>
            <w:tcW w:w="140" w:type="dxa"/>
            <w:vAlign w:val="bottom"/>
            <w:vMerge w:val="restart"/>
          </w:tcPr>
          <w:p>
            <w:pPr>
              <w:spacing w:after="0"/>
              <w:rPr>
                <w:sz w:val="20"/>
                <w:szCs w:val="20"/>
                <w:color w:val="auto"/>
              </w:rPr>
            </w:pPr>
          </w:p>
        </w:tc>
        <w:tc>
          <w:tcPr>
            <w:tcW w:w="400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 of Total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BlackRock, Inc. (1)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22,297,032</w:t>
            </w:r>
          </w:p>
        </w:tc>
        <w:tc>
          <w:tcPr>
            <w:tcW w:w="2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Group (2)</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15,248,608</w:t>
            </w:r>
          </w:p>
        </w:tc>
        <w:tc>
          <w:tcPr>
            <w:tcW w:w="2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Michael Castagna (3)</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3,318,251</w:t>
            </w:r>
          </w:p>
        </w:tc>
        <w:tc>
          <w:tcPr>
            <w:tcW w:w="2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Christopher B. Prentiss (4)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Burkhard Blank</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194,254</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Lauren Sabella (5)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122,819</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David Thomson (6)</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1,332,158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Steven B. Binder (7)</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1,144,526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Ronald Consiglio (8)</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155,309</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Michael Friedman (9)</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Jennifer Grancio</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Anthony Hooper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Sabrina Kay</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107,033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Christine Mundkur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James S. Shannon (10)</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(16 persons) (11)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8,337,915</w:t>
            </w:r>
          </w:p>
        </w:tc>
        <w:tc>
          <w:tcPr>
            <w:tcW w:w="2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165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 w:lineRule="exact"/>
        <w:rPr>
          <w:sz w:val="20"/>
          <w:szCs w:val="20"/>
          <w:color w:val="auto"/>
        </w:rPr>
      </w:pPr>
    </w:p>
    <w:p>
      <w:pPr>
        <w:ind w:left="460" w:hanging="439"/>
        <w:spacing w:after="0"/>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96" w:lineRule="exact"/>
        <w:rPr>
          <w:sz w:val="20"/>
          <w:szCs w:val="20"/>
          <w:color w:val="auto"/>
        </w:rPr>
      </w:pPr>
    </w:p>
    <w:p>
      <w:pPr>
        <w:jc w:val="both"/>
        <w:ind w:left="480" w:right="160" w:hanging="459"/>
        <w:spacing w:after="0" w:line="242"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Schedule 13G/A as filed with the SEC on January 25, 2024 by BlackRock, Inc. ("BlackRock"). According to the Schedule 13G/A, BlackRock has sole voting power with respect to 21,935,909 shares and sole dispositive power with respect to 22,297,032 shares. The address of BlackRock is 55 East 52nd Street, New York, NY 10055.</w:t>
      </w:r>
    </w:p>
    <w:p>
      <w:pPr>
        <w:spacing w:after="0" w:line="228" w:lineRule="exact"/>
        <w:rPr>
          <w:rFonts w:ascii="Times New Roman" w:cs="Times New Roman" w:eastAsia="Times New Roman" w:hAnsi="Times New Roman"/>
          <w:sz w:val="14"/>
          <w:szCs w:val="14"/>
          <w:color w:val="auto"/>
        </w:rPr>
      </w:pPr>
    </w:p>
    <w:p>
      <w:pPr>
        <w:ind w:left="480" w:right="200" w:hanging="459"/>
        <w:spacing w:after="0" w:line="241"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Schedule 13G/A as filed with the SEC on February 13, 2024 by Vanguard Group ("Vanguard"). According to the Schedule 13G/A, Vanguard has shared voting power with respect to 420,635 shares, sole dispositive power with respect to 14,578,177 shares and shared dispositive power with respect to 670,431 shares. The address is Vanguard is 100 Vanguard Blvd., Malver, PA 19355.</w:t>
      </w:r>
    </w:p>
    <w:p>
      <w:pPr>
        <w:spacing w:after="0" w:line="68" w:lineRule="exact"/>
        <w:rPr>
          <w:rFonts w:ascii="Times New Roman" w:cs="Times New Roman" w:eastAsia="Times New Roman" w:hAnsi="Times New Roman"/>
          <w:sz w:val="14"/>
          <w:szCs w:val="14"/>
          <w:color w:val="auto"/>
        </w:rPr>
      </w:pPr>
    </w:p>
    <w:p>
      <w:pPr>
        <w:ind w:left="480" w:right="80" w:hanging="459"/>
        <w:spacing w:after="0" w:line="241"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1,085,563 shares of common stock, (ii) 1,810,665 shares of common stock issuable upon the exercise of vested stock options, (iii) 111,023 shares to be issued pursuant to the vesting of time-based restricted stock units and (iv) 311,000 shares to be issued pursuant to a share delivery assumption of 100% for performance-based restricted stock units within 60 days of March 20, 2025.</w:t>
      </w:r>
    </w:p>
    <w:p>
      <w:pPr>
        <w:spacing w:after="0" w:line="68" w:lineRule="exact"/>
        <w:rPr>
          <w:rFonts w:ascii="Times New Roman" w:cs="Times New Roman" w:eastAsia="Times New Roman" w:hAnsi="Times New Roman"/>
          <w:sz w:val="14"/>
          <w:szCs w:val="14"/>
          <w:color w:val="auto"/>
        </w:rPr>
      </w:pPr>
    </w:p>
    <w:p>
      <w:pPr>
        <w:ind w:left="480" w:hanging="459"/>
        <w:spacing w:after="0"/>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22, 2024, Mr. Prentiss was appointed as Chief Financial Officer.</w:t>
      </w:r>
    </w:p>
    <w:p>
      <w:pPr>
        <w:spacing w:after="0" w:line="95" w:lineRule="exact"/>
        <w:rPr>
          <w:rFonts w:ascii="Times New Roman" w:cs="Times New Roman" w:eastAsia="Times New Roman" w:hAnsi="Times New Roman"/>
          <w:sz w:val="14"/>
          <w:szCs w:val="14"/>
          <w:color w:val="auto"/>
        </w:rPr>
      </w:pPr>
    </w:p>
    <w:p>
      <w:pPr>
        <w:ind w:left="480" w:hanging="459"/>
        <w:spacing w:after="0"/>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70,319 shares of common stock and (ii) 52,500 shares to be issued pursuant to the vesting of time-based restricted stock units within 60 days of March 20, 2025.</w:t>
      </w:r>
    </w:p>
    <w:p>
      <w:pPr>
        <w:spacing w:after="0" w:line="95" w:lineRule="exact"/>
        <w:rPr>
          <w:rFonts w:ascii="Times New Roman" w:cs="Times New Roman" w:eastAsia="Times New Roman" w:hAnsi="Times New Roman"/>
          <w:sz w:val="14"/>
          <w:szCs w:val="14"/>
          <w:color w:val="auto"/>
        </w:rPr>
      </w:pPr>
    </w:p>
    <w:p>
      <w:pPr>
        <w:jc w:val="both"/>
        <w:ind w:left="480" w:right="360" w:hanging="459"/>
        <w:spacing w:after="0" w:line="241"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459,490 shares of common stock, (ii) 722,815 shares of common stock issuable upon the exercise of vested stock options, (iii) 39,853 shares to be issued pursuant to the vesting of restricted stock units and (iv) 110,000 shares to be issued pursuant to a share delivery assumption of 100% for performance-based restricted stock units within 60 days of March 20, 2025.</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6" w:name="page57"/>
    <w:bookmarkEnd w:id="56"/>
    <w:p>
      <w:pPr>
        <w:ind w:left="459" w:right="120" w:hanging="459"/>
        <w:spacing w:after="0" w:line="241" w:lineRule="auto"/>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546,758 shares of common stock, (ii) 448,000 shares of common stock issuable upon the exercise of vested stock options, (iii) 39,768 shares to be issued pursuant to the vesting of time-based restricted stock units and (iv) 110,000 shares to be issued pursuant to a share delivery assumption of 100% for performance-based restricted stock units within 60 days of March 20, 2025.</w:t>
      </w:r>
    </w:p>
    <w:p>
      <w:pPr>
        <w:spacing w:after="0" w:line="68"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118,428 shares of common stock and (ii) 36,881 shares of common stock issuable upon the exercise of vested stock options.</w:t>
      </w:r>
    </w:p>
    <w:p>
      <w:pPr>
        <w:spacing w:after="0" w:line="95"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14,946 shares of common stock and (ii) 50,400 shares of common stock issuable upon the exercise of vested stock options.</w:t>
      </w:r>
    </w:p>
    <w:p>
      <w:pPr>
        <w:spacing w:after="0" w:line="95"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24,458 shares of common stock and (ii) 44,505 shares of common stock issuable upon the exercise of vested stock options.</w:t>
      </w:r>
    </w:p>
    <w:p>
      <w:pPr>
        <w:spacing w:after="0" w:line="95" w:lineRule="exact"/>
        <w:rPr>
          <w:rFonts w:ascii="Times New Roman" w:cs="Times New Roman" w:eastAsia="Times New Roman" w:hAnsi="Times New Roman"/>
          <w:sz w:val="14"/>
          <w:szCs w:val="14"/>
          <w:color w:val="auto"/>
        </w:rPr>
      </w:pPr>
    </w:p>
    <w:p>
      <w:pPr>
        <w:ind w:left="459" w:hanging="459"/>
        <w:spacing w:after="0" w:line="241" w:lineRule="auto"/>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shares beneficially owned by the NEOs and directors listed above plus two additional executive officers who beneficially owned 1,514,727 shares, including (i) 692,616 shares of common stock, (ii) 672,432 shares of common stock issuable upon the exercise of vested stock options, (iii) 39,679 shares to be issued pursuant to the vesting of restricted stock units and (iv) 110,000 shares to be issued pursuant to a share delivery assumption of 100% for performance-based restricted stock units within 60 days of March 20, 2025.</w:t>
      </w:r>
    </w:p>
    <w:p>
      <w:pPr>
        <w:spacing w:after="0" w:line="140"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9"/>
          </w:cols>
          <w:pgMar w:left="341" w:top="981" w:right="37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MannKind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direct your written request to MannKind Corporation, Investor Relations, 1 Casper Street, Danbury, Connecticut 06810 or contact David Thomson at (818) 661-5000. In addition, we will promptly deliver, upon written or oral request to the address or telephone number above, a separate copy of the Notice of Internet Availability of Proxy Materials to a stockholder at a shared address to which a single copy of the documents was delivered. Stockholders who currently receive multiple copies of the Notices of Internet Availability of Proxy Materials at their address and would like to request “householding” of their communications should contact their broker.</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2024, FILED WITH THE SEC ON FEBRUARY 26, 2025, IS AVAILABLE WITHOUT CHARGE UPON WRITTEN REQUEST TO: MANNKIND CORPORATION, INVESTOR RELATIONS, 1 CASPER STREET, DANBURY, CONNECTICUT 06810.</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3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154305</wp:posOffset>
            </wp:positionV>
            <wp:extent cx="1928495" cy="5060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28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David B. Thomson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542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8542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542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8542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8"/>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2"/>
    </w:lvl>
  </w:abstractNum>
  <w:abstractNum w:abstractNumId="28">
    <w:nsid w:val="3804823E"/>
    <w:multiLevelType w:val="hybridMultilevel"/>
    <w:lvl w:ilvl="0">
      <w:lvlJc w:val="left"/>
      <w:lvlText w:val="(%1)"/>
      <w:numFmt w:val="decimal"/>
      <w:start w:val="4"/>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
      <w:numFmt w:val="bullet"/>
      <w:start w:val="1"/>
    </w:lvl>
    <w:lvl w:ilvl="1">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lvl w:ilvl="1">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2"/>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2025-04-01T16:05:58Z</dcterms:created>
  <dcterms:modified xsi:type="dcterms:W3CDTF">2025-04-01T16:05:58Z</dcterms:modified>
</cp:coreProperties>
</file>