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60" w:type="dxa"/>
        <w:tblCellMar>
          <w:top w:w="0" w:type="dxa"/>
          <w:left w:w="0" w:type="dxa"/>
          <w:bottom w:w="0" w:type="dxa"/>
          <w:right w:w="0" w:type="dxa"/>
        </w:tblCellMar>
      </w:tblPr>
      <w:tr>
        <w:trPr>
          <w:trHeight w:val="214"/>
        </w:trPr>
        <w:tc>
          <w:tcPr>
            <w:tcW w:w="4300" w:type="dxa"/>
            <w:vAlign w:val="bottom"/>
          </w:tcPr>
          <w:p>
            <w:pPr>
              <w:jc w:val="center"/>
              <w:ind w:right="21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000-50865</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149"/>
        </w:trPr>
        <w:tc>
          <w:tcPr>
            <w:tcW w:w="4300" w:type="dxa"/>
            <w:vAlign w:val="bottom"/>
          </w:tcPr>
          <w:p>
            <w:pPr>
              <w:jc w:val="center"/>
              <w:ind w:right="21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0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30930 Russell Ranch Road, Suite 300</w:t>
            </w:r>
          </w:p>
        </w:tc>
        <w:tc>
          <w:tcPr>
            <w:tcW w:w="22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7"/>
        </w:trPr>
        <w:tc>
          <w:tcPr>
            <w:tcW w:w="430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Westlake Village, California</w:t>
            </w:r>
          </w:p>
        </w:tc>
        <w:tc>
          <w:tcPr>
            <w:tcW w:w="22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91362</w:t>
            </w:r>
          </w:p>
        </w:tc>
      </w:tr>
      <w:tr>
        <w:trPr>
          <w:trHeight w:val="190"/>
        </w:trPr>
        <w:tc>
          <w:tcPr>
            <w:tcW w:w="4300" w:type="dxa"/>
            <w:vAlign w:val="bottom"/>
          </w:tcPr>
          <w:p>
            <w:pPr>
              <w:jc w:val="center"/>
              <w:ind w:left="12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(818) 661-5000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 A.2. of Form 8-K):</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MNKD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26, 2018, MannKind Corporation (the “Company”) issued a warrant (the “Warrant”) to purchase 11,750,000 shares of the Company’s common stock (the “Warrant Shares”) to CVI Investments, Inc. (“CVI”) in connection with an underwritten public offering of the Company’s common stock and warrants to purchase shares of its common stock, which was made pursuant to the Company’s registration statement on Form S-3 (Registration Statement No. 333-210792), previously filed with the Securities and Exchange Commission (“SEC”) and declared effective by the SEC on April 27, 2016, and a prospectus supplement thereunder.</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23, 2019, the Company and CVI agreed to amend the Warrant (the “Warrant Amendment”) to provide that (i) commencing immediately following the Company’s filing of this Current Report on Form 8-K with the SEC, and ending at 9:30 a.m. (New York City time) on December 23, 2019, the exercise price per share for 4,500,000 Warrant Shares will be equal to $1.311 but only with respect to a cash exercise under Section 2(a) of the Warrant and (ii) if and only if CVI purchases at least 4,500,000 Warrant Shares pursuant to a cash exercise of the Warrant under Section 2(a) of the Warrant prior to 5:00 p.m. (New York City time) on December 26, 2019, the termination date of the Warrant will be extended to June 26, 2020.</w:t>
      </w:r>
    </w:p>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Warrant Amendment does not purport to be complete and is qualified in its entirety by reference to the Warrant Amendment, a copy of which is attached as Exhibit 4.1 to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91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Amendment to Common Stock Purchase Warrant, dated December 22, 2019, by and between MannKind Corporation and CVI</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Investments, Inc.</w:t>
              </w:r>
            </w:hyperlink>
          </w:p>
        </w:tc>
        <w:tc>
          <w:tcPr>
            <w:tcW w:w="7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229"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December 23,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Thomson, Ph.D., J.D.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Corporate Vice President, General Counsel and Secretary</w:t>
      </w:r>
    </w:p>
    <w:p>
      <w:pPr>
        <w:sectPr>
          <w:pgSz w:w="11900" w:h="16838" w:orient="portrait"/>
          <w:cols w:equalWidth="0" w:num="1">
            <w:col w:w="10280"/>
          </w:cols>
          <w:pgMar w:left="440" w:top="266" w:right="11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03"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color w:val="auto"/>
        </w:rPr>
        <w:t>This Amendment to Common Stock Purchase Warrant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between MannKind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CVI Investments, Inc.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of December 22, 2019 and amends the terms of that certain Common Stock Purchase Warrant issued to the Holder by the Company on December 26, 2018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Capitalized terms used and not otherwise defined herein have the meanings set forth in the Warrant.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5"/>
          <w:szCs w:val="15"/>
          <w:b w:val="1"/>
          <w:bCs w:val="1"/>
          <w:color w:val="auto"/>
        </w:rPr>
        <w:t>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the Company and Holder desire to amend the terms of the Warrant as set forth herein; and</w:t>
      </w:r>
    </w:p>
    <w:p>
      <w:pPr>
        <w:spacing w:after="0" w:line="225"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pursuant to Section 5(l) of the Warrant, the Warrant may be modified or amended with the written consent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GREEMENT</w:t>
      </w:r>
    </w:p>
    <w:p>
      <w:pPr>
        <w:spacing w:after="0" w:line="225" w:lineRule="exact"/>
        <w:rPr>
          <w:sz w:val="20"/>
          <w:szCs w:val="20"/>
          <w:color w:val="auto"/>
        </w:rPr>
      </w:pPr>
    </w:p>
    <w:p>
      <w:pPr>
        <w:ind w:right="3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5"/>
          <w:szCs w:val="15"/>
          <w:b w:val="1"/>
          <w:bCs w:val="1"/>
          <w:color w:val="auto"/>
        </w:rPr>
        <w:t>HEREFORE</w:t>
      </w:r>
      <w:r>
        <w:rPr>
          <w:rFonts w:ascii="Times New Roman" w:cs="Times New Roman" w:eastAsia="Times New Roman" w:hAnsi="Times New Roman"/>
          <w:sz w:val="18"/>
          <w:szCs w:val="18"/>
          <w:color w:val="auto"/>
        </w:rPr>
        <w:t>, in consideration of the foregoing and the terms and conditions set forth herein, the Company and Holder,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hereby agree as follows:</w:t>
      </w:r>
    </w:p>
    <w:p>
      <w:pPr>
        <w:spacing w:after="0" w:line="51" w:lineRule="exact"/>
        <w:rPr>
          <w:sz w:val="20"/>
          <w:szCs w:val="20"/>
          <w:color w:val="auto"/>
        </w:rPr>
      </w:pPr>
    </w:p>
    <w:p>
      <w:pPr>
        <w:ind w:right="40" w:firstLine="444"/>
        <w:spacing w:after="0" w:line="255" w:lineRule="auto"/>
        <w:tabs>
          <w:tab w:leader="none" w:pos="6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Commencing immediately following the Company’s filing with Commission of a Current Report on Form 8-K disclosing this Amendment, and ending at 9:30 a.m. (New York City time) on December 23, 2019 (the “</w:t>
      </w:r>
      <w:r>
        <w:rPr>
          <w:rFonts w:ascii="Times New Roman" w:cs="Times New Roman" w:eastAsia="Times New Roman" w:hAnsi="Times New Roman"/>
          <w:sz w:val="18"/>
          <w:szCs w:val="18"/>
          <w:b w:val="1"/>
          <w:bCs w:val="1"/>
          <w:i w:val="1"/>
          <w:iCs w:val="1"/>
          <w:color w:val="auto"/>
        </w:rPr>
        <w:t>Modified Exercise Price Term</w:t>
      </w:r>
      <w:r>
        <w:rPr>
          <w:rFonts w:ascii="Times New Roman" w:cs="Times New Roman" w:eastAsia="Times New Roman" w:hAnsi="Times New Roman"/>
          <w:sz w:val="18"/>
          <w:szCs w:val="18"/>
          <w:color w:val="auto"/>
        </w:rPr>
        <w:t>”), the Exercise Price per share for 4,500,000 Warrant Shares will be equal to $1.311 but only with respect to a cash exercise under Section 2(a) of the Warrant (and not pursuant to the cashless exercise procedure specified in Section 2(c) of the Warrant). For the avoidance of doubt, (i) the Exercise Price for all but 4,500,000 Warrant Shares will remain at $1.60 per share, subject to adjustments pursuant to the terms of the Warrant, and (ii) with respect to any of such 4,500,000 Warrant Shares that are not purchased pursuant to Holder’s cash exercise of the Warrant under Section 2(a) of the Warrant during the Modified Exercise Price Term, the Exercise Price will revert to $1.60 per share as of the end of the Modified Exercise Price Term, subject to any further adjustments pursuant to the terms of the Warrant.</w:t>
      </w:r>
    </w:p>
    <w:p>
      <w:pPr>
        <w:spacing w:after="0" w:line="77"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If and only if Holder purchases at least 4,500,000 Warrant Shares pursuant to a cash exercise of the Warrant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2(a) of the Warrant prior to 5:00 p.m. (New York City time) on December 26, 2019, the Termination Date will be June 26, 2020.</w:t>
      </w:r>
    </w:p>
    <w:p>
      <w:pPr>
        <w:spacing w:after="0" w:line="99" w:lineRule="exact"/>
        <w:rPr>
          <w:sz w:val="20"/>
          <w:szCs w:val="20"/>
          <w:color w:val="auto"/>
        </w:rPr>
      </w:pPr>
    </w:p>
    <w:p>
      <w:pPr>
        <w:ind w:left="620" w:hanging="176"/>
        <w:spacing w:after="0"/>
        <w:tabs>
          <w:tab w:leader="none" w:pos="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p>
    <w:p>
      <w:pPr>
        <w:spacing w:after="0" w:line="115" w:lineRule="exact"/>
        <w:rPr>
          <w:rFonts w:ascii="Times New Roman" w:cs="Times New Roman" w:eastAsia="Times New Roman" w:hAnsi="Times New Roman"/>
          <w:sz w:val="18"/>
          <w:szCs w:val="18"/>
          <w:color w:val="auto"/>
        </w:rPr>
      </w:pPr>
    </w:p>
    <w:p>
      <w:pPr>
        <w:ind w:left="1240" w:hanging="244"/>
        <w:spacing w:after="0"/>
        <w:tabs>
          <w:tab w:leader="none" w:pos="12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 hereto hereby makes the following representations and warranties to the other party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98" w:lineRule="exact"/>
        <w:rPr>
          <w:rFonts w:ascii="Times New Roman" w:cs="Times New Roman" w:eastAsia="Times New Roman" w:hAnsi="Times New Roman"/>
          <w:sz w:val="18"/>
          <w:szCs w:val="18"/>
          <w:color w:val="auto"/>
        </w:rPr>
      </w:pPr>
    </w:p>
    <w:p>
      <w:pPr>
        <w:ind w:left="1660" w:hanging="224"/>
        <w:spacing w:after="0"/>
        <w:tabs>
          <w:tab w:leader="none" w:pos="166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in good standing under the laws of its jurisdiction of incorporation or organization.</w:t>
      </w:r>
    </w:p>
    <w:p>
      <w:pPr>
        <w:spacing w:after="0" w:line="117"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It has full power and authority to enter into this Amendment and to consummate the transactions contemplated hereby, and</w:t>
      </w:r>
    </w:p>
    <w:p>
      <w:pPr>
        <w:spacing w:after="0" w:line="27" w:lineRule="exact"/>
        <w:rPr>
          <w:rFonts w:ascii="Times New Roman" w:cs="Times New Roman" w:eastAsia="Times New Roman" w:hAnsi="Times New Roman"/>
          <w:sz w:val="18"/>
          <w:szCs w:val="18"/>
          <w:color w:val="auto"/>
        </w:rPr>
      </w:pPr>
    </w:p>
    <w:p>
      <w:pPr>
        <w:ind w:right="520" w:firstLine="4"/>
        <w:spacing w:after="0" w:line="261"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has executed this Amendment on its behalf is duly authorized to do so and thereby bind the party on whose behalf he or she is purporting to act.</w:t>
      </w:r>
    </w:p>
    <w:p>
      <w:pPr>
        <w:sectPr>
          <w:pgSz w:w="11900" w:h="16838" w:orient="portrait"/>
          <w:cols w:equalWidth="0" w:num="1">
            <w:col w:w="11020"/>
          </w:cols>
          <w:pgMar w:left="440" w:top="117" w:right="439" w:bottom="1440" w:gutter="0" w:footer="0" w:header="0"/>
        </w:sectPr>
      </w:pPr>
    </w:p>
    <w:bookmarkStart w:id="4" w:name="page5"/>
    <w:bookmarkEnd w:id="4"/>
    <w:p>
      <w:pPr>
        <w:ind w:left="1760" w:hanging="324"/>
        <w:spacing w:after="0"/>
        <w:tabs>
          <w:tab w:leader="none" w:pos="17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is its valid and binding agreement, enforceable against it in accordance with its terms.</w:t>
      </w:r>
    </w:p>
    <w:p>
      <w:pPr>
        <w:spacing w:after="0" w:line="117" w:lineRule="exact"/>
        <w:rPr>
          <w:rFonts w:ascii="Times New Roman" w:cs="Times New Roman" w:eastAsia="Times New Roman" w:hAnsi="Times New Roman"/>
          <w:sz w:val="18"/>
          <w:szCs w:val="18"/>
          <w:color w:val="auto"/>
        </w:rPr>
      </w:pPr>
    </w:p>
    <w:p>
      <w:pPr>
        <w:ind w:firstLine="1436"/>
        <w:spacing w:after="0" w:line="256" w:lineRule="auto"/>
        <w:tabs>
          <w:tab w:leader="none" w:pos="173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Amendment, nor the consummation of the transactions contemplated hereby, will violate, result in a breach of any of the terms or provisions of, constitute a default (or any event that, with the giving of notice or the passage of time or both would constitute a default) under, accelerate any obligations under, or conflict with, (i) its charter, articles or certificate of incorporation, partnership agreement or bylaws (or other organizational documents), if applicable, or any agreement, indenture or other instrument to which it is a party or by which it or its properties are bound, (ii) any judgment, decree, order or award or any court, governmental body or arbitrator to which it is subject or (iii) any law, rule or regulation applicable to it.</w:t>
      </w:r>
    </w:p>
    <w:p>
      <w:pPr>
        <w:spacing w:after="0" w:line="79"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represents, warrants and covenants to the Holder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98" w:lineRule="exact"/>
        <w:rPr>
          <w:rFonts w:ascii="Times New Roman" w:cs="Times New Roman" w:eastAsia="Times New Roman" w:hAnsi="Times New Roman"/>
          <w:sz w:val="18"/>
          <w:szCs w:val="18"/>
          <w:color w:val="auto"/>
        </w:rPr>
      </w:pPr>
    </w:p>
    <w:p>
      <w:pPr>
        <w:ind w:right="60" w:firstLine="1436"/>
        <w:spacing w:after="0" w:line="277" w:lineRule="auto"/>
        <w:tabs>
          <w:tab w:leader="none" w:pos="1648"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as amended by the Modified Exercise Term, is duly authorized and is validly issued and free from all taxes, liens and charges created by the Company with respect to the issue thereof. As of the date hereof, the Company has duly authorized and reserved for issuance a number of shares of Common Stock which equals the number of Warrant Shares issuable upon exercise of the Warrant (the “Warrant Shares”). Upon exercise in accordance with the Warrants, the Warrant Shares will be validly issued, fully paid and nonassessable and free from all taxes, liens and charges created by the Company with respect to the issue thereof, with the holders being entitled to all rights accorded to a holder of Common Stock.</w:t>
      </w:r>
    </w:p>
    <w:p>
      <w:pPr>
        <w:spacing w:after="0" w:line="60" w:lineRule="exact"/>
        <w:rPr>
          <w:rFonts w:ascii="Times New Roman" w:cs="Times New Roman" w:eastAsia="Times New Roman" w:hAnsi="Times New Roman"/>
          <w:sz w:val="17"/>
          <w:szCs w:val="17"/>
          <w:color w:val="auto"/>
        </w:rPr>
      </w:pPr>
    </w:p>
    <w:p>
      <w:pPr>
        <w:ind w:firstLine="1436"/>
        <w:spacing w:after="0" w:line="256" w:lineRule="auto"/>
        <w:tabs>
          <w:tab w:leader="none" w:pos="169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obtain any consent, authorization or order of, or make any filing or registration with, any court, governmental agency or any regulatory or self-regulatory agency or any other person, including, without limitation, any other security holders of the Company, in order for it to execute, deliver or perform any of its obligations under or contemplated by this Amendment. All consents, authorizations, orders, filings and registrations which the Company is required to obtain pursuant to the preceding sentence have been obtained or effected on or prior to the date hereof. The Company is not in violation of the listing requirements of the Trading Market and has no knowledge of any facts that would reasonably lead to delisting or suspension of the Common Stock in the foreseeable future.</w:t>
      </w:r>
    </w:p>
    <w:p>
      <w:pPr>
        <w:spacing w:after="0" w:line="79" w:lineRule="exact"/>
        <w:rPr>
          <w:rFonts w:ascii="Times New Roman" w:cs="Times New Roman" w:eastAsia="Times New Roman" w:hAnsi="Times New Roman"/>
          <w:sz w:val="18"/>
          <w:szCs w:val="18"/>
          <w:color w:val="auto"/>
        </w:rPr>
      </w:pPr>
    </w:p>
    <w:p>
      <w:pPr>
        <w:ind w:right="180" w:firstLine="1436"/>
        <w:spacing w:after="0" w:line="282" w:lineRule="auto"/>
        <w:tabs>
          <w:tab w:leader="none" w:pos="174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 in its filings of all reports, schedules, forms, statements and other documents required to be filed by it with the SEC pursuant to the reporting requirements of the Securities Exchange Act of 1934, as amended.</w:t>
      </w:r>
    </w:p>
    <w:p>
      <w:pPr>
        <w:spacing w:after="0" w:line="53" w:lineRule="exact"/>
        <w:rPr>
          <w:rFonts w:ascii="Times New Roman" w:cs="Times New Roman" w:eastAsia="Times New Roman" w:hAnsi="Times New Roman"/>
          <w:sz w:val="18"/>
          <w:szCs w:val="18"/>
          <w:color w:val="auto"/>
        </w:rPr>
      </w:pPr>
    </w:p>
    <w:p>
      <w:pPr>
        <w:ind w:right="20" w:firstLine="1436"/>
        <w:spacing w:after="0" w:line="258" w:lineRule="auto"/>
        <w:tabs>
          <w:tab w:leader="none" w:pos="173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confirms that neither it nor any other person acting on its behalf has provided the Holder or their agent or counsel with any information that constitutes or could reasonably be expected to constitute material, nonpublic information. The Company understands and confirms that the Holder will rely on the foregoing representations in effecting transactions in securities of the Company. The Company is not aware of the occurrence of any significant events that would reasonably be likely to have a material negative impact on the Company’s business and operations or the ability of the Holder to sell any of the Warrant Shares.</w:t>
      </w:r>
    </w:p>
    <w:p>
      <w:pPr>
        <w:spacing w:after="0" w:line="75"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Holder represents that it is the sole legal and beneficial owner of the Warrant.</w:t>
      </w:r>
    </w:p>
    <w:p>
      <w:pPr>
        <w:sectPr>
          <w:pgSz w:w="11900" w:h="16838" w:orient="portrait"/>
          <w:cols w:equalWidth="0" w:num="1">
            <w:col w:w="11020"/>
          </w:cols>
          <w:pgMar w:left="440" w:top="270" w:right="439" w:bottom="1440" w:gutter="0" w:footer="0" w:header="0"/>
        </w:sectPr>
      </w:pPr>
    </w:p>
    <w:bookmarkStart w:id="5" w:name="page6"/>
    <w:bookmarkEnd w:id="5"/>
    <w:p>
      <w:pPr>
        <w:ind w:left="-60" w:firstLine="44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questions concerning the construction, validity, enforcement and interpretation of this Amendment shall be governed by and construed and enforced in accordance with the internal laws of the State of New York, without regard to the principles of conflicts of law thereof.</w:t>
      </w:r>
    </w:p>
    <w:p>
      <w:pPr>
        <w:spacing w:after="0" w:line="53" w:lineRule="exact"/>
        <w:rPr>
          <w:rFonts w:ascii="Times New Roman" w:cs="Times New Roman" w:eastAsia="Times New Roman" w:hAnsi="Times New Roman"/>
          <w:sz w:val="18"/>
          <w:szCs w:val="18"/>
          <w:color w:val="auto"/>
        </w:rPr>
      </w:pPr>
    </w:p>
    <w:p>
      <w:pPr>
        <w:ind w:left="620" w:hanging="236"/>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terms of the Warrant shall remain unchanged and in full force and effect.</w:t>
      </w:r>
    </w:p>
    <w:p>
      <w:pPr>
        <w:spacing w:after="0" w:line="117" w:lineRule="exact"/>
        <w:rPr>
          <w:rFonts w:ascii="Times New Roman" w:cs="Times New Roman" w:eastAsia="Times New Roman" w:hAnsi="Times New Roman"/>
          <w:sz w:val="18"/>
          <w:szCs w:val="18"/>
          <w:color w:val="auto"/>
        </w:rPr>
      </w:pPr>
    </w:p>
    <w:p>
      <w:pPr>
        <w:ind w:left="-60" w:right="220" w:firstLine="444"/>
        <w:spacing w:after="0" w:line="261"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and delivered in counterparts, each of which when executed shall be deemed to be an original, but all of which taken together shall constitute one and the same instrument. In the event that any signature to this Amendment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00"/>
          </w:cols>
          <w:pgMar w:left="500" w:top="270" w:right="499" w:bottom="1440" w:gutter="0" w:footer="0" w:header="0"/>
        </w:sectPr>
      </w:pPr>
    </w:p>
    <w:bookmarkStart w:id="6" w:name="page7"/>
    <w:bookmarkEnd w:id="6"/>
    <w:p>
      <w:pPr>
        <w:ind w:right="80" w:firstLine="99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has caused this Amendment to Common Stock Purchase Warrant to be executed by its duly authorized representative.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Thomson,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CVI Investments,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Heights Capital Management,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Its authorized agent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 Brad Alles</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Alles</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Investment Manager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3">
    <w:nsid w:val="507ED7A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
    <w:nsid w:val="41B71E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
    <w:nsid w:val="79E2A9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2019-12-28T00:51:36Z</dcterms:created>
  <dcterms:modified xsi:type="dcterms:W3CDTF">2019-12-28T00:51:36Z</dcterms:modified>
</cp:coreProperties>
</file>