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Delaware</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0"/>
              </w:rPr>
              <w:t>(State or other jurisdiction of</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incorporation or organization)</w:t>
            </w: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89"/>
              </w:rPr>
              <w:t>30930 Russell Ranch Road, Suite 300</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2"/>
              </w:rPr>
              <w:t>Westlake Village, California</w:t>
            </w:r>
          </w:p>
        </w:tc>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(818) 661-5000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55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600" w:type="dxa"/>
            <w:vAlign w:val="bottom"/>
            <w:gridSpan w:val="7"/>
          </w:tcPr>
          <w:p>
            <w:pPr>
              <w:jc w:val="center"/>
              <w:ind w:left="3577"/>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53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gridSpan w:val="2"/>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1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13, 2020, there were 213,137,730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vMerge w:val="restart"/>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5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056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March 31, 2020 and December 31,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Three months ended March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Loss: Three months ended March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Deficit: Three months ended March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Three months ended March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 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56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56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 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1A. 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2. 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3. 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4. 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5.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6. 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0560" w:type="dxa"/>
            <w:vAlign w:val="bottom"/>
          </w:tcPr>
          <w:p>
            <w:pPr>
              <w:ind w:left="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560" w:type="dxa"/>
            <w:vAlign w:val="bottom"/>
          </w:tcPr>
          <w:p>
            <w:pPr>
              <w:ind w:left="558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72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5,032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26,517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80,212</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ind w:left="180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6,731</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note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5,101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7,394</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65,618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Promissory notes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70,022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70,020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 promissory notes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Midcap credit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38,893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38,851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Recognized loss on purchase commitments — long term</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82,987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84,639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revenue — long term</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Milestone rights liability</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284,251</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 shares issued or outstanding as of March 31, 2020 and December 31, 2019</w:t>
            </w:r>
          </w:p>
        </w:tc>
        <w:tc>
          <w:tcPr>
            <w:tcW w:w="2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$0.01 par value - 280,000,000 shares authorized,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213,137,684 and 211,787,573 shares issued and outstanding at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March 31, 2020 and December 31, 2019,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2,801,044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2,799,278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(3,001,225)</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(2,991,903)</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(198,050)</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(190,526)</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80,212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7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6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19"/>
                <w:szCs w:val="19"/>
                <w:color w:val="auto"/>
              </w:rPr>
            </w:pPr>
          </w:p>
        </w:tc>
        <w:tc>
          <w:tcPr>
            <w:tcW w:w="10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17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17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Impairment of commitment asset</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foreign currency translation</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17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(13,514)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(expense) income:</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promissory notes</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7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70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(9,322)</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(14,883)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7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212,467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187,434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9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7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(9,322)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(14,883)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27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Comprehensive loss</w:t>
            </w:r>
          </w:p>
        </w:tc>
        <w:tc>
          <w:tcPr>
            <w:tcW w:w="2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(9,341)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(14,883)</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040" w:type="dxa"/>
            <w:vAlign w:val="bottom"/>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360" w:type="dxa"/>
            <w:vAlign w:val="bottom"/>
            <w:gridSpan w:val="2"/>
          </w:tcPr>
          <w:p>
            <w:pPr>
              <w:ind w:left="380"/>
              <w:spacing w:after="0" w:line="142"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58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2019</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187,030</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1,870</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2,763,067</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(2,940,000)</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(175,082)</w:t>
            </w:r>
          </w:p>
        </w:tc>
        <w:tc>
          <w:tcPr>
            <w:tcW w:w="120" w:type="dxa"/>
            <w:vAlign w:val="bottom"/>
            <w:tcBorders>
              <w:top w:val="single" w:sz="8" w:color="CFF0FC"/>
            </w:tcBorders>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tcPr>
          <w:p>
            <w:pPr>
              <w:jc w:val="right"/>
              <w:spacing w:after="0"/>
              <w:rPr>
                <w:sz w:val="20"/>
                <w:szCs w:val="20"/>
                <w:color w:val="auto"/>
              </w:rPr>
            </w:pPr>
            <w:r>
              <w:rPr>
                <w:rFonts w:ascii="Arial" w:cs="Arial" w:eastAsia="Arial" w:hAnsi="Arial"/>
                <w:sz w:val="13"/>
                <w:szCs w:val="13"/>
                <w:color w:val="auto"/>
              </w:rPr>
              <w:t>66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999</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Senior Convertible Notes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120" w:type="dxa"/>
            <w:vAlign w:val="bottom"/>
            <w:shd w:val="clear" w:color="auto" w:fill="CFF0FC"/>
          </w:tcPr>
          <w:p>
            <w:pPr>
              <w:spacing w:after="0"/>
              <w:rPr>
                <w:sz w:val="12"/>
                <w:szCs w:val="12"/>
                <w:color w:val="auto"/>
              </w:rPr>
            </w:pP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Restricted stock unit award</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(14,883)</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(14,883)</w:t>
            </w: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3"/>
                <w:szCs w:val="13"/>
                <w:color w:val="auto"/>
              </w:rPr>
              <w:t>BALANCE, MARCH 31, 2019</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187,778</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1,878</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2,765,020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(2,954,883)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(188,004)</w:t>
            </w:r>
          </w:p>
        </w:tc>
        <w:tc>
          <w:tcPr>
            <w:tcW w:w="12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5"/>
        </w:trPr>
        <w:tc>
          <w:tcPr>
            <w:tcW w:w="3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040" w:type="dxa"/>
            <w:vAlign w:val="bottom"/>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360" w:type="dxa"/>
            <w:vAlign w:val="bottom"/>
            <w:gridSpan w:val="2"/>
          </w:tcPr>
          <w:p>
            <w:pPr>
              <w:ind w:left="380"/>
              <w:spacing w:after="0" w:line="142"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58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24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2,118</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(2,991,903)</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120" w:type="dxa"/>
            <w:vAlign w:val="bottom"/>
            <w:tcBorders>
              <w:top w:val="single" w:sz="8" w:color="CFF0FC"/>
            </w:tcBorders>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334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20" w:type="dxa"/>
            <w:vAlign w:val="bottom"/>
            <w:shd w:val="clear" w:color="auto" w:fill="CFF0FC"/>
          </w:tcPr>
          <w:p>
            <w:pPr>
              <w:spacing w:after="0"/>
              <w:rPr>
                <w:sz w:val="12"/>
                <w:szCs w:val="12"/>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120" w:type="dxa"/>
            <w:vAlign w:val="bottom"/>
          </w:tcPr>
          <w:p>
            <w:pPr>
              <w:jc w:val="right"/>
              <w:spacing w:after="0"/>
              <w:rPr>
                <w:sz w:val="20"/>
                <w:szCs w:val="20"/>
                <w:color w:val="auto"/>
              </w:rPr>
            </w:pPr>
            <w:r>
              <w:rPr>
                <w:rFonts w:ascii="Arial" w:cs="Arial" w:eastAsia="Arial" w:hAnsi="Arial"/>
                <w:sz w:val="13"/>
                <w:szCs w:val="13"/>
                <w:color w:val="auto"/>
              </w:rPr>
              <w:t>99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(317)</w:t>
            </w: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tcPr>
          <w:p>
            <w:pPr>
              <w:jc w:val="right"/>
              <w:spacing w:after="0"/>
              <w:rPr>
                <w:sz w:val="20"/>
                <w:szCs w:val="20"/>
                <w:color w:val="auto"/>
              </w:rPr>
            </w:pPr>
            <w:r>
              <w:rPr>
                <w:rFonts w:ascii="Arial" w:cs="Arial" w:eastAsia="Arial" w:hAnsi="Arial"/>
                <w:sz w:val="13"/>
                <w:szCs w:val="13"/>
                <w:color w:val="auto"/>
              </w:rPr>
              <w:t>413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2"/>
                <w:szCs w:val="12"/>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w:t>
            </w: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Cumulative translation loss</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r>
      <w:tr>
        <w:trPr>
          <w:trHeight w:val="149"/>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(9,322)</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(9,322)</w:t>
            </w: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3"/>
                <w:szCs w:val="13"/>
                <w:color w:val="auto"/>
              </w:rPr>
              <w:t>BALANCE, MARCH 31, 2020</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213,138</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2,801,044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(3,001,225)</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(198,050)</w:t>
            </w:r>
          </w:p>
        </w:tc>
        <w:tc>
          <w:tcPr>
            <w:tcW w:w="12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(9,322)</w:t>
            </w: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(14,883)</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 operating</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Impairment of commitment asset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right-of-use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Gain on foreign currency translation</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expense on promissory notes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Write-off of inventory</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net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 net</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(1,661)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Inventory</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Accrued expenses and other current liabilities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(8,235)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Recognized loss on purchase commitments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(1,963)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(11,219)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(11,597)</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Purchase of property and equipment</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treasury bills</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(24,764)</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sale of treasury bills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(25,033)</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at-the-market offering</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Issuance costs associated with at-the-market offering</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stock options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 of employment taxes related to vested restricted stock units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INCREASE (DECREASE) IN CASH AND CASH EQUIVALENTS AND</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(36,627)</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71,684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END OF PERIOD</w:t>
            </w:r>
          </w:p>
        </w:tc>
        <w:tc>
          <w:tcPr>
            <w:tcW w:w="980" w:type="dxa"/>
            <w:vAlign w:val="bottom"/>
            <w:shd w:val="clear" w:color="auto" w:fill="CFF0FC"/>
          </w:tcPr>
          <w:p>
            <w:pPr>
              <w:jc w:val="right"/>
              <w:ind w:right="80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39,184</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FLOWS DISCLOSURES: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paid in cash, net of amounts capitalized</w:t>
            </w:r>
          </w:p>
        </w:tc>
        <w:tc>
          <w:tcPr>
            <w:tcW w:w="980" w:type="dxa"/>
            <w:vAlign w:val="bottom"/>
            <w:shd w:val="clear" w:color="auto" w:fill="CFF0FC"/>
          </w:tcPr>
          <w:p>
            <w:pPr>
              <w:jc w:val="right"/>
              <w:ind w:right="80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issuance to settle employee stock purchase plan liability</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 of interest on senior convertible notes through common stock issuance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construction in progress and property and equipment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Addition of right-of-use assets upon adoption of new lease guidance</w:t>
            </w:r>
          </w:p>
        </w:tc>
        <w:tc>
          <w:tcPr>
            <w:tcW w:w="9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interest on senior convertible notes through common stock</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issuance</w:t>
            </w: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2019 filed with the SEC on February 25, 2020 (the “Annual Report”).</w:t>
      </w:r>
    </w:p>
    <w:p>
      <w:pPr>
        <w:spacing w:after="0" w:line="16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2020 may not be indicative of the results that may be expected for the full year.</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threat of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accompanying condensed consolidated financial statements. The more significant estimates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The Company is a biopharmaceutical company focused on the development and commercialization of inhaled therapeutic products for diabetes</w:t>
      </w:r>
      <w:r>
        <w:rPr>
          <w:rFonts w:ascii="Arial" w:cs="Arial" w:eastAsia="Arial" w:hAnsi="Arial"/>
          <w:sz w:val="16"/>
          <w:szCs w:val="16"/>
          <w:i w:val="1"/>
          <w:iCs w:val="1"/>
          <w:color w:val="auto"/>
        </w:rPr>
        <w:t xml:space="preserve"> </w:t>
      </w:r>
      <w:r>
        <w:rPr>
          <w:rFonts w:ascii="Arial" w:cs="Arial" w:eastAsia="Arial" w:hAnsi="Arial"/>
          <w:sz w:val="16"/>
          <w:szCs w:val="16"/>
          <w:color w:val="auto"/>
        </w:rPr>
        <w:t>and orphan lung diseases, such as pulmonary arterial hypertension. The Company’s only approved product, Afrezza (insulin human) Inhalation Powder, is an ultra rapid-acting 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partner in Brazil, Biomm S.A., commenced commercialization of Afrezza in January 2020. The Company’s partners in India and Australia are preparing for regulatory submissions and have not yet commenced commercialization in their respective territories.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condensed consolidated financial statements have been prepared assuming that the Company will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which contemplates the realization of assets and satisfaction of liabilities in the normal course of business.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costs for product candidates in the Company’s pipeline. As of March 31, 2020, the Company had an accumulated deficit of $3.0 billion and $120.3 million of total principal amount of outstanding borrowings, with limited capital resources of $38.9 million in cash and cash equivalents. These financial conditions raise substantial doubt about the Company’s ability to continue as a going concern.</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August 2019, the Company and its wholly owned subsidiary, MannKind LLC, entered into a credit and security agreement with MidCap Financial Trust (as amended, the “MidCap Credit Facility”) to restructure its existing debts and to provide additional operating capital (the “recapitalization”) (Refer to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details). The MidCap Credit Facility provides a secured term loan facility with an aggregate principal amount of up to $75.0 million, of which $40.0 million was outstanding as of December 31, 2019. The availability of the remaining $35.0 million is subject to certain conditions: (1) $10.0 million was available to the Company until April 15, 2020, provided that the Company had achieved Afrezza net revenue of at least $30.0 million on a trailing twelve month basis by that date (which was not achieved), and (2) a further $25.0 million will be available to the Company until June 30, 2021, subject to the satisfaction of certain milestone conditions associated with Afrezza net revenue and certain milestone conditions related to the Company’s collaboration with United Therapeutics (see Note 7 – </w:t>
      </w:r>
      <w:r>
        <w:rPr>
          <w:rFonts w:ascii="Arial" w:cs="Arial" w:eastAsia="Arial" w:hAnsi="Arial"/>
          <w:sz w:val="18"/>
          <w:szCs w:val="18"/>
          <w:i w:val="1"/>
          <w:iCs w:val="1"/>
          <w:color w:val="auto"/>
        </w:rPr>
        <w:t>Collaboration and Licensing Arrangements</w:t>
      </w:r>
      <w:r>
        <w:rPr>
          <w:rFonts w:ascii="Arial" w:cs="Arial" w:eastAsia="Arial" w:hAnsi="Arial"/>
          <w:sz w:val="18"/>
          <w:szCs w:val="18"/>
          <w:color w:val="auto"/>
        </w:rPr>
        <w:t>) for more information on the collaboration agreement with United Therapeutics.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140"/>
        <w:spacing w:after="0" w:line="263" w:lineRule="auto"/>
        <w:rPr>
          <w:sz w:val="20"/>
          <w:szCs w:val="20"/>
          <w:color w:val="auto"/>
        </w:rPr>
      </w:pPr>
      <w:r>
        <w:rPr>
          <w:rFonts w:ascii="Arial" w:cs="Arial" w:eastAsia="Arial" w:hAnsi="Arial"/>
          <w:sz w:val="18"/>
          <w:szCs w:val="18"/>
          <w:color w:val="auto"/>
        </w:rPr>
        <w:t>Principal payments on the MidCap Credit Facility begin in September 2021. In addition, the MidCap Credit Facility contains certain covenants, one of which includes a requirement to maintain a minimum of $15.0 million of unrestricted cash and cash equivalents at all times. This amount will increase to $20.0 million if the Company draws the aforementioned additional funding that may be made available.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capital resources may not be sufficient to continue to meet its current and anticipated obligations over the next twelve months if the Company cannot increase its operating cash inflows by growing revenue or obtaining access to the remaining $25.0 million in borrowings that may become available under its MidCap Credit Facility. In the event these capital resources are not sufficient, the Company may need to raise additional capital by selling equity or debt securities, entering into strategic business collaboration agreements with other companies, seeking other funding facilities, or licensing arrangements, selling assets or by other means. However, the Company cannot provide assurances that additional capital will be available on acceptable terms or at all.</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the Company is unable to meet its current and anticipated obligations over the next twelve months through its existing capital resources, or obtain new sources of capital when needed, the Company may have to reduce the scope of its commercial operations, reduce or eliminate one or more of its development programs, or make significant changes to its operating plan. These factors raise substantial doubt about the Company’s ability to continue as a going concern. The accompanying financial statements do not include any adjustments that might result from the outcome of this uncertainty.</w:t>
      </w:r>
    </w:p>
    <w:p>
      <w:pPr>
        <w:spacing w:after="0" w:line="15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condensed consolidated financial statements include the accounts of the Company and its wholly-owned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balances and transactions have been eliminated. Certain prior year amounts have been reclassified for consistency with the current year presentation. These reclassifications had no effect on the reported condensed consolidated balance sheets or statements of operations. An adjustment has been made to the condensed consolidated statements of stockholder’s deficit as of March 31, 2019 to combine the exercise of stock options and the issuance of common stock from the release of restricted stock units. An additional adjustment has been made to the condensed consolidated statements of cash flows for the three months ended March 31, 2019 to combine restricted stock unit award with other, net in the cash flows from operating activities. These changes in classification do not affect previously reported cash flows from investing or financing activities.</w:t>
      </w:r>
    </w:p>
    <w:p>
      <w:pPr>
        <w:spacing w:after="0" w:line="16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6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adopted Accounting Standards Codification (“ASC”) Topic 606 -</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new revenue guidance”), on January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7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generally for specialty pharmacies. Product revenues are recorded net of applicable reserves for variable consideration, including discounts and allowances.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ind w:right="160"/>
        <w:spacing w:after="0" w:line="263" w:lineRule="auto"/>
        <w:rPr>
          <w:sz w:val="20"/>
          <w:szCs w:val="20"/>
          <w:color w:val="auto"/>
        </w:rPr>
      </w:pPr>
      <w:r>
        <w:rPr>
          <w:rFonts w:ascii="Arial" w:cs="Arial" w:eastAsia="Arial" w:hAnsi="Arial"/>
          <w:sz w:val="18"/>
          <w:szCs w:val="18"/>
          <w:i w:val="1"/>
          <w:iCs w:val="1"/>
          <w:color w:val="auto"/>
        </w:rPr>
        <w:t xml:space="preserve">Free Goods Program – </w:t>
      </w:r>
      <w:r>
        <w:rPr>
          <w:rFonts w:ascii="Arial" w:cs="Arial" w:eastAsia="Arial" w:hAnsi="Arial"/>
          <w:sz w:val="18"/>
          <w:szCs w:val="18"/>
          <w:color w:val="auto"/>
        </w:rPr>
        <w:t>From time to time, the Company offers programs to potential new patients that allow them to obtain free goods (prescription fills)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pharmacy. The Company excludes such amounts from both gross and net revenue. The cost of product associated with the free goods program is included in cost of goods sold.</w:t>
      </w:r>
    </w:p>
    <w:p>
      <w:pPr>
        <w:spacing w:after="0" w:line="18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Reserves for Variable Consideration </w:t>
      </w:r>
      <w:r>
        <w:rPr>
          <w:rFonts w:ascii="Arial" w:cs="Arial" w:eastAsia="Arial" w:hAnsi="Arial"/>
          <w:sz w:val="16"/>
          <w:szCs w:val="16"/>
          <w:color w:val="auto"/>
        </w:rPr>
        <w:t>— Revenues from product sales are recorded at the net sales price (transaction price), which includes estimates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amounts earned, or to be claimed on the related sales, and result in a reduction of accounts receivable or establishment of a current liability. Significant judgments are required in making these estimates.</w:t>
      </w:r>
    </w:p>
    <w:p>
      <w:pPr>
        <w:spacing w:after="0" w:line="16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March 31, 2020 and, therefore, the transaction price was not reduced further during the three months ended March 31, 2020.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our assumptions.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 The Company is subject to discount obligations under Medicare and state Medicaid programs. These reserves are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the related revenue is recognized, resulting in a reduction of product revenue and the establishment of a current liability which is included in accrued expenses and other current liabilities. Estimates around Medicaid have historically required significant judgement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right="40"/>
        <w:spacing w:after="0" w:line="301" w:lineRule="auto"/>
        <w:rPr>
          <w:sz w:val="20"/>
          <w:szCs w:val="20"/>
          <w:color w:val="auto"/>
        </w:rPr>
      </w:pPr>
      <w:r>
        <w:rPr>
          <w:rFonts w:ascii="Arial" w:cs="Arial" w:eastAsia="Arial" w:hAnsi="Arial"/>
          <w:sz w:val="16"/>
          <w:szCs w:val="16"/>
          <w:i w:val="1"/>
          <w:iCs w:val="1"/>
          <w:color w:val="auto"/>
        </w:rPr>
        <w:t xml:space="preserve">Payor Rebates </w:t>
      </w:r>
      <w:r>
        <w:rPr>
          <w:rFonts w:ascii="Arial" w:cs="Arial" w:eastAsia="Arial" w:hAnsi="Arial"/>
          <w:sz w:val="16"/>
          <w:szCs w:val="16"/>
          <w:color w:val="auto"/>
        </w:rPr>
        <w:t>— The Company contracts with certain private payor organizations, primarily insurance companies and pharmacy benefit managers,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 xml:space="preserve">Revenue Recognition — Revenue — Collaborations and Services </w:t>
      </w:r>
      <w:r>
        <w:rPr>
          <w:rFonts w:ascii="Arial" w:cs="Arial" w:eastAsia="Arial" w:hAnsi="Arial"/>
          <w:sz w:val="17"/>
          <w:szCs w:val="17"/>
          <w:color w:val="auto"/>
        </w:rPr>
        <w:t>— The Company enters into licensing or research agreements under which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licenses certain rights to its product candidates to third parties or conducting research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7 – </w:t>
      </w:r>
      <w:r>
        <w:rPr>
          <w:rFonts w:ascii="Arial" w:cs="Arial" w:eastAsia="Arial" w:hAnsi="Arial"/>
          <w:sz w:val="17"/>
          <w:szCs w:val="17"/>
          <w:i w:val="1"/>
          <w:iCs w:val="1"/>
          <w:color w:val="auto"/>
        </w:rPr>
        <w:t>Collaboration and Licensing Arrangements</w:t>
      </w:r>
      <w:r>
        <w:rPr>
          <w:rFonts w:ascii="Arial" w:cs="Arial" w:eastAsia="Arial" w:hAnsi="Arial"/>
          <w:sz w:val="17"/>
          <w:szCs w:val="17"/>
          <w:color w:val="auto"/>
        </w:rPr>
        <w:t>.</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right="60"/>
        <w:spacing w:after="0" w:line="254"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9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Cost of goods sold includes material, labor costs and manufacturing overhead. Cost of goods sold also includes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component of current period manufacturing costs in excess of costs capitalized into inventory (excess capacity costs). These costs, in addition to the impact of the annual revaluation of inventory to standard costs, and write-offs of inventory are recorded as expenses in the period in which they are incurred, rather than as a portion of inventory costs. The cost of goods sold excludes the cost of insulin purchased under our Insulin Supply Agreement (see Note 10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All insulin inventory on hand was written off and the full purchase commitment contract to purchase future insulin was accrued as a recognized loss on purchase commitments as of the end of 2015.</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—The Company considers all highly liquid investments with original or remaining maturities of 90 days</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at the time of purchase, that are readily convertible into cash to be cash equivalents. As of March 31, 2020 and December 31, 2019, cash equivalents were comprised of money market accounts with maturities less than 90 days from the date of purchase.</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 term assets.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consolidated balance sheets that sum to amounts reported on the consolidated statement of cash flows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3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00" w:type="dxa"/>
            <w:vAlign w:val="bottom"/>
            <w:vMerge w:val="restart"/>
          </w:tcPr>
          <w:p>
            <w:pPr>
              <w:jc w:val="right"/>
              <w:ind w:right="19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6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2" w:name="page13"/>
    <w:bookmarkEnd w:id="12"/>
    <w:p>
      <w:pPr>
        <w:spacing w:after="0" w:line="301"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—The Company’s short-term investments consist of U.S. Treasury securities stated at amortized cost which the Company intends to</w:t>
      </w:r>
      <w:r>
        <w:rPr>
          <w:rFonts w:ascii="Arial" w:cs="Arial" w:eastAsia="Arial" w:hAnsi="Arial"/>
          <w:sz w:val="16"/>
          <w:szCs w:val="16"/>
          <w:i w:val="1"/>
          <w:iCs w:val="1"/>
          <w:color w:val="auto"/>
        </w:rPr>
        <w:t xml:space="preserve"> </w:t>
      </w:r>
      <w:r>
        <w:rPr>
          <w:rFonts w:ascii="Arial" w:cs="Arial" w:eastAsia="Arial" w:hAnsi="Arial"/>
          <w:sz w:val="16"/>
          <w:szCs w:val="16"/>
          <w:color w:val="auto"/>
        </w:rPr>
        <w:t>hold until maturity. Those with maturities less than 12 months are included in short-term investments and any investments with maturities in excess of twelve months are included in long-term investments in our condensed consolidated balance sheets. As of March 31, 2020, the Company did not hold any short-term investments nor did it record any material gains or losses on short-term investment securities during the three months ended March 31, 2020.</w:t>
      </w:r>
    </w:p>
    <w:p>
      <w:pPr>
        <w:spacing w:after="0" w:line="1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short-term investments. Cash and cash equivalents are held in high credit quality institutions. Cash equivalents consist of interest-bearing money market accounts and U.S. Treasury securities, which are regularly monitored by management.</w:t>
      </w:r>
    </w:p>
    <w:p>
      <w:pPr>
        <w:spacing w:after="0" w:line="18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Pre-Launch Inventory </w:t>
      </w:r>
      <w:r>
        <w:rPr>
          <w:rFonts w:ascii="Arial" w:cs="Arial" w:eastAsia="Arial" w:hAnsi="Arial"/>
          <w:sz w:val="17"/>
          <w:szCs w:val="17"/>
          <w:color w:val="auto"/>
        </w:rPr>
        <w:t>— An improvement to the manufacturing process for the Company’s primary excipient FDKP was demonstrated to be viable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w:t>
      </w:r>
      <w:r>
        <w:rPr>
          <w:rFonts w:ascii="Arial" w:cs="Arial" w:eastAsia="Arial" w:hAnsi="Arial"/>
          <w:sz w:val="16"/>
          <w:szCs w:val="16"/>
          <w:i w:val="1"/>
          <w:iCs w:val="1"/>
          <w:color w:val="auto"/>
        </w:rPr>
        <w:t xml:space="preserve"> </w:t>
      </w:r>
      <w:r>
        <w:rPr>
          <w:rFonts w:ascii="Arial" w:cs="Arial" w:eastAsia="Arial" w:hAnsi="Arial"/>
          <w:sz w:val="16"/>
          <w:szCs w:val="16"/>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value of an asset may not be recoverable. Assets are considered to be impaired if the carrying value may not be recoverable.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August 2019, the Company recorded a $1.5 million commitment asset related to the future funding commitments of the MidCap Credit Facility. An assessment was performed as of March 31, 2020 to determine if the Company was on target to achieve certain milestone conditions that are required in order for the Company to access further borrowings under the MidCap Credit Facility. The Company determined that such milestone conditions related to Afrezza trailing net revenue are unlikely to be achieved. As a result of this assessment, a $1.5 million asset impairment was recognized for the three months ended March 31, 2020. See Note 6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further information on the MidCap Credit Facility.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80"/>
        <w:spacing w:after="0" w:line="254" w:lineRule="auto"/>
        <w:rPr>
          <w:sz w:val="20"/>
          <w:szCs w:val="20"/>
          <w:color w:val="auto"/>
        </w:rPr>
      </w:pPr>
      <w:r>
        <w:rPr>
          <w:rFonts w:ascii="Arial" w:cs="Arial" w:eastAsia="Arial" w:hAnsi="Arial"/>
          <w:sz w:val="18"/>
          <w:szCs w:val="18"/>
          <w:i w:val="1"/>
          <w:iCs w:val="1"/>
          <w:color w:val="auto"/>
        </w:rPr>
        <w:t xml:space="preserve">Recognized Loss on Purchase Commitments </w:t>
      </w:r>
      <w:r>
        <w:rPr>
          <w:rFonts w:ascii="Arial" w:cs="Arial" w:eastAsia="Arial" w:hAnsi="Arial"/>
          <w:sz w:val="18"/>
          <w:szCs w:val="18"/>
          <w:color w:val="auto"/>
        </w:rPr>
        <w:t>— The Company assesses whether losses on long term purchase commitments should be accrued. Losses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was $90.2 million and $92.0 million as of March 31, 2020 and December 31, 2019, respectively. No new contracts were identified in the first quarter of 2020 that required a new loss on purchase commitment accrual.</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On July 1, 2013, in conjunction with the execution of a financing facility with Deerfield Private Design Fund II L.P. and</w:t>
      </w:r>
      <w:r>
        <w:rPr>
          <w:rFonts w:ascii="Arial" w:cs="Arial" w:eastAsia="Arial" w:hAnsi="Arial"/>
          <w:sz w:val="18"/>
          <w:szCs w:val="18"/>
          <w:i w:val="1"/>
          <w:iCs w:val="1"/>
          <w:color w:val="auto"/>
        </w:rPr>
        <w:t xml:space="preserve"> </w:t>
      </w:r>
      <w:r>
        <w:rPr>
          <w:rFonts w:ascii="Arial" w:cs="Arial" w:eastAsia="Arial" w:hAnsi="Arial"/>
          <w:sz w:val="18"/>
          <w:szCs w:val="18"/>
          <w:color w:val="auto"/>
        </w:rPr>
        <w:t>Deerfield Private Design International I L.P., the Company issued to Deerfield Private Design Fund II, L.P. and Horizon Santé FLML SÁRL (the “Milestone Purchasers”) certain rights to receive payments of up to $90.0 million, of which $70.0 million remains payable as of March 31, 2020 upon the occurrence of specified strategic and sales milestones, including the achievement of specified net sales figures (the “Milestone Rights”). The Company analyzed the Milestone Rights and determined that they did not meet the definition of a freestanding derivative. Since the Company has not elected to apply the fair value option to the Milestone Rights, the Company recorded them at their estimated initial fair value and accounted for the Milestone Rights as a liability.</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6 – </w:t>
      </w:r>
      <w:r>
        <w:rPr>
          <w:rFonts w:ascii="Arial" w:cs="Arial" w:eastAsia="Arial" w:hAnsi="Arial"/>
          <w:sz w:val="16"/>
          <w:szCs w:val="16"/>
          <w:i w:val="1"/>
          <w:iCs w:val="1"/>
          <w:color w:val="auto"/>
        </w:rPr>
        <w:t>Borrowings</w:t>
      </w:r>
      <w:r>
        <w:rPr>
          <w:rFonts w:ascii="Arial" w:cs="Arial" w:eastAsia="Arial" w:hAnsi="Arial"/>
          <w:sz w:val="16"/>
          <w:szCs w:val="16"/>
          <w:color w:val="auto"/>
        </w:rPr>
        <w:t>). As of March 31, 2020 and December 31, 2019, the remaining liability balance was $7.3 million.</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Income tax positions are considered for uncertainty.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100"/>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stock options, restricted stock units, performance-based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6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connection with conducting clinical trials.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computation of basic and diluted net loss per share for the three months ended March 31, 2020 and 2019 excludes the common stock equivalents of the following potentially dilutive securities because their inclusion would be anti-dilutive while the Company is in a net loss position: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522,021</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1,314,218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tcPr>
          <w:p>
            <w:pPr>
              <w:jc w:val="right"/>
              <w:spacing w:after="0"/>
              <w:rPr>
                <w:sz w:val="20"/>
                <w:szCs w:val="20"/>
                <w:color w:val="auto"/>
              </w:rPr>
            </w:pPr>
            <w:r>
              <w:rPr>
                <w:rFonts w:ascii="Arial" w:cs="Arial" w:eastAsia="Arial" w:hAnsi="Arial"/>
                <w:sz w:val="18"/>
                <w:szCs w:val="18"/>
                <w:color w:val="auto"/>
              </w:rPr>
              <w:t>144,088</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141,568</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14,014,315</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10,846,738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Conversion of 2024 convertible notes into common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1,666,667</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3,629,627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Mann Group convertible note into common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21,909,541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540" w:type="dxa"/>
            <w:vAlign w:val="bottom"/>
          </w:tcPr>
          <w:p>
            <w:pPr>
              <w:jc w:val="right"/>
              <w:spacing w:after="0"/>
              <w:rPr>
                <w:sz w:val="20"/>
                <w:szCs w:val="20"/>
                <w:color w:val="auto"/>
              </w:rPr>
            </w:pPr>
            <w:r>
              <w:rPr>
                <w:rFonts w:ascii="Arial" w:cs="Arial" w:eastAsia="Arial" w:hAnsi="Arial"/>
                <w:sz w:val="18"/>
                <w:szCs w:val="18"/>
                <w:color w:val="auto"/>
              </w:rPr>
              <w:t>31,851</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31,851</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Midcap Credit Facility</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Exercise of warrants associated with public offering</w:t>
            </w:r>
          </w:p>
        </w:tc>
        <w:tc>
          <w:tcPr>
            <w:tcW w:w="1540" w:type="dxa"/>
            <w:vAlign w:val="bottom"/>
          </w:tcPr>
          <w:p>
            <w:pPr>
              <w:jc w:val="right"/>
              <w:spacing w:after="0"/>
              <w:rPr>
                <w:sz w:val="20"/>
                <w:szCs w:val="20"/>
                <w:color w:val="auto"/>
              </w:rPr>
            </w:pPr>
            <w:r>
              <w:rPr>
                <w:rFonts w:ascii="Arial" w:cs="Arial" w:eastAsia="Arial" w:hAnsi="Arial"/>
                <w:sz w:val="18"/>
                <w:szCs w:val="18"/>
                <w:color w:val="auto"/>
              </w:rPr>
              <w:t>7,250,000</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26,666,667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direct placement</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shares</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38,800,556</w:t>
            </w:r>
          </w:p>
        </w:tc>
        <w:tc>
          <w:tcPr>
            <w:tcW w:w="3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78,540,210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Recently Adopted Accounting Standards </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Financial Instruments - Credit Losses (Topic 326),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adopted this standard as of January 1, 2020. This update introduces the current expected credit loss (CECL) model, which requires an entity to measure credit losses for certain financial instruments and financial assets, including trade receivables. Under this update, on initial recognition and at each reporting period, an entity is required to recognize an allowance that reflects the entity’s current estimate of credit losses expected to be incurred over the life of the financial instrument. The adoption of this standard did not have a material impact on the Company's condensed consolidated financial statements.</w:t>
      </w:r>
    </w:p>
    <w:p>
      <w:pPr>
        <w:spacing w:after="0" w:line="19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20"/>
        <w:spacing w:after="0" w:line="294"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to simplify and reduce the cost of accounting for income taxes. The pronouncement calls for removing exceptions to the incremental approach for intraperiod tax allocations, exceptions to the requirement to recognize a deferred tax liability for equity method investment when a foreign subsidiary becomes an equity method investment, exception to the ability to not recognize a deferred tax liability for a foreign subsidiary when a foreign equity method investment becomes a subsidiary and exception to the general methodology for calculating income taxes in an interim period when a year-to-date loss exceeds the anticipated loss for the year. ASU 2019-12 is effective for fiscal years beginning after December 15, 2021, and interim periods within fiscal years beginning after December 15, 2022. Early adoption is permitted. We are currently assessing the effect the adoption of this standard will have on the Company’s consolidated financial statements.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xml:space="preserve"> to clarify when transactions between participants in a collaborative arrangement under ASC 808 are within the scope of the new revenue guidance when the collaborative arrangement participant is a customer. ASU 2018-18 is effective for fiscal years beginning after December 15, 2020, and interim periods within fiscal years beginning after December 15, 2021. Early adoption is permitted. The Company does not expect the adoption of this standard to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(1,767)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(1,903)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(1,645)</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As of March 31, 2020 and December 31, 2019,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The Company had three wholesale distributors representing approximately 91% of accounts receivable as of March 31, 2020 and approximately 92% of gross sales for the three months ended March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Work-in-process and finished goods as of March 31, 2020 and December 31, 2019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March 31, 2020 and December 31, 2019, which consisted of FDKP received in November 2019 that will be used to manufacture Afrezza under an enhanced manufacturing process for FDKP. The Company expects to receive FDA approval of the new source of FDKP in mid-2021, after which the pre-launch raw materials inventory will be reclassified as raw materials inventory for use in the manufacturing of Afrezza.</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Inventory that was forecasted to become obsolete due to expiration is recorded in costs of goods sold in the accompanying condensed consolidated statements of operations. For the three months ended March 31, 2020 there was an inventory write-off of $0.5 million as a result of this assessment. There was no inventory write-off for the three months ended March 31,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Estimated Useful</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57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 (Years)</w:t>
            </w:r>
          </w:p>
        </w:tc>
        <w:tc>
          <w:tcPr>
            <w:tcW w:w="22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Buildings</w:t>
            </w:r>
          </w:p>
        </w:tc>
        <w:tc>
          <w:tcPr>
            <w:tcW w:w="160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0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54,978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54,982</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122,285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122,142</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(95,768)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(95,364)</w:t>
            </w:r>
          </w:p>
        </w:tc>
      </w:tr>
      <w:tr>
        <w:trPr>
          <w:trHeight w:val="223"/>
        </w:trPr>
        <w:tc>
          <w:tcPr>
            <w:tcW w:w="578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related to property and equipment was as follows (in thousands):</w:t>
      </w:r>
    </w:p>
    <w:p>
      <w:pPr>
        <w:spacing w:after="0" w:line="29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6350</wp:posOffset>
            </wp:positionV>
            <wp:extent cx="2168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2" w:lineRule="exact"/>
        <w:rPr>
          <w:sz w:val="20"/>
          <w:szCs w:val="20"/>
          <w:color w:val="auto"/>
        </w:rPr>
      </w:pPr>
    </w:p>
    <w:p>
      <w:pPr>
        <w:ind w:left="8340"/>
        <w:spacing w:after="0"/>
        <w:tabs>
          <w:tab w:leader="none" w:pos="10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tabs>
          <w:tab w:leader="none" w:pos="7700" w:val="left"/>
          <w:tab w:leader="none" w:pos="8960" w:val="left"/>
          <w:tab w:leader="none" w:pos="9540" w:val="left"/>
          <w:tab w:leader="none" w:pos="1082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367</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2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2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Milestone Rights liability — current</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Sales and marketing services</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2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6. Borrowings</w:t>
            </w: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w w:val="95"/>
              </w:rPr>
              <w:t>Carrying amount of borrowings consist of the following (in thousands):</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2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70,022</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70,020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Midcap Credit Facility</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38,851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Senior notes (2020 notes and 2024 convertible notes)</w:t>
            </w:r>
          </w:p>
        </w:tc>
        <w:tc>
          <w:tcPr>
            <w:tcW w:w="2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10,101</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60"/>
              <w:spacing w:after="0"/>
              <w:rPr>
                <w:sz w:val="20"/>
                <w:szCs w:val="20"/>
                <w:color w:val="auto"/>
              </w:rPr>
            </w:pPr>
            <w:r>
              <w:rPr>
                <w:rFonts w:ascii="Arial" w:cs="Arial" w:eastAsia="Arial" w:hAnsi="Arial"/>
                <w:sz w:val="18"/>
                <w:szCs w:val="18"/>
                <w:color w:val="auto"/>
              </w:rPr>
              <w:t>Total debt — net carrying amount</w:t>
            </w:r>
          </w:p>
        </w:tc>
        <w:tc>
          <w:tcPr>
            <w:tcW w:w="23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119,016</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118,899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80" w:type="dxa"/>
            <w:vAlign w:val="bottom"/>
            <w:vMerge w:val="restart"/>
          </w:tcPr>
          <w:p>
            <w:pPr>
              <w:jc w:val="right"/>
              <w:ind w:right="191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provides a summary of the Company’s debt and key terms: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340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Amount Due</w:t>
            </w:r>
          </w:p>
        </w:tc>
        <w:tc>
          <w:tcPr>
            <w:tcW w:w="1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Terms</w:t>
            </w: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March 31, 2020</w:t>
            </w: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c>
          <w:tcPr>
            <w:tcW w:w="15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Annual</w:t>
            </w:r>
          </w:p>
        </w:tc>
        <w:tc>
          <w:tcPr>
            <w:tcW w:w="15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9"/>
              </w:rPr>
              <w:t>Maturity Date</w:t>
            </w:r>
          </w:p>
        </w:tc>
        <w:tc>
          <w:tcPr>
            <w:tcW w:w="14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Conversion Price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 Rate</w:t>
            </w:r>
          </w:p>
        </w:tc>
        <w:tc>
          <w:tcPr>
            <w:tcW w:w="1560" w:type="dxa"/>
            <w:vAlign w:val="bottom"/>
            <w:gridSpan w:val="4"/>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Mann Group convertible</w:t>
            </w: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$35.0 million (plus</w:t>
            </w:r>
          </w:p>
        </w:tc>
        <w:tc>
          <w:tcPr>
            <w:tcW w:w="1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$35.0 million (plus</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2"/>
              </w:rPr>
              <w:t>November 2024</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3"/>
              </w:rPr>
              <w:t>$2.50</w:t>
            </w:r>
          </w:p>
        </w:tc>
        <w:tc>
          <w:tcPr>
            <w:tcW w:w="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w:t>
            </w: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$1.6 million accrued</w:t>
            </w: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$1.0 million accrued</w:t>
            </w: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3"/>
              </w:rPr>
              <w:t>interest paid-in-kind)</w:t>
            </w: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3"/>
              </w:rPr>
              <w:t>interest paid-in-kind)</w:t>
            </w: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Mann Group non-</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$35.1 million (plus</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$35.1 million (plus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tcPr>
          <w:p>
            <w:pPr>
              <w:spacing w:after="0"/>
              <w:rPr>
                <w:sz w:val="18"/>
                <w:szCs w:val="18"/>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November 2024</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180" w:type="dxa"/>
            <w:vAlign w:val="bottom"/>
          </w:tcPr>
          <w:p>
            <w:pPr>
              <w:ind w:left="140"/>
              <w:spacing w:after="0"/>
              <w:rPr>
                <w:sz w:val="20"/>
                <w:szCs w:val="20"/>
                <w:color w:val="auto"/>
              </w:rPr>
            </w:pPr>
            <w:r>
              <w:rPr>
                <w:rFonts w:ascii="Arial" w:cs="Arial" w:eastAsia="Arial" w:hAnsi="Arial"/>
                <w:sz w:val="18"/>
                <w:szCs w:val="18"/>
                <w:color w:val="auto"/>
              </w:rPr>
              <w:t>convertible note</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$1.6 million accrued</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$1.0 million accrued</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interest paid-in-kind)</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interest paid-in-kind)</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MidCap Credit</w:t>
            </w: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4"/>
              </w:rPr>
              <w:t>$40.0 million</w:t>
            </w:r>
          </w:p>
        </w:tc>
        <w:tc>
          <w:tcPr>
            <w:tcW w:w="17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$40.0 million</w:t>
            </w: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0"/>
              </w:rPr>
              <w:t>one-month</w:t>
            </w:r>
          </w:p>
        </w:tc>
        <w:tc>
          <w:tcPr>
            <w:tcW w:w="1560" w:type="dxa"/>
            <w:vAlign w:val="bottom"/>
            <w:gridSpan w:val="4"/>
            <w:shd w:val="clear" w:color="auto" w:fill="CFF0FC"/>
          </w:tcPr>
          <w:p>
            <w:pPr>
              <w:jc w:val="center"/>
              <w:ind w:right="180"/>
              <w:spacing w:after="0"/>
              <w:rPr>
                <w:sz w:val="20"/>
                <w:szCs w:val="20"/>
                <w:color w:val="auto"/>
              </w:rPr>
            </w:pPr>
            <w:r>
              <w:rPr>
                <w:rFonts w:ascii="Arial" w:cs="Arial" w:eastAsia="Arial" w:hAnsi="Arial"/>
                <w:sz w:val="18"/>
                <w:szCs w:val="18"/>
                <w:color w:val="auto"/>
                <w:w w:val="92"/>
              </w:rPr>
              <w:t>August 2024</w:t>
            </w:r>
          </w:p>
        </w:tc>
        <w:tc>
          <w:tcPr>
            <w:tcW w:w="140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LIBOR (2%</w:t>
            </w: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rPr>
              <w:t>floor)</w:t>
            </w: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2"/>
              </w:rPr>
              <w:t>plus 6.75%</w:t>
            </w:r>
          </w:p>
        </w:tc>
        <w:tc>
          <w:tcPr>
            <w:tcW w:w="9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$5.0 million</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$5.0 million</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5.75%</w:t>
            </w:r>
          </w:p>
        </w:tc>
        <w:tc>
          <w:tcPr>
            <w:tcW w:w="260" w:type="dxa"/>
            <w:vAlign w:val="bottom"/>
          </w:tcPr>
          <w:p>
            <w:pPr>
              <w:spacing w:after="0"/>
              <w:rPr>
                <w:sz w:val="18"/>
                <w:szCs w:val="18"/>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November 2024</w:t>
            </w:r>
          </w:p>
        </w:tc>
        <w:tc>
          <w:tcPr>
            <w:tcW w:w="1280" w:type="dxa"/>
            <w:vAlign w:val="bottom"/>
          </w:tcPr>
          <w:p>
            <w:pPr>
              <w:jc w:val="center"/>
              <w:ind w:left="12"/>
              <w:spacing w:after="0"/>
              <w:rPr>
                <w:sz w:val="20"/>
                <w:szCs w:val="20"/>
                <w:color w:val="auto"/>
              </w:rPr>
            </w:pPr>
            <w:r>
              <w:rPr>
                <w:rFonts w:ascii="Arial" w:cs="Arial" w:eastAsia="Arial" w:hAnsi="Arial"/>
                <w:sz w:val="18"/>
                <w:szCs w:val="18"/>
                <w:color w:val="auto"/>
                <w:w w:val="93"/>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June 2020 note</w:t>
            </w: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6"/>
              </w:rPr>
              <w:t>$2.6 million</w:t>
            </w:r>
          </w:p>
        </w:tc>
        <w:tc>
          <w:tcPr>
            <w:tcW w:w="17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6"/>
              </w:rPr>
              <w:t>$2.6 million</w:t>
            </w:r>
          </w:p>
        </w:tc>
        <w:tc>
          <w:tcPr>
            <w:tcW w:w="154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CFF0FC"/>
          </w:tcPr>
          <w:p>
            <w:pPr>
              <w:jc w:val="center"/>
              <w:ind w:right="180"/>
              <w:spacing w:after="0"/>
              <w:rPr>
                <w:sz w:val="20"/>
                <w:szCs w:val="20"/>
                <w:color w:val="auto"/>
              </w:rPr>
            </w:pPr>
            <w:r>
              <w:rPr>
                <w:rFonts w:ascii="Arial" w:cs="Arial" w:eastAsia="Arial" w:hAnsi="Arial"/>
                <w:sz w:val="18"/>
                <w:szCs w:val="18"/>
                <w:color w:val="auto"/>
                <w:w w:val="87"/>
              </w:rPr>
              <w:t>June 2020</w:t>
            </w:r>
          </w:p>
        </w:tc>
        <w:tc>
          <w:tcPr>
            <w:tcW w:w="140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December 2020 note</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$2.6 million</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$2.6 million</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center"/>
              <w:ind w:right="180"/>
              <w:spacing w:after="0"/>
              <w:rPr>
                <w:sz w:val="20"/>
                <w:szCs w:val="20"/>
                <w:color w:val="auto"/>
              </w:rPr>
            </w:pPr>
            <w:r>
              <w:rPr>
                <w:rFonts w:ascii="Arial" w:cs="Arial" w:eastAsia="Arial" w:hAnsi="Arial"/>
                <w:sz w:val="18"/>
                <w:szCs w:val="18"/>
                <w:color w:val="auto"/>
                <w:w w:val="88"/>
              </w:rPr>
              <w:t>December 2020</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58"/>
        </w:trPr>
        <w:tc>
          <w:tcPr>
            <w:tcW w:w="6740" w:type="dxa"/>
            <w:vAlign w:val="bottom"/>
            <w:gridSpan w:val="5"/>
          </w:tcPr>
          <w:p>
            <w:pPr>
              <w:spacing w:after="0"/>
              <w:rPr>
                <w:sz w:val="20"/>
                <w:szCs w:val="20"/>
                <w:color w:val="auto"/>
              </w:rPr>
            </w:pPr>
            <w:r>
              <w:rPr>
                <w:rFonts w:ascii="Arial" w:cs="Arial" w:eastAsia="Arial" w:hAnsi="Arial"/>
                <w:sz w:val="18"/>
                <w:szCs w:val="18"/>
                <w:color w:val="auto"/>
              </w:rPr>
              <w:t>The maturities of our borrowings as of March 31, 2020 are as follows (in thousands):</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5"/>
              </w:rPr>
              <w:t>Amounts</w:t>
            </w:r>
          </w:p>
        </w:tc>
        <w:tc>
          <w:tcPr>
            <w:tcW w:w="0" w:type="dxa"/>
            <w:vAlign w:val="bottom"/>
          </w:tcPr>
          <w:p>
            <w:pPr>
              <w:spacing w:after="0"/>
              <w:rPr>
                <w:sz w:val="1"/>
                <w:szCs w:val="1"/>
                <w:color w:val="auto"/>
              </w:rPr>
            </w:pPr>
          </w:p>
        </w:tc>
      </w:tr>
      <w:tr>
        <w:trPr>
          <w:trHeight w:val="26"/>
        </w:trPr>
        <w:tc>
          <w:tcPr>
            <w:tcW w:w="3180" w:type="dxa"/>
            <w:vAlign w:val="bottom"/>
            <w:tcBorders>
              <w:bottom w:val="single" w:sz="8" w:color="CFF0FC"/>
            </w:tcBorders>
          </w:tcPr>
          <w:p>
            <w:pPr>
              <w:spacing w:after="0"/>
              <w:rPr>
                <w:sz w:val="2"/>
                <w:szCs w:val="2"/>
                <w:color w:val="auto"/>
              </w:rPr>
            </w:pPr>
          </w:p>
        </w:tc>
        <w:tc>
          <w:tcPr>
            <w:tcW w:w="16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6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9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2023</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principal payments</w:t>
            </w:r>
          </w:p>
        </w:tc>
        <w:tc>
          <w:tcPr>
            <w:tcW w:w="1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Unamortized discount</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3180" w:type="dxa"/>
            <w:vAlign w:val="bottom"/>
          </w:tcPr>
          <w:p>
            <w:pPr>
              <w:ind w:left="260"/>
              <w:spacing w:after="0"/>
              <w:rPr>
                <w:sz w:val="20"/>
                <w:szCs w:val="20"/>
                <w:color w:val="auto"/>
              </w:rPr>
            </w:pPr>
            <w:r>
              <w:rPr>
                <w:rFonts w:ascii="Arial" w:cs="Arial" w:eastAsia="Arial" w:hAnsi="Arial"/>
                <w:sz w:val="18"/>
                <w:szCs w:val="18"/>
                <w:color w:val="auto"/>
              </w:rPr>
              <w:t>Total debt — net carrying amount</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44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 xml:space="preserve">MidCap Credit Facility </w:t>
      </w:r>
      <w:r>
        <w:rPr>
          <w:rFonts w:ascii="Arial" w:cs="Arial" w:eastAsia="Arial" w:hAnsi="Arial"/>
          <w:sz w:val="16"/>
          <w:szCs w:val="16"/>
          <w:color w:val="auto"/>
        </w:rPr>
        <w:t>— In August 2019, the Company closed the MidCap Credit Facility, which provides a secured term loan facility with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up to $75.0 million. The Company borrowed the first advance of $40.0 million (“Tranche 1”) on August 6, 2019. Under the terms of the MidCap Credit Facility, the second advance of $10.0 million (“Tranche 2”) was available to the Company until April 15, 2020, provided that the Company had achieved Afrezza net revenue of at least $30.0 million on a trailing twelve month basis by that date (which was not achieved). The third advance of $25.0 million (“Tranche 3”) will be available to the Company until June 30, 2021, subject to the satisfaction of certain milestone conditions associated with Afrezza trailing net revenue and certain milestone conditions related to the Company’s collaboration with United Therapeutics (see Note 7</w:t>
      </w:r>
    </w:p>
    <w:p>
      <w:pPr>
        <w:spacing w:after="0" w:line="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 Licensing Arrangements</w:t>
      </w:r>
      <w:r>
        <w:rPr>
          <w:rFonts w:ascii="Arial" w:cs="Arial" w:eastAsia="Arial" w:hAnsi="Arial"/>
          <w:sz w:val="18"/>
          <w:szCs w:val="18"/>
          <w:color w:val="auto"/>
        </w:rPr>
        <w:t>). As of March 31, 2020, the Company has recognized a $1.5 million impairment of the commitment asset, as it is unlikely that the milestone conditions related to Afrezza trailing net revenue will be achieved. In addition, the COVID-19 pandemic is expected to negatively impact the milestone conditions related to the Company’s collaboration with United Therapeutics. Unamortized debt issuance costs was $0.8 million and unamortized debt discount was $0.3 million as of March 31, 2020.</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December 2019, the Company entered into an amendment to the MidCap Credit Facility, pursuant to which the parties agreed to (i) amend the financial covenant relating to trailing twelve month minimum Afrezza Net Revenue (as defined in the MidCap Credit Facility) requirements, (ii) add a condition to the third advance of $25.0 million that requires the Company achieve certain amounts of Afrezza Net Revenue, and (iii) increase the exit fee from 6.00% to 7.00% of the principal amount of all term loans advanced to the Company under the MidCap Credit Facility.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line="269" w:lineRule="auto"/>
        <w:rPr>
          <w:sz w:val="20"/>
          <w:szCs w:val="20"/>
          <w:color w:val="auto"/>
        </w:rPr>
      </w:pPr>
      <w:r>
        <w:rPr>
          <w:rFonts w:ascii="Arial" w:cs="Arial" w:eastAsia="Arial" w:hAnsi="Arial"/>
          <w:sz w:val="17"/>
          <w:szCs w:val="17"/>
          <w:color w:val="auto"/>
        </w:rPr>
        <w:t>Tranche 1 and, if borrowed, Tranche 3, each accrue interest at an annual rate equal to one-month LIBOR plus 6.75%, subject to a one-month LIBOR floor of 2.00%. Interest on each term loan advance is due and payable monthly in arrears. Principal on the term loan advance under Tranche 1 is payable in 36 equal monthly installments beginning September 1, 2021, until paid in full on August 1, 2024, and principal on any term loan advance under Tranche 3 is payable beginning on the later of (i) September 1, 2021,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 3.00% of principal prepaid if prepayment occurs on or prior to the first anniversary of the closing date, 2.00% of principal prepaid if prepayment occurs after the first anniversary of the closing date but on or prior to the second anniversary of the closing date, and 1.00% of principal prepaid if prepayment occurs after the second anniversary of the closing date and prior to or on the third anniversary of the closing date. In connection with execution of the MidCap Credit Facility, the Company paid MidCap a $0.4 million origination fee.</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MidCap Credit Facility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and a minimum cash covenant of $15.0 million at all times, which will increase to $20.0 million following the funding of Tranche 3. As of March 31, 2020, the Company was in compliance with the financial and minimum cash covenants.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also agreed to issue warrants to purchase shares of the Company’s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determined that these warrants met the criteria for equity classification and accounted for such warrants in additional paid-in capital.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Senior Notes </w:t>
      </w:r>
      <w:r>
        <w:rPr>
          <w:rFonts w:ascii="Arial" w:cs="Arial" w:eastAsia="Arial" w:hAnsi="Arial"/>
          <w:sz w:val="17"/>
          <w:szCs w:val="17"/>
          <w:color w:val="auto"/>
        </w:rPr>
        <w:t>— As of March 31, 2020 and December 31, 2019, there was $10.2 million principal amount of senior notes outstanding, respectively.</w:t>
      </w:r>
    </w:p>
    <w:p>
      <w:pPr>
        <w:spacing w:after="0" w:line="30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August 2019, the Company entered into a privately-negotiated exchange agreement with the holder of the 5.75% Convertible Senior Subordinated Exchange Notes due 2021 (the “2021 notes”), pursuant to which, among other things, the Company (i) repaid $1.5 million in cash to such holder, (ii) issued 4,017,857 shares of the Company’s common stock to such holder (at a conversion price of $1.12 per share), (iii) issued 5.75% Convertible Senior Subordinated Exchange Notes due November 2024 (the “2024 convertible notes”) to such holder in the principal amount of $5.0 million and (iv) issued a $2.6 million note due June 2020 (the “June 2020 note”), a $2.6 million note due December 2020 (the “December 2020 note”, and together with the June 2020 note, the “2020 notes”), all in exchange for the cancellation of the $18.7 million in principal amount of the 2021 notes. The 2020 notes may be prepaid at any time on or prior to their respective maturity dates of June 30, 2020 and December 31, 2020 at the option of the Company. In addition, the Company may elect to pay the 2020 notes at any time on or prior to their respective maturity dates, if certain conditions are met, in shares of the Company’s common stock at a price per share equal to the last reported sale price on the trading day immediately prior to the payment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60"/>
        <w:spacing w:after="0" w:line="270" w:lineRule="auto"/>
        <w:rPr>
          <w:sz w:val="20"/>
          <w:szCs w:val="20"/>
          <w:color w:val="auto"/>
        </w:rPr>
      </w:pPr>
      <w:r>
        <w:rPr>
          <w:rFonts w:ascii="Arial" w:cs="Arial" w:eastAsia="Arial" w:hAnsi="Arial"/>
          <w:sz w:val="17"/>
          <w:szCs w:val="17"/>
          <w:color w:val="auto"/>
        </w:rPr>
        <w:t>The 2024 convertible notes were issued pursuant to an indenture, dated as of August 6, 2019, between the Company and U.S. Bank National Association, as trustee (the “Indenture”). The 2024 convertible notes are the Company’s general, unsecured obligations, and are subordinated in right of payment to the indebtedness incurred pursuant to the MidCap Credit Facility. The 2024 convertible notes rank equally in right of payment with the Company’s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will be payable in cash or, at the option of the Company if certain conditions are met, in shares of the Company’s common stock at a price per share equal to the last reported sale price on the trading day immediately prior to the interest payment date. The 2024 convertible notes will mature on the earlier of (i) November 4, 2024 or (ii) the 91</w:t>
      </w:r>
      <w:r>
        <w:rPr>
          <w:rFonts w:ascii="Arial" w:cs="Arial" w:eastAsia="Arial" w:hAnsi="Arial"/>
          <w:sz w:val="14"/>
          <w:szCs w:val="14"/>
          <w:color w:val="auto"/>
        </w:rPr>
        <w:t>st</w:t>
      </w:r>
      <w:r>
        <w:rPr>
          <w:rFonts w:ascii="Arial" w:cs="Arial" w:eastAsia="Arial" w:hAnsi="Arial"/>
          <w:sz w:val="17"/>
          <w:szCs w:val="17"/>
          <w:color w:val="auto"/>
        </w:rPr>
        <w:t xml:space="preserve"> day after the payment in full of, and termination and discharge of all obligations (other than contingent indemnity obligations) under the MidCap Credit Facility.</w:t>
      </w:r>
    </w:p>
    <w:p>
      <w:pPr>
        <w:spacing w:after="0" w:line="18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2024 convertible notes are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certain bankruptcy and insolvency-related events of default occur, the principal of, and accrued and unpaid interest on, all of the then outstanding 2024 convertible notes shall automatically become due and payable. If an event of default other than certain bankruptcy and insolvency-related events of defaults occurs and is continuing, the Trustee or the holders of at least 25% in aggregate principal amount of the then-outstanding 2024 convertible notes, by written notice to the Trustee, may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the Company undergoes certain fundamental changes, except in certain circumstances, each holder of 2024 convertible notes will have the option to require the Company to repurchase all or any portion of that holder’s 2024 convertible notes. The fundamental change repurchase price will be 100% of the principal amount of the 2024 convertible notes to be repurchased plus accrued and unpaid interest, if any.</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entered into a privately-negotiated exchange agreement with The Mann Group LLC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 Group”), pursuant to which, among other things, the Company (i) repaid $3.0 million in cash to the Mann Group, (ii) issued 7,142,857 shares of the Company’s common stock to the Mann Group (at a conversion price of $1.12 per share), (iii) issued a $35.0 million note that is convertible into shares of the Company’s common stock at $2.50 per share (the “Mann Group convertible note”) and (iv) issued a non-convertible note to the Mann Group in an aggregate principal amount of $35.1 million (the “Mann Group non-convertible note” and, together with the Mann Group convertible note, the “Mann Group promissory notes”), all in exchange for the cancellation of the $71.5 million in principal and approximately $9.5 million in accrued interest paid-in-kind under the existing Mann Group loan arrangement.</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Mann Group promissory notes each accrue interest at the rate of 7.00% per year on the principal amount, payable quarterly in arrears on the first day of each calendar quarter beginning October 1, 2019.</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120"/>
        <w:spacing w:after="0" w:line="257" w:lineRule="auto"/>
        <w:rPr>
          <w:sz w:val="20"/>
          <w:szCs w:val="20"/>
          <w:color w:val="auto"/>
        </w:rPr>
      </w:pPr>
      <w:r>
        <w:rPr>
          <w:rFonts w:ascii="Arial" w:cs="Arial" w:eastAsia="Arial" w:hAnsi="Arial"/>
          <w:sz w:val="18"/>
          <w:szCs w:val="18"/>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MannKind may, at its option, elect to pay any such interest on any interest payment date, if certain conditions are met, in shares of MannKind’s common stock at a price per shall equal to the last reported sale price on the trading day immediately prior to the interest payment date.</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three months ended March 31, 2020 and 2019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24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Accretion expense — debt issuance cost</w:t>
            </w:r>
          </w:p>
        </w:tc>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2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r>
    </w:tbl>
    <w:p>
      <w:pPr>
        <w:spacing w:after="0" w:line="24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As of March 31, 2020 and December 31, 2019, the remaining Milestone Rights liability balance was $7.3 million, which was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fair value estimates calculated using the income approach and reduced by milestone achievement payments made. During the third quarter of 2019, the Company achieved the first Afrezza net sales milestone specified by the Milestone Rights. The Company currently estimates that it will reach the next milestone in the fourth quarter of 2020, at which point the Company will be required to make a $5.0 million payment in the following quarter. The carrying value of the Milestone Rights liability related to this $5.0 million payment is approximately $1.3 million, which represents the fair value related to this payment that was determined in 2013 (the most recent measurement date). Accordingly, approximately $1.3 million in value related to the next milestone payment was recorded in accrued expenses and other current liabilities and the remaining long-term portion of $5.9 million is included as Milestone Rights liability in the accompanying condensed consolidated balance sheets as of March 31, 2020. The Milestone Right liability as of December 31, 2019 was $7.3 million.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agreement with the Milestone Purchasers that provides for the Milestone Rights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 The Company has initially recorded the Milestone Rights at their estimated fair value.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and Licensing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months ended March 31, 2020 and 2019 are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77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UT Research Agreement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Cipla distribution agreement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8,235</w:t>
            </w:r>
          </w:p>
        </w:tc>
        <w:tc>
          <w:tcPr>
            <w:tcW w:w="3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12,372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United Therapeutics License Agreement </w:t>
      </w:r>
      <w:r>
        <w:rPr>
          <w:rFonts w:ascii="Arial" w:cs="Arial" w:eastAsia="Arial" w:hAnsi="Arial"/>
          <w:sz w:val="18"/>
          <w:szCs w:val="18"/>
          <w:color w:val="auto"/>
        </w:rPr>
        <w:t>— In September 2018, the Company and United Therapeutics Corporation (“United Therapeutics” or “UT”)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an exclusive global license and collaboration agreement (the “UT License Agreement”) for the rights to the Company’s dry powder formulation of treprostinil (“TreT”) and associated inhalation delivery devices. Under the UT License Agreement, UT is responsible for global development, regulatory and commercial activities with respect to TreT. The Company is responsible for manufacturing clinical supplies and commercial supplies of TreT.</w:t>
      </w:r>
    </w:p>
    <w:p>
      <w:pPr>
        <w:spacing w:after="0" w:line="1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the terms of the UT License Agreement, the Company received an upfront payment of $45.0 million in October 2018 and two $12.5 million milestone payments in 2019. The Company may receive additional milestone payments of up to $25.0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recognizes revenue on a ratable basis from October 2018 through December 2021; the estimated date when its performance obligations for development activities under UT License Agreement will be substantially completed.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40"/>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expects to complete the activities specified in the development plan and to achieve the remaining milestone events for total consideration of approximately $101.4 million, which includes an upfront payment, four milestone payments and various pass-through costs. Future commercial supply remains at UT’s option and is valued at a stand-alone selling price and, therefore, is not accounted for under the current arrangement. The Company believes that this method best reflects the measure of progress toward complete satisfaction of the performance obligation. Deferred revenue related to the UT License Agreement is being recognized in net revenue — collaborations over a 13-quarter period ending December 31, 2021, which represents the estimated period to satisfy the performance obligation. As of March 31, 2020, the deferred revenue for the UT License Agreement consisted of $30.4 million, which was classified as a current liability. Deferred revenue is classified as part of current or long-term liability in the accompanying condensed consolidated balance sheets based on the Company’s estimate of the portion of the performance obligation that will be completed within the next 12 months, and includes payments received as well as payments receivable.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United Therapeutics Research Agreement — </w:t>
      </w:r>
      <w:r>
        <w:rPr>
          <w:rFonts w:ascii="Arial" w:cs="Arial" w:eastAsia="Arial" w:hAnsi="Arial"/>
          <w:sz w:val="17"/>
          <w:szCs w:val="17"/>
          <w:color w:val="auto"/>
        </w:rPr>
        <w:t>In September 2018, the Company and UT also entered into a research agreement (“UT Research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conduct of research and consulting services in connection with multiple potential products, 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In connection with the UT Research Agreement, the Company received an upfront payment of $10.0 million in September 2018.</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and;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upon exercise of the option.</w:t>
      </w:r>
    </w:p>
    <w:p>
      <w:pPr>
        <w:spacing w:after="0" w:line="1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is recognized using an output method (based on project milestones achieved and surveys of performance completed to date). The Company believes that this method best reflects the measure of progress toward complete satisfaction of the performance obligation. The revenue for the engineering consulting services was recognized using a ratable method until the obligation was satisfied. The Company believes that this method best reflects the measure of progress toward complete satisfaction of the performance obligation. As of March 31, 2020 the deferred revenue balance was $0.1 million, which was classified as a current liability in the accompanying condensed consolidated balance sheets.</w:t>
      </w:r>
    </w:p>
    <w:p>
      <w:pPr>
        <w:spacing w:after="0" w:line="18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In 2016, the Company entered into a collaboration and license agreement (the “CLA”) with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Life Sciences, Inc. (“Receptor”) pursuant to which Receptor subsequently acquired an exclusive license to develop, manufacture and commercialize products that use the Company’s technology to deliver certain compounds via oral inhalation in exchange for upfront license fees, milestone payments upon the completion of certain technology transfer activities and the achievement of specified sales targets as well as royalties upon Receptor’s and its sublicensees’ sale of products.</w:t>
      </w:r>
    </w:p>
    <w:p>
      <w:pPr>
        <w:spacing w:after="0" w:line="20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 $1.0 million license fee received in 2016 was recorded in deferred revenue from collaborations as of December 31, 2016 and is being recognized in net revenue — collaborations over four years, the estimated period over which the Company is required to satisfy the remaining performance obligations. The remaining performance obligations are to provide certain technology transfer activities. As of March 31, 2020, the deferred revenue balance was $0.2 million, which was classified as a current liability in the accompanying condensed consolidated balance sheets.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20"/>
        <w:spacing w:after="0" w:line="255" w:lineRule="auto"/>
        <w:rPr>
          <w:sz w:val="20"/>
          <w:szCs w:val="20"/>
          <w:color w:val="auto"/>
        </w:rPr>
      </w:pPr>
      <w:r>
        <w:rPr>
          <w:rFonts w:ascii="Arial" w:cs="Arial" w:eastAsia="Arial" w:hAnsi="Arial"/>
          <w:sz w:val="18"/>
          <w:szCs w:val="18"/>
          <w:color w:val="auto"/>
        </w:rPr>
        <w:t xml:space="preserve">The additional payments referred to above represent variable consideration for which the Company has not recognized any revenue because it is uncertain that Receptor will be able to successfully develop, manufacture or sell product related to this license. There was no change to the accounting for this contract as a result of the initial application of the new revenue guidance since (i) the receipt of such payments is highly susceptible to factors outside of the Company’s influence, (ii) the uncertainty regarding the receipt of these payments is not expected to be resolved for years, and (iii) the Company has limited experience with similar contracts. See Note 1 – </w:t>
      </w:r>
      <w:r>
        <w:rPr>
          <w:rFonts w:ascii="Arial" w:cs="Arial" w:eastAsia="Arial" w:hAnsi="Arial"/>
          <w:sz w:val="18"/>
          <w:szCs w:val="18"/>
          <w:i w:val="1"/>
          <w:iCs w:val="1"/>
          <w:color w:val="auto"/>
        </w:rPr>
        <w:t>Description of Business and Significant Accounting Policies</w:t>
      </w:r>
      <w:r>
        <w:rPr>
          <w:rFonts w:ascii="Arial" w:cs="Arial" w:eastAsia="Arial" w:hAnsi="Arial"/>
          <w:sz w:val="18"/>
          <w:szCs w:val="18"/>
          <w:color w:val="auto"/>
        </w:rPr>
        <w:t xml:space="preserve"> for additional information on the Company’s revenue recognition accounting policy.</w:t>
      </w:r>
    </w:p>
    <w:p>
      <w:pPr>
        <w:spacing w:after="0" w:line="19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agreed to provide certain raw materials and certain additional research and formulation consulting services to Receptor. For the three months ended March 31, 2020 and 2019,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Biomm Supply and Distribution Agreement </w:t>
      </w:r>
      <w:r>
        <w:rPr>
          <w:rFonts w:ascii="Arial" w:cs="Arial" w:eastAsia="Arial" w:hAnsi="Arial"/>
          <w:sz w:val="18"/>
          <w:szCs w:val="18"/>
          <w:color w:val="auto"/>
        </w:rPr>
        <w:t>— In May 2017, the Company and Biomm S.A. entered into a supply and distribution agreement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The Company sold $0.7 million of product to Biomm in the third quarter of 2019 to launch Afrezza in Brazil, which was recognized as net revenue — commercial product sales in the respective period. Biomm commenced product sales in January 2020.</w:t>
      </w:r>
    </w:p>
    <w:p>
      <w:pPr>
        <w:spacing w:after="0" w:line="19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i w:val="1"/>
          <w:iCs w:val="1"/>
          <w:color w:val="auto"/>
        </w:rPr>
        <w:t xml:space="preserve">Cipla License and Distribution Agreement </w:t>
      </w:r>
      <w:r>
        <w:rPr>
          <w:rFonts w:ascii="Arial" w:cs="Arial" w:eastAsia="Arial" w:hAnsi="Arial"/>
          <w:sz w:val="16"/>
          <w:szCs w:val="16"/>
          <w:color w:val="auto"/>
        </w:rPr>
        <w:t>— In May 2018, the Company and Cipla Ltd. (“Cipla”) entered into an exclusive agreement for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 payments, minimum purchase commitment revenue and royalties on Afrezza sales in India once cumulative gross sales have reached a specified threshold.</w:t>
      </w:r>
    </w:p>
    <w:p>
      <w:pPr>
        <w:spacing w:after="0" w:line="14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The Company also recognized $0.2 million as income tax expense for a payment made to the India tax authority in 2018. As of March 31, 2020, the deferred revenue balance was $1.9 million, of which $0.1 million is classified as current and $1.8 million is classified as long term in the accompanying condensed consolidated balance sheets.</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carrying amounts reported in the accompanying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MidCap Credit Facility, Mann Group promissory notes, 2024 convertible notes, 2020 notes, and Milestone Rights liabilities are disclosed below.</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Cash Equivalents and Restricted Cash</w:t>
      </w:r>
      <w:r>
        <w:rPr>
          <w:rFonts w:ascii="Arial" w:cs="Arial" w:eastAsia="Arial" w:hAnsi="Arial"/>
          <w:sz w:val="17"/>
          <w:szCs w:val="17"/>
          <w:color w:val="auto"/>
        </w:rPr>
        <w:t>— Cash equivalents consist of highly liquid investments with original or remaining maturities of 90 days or less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purchase that are readily convertible into cash. As of March 31, 2020 and December 31, 2019, the Company held $38.9 million and $29.9 million, respectively, of cash and cash equivalents. The Company held $0.3 million in restricted cash as of March 31, 2020 and December 31, 2019, which was comprised of money market funds. Restricted cash is used to collateralize a letter of credit. The fair value of these money market funds was determined by using quoted prices for identical investments in an active market (Level 1 in the fair value hierarchy).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180"/>
        <w:spacing w:after="0" w:line="286" w:lineRule="auto"/>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consist of highly liquid investments that are intended to facilitate liquidity and capital preservation.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short-term investments approximate their carrying value. The measurement of which is based on a market approach using quoted market values (Level 1 in the fair value hierarchy). As of March 31, 2020, the Company did not hold any short-term investments.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measurement of debt instruments is based on a discounted cash flow model and is sensitive to the change in yield (Level 3 in the fair value hierarchy):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Hypothetical Change in Yield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Hypothetical Change in Notes Payable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Yield</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7"/>
              </w:rPr>
              <w:t>Hypothetical</w:t>
            </w:r>
          </w:p>
        </w:tc>
        <w:tc>
          <w:tcPr>
            <w:tcW w:w="440" w:type="dxa"/>
            <w:vAlign w:val="bottom"/>
          </w:tcPr>
          <w:p>
            <w:pPr>
              <w:spacing w:after="0"/>
              <w:rPr>
                <w:sz w:val="11"/>
                <w:szCs w:val="11"/>
                <w:color w:val="auto"/>
              </w:rPr>
            </w:pPr>
          </w:p>
        </w:tc>
        <w:tc>
          <w:tcPr>
            <w:tcW w:w="10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FV of Notes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FV</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Yield</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33"/>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37.0%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38.0</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38.0</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Senior notes: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7.6</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33.0%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7.6</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35.8</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35.8</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35.8</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35.8</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March 31, 2020</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June 2020 note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2020 note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June 2020 note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2020 note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4" w:name="page25"/>
    <w:bookmarkEnd w:id="24"/>
    <w:p>
      <w:pPr>
        <w:ind w:right="40"/>
        <w:spacing w:after="0" w:line="311"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of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was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2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and options</w:t>
            </w:r>
          </w:p>
        </w:tc>
        <w:tc>
          <w:tcPr>
            <w:tcW w:w="2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25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compensation expense</w:t>
            </w:r>
          </w:p>
        </w:tc>
        <w:tc>
          <w:tcPr>
            <w:tcW w:w="25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March 31, 2020, the Company granted 230,000 restricted stock units to employees. The restricted stock units had a weighted average grant date fair value of $1.25 per share and a primary vesting period of four years. In addition, 42,067 restricted stock units were granted to non-employee directors with a weighted average grant date fair value of $1.17. The restricted stock units awarded to non-employee directors vested immediately upon grant, but the underlying shares of common stock will not be delivered to an individual director until there is a separation of service, such as resignation, retirement or death.</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2020, the Company granted stock options to purchase an aggregate of 78,500 shares of common stock to certain employees at a weighted average exercise price of $1.25 per share. The options vest over a four year period. The weighted average grant date fair value was $0.93 per share, as determined using a Black-Scholes option pricing model, with the following key assumptions: risk-free interest rate of 0.79%; expected life of approximately 5.67 years; volatility of 93.83%, and dividend yield of zero.</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March 31, 2020, there was $8.0 million of unrecognized compensation expense related to options and performance options and $0.5 million of unrecognized compensation expense related to restricted stock units. For the options that are subject to performance conditions, the Company evaluates the probability that the performance conditions will be met and estimates the service period for recognition of the associated expense.</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March 31, 2019, the Company issued 754,729 restricted stock units to employees. Each such restricted stock award vested 100% in February 2020. The grant date fair value of the restricted stock units was $1.49 per share.</w:t>
      </w:r>
    </w:p>
    <w:p>
      <w:pPr>
        <w:spacing w:after="0" w:line="197" w:lineRule="exact"/>
        <w:rPr>
          <w:sz w:val="20"/>
          <w:szCs w:val="20"/>
          <w:color w:val="auto"/>
        </w:rPr>
      </w:pPr>
    </w:p>
    <w:p>
      <w:pPr>
        <w:ind w:right="200"/>
        <w:spacing w:after="0" w:line="329" w:lineRule="auto"/>
        <w:rPr>
          <w:sz w:val="20"/>
          <w:szCs w:val="20"/>
          <w:color w:val="auto"/>
        </w:rPr>
      </w:pPr>
      <w:r>
        <w:rPr>
          <w:rFonts w:ascii="Arial" w:cs="Arial" w:eastAsia="Arial" w:hAnsi="Arial"/>
          <w:sz w:val="16"/>
          <w:szCs w:val="16"/>
          <w:color w:val="auto"/>
        </w:rPr>
        <w:t>During the three months ended March 31, 2019, the Company granted certain employees stock options to purchase an aggregate of 294,900 shares of common stock at a weighted average exercise price of $1.49 per share. The options vest over a four year period. The grant date fair value of these awards was $0.3 million with a weighted average grant date fair value of $1.06 per share, as determined using a Black-Scholes option pricing model.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March 31,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line="269" w:lineRule="auto"/>
        <w:rPr>
          <w:sz w:val="20"/>
          <w:szCs w:val="20"/>
          <w:color w:val="auto"/>
        </w:rPr>
      </w:pPr>
      <w:r>
        <w:rPr>
          <w:rFonts w:ascii="Arial" w:cs="Arial" w:eastAsia="Arial" w:hAnsi="Arial"/>
          <w:sz w:val="17"/>
          <w:szCs w:val="17"/>
          <w:color w:val="auto"/>
        </w:rPr>
        <w:t>Following the public announcement in January 2016 of the election by sanofi-aventis U.S. LLC (“Sanofi”) to terminate a license and collaboration agreement (the “Sanofi License Agreement”) between the Company and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In September 2019, the plaintiff brought a motion to amend his claim, which the court denied in January 2020. The plaintiff has appealed this denial to the Supreme Court of Israel. The Company will continue to vigorously defend against the claims advanced.</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July 2013, the Company also entered into an agreement with the Milestone Purchasers, pursuant to which the Company granted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Milestone Rights to receive payments up to $90.0 million upon the occurrence of specified strategic and sales milestones, $70.0 million of which remains payable upon achievement of such milestones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In July 2014, the Company entered into an Insulin Supply Agreement (the “Insulin Supply Agreement”) with Amphastar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Inc.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August 2019, the Company and Amphastar amended the Insulin Supply Agreement to extend the term to 2026 and to restructure the annual purchase commitments. As of March 31, 2020, the annual purchase requirements under the amended contract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jc w:val="right"/>
              <w:ind w:right="734"/>
              <w:spacing w:after="0"/>
              <w:rPr>
                <w:sz w:val="20"/>
                <w:szCs w:val="20"/>
                <w:color w:val="auto"/>
              </w:rPr>
            </w:pPr>
            <w:r>
              <w:rPr>
                <w:rFonts w:ascii="Arial" w:cs="Arial" w:eastAsia="Arial" w:hAnsi="Arial"/>
                <w:sz w:val="14"/>
                <w:szCs w:val="14"/>
                <w:b w:val="1"/>
                <w:bCs w:val="1"/>
                <w:color w:val="auto"/>
              </w:rPr>
              <w:t>Minimum</w:t>
            </w:r>
          </w:p>
        </w:tc>
      </w:tr>
      <w:tr>
        <w:trPr>
          <w:trHeight w:val="171"/>
        </w:trPr>
        <w:tc>
          <w:tcPr>
            <w:tcW w:w="90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Commitment</w:t>
            </w:r>
          </w:p>
        </w:tc>
      </w:tr>
      <w:tr>
        <w:trPr>
          <w:trHeight w:val="223"/>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2020</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 million</w:t>
            </w:r>
          </w:p>
        </w:tc>
      </w:tr>
      <w:tr>
        <w:trPr>
          <w:trHeight w:val="229"/>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 million</w:t>
            </w:r>
          </w:p>
        </w:tc>
      </w:tr>
      <w:tr>
        <w:trPr>
          <w:trHeight w:val="230"/>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2022</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million</w:t>
            </w:r>
          </w:p>
        </w:tc>
      </w:tr>
      <w:tr>
        <w:trPr>
          <w:trHeight w:val="230"/>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10.8 million</w:t>
            </w:r>
          </w:p>
        </w:tc>
      </w:tr>
      <w:tr>
        <w:trPr>
          <w:trHeight w:val="229"/>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2024</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 million</w:t>
            </w:r>
          </w:p>
        </w:tc>
      </w:tr>
      <w:tr>
        <w:trPr>
          <w:trHeight w:val="230"/>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2025</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2026</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bl>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Unless terminated earlier, the term of the Insulin Supply Agreement expires on December 31, 2026 and can be renewed for additional, successive two year terms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21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Warrants — </w:t>
      </w:r>
      <w:r>
        <w:rPr>
          <w:rFonts w:ascii="Arial" w:cs="Arial" w:eastAsia="Arial" w:hAnsi="Arial"/>
          <w:sz w:val="16"/>
          <w:szCs w:val="16"/>
          <w:color w:val="auto"/>
        </w:rPr>
        <w:t>In December 2018, the Company issued warrants to purchase up to an aggregate of 26,666,667 shares of the Company’s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warrants”) at an exercise price of $1.60 per share. As of March 31, 2020, 7,250,000 December warrants remain exercisable until June 26, 2020.</w:t>
      </w:r>
    </w:p>
    <w:p>
      <w:pPr>
        <w:spacing w:after="0" w:line="164"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 xml:space="preserve">In August 2019, in connection with the MidCap Credit Facility, the Company issued warrants to purchase an aggregate of 1,171,614 shares of the Company’s common stock, at an exercise price equal to $1.11 per share, to the lenders. Additional MidCap warrants will be issued if the Company accesses additional tranches under the MidCap Credit Facility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for the 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119 vehicles. The lease requires monthly payments of approximately $83,000 per month including the cost of maintaining the vehicles, taxes and insurance. The lease commenced when the Company took possession of the majority of the vehicles in the second quarter of 2018 and expires 48 months after the delivery date. During 2019, 29 vehicles were removed from the fleet, resulting in a fleet size of 90 vehicles. The revised monthly payment inclusive of maintenance fees, insurance and taxes is $65,000. The lease expense is included in selling, general and administrative expenses in the accompanying condensed consolidated statement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120"/>
        <w:spacing w:after="0" w:line="286" w:lineRule="auto"/>
        <w:rPr>
          <w:sz w:val="20"/>
          <w:szCs w:val="20"/>
          <w:color w:val="auto"/>
        </w:rPr>
      </w:pPr>
      <w:r>
        <w:rPr>
          <w:rFonts w:ascii="Arial" w:cs="Arial" w:eastAsia="Arial" w:hAnsi="Arial"/>
          <w:sz w:val="17"/>
          <w:szCs w:val="17"/>
          <w:color w:val="auto"/>
        </w:rPr>
        <w:t>Upon adoption of ASC 842, the agreement was classified as an operating lease which resulted in recording right-of-use assets and lease liabilities of approximately $1.6 million and $1.9 million, respectively, as of January 1, 2019. These amounts included approximately $1.6 million of non-current other assets and approximately $0.6 million and $1.3 million of other current liabilities and operating lease liabilities, respectively.</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In May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 month concession from October 2017 through February 2018. The lease also provides for allowances for tenant alterations and maintenance. The lease expires in January 2023 and provides the Company with a five year renewal option. The lease expense is included in selling, general and administrative expenses in the accompanying condensed consolidated statement of operations.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 year renewal option.</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Upon adoption of ASC 842,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84"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For the three months ended March 31, 2020, operating lease costs under all operating leases, including office space and equipment, was approximately $0.4 million and cash paid was $0.4 million. Variable lease costs for the three months ended March 31, 2020 were approximately $0.1 million. The weighted average discount rate used was 7.5%. The weighted-average remaining lease term for all operating leases was 2.7 years.</w:t>
      </w:r>
    </w:p>
    <w:p>
      <w:pPr>
        <w:spacing w:after="0" w:line="149"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For the three months ended March 31, 2019, operating lease costs under all operating leases, including office space and equipment, was approximately $0.5 million and cash paid was $0.5 million. Variable lease costs for the three months ended March 31, 2019 were approximately $0.1 million. The weighted average discount rate used was 7.2%. The weighted-average remaining lease term for all operating leases was 3.8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office and vehicle lease payments as of March 31, 2020 and December 31, 2019,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jc w:val="right"/>
              <w:ind w:right="7270"/>
              <w:spacing w:after="0"/>
              <w:rPr>
                <w:sz w:val="20"/>
                <w:szCs w:val="20"/>
                <w:color w:val="auto"/>
              </w:rPr>
            </w:pPr>
            <w:r>
              <w:rPr>
                <w:rFonts w:ascii="Arial" w:cs="Arial" w:eastAsia="Arial" w:hAnsi="Arial"/>
                <w:sz w:val="18"/>
                <w:szCs w:val="18"/>
                <w:color w:val="auto"/>
                <w:w w:val="84"/>
              </w:rPr>
              <w:t>2020</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jc w:val="right"/>
              <w:ind w:right="7270"/>
              <w:spacing w:after="0"/>
              <w:rPr>
                <w:sz w:val="20"/>
                <w:szCs w:val="20"/>
                <w:color w:val="auto"/>
              </w:rPr>
            </w:pPr>
            <w:r>
              <w:rPr>
                <w:rFonts w:ascii="Arial" w:cs="Arial" w:eastAsia="Arial" w:hAnsi="Arial"/>
                <w:sz w:val="18"/>
                <w:szCs w:val="18"/>
                <w:color w:val="auto"/>
                <w:w w:val="84"/>
              </w:rPr>
              <w:t>2021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jc w:val="right"/>
              <w:ind w:right="7270"/>
              <w:spacing w:after="0"/>
              <w:rPr>
                <w:sz w:val="20"/>
                <w:szCs w:val="20"/>
                <w:color w:val="auto"/>
              </w:rPr>
            </w:pPr>
            <w:r>
              <w:rPr>
                <w:rFonts w:ascii="Arial" w:cs="Arial" w:eastAsia="Arial" w:hAnsi="Arial"/>
                <w:sz w:val="18"/>
                <w:szCs w:val="18"/>
                <w:color w:val="auto"/>
                <w:w w:val="84"/>
              </w:rPr>
              <w:t>2022</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jc w:val="right"/>
              <w:ind w:right="7270"/>
              <w:spacing w:after="0"/>
              <w:rPr>
                <w:sz w:val="20"/>
                <w:szCs w:val="20"/>
                <w:color w:val="auto"/>
              </w:rPr>
            </w:pPr>
            <w:r>
              <w:rPr>
                <w:rFonts w:ascii="Arial" w:cs="Arial" w:eastAsia="Arial" w:hAnsi="Arial"/>
                <w:sz w:val="18"/>
                <w:szCs w:val="18"/>
                <w:color w:val="auto"/>
                <w:w w:val="84"/>
              </w:rPr>
              <w:t>2023</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jc w:val="right"/>
              <w:ind w:right="701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2015 remain subject to examination by federal, state and foreign tax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12. Subsequent Events</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Paycheck Protection Program Loan </w:t>
      </w:r>
      <w:r>
        <w:rPr>
          <w:rFonts w:ascii="Arial" w:cs="Arial" w:eastAsia="Arial" w:hAnsi="Arial"/>
          <w:sz w:val="17"/>
          <w:szCs w:val="17"/>
          <w:color w:val="auto"/>
        </w:rPr>
        <w:t>– On April 10, 2020, the Company received the proceeds from a loan in the amount of approximately $4.9 million (the</w:t>
      </w:r>
      <w:r>
        <w:rPr>
          <w:rFonts w:ascii="Arial" w:cs="Arial" w:eastAsia="Arial" w:hAnsi="Arial"/>
          <w:sz w:val="17"/>
          <w:szCs w:val="17"/>
          <w:i w:val="1"/>
          <w:iCs w:val="1"/>
          <w:color w:val="auto"/>
        </w:rPr>
        <w:t xml:space="preserve"> </w:t>
      </w:r>
      <w:r>
        <w:rPr>
          <w:rFonts w:ascii="Arial" w:cs="Arial" w:eastAsia="Arial" w:hAnsi="Arial"/>
          <w:sz w:val="17"/>
          <w:szCs w:val="17"/>
          <w:color w:val="auto"/>
        </w:rPr>
        <w:t>“PPP Loan”) from JPMorgan Chase Bank, N.A., as lender, pursuant to the Paycheck Protection Program (“PPP”) of the Coronavirus Aid, Relief, and Economic Security Act (the “CARES Act”). The PPP Loan matures on April 9, 2022 and bears interest at a rate of 0.98% per annum. Commencing November 9, 2020, the Company is required to pay the lender equal monthly payments of principal and interest as required to fully amortize by April 9, 2022 the principal amount outstanding on the PPP Loan as of October 9, 2020. The PPP Loan is evidenced by a promissory note dated April 9, 2020, which contains customary events of default relating to, among other things, payment defaults and breaches of representations and warranties. The PPP Loan may be prepaid by the Company at any time prior to maturity with no prepayment penalties.</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or a portion of the PPP Loan may be forgiven by the U.S. Small Business Administration (“SBA”) upon application by the Company beginning 60 days but not later than 120 days after loan approval and upon documentation of expenditures in accordance with the SBA requirements. Under the CARES Act, loan forgiveness is available for the sum of documented payroll costs, covered rent payments, covered interest and covered utilities during the eight week period beginning on the date of loan approval. For purposes of the CARES Act, payroll costs exclude compensation of an individual employee in excess of $100,000, prorated annually. Not more than 25% of the forgiven amount may be for non-payroll costs. Forgiveness is reduced if full-time headcount declines, or if salaries and wages for employees with salaries of $100,000 or less annually are reduced by more than 25%. In the event the PPP Loan, or any portion thereof, is forgiven pursuant to the PPP, the amount forgiven is applied to outstanding principal.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intends to use all proceeds from the PPP Loan to retain employees, maintain payroll and make lease, interest and utility payments.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2019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endocrinology and orphan lung diseases. Our only approved product, Afrezza, is an ultra rapid-acting inhaled insulin that was approved by the FDA in June 2014 to improve glycemic control in adult patients with diabetes. Afrezza became available by prescription in United States retail pharmacies in February 2015.</w:t>
      </w:r>
    </w:p>
    <w:p>
      <w:pPr>
        <w:spacing w:after="0" w:line="1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need to raise additional capital to fund our operations, our ability to successfully commercialize Afrezza, our ability to manufacture sufficient quantities of Afrezza and competition from other products and technologies. Other significant risks also include the risks inherent in clinical trials and the regulatory approval process for our product candidates, which in some cases depends upon the efforts of our partners.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 additional risk to our business emerged in March 2020, as a result of the threat of the COVID-19 pandemic in the United States and throughout the world. Beginning the week of March 16, 2020, approximately 70% of our workforce began working from home either all or substantially all of the time; the remaining 30% of our workforce represented certain employees in our Connecticut facility who are essential for the production of Afrezza. The effects of the stay-at-home orders and our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w:t>
      </w:r>
    </w:p>
    <w:p>
      <w:pPr>
        <w:spacing w:after="0" w:line="19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COVID-19 pandemic is expected to negatively impact our near-term revenues from Afrezza. In response, we have taken measures to counteract a potential decline in sales, including the implementation of cost saving measures to reduce payroll costs, professional fees, supplier and other vendor costs. On April 27, 2020, we also implemented a 20% pay reduction for certain employees whose payroll costs exceed $100,000, including executive officers, which we expect to maintain for at least 10 weeks. In addition, we obtained a $4.9 million loan through JP Morgan Chase Bank, N.A. under the Paycheck Protection Program of the CARES Act, all or a portion of which may be forgiven, which we intend to use to retain employees, maintain payroll and make lease, interest and utility payments (see Note 12 – Subsequent Events in the condensed consolidated financial statements included in Part I – Financial Statements (Unaudited) for more information).</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COVID-19 pandemic continues to rapidly evolve. The ultimate impact of the COVID-19 pandemic or a similar health pandemic or epidemic is highly uncertain and subject to change. We do not yet know the full extent of potential delays or impacts on our business, our clinical trials, commercialization efforts, healthcare systems or the global economy as a whole. These effects could have a material impact on our operations, and we will continue to monitor the COVID-19 situation closely.</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March 31, 2020, we had an accumulated deficit of $3.0 billion and a stockholders’ deficit of $198.1 million. We had net loss of $9.3 million for the three months ended March 31, 2020. To date, we have funded our operations through the sale of equity and convertible debt securities, from the receipt of upfront and milestone payments from certain collaborations, and from borrowings under certain loan arrangements. As discussed below in “Liquidity and Capital Resources,” if we are unable to obtain additional funding, there will continue to be substantial doubt about our ability to continue as a going concern.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Our critical accounting policies can be found in Item 7. Management’s Discussion and Analysis of Financial Condition and Results of Operations in our Form 10-K for the year ended December 31, 2019. See Note 1 – </w:t>
      </w:r>
      <w:r>
        <w:rPr>
          <w:rFonts w:ascii="Arial" w:cs="Arial" w:eastAsia="Arial" w:hAnsi="Arial"/>
          <w:sz w:val="16"/>
          <w:szCs w:val="16"/>
          <w:i w:val="1"/>
          <w:iCs w:val="1"/>
          <w:color w:val="auto"/>
        </w:rPr>
        <w:t>Description of Business and Significant Accounting Policies</w:t>
      </w:r>
      <w:r>
        <w:rPr>
          <w:rFonts w:ascii="Arial" w:cs="Arial" w:eastAsia="Arial" w:hAnsi="Arial"/>
          <w:sz w:val="16"/>
          <w:szCs w:val="16"/>
          <w:color w:val="auto"/>
        </w:rPr>
        <w:t xml:space="preserve"> in the condensed consolidated financial statements included in Part I – Financial Statements (Unaudited) for descriptions of the new accounting policies and impact of adoption.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comparison of the revenue categories for the three months ended March 31, 2020 and 2019 (dollars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8"/>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Gross revenue from product sales</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13,931</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8,208</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5,723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r>
      <w:tr>
        <w:trPr>
          <w:trHeight w:val="215"/>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(5,931)</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(3,132)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2,924</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(4,137)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23"/>
        </w:trPr>
        <w:tc>
          <w:tcPr>
            <w:tcW w:w="50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17,448</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(1,213)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Gross revenue from the sales of Afrezza increased by $5.7 million, or 70%, for the three months ended March 31, 2020 compared to the same period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prior year. The increase was primarily driven by higher product demand, a price increase, a more favorable mix of Afrezza cartridges, and $0.9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a reduction in wholesaler channel inventory in the first quarter of 2019. The gross-to-net adjustment was $5.9 million (or 43% of gross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2020, compared to $3.1 million (or 38% of gross revenue) for the same period in the prior year. The increase of $2.8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was primarily due to an increase in accounting estimates of product returns and an increase in utilization of our patient co-pay assistance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programs. As a result, net revenue from the sales of Afrezza increased by $2.9 million, or 58%, for the three months ended March 31, 2020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year period. We believe some of the increased demand for Afrezza seen in the first quarter of 2020 was due to patients stockpiling extra refills of their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prescriptions as stay-at-home orders began to be implemented around the country in response to the COVID-19 pandemic. The ultimate impact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pandemic on our operations is highly uncertain; therefore, the results of revenue from our commercial sales for the first quarter of 2020 should not be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an indication of likely sales trends for the remainder of 2020.</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revenue from collaborations and services decreased by $4.1 million, or 33%, for the three months ended March 31, 2020 compared to the same period in the prior year. This was primarily driven by a $4.5 million decrease in revenue recognized from the UT Research Agreement, which was substantially completed by the second quarter of 2019 (see Note 7 — Collaboration and Licensing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provide a comparison of the commercial product gross profit categories for the three months ended March 31, 2020 and 2019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Change</w:t>
            </w:r>
          </w:p>
        </w:tc>
        <w:tc>
          <w:tcPr>
            <w:tcW w:w="11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0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8,000</w:t>
            </w:r>
          </w:p>
        </w:tc>
        <w:tc>
          <w:tcPr>
            <w:tcW w:w="3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5,076</w:t>
            </w:r>
          </w:p>
        </w:tc>
        <w:tc>
          <w:tcPr>
            <w:tcW w:w="240" w:type="dxa"/>
            <w:vAlign w:val="bottom"/>
          </w:tcPr>
          <w:p>
            <w:pPr>
              <w:spacing w:after="0"/>
              <w:rPr>
                <w:sz w:val="19"/>
                <w:szCs w:val="19"/>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2,924</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2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4,164</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4,020</w:t>
            </w: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63"/>
        </w:trPr>
        <w:tc>
          <w:tcPr>
            <w:tcW w:w="4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128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3,836</w:t>
            </w:r>
          </w:p>
        </w:tc>
        <w:tc>
          <w:tcPr>
            <w:tcW w:w="30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1,056</w:t>
            </w:r>
          </w:p>
        </w:tc>
        <w:tc>
          <w:tcPr>
            <w:tcW w:w="24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2,780</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2"/>
                <w:szCs w:val="22"/>
                <w:color w:val="auto"/>
              </w:rPr>
            </w:pPr>
          </w:p>
        </w:tc>
      </w:tr>
      <w:tr>
        <w:trPr>
          <w:trHeight w:val="210"/>
        </w:trPr>
        <w:tc>
          <w:tcPr>
            <w:tcW w:w="4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7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648"/>
        </w:trPr>
        <w:tc>
          <w:tcPr>
            <w:tcW w:w="4380" w:type="dxa"/>
            <w:vAlign w:val="bottom"/>
          </w:tcPr>
          <w:p>
            <w:pPr>
              <w:spacing w:after="0"/>
              <w:rPr>
                <w:sz w:val="24"/>
                <w:szCs w:val="24"/>
                <w:color w:val="auto"/>
              </w:rPr>
            </w:pPr>
          </w:p>
        </w:tc>
        <w:tc>
          <w:tcPr>
            <w:tcW w:w="2000" w:type="dxa"/>
            <w:vAlign w:val="bottom"/>
            <w:gridSpan w:val="2"/>
          </w:tcPr>
          <w:p>
            <w:pPr>
              <w:jc w:val="right"/>
              <w:ind w:right="579"/>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0" w:name="page31"/>
    <w:bookmarkEnd w:id="30"/>
    <w:p>
      <w:pPr>
        <w:ind w:right="140"/>
        <w:spacing w:after="0" w:line="273" w:lineRule="auto"/>
        <w:rPr>
          <w:sz w:val="20"/>
          <w:szCs w:val="20"/>
          <w:color w:val="auto"/>
        </w:rPr>
      </w:pPr>
      <w:r>
        <w:rPr>
          <w:rFonts w:ascii="Arial" w:cs="Arial" w:eastAsia="Arial" w:hAnsi="Arial"/>
          <w:sz w:val="17"/>
          <w:szCs w:val="17"/>
          <w:color w:val="auto"/>
        </w:rPr>
        <w:t>Commercial product gross profit for the three months ended March 31, 2020 increased by $2.8 million, or 263%, compared to the same period in the prior year. Gross margin for the three months ended March 31, 2020 increased to 48% from 21% for the same period in the prior year. The increase in gross profit and gross margin was primarily attributable to higher commercial product sales. While cost of goods sold increased by $0.1 million, or 4%, for the three months ended March 31, 2020 compared to the same period in the prior year, primarily attributable to $0.5 million of inventory write-offs and an increase of $0.5 million in costs associated with unit increases of Afrezza sales, partially offset by a $0.9 million decrease related to increased manufacturing activities that resulted in a greater amount of costs capitalized to inventory.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comparison of the expense categories for the three months ended March 31, 2020 and 2019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8"/>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4,164</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4,020</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(10,503)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7,024</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(820)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commitment asset</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Gain on foreign currency translation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4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(7,606)</w:t>
            </w:r>
          </w:p>
        </w:tc>
        <w:tc>
          <w:tcPr>
            <w:tcW w:w="1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Cost of revenue — collaborations and services increased by $1.8 million, or 119%, for the three months ended March 31, 2020 compared to the same period in the prior year. The increase was attributable to resource costs related to conducting activities for our collaboration partners, Cipla and UT.</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remained consistent with an increase of $0.1 million, or 5%, for the three months ended March 31, 2020 compared to the same period in the prior year.</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Selling expenses decreased by $10.5 million, or 56%, for the three months ended March 31, 2020 compared to the same period in the prior year. The decrease was primarily attributable to a $9.3 million decrease in costs for television advertising for Afrezza and a $1.1 million decrease from a reduction in promotional and marketing activities.</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General and administrative expenses decreased by $0.8 million, or 12%, for the three months ended March 31, 2020 compared to the same period in the prior year. This decrease was primarily attributable to a $0.8 million decrease in personnel and employee related costs, a $0.3 million decrease in consulting and professional costs and a $0.2 million increase in costs related to corporate branding.</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During the three months ended March 31, 2020, an impairment of $1.5 million was recognized for a commitment asset related to the future funding commitments of the MidCap Credit Facility (see Note 1 – </w:t>
      </w:r>
      <w:r>
        <w:rPr>
          <w:rFonts w:ascii="Arial" w:cs="Arial" w:eastAsia="Arial" w:hAnsi="Arial"/>
          <w:sz w:val="18"/>
          <w:szCs w:val="18"/>
          <w:i w:val="1"/>
          <w:iCs w:val="1"/>
          <w:color w:val="auto"/>
        </w:rPr>
        <w:t>Description of Business and Significant Accounting Policies</w:t>
      </w:r>
      <w:r>
        <w:rPr>
          <w:rFonts w:ascii="Arial" w:cs="Arial" w:eastAsia="Arial" w:hAnsi="Arial"/>
          <w:sz w:val="18"/>
          <w:szCs w:val="18"/>
          <w:color w:val="auto"/>
        </w:rPr>
        <w:t xml:space="preserve"> and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in the condensed consolidated financial statements included in Part I – Financial Statements (Unaudited). There were no asset impairments for the three months ended March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months ended March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8"/>
              </w:rPr>
              <w:t>Three Months Ended March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(1,080)</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 expense</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31" w:name="page32"/>
    <w:bookmarkEnd w:id="31"/>
    <w:p>
      <w:pPr>
        <w:ind w:right="200"/>
        <w:spacing w:after="0" w:line="277" w:lineRule="auto"/>
        <w:rPr>
          <w:sz w:val="20"/>
          <w:szCs w:val="20"/>
          <w:color w:val="auto"/>
        </w:rPr>
      </w:pPr>
      <w:r>
        <w:rPr>
          <w:rFonts w:ascii="Arial" w:cs="Arial" w:eastAsia="Arial" w:hAnsi="Arial"/>
          <w:sz w:val="18"/>
          <w:szCs w:val="18"/>
          <w:color w:val="auto"/>
        </w:rPr>
        <w:t>Interest income decreased by $0.2 million, or 58%, for the three months ended March 31, 2020 compared to the same period in the prior year, which was primarily attributable to a lower balance and a lower interest rate on our money market funds and short-term investments.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Interest expense on notes increased by $0.5 million, or 81%, for the three months ended March 31, 2020 compared to the same period in the prior year. The increase was primarily attributable to the new MidCap Credit Facility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in the condensed consolidated financial statements included in Part I – Financial Statements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and from borrowings under certain loan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had $120.3 million principal amount of outstanding debt consisting of:</w:t>
      </w:r>
    </w:p>
    <w:p>
      <w:pPr>
        <w:spacing w:after="0" w:line="117" w:lineRule="exact"/>
        <w:rPr>
          <w:sz w:val="20"/>
          <w:szCs w:val="20"/>
          <w:color w:val="auto"/>
        </w:rPr>
      </w:pPr>
    </w:p>
    <w:p>
      <w:pPr>
        <w:ind w:left="1020" w:right="160" w:hanging="499"/>
        <w:spacing w:after="0" w:line="263"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payable in equal monthly installments beginning in August 2021 through maturity in August 2024;</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$5.2 million principal amount of 2020 notes, half of which mature in June 2020 and half of which mature in December 2020; and</w:t>
      </w:r>
    </w:p>
    <w:p>
      <w:pPr>
        <w:spacing w:after="0" w:line="117" w:lineRule="exact"/>
        <w:rPr>
          <w:rFonts w:ascii="Arial" w:cs="Arial" w:eastAsia="Arial" w:hAnsi="Arial"/>
          <w:sz w:val="18"/>
          <w:szCs w:val="18"/>
          <w:color w:val="auto"/>
        </w:rPr>
      </w:pPr>
    </w:p>
    <w:p>
      <w:pPr>
        <w:jc w:val="both"/>
        <w:ind w:left="1000" w:right="1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promissory notes bearing interest at a fixed rate of 7.00% per annum compounded quarterly and maturing in November 2024, $35.0 million of which is convertible into shares of our common stock at the option of the Mann Group at a conversion price of $2.50 per share. Interest is paid-in-kind from August 2019 until the end of 2020, after which we have the option to either pay interest in-kind or in shares.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There can be no assurance that we will have sufficient resources to make any required repayments of principal under the MidCap Credit Facility, the 2024 convertible notes, the 2020 notes or the Mann Group promissory notes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The 2024 convertible notes and the Mann Group convertible note are fully convertible at any time prior to maturity as further disclosed in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To date, we have been able to timely make our required interest payments, but we cannot guarantee that we will be able to do so in the future. If we fail to pay interest on the 2024 convertible notes or under the MidCap Credit Facility, or if we fail to repay or repurchase the 2024 convertible notes, the 2020 notes, Mann Group promissory notes or borrowings under the MidCap Credit Facility,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7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 xml:space="preserve">In July 2013, we issued Milestone Rights to the Milestone Purchasers. The Milestone Rights provide the Milestone Purchasers certain rights to receive payments of up to $90.0 million upon the occurrence of specified strategic and sales milestones, $70.0 million of which remains payable upon achievement of such milestones. See Note 10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further information related to the Milestone Rights.</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and other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three months ended March 31, 2020, we used $11.2 million of cash for our operating activities as a result of our net loss of $9.3 million, the increase in operating assets and liabilities of $5.3 million and non-cash charges of $3.4 million. The increase in operating asset and liabilities was primarily a result of deferred revenue amortization of $8.2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ind w:right="60"/>
        <w:spacing w:after="0" w:line="257" w:lineRule="auto"/>
        <w:rPr>
          <w:sz w:val="20"/>
          <w:szCs w:val="20"/>
          <w:color w:val="auto"/>
        </w:rPr>
      </w:pPr>
      <w:r>
        <w:rPr>
          <w:rFonts w:ascii="Arial" w:cs="Arial" w:eastAsia="Arial" w:hAnsi="Arial"/>
          <w:sz w:val="18"/>
          <w:szCs w:val="18"/>
          <w:color w:val="auto"/>
        </w:rPr>
        <w:t>During the three months ended March 31, 2019, we used $11.6 million of cash for our operating activities as a result of our net loss of $14.9 million, offset by a net increase in operating assets and liabilities of $2.2 million and non-cash charges of $1.1 million. The increase in operating assets and liabilities was primarily a result of increases in deferred revenue from a milestone payment from UT of $12.5 million, accrued expenses and other current liabilities of $2.3 million, and accounts payable of $1.6 million, partially offset by deferred revenue amortization of $12.4 million and recognized loss on purchase commitments of $2.0 million.</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provided by investing activities of $19.9 million for the three months ended March 31, 2020 was primarily due to the proceeds from the sale of treasury bills. Cash used in investing activities was $25.0 million for the three months ended March 31, 2019, primarily driven by investments in short-term treasury bills.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provided by financing activities of $0.3 million for the three months ended March 31, 2020 was primarily due to proceeds from the issuance of at-the-market offerings of $0.7 million, partially offset by the payment of employment taxes related to vested restricted stock units of $0.3 million. There was no cash provided by financing activities for the three months ended March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not currently profitable and have rarely generated positive net cash flows from operations. In addition, we expect to continue to incur significant expenditures for the foreseeable future in support of our manufacturing operations, sales and marketing costs for Afrezza, and collaboration and development costs for product candidates in our pipeline. As of March 31, 2020, we had an accumulated deficit of $3.0 billion and $120.3 million of total principal amount of outstanding borrowings, with limited capital resources of $38.9 million in cash and cash equivalents. These financial conditions raise substantial doubt about our ability to continue as a going concern.</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capital resources may not be sufficient to continue to meet our current and anticipated obligations over the next twelve months if we cannot increase our operating cash inflows by growing our prescription and revenue base and by obtaining access to the remaining $25.0 million borrowings that may become available under the MidCap Credit Facility (which, in turn, requires us to grow Afrezza revenue before we can access such funds). The COVID-19 pandemic is expected to negatively impact our near-term revenues from Afrezza, which shortens our cash runway and increases the risk of non-compliance with the minimum revenue covenant in the MidCap Credit Facility described below. In response, we have taken measures to counteract an anticipated decline in sales, including the implementation of cost saving measures to reduce payroll costs, professional fees, supplier and other vendor costs. In addition, in April 2020 we received proceeds of $4.9 million from a loan under the Paycheck Protection Program of the CARES Act, at least 75% of which we intend to use to maintain payroll and retain employees, particularly those who are responsible for growing Afrezza prescriptions and revenue.</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ability to draw Tranche 3 of the MidCap Credit Facility depends on our ability to achieve certain trailing 12-month Afrezza net revenue targets, which we are unlikely to achieve. The availability of Tranche 3 also depends on TreT achieving certain development milestones, which is likely to be negatively impacted by the COVID-19 pandemic. In the event our capital resources are not sufficient, we may need to raise additional capital by selling equity or debt securities, entering into strategic business collaboration agreements with other companies, seeking other funding facilities or licensing arrangements, selling assets or by other means. However, we cannot provide assurances that additional capital will be available on acceptable terms or at all. In addition, the COVID-19 pandemic is currently causing disruption of global financial markets. This disruption, if sustained or recurrent, could prevent us or make it more difficult for us to access capital or make it difficult to comply with the covenants contained in the MidCap Credit Facility, which could negatively affect our liquidity.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6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expectation that COVID-19 will negatively impact near-term revenues from Afrezza could also affect our compliance with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spacing w:after="0" w:line="289" w:lineRule="auto"/>
        <w:rPr>
          <w:sz w:val="20"/>
          <w:szCs w:val="20"/>
          <w:color w:val="auto"/>
        </w:rPr>
      </w:pPr>
      <w:r>
        <w:rPr>
          <w:rFonts w:ascii="Arial" w:cs="Arial" w:eastAsia="Arial" w:hAnsi="Arial"/>
          <w:sz w:val="16"/>
          <w:szCs w:val="16"/>
          <w:color w:val="auto"/>
        </w:rPr>
        <w:t>We may not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2020 notes,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66"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If we are unable to meet our current and anticipated obligations over the next twelve months through our existing capital resources, or obtain new sources of capital when needed, we may have to delay or reduce the scope of our manufacturing operations, reduce or eliminate one or more of our development programs, or make significant changes to our operating plan. These factors raise substantial doubt about our ability to continue as a going concern.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Note 10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12 –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right="40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20"/>
        <w:spacing w:after="0" w:line="296" w:lineRule="auto"/>
        <w:rPr>
          <w:sz w:val="20"/>
          <w:szCs w:val="20"/>
          <w:color w:val="auto"/>
        </w:rPr>
      </w:pPr>
      <w:r>
        <w:rPr>
          <w:rFonts w:ascii="Arial" w:cs="Arial" w:eastAsia="Arial" w:hAnsi="Arial"/>
          <w:sz w:val="16"/>
          <w:szCs w:val="16"/>
          <w:color w:val="auto"/>
        </w:rPr>
        <w:t xml:space="preserve">Interest on borrowings under the MidCap Credit Facility is determined, for any one-month period, on the basis of one-month LIBOR in effect at the beginning of such period plus 6.75%, subject to a one-month LIBOR floor of 2.00%.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promissory notes is fixed at 7.00% and the interest rate under the 2024 convertible notes is fixed at 5.75%. See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information about the principal amount of outstanding debt.</w:t>
      </w:r>
    </w:p>
    <w:p>
      <w:pPr>
        <w:spacing w:after="0" w:line="1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a change in the one-month LIBOR interest rate equal to 10% of the one-month LIBOR interest rate on March 31, 2020 were to have occurred, this change would not have a material effect on our interest payment obligation.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Euro. For the three months ended March 31, 2020, we realized a $1.8 million currency gain, which was included in gain on foreign currency translation in the accompanying condensed consolidated statements of operations. Exchange rate fluctuations may adversely affect our expenses, results of operations, financial position and cash flows. If a change in the U.S. dollar to Euro exchange rate equal to 10% of the U.S. dollar to Euro exchange rate on March 31, 2020 were to have occurred, this change would have resulted in a foreign currency impact to our pre-tax loss of approximately $9.0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March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2020, we have concluded, as of such date, that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w:t>
      </w:r>
    </w:p>
    <w:p>
      <w:pPr>
        <w:spacing w:after="0" w:line="181"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to fund our operations, and there is substantial doubt about our ability to continue as a going concern.*</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report includes disclosures stating that our existing cash resources and our accumulated deficit raise substantial doubt about our ability to continue as a going concern. As of March 31, 2020, we had cash and cash equivalents of $38.9 million and accumulated deficit of $3.0 billion.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70"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degree to which revenue from Afrezza continues to grow in excess of the minimum revenue covenants under the MidCap Credit Facility;</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degree to which we are able to generate revenue from our Technosphere drug delivery platform, including through our collaborations;</w:t>
      </w:r>
    </w:p>
    <w:p>
      <w:pPr>
        <w:spacing w:after="0" w:line="140" w:lineRule="exact"/>
        <w:rPr>
          <w:rFonts w:ascii="Arial" w:cs="Arial" w:eastAsia="Arial" w:hAnsi="Arial"/>
          <w:sz w:val="16"/>
          <w:szCs w:val="16"/>
          <w:color w:val="auto"/>
        </w:rPr>
      </w:pPr>
    </w:p>
    <w:p>
      <w:pPr>
        <w:ind w:left="1000" w:right="134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1000" w:right="3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satisfy the milestone conditions necessary to access additional borrowings under the MidCap Credit Facility;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obligation to make milestone payments;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actions taken by the FDA and other regulatory authorities affecting Afrezza and our product candidates and competitive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COVID-19 pandemic is currently causing disruption of global financial markets. This disruption, if sustained or recurrent, could prevent us or make it more difficult for us to access capital or make it difficult to comply with the covenants contained in the MidCap Credit Facility, which could negatively affect our liquidity.</w:t>
      </w:r>
    </w:p>
    <w:p>
      <w:pPr>
        <w:spacing w:after="0" w:line="1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ind w:right="40"/>
        <w:spacing w:after="0" w:line="286" w:lineRule="auto"/>
        <w:rPr>
          <w:sz w:val="20"/>
          <w:szCs w:val="20"/>
          <w:color w:val="auto"/>
        </w:rPr>
      </w:pPr>
      <w:r>
        <w:rPr>
          <w:rFonts w:ascii="Arial" w:cs="Arial" w:eastAsia="Arial" w:hAnsi="Arial"/>
          <w:sz w:val="16"/>
          <w:szCs w:val="16"/>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relative to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7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fail to achieve commercialize success with Afrezza in the United States, our business, financial condition and results of operations will be materially and adversely affected.</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and there is substantial doubt about our ability to continue as a going concern.”</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Our business, product sales, results of operations and ability to access capital could be adversely affected by the effects of health pandemics or epidemics, including the recent COVID-19 pandemic, in regions where we or third parties distribute our products or where we or third parties on which we rely have significant manufacturing facilities, concentrations of clinical trial sites or other business operations. The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business could be adversely affected by the effects of health pandemics or epidemics in regions where we have business operations, and could cause significant disruption in the operations of third-party manufacturers and distributors upon whom we rely.</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example, in December 2019, a novel strain of coronavirus, SARS-CoV-2, causing a disease referred to as COVID-19, was reported to have surfaced in Wuhan, China. Since then, COVID-19 has spread to the United States and most countries around the world. Our headquarters is located in California, and our manufacturing facility is located in Connecticut. In addition, we have a distributor in Brazil, a partner preparing to conduct a clinical trial in India and suppliers located in various European countries.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line="287" w:lineRule="auto"/>
        <w:rPr>
          <w:sz w:val="20"/>
          <w:szCs w:val="20"/>
          <w:color w:val="auto"/>
        </w:rPr>
      </w:pPr>
      <w:r>
        <w:rPr>
          <w:rFonts w:ascii="Arial" w:cs="Arial" w:eastAsia="Arial" w:hAnsi="Arial"/>
          <w:sz w:val="16"/>
          <w:szCs w:val="16"/>
          <w:color w:val="auto"/>
        </w:rPr>
        <w:t>On March 4, 2020, the Governor of California declared a state of emergency as a result of the threat of COVID-19 and subsequently issued an order closing all non-essential businesses, which took effect on March 19, 2020. The Governor of Connecticut issued a similar order on March 23, 2020. The World Health Organization declared the COVID-19 outbreak a pandemic on March 11, 2020, and the U.S. government imposed travel restrictions on travel between the United States, Europe and certain other countries effective March 14, 2020. The President of the United States declared the COVID-19 pandemic a national emergency on March 13, 2020, invoking powers under the Stafford Act, the legislation that directs a federal emergency disaster response. Beginning the week of March 16, 2020, approximately 70% of our workforce began working from home either all or substantially all of the time; the remaining 30% of our workforce represented certain employees in our Connecticut facility who are essential for the production of Afrezza and Treprostinil Technosphere. The effects of the stay-at-home orders and our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These and similar, and perhaps more severe, disruptions in our operations due to COVID-19 could negatively impact our business, operating results and financial condition.</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during 2020, a prolonged supply interruption of certain components could adversely affect our ability to conduct commercialization activities and planned clinical trials.</w:t>
      </w:r>
    </w:p>
    <w:p>
      <w:pPr>
        <w:spacing w:after="0" w:line="188"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Sales and demand for Afrezza may be adversely affected by the global COVID-19 pandemic. Our work-at-home policy included our sales representatives, who normally conduct in-person office visits with healthcare providers. Although we have developed digital materials and programs for our sales force to use in order to continue to engage virtually with their target physicians, there can be no assurance that these new tools and approaches will be effective at sustaining prescription levels of Afrezza. Disruptions in the prescription volume of Afrezza could also occur:</w:t>
      </w:r>
    </w:p>
    <w:p>
      <w:pPr>
        <w:spacing w:after="0" w:line="63"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 of high unemployment, or</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payors, distributors, logistics providers and other third parties that are necessary for Afrezza to be prescribed and reimbursed.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our planned clinical trials of Afrezza and those of our partner for TreT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The COVID-19 pandemic is expected to negatively impact our near-term revenues from Afrezza. In response, we have taken measures to counteract an anticipated decline in sales, including the implementation of cost saving measures to reduce payroll costs, professional fees, supplier and other vendor costs. On April 27, 2020, we also implemented a 20% pay reduction for certain employees whose payroll costs exceed $100,000, including executive officers, which we expect to maintain for at least 10 weeks. In addition, we obtained a $4.9 million loan under the Paycheck Protection Program of the CARES Act, which we intend to use to retain employees, maintain payroll and make lease, interest and utility payments. While the potential economic impact brought by, and the duration of, the COVID-19 pandemic may be difficult to assess or predict, the pandemic is currently resulting in disruption of global financial markets. This disruption, if sustained or recurrent, could make it more difficult for us to access capital or to comply with the covenants contained in the MidCap Credit Facility, which could negatively affect our liquidity. In addition, a recession or market correction resulting from the spread of COVID-19 could materially affect our business and the value of our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80"/>
        <w:spacing w:after="0" w:line="259" w:lineRule="auto"/>
        <w:rPr>
          <w:sz w:val="20"/>
          <w:szCs w:val="20"/>
          <w:color w:val="auto"/>
        </w:rPr>
      </w:pPr>
      <w:r>
        <w:rPr>
          <w:rFonts w:ascii="Arial" w:cs="Arial" w:eastAsia="Arial" w:hAnsi="Arial"/>
          <w:sz w:val="18"/>
          <w:szCs w:val="18"/>
          <w:color w:val="auto"/>
        </w:rPr>
        <w:t>The COVID-19 pandemic continues to rapidly evolve. The ultimate impact of the COVID-19 pandemic or a similar health pandemic or epidemic is highly uncertain and subject to change. We do not yet know the full extent of potential delays or impacts on our business, our clinical trials, commercialization efforts, healthcare systems or the global economy as a whole. These effects could have a material impact on our operations, and we will continue to monitor the COVID-19 situation closely.</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the development and commercialization of Afrezza, we will likely not be able to advance these programs into clinical development unless we are able to obtain specific funding for these programs or enter into collaborations with third parties.</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not currently profitable and have rarely generated positive net cash flow from operations. As of March 31, 2020, we had an accumulated deficit of $3.0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March 31, 2020, there was €82.0 million remaining in aggregate purchase commitments under this agreement. We may not have the necessary capital resources to service this contractual commitment.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jc w:val="both"/>
        <w:ind w:right="240"/>
        <w:spacing w:after="0" w:line="263"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notes to our condensed consolidated financial statements in this Quarterly Report on Form 10-Q provide details about our various debt obligations. As of March 31, 2020, we had $120.3 million principal amount of outstanding debt, consisting of:</w:t>
      </w:r>
    </w:p>
    <w:p>
      <w:pPr>
        <w:spacing w:after="0" w:line="62" w:lineRule="exact"/>
        <w:rPr>
          <w:sz w:val="20"/>
          <w:szCs w:val="20"/>
          <w:color w:val="auto"/>
        </w:rPr>
      </w:pPr>
    </w:p>
    <w:p>
      <w:pPr>
        <w:ind w:left="1000" w:right="18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payable in equal monthly installments beginning in August 2021 through maturity in August 2024;</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 million principal amount of the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5"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$5.2 million in respect of the 2020 notes, each in the amount of $2.6 million, one of which will mature on June 30, 2020 and the other of which will mature on December 31, 2020; and</w:t>
      </w:r>
    </w:p>
    <w:p>
      <w:pPr>
        <w:spacing w:after="0" w:line="62" w:lineRule="exact"/>
        <w:rPr>
          <w:rFonts w:ascii="Arial" w:cs="Arial" w:eastAsia="Arial" w:hAnsi="Arial"/>
          <w:sz w:val="18"/>
          <w:szCs w:val="18"/>
          <w:color w:val="auto"/>
        </w:rPr>
      </w:pPr>
    </w:p>
    <w:p>
      <w:pPr>
        <w:jc w:val="both"/>
        <w:ind w:left="1000" w:right="100" w:hanging="493"/>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promissory notes bearing interest at a fixed rate of 7.00% per annum compounded quarterly and maturing in November 2024, $35.0 million of which is convertible into shares of our common stock at the option of the Mann Group at a conversion price of $2.50 per share. Interest is paid-in-kind from August 2019 until the end of 2020, after which we have the option to either pay interest-in-kind or in shares.</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in April 2020 we received proceeds of $4.9 million from a loan under the Paycheck Protection Program of the CARES Act, all or a portion of which may be forgiven, which we intend to use to retain employees, maintain payroll and make lease, interest and utility payments. The PPP Loan matures on April 9, 2022 and bears interest at a rate of 0.98% per annum. Commencing November 9, 2020, we are required to pay the lender equal monthly payments of principal and interest as required to fully amortize by April 9, 2022 any principal amount outstanding on the PPP Loan as of October 9, 2020. All or a portion of the PPP Loan may be forgiven by the SBA upon application by us beginning 60 days but not later than 120 days after loan approval and upon documentation of expenditures in accordance with the SBA requirements. Under the CARES Act, loan forgiveness is available for the sum of documented payroll costs, covered rent payments, covered interest and covered utilities during the eight week period beginning on the date of loan approval. Not more than 25% of the forgiven amount may be for non-payroll costs. The amount of the PPP Loan eligible to be forgiven will be reduced if our full-time headcount declines, or if salaries and wages for employees with salaries of $100,000 or less annually are reduced by more than 25%. We will be required to repay any portion of the outstanding principal that is not forgiven, along with accrued interest, in accordance with the amortization schedule described above, and we cannot provide any assurance that we will be eligible for loan forgiveness or that any amount of the PPP Loan will ultimately be forgiven by the SBA. Furthermore, on April 28, 2020, the Secretary of the U.S. Department of the Treasury stated that the SBA will perform a full review of any PPP loan over $2.0 million before forgiving the loan.</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PPP Loan application required us to certify, among other things,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In addition, the SBA has stated that it is unlikely that a public company with substantial market value and access to capital markets will be able to make the required certification in good faith. The lack of clarity regarding loan eligibility under the Paycheck Protection Program has resulted in significant media coverage and controversy with respect to public companies applying for and receiving loans. If, despite our good-faith belief that we satisfied all eligible requirements for the PPP Loan, we are found to be in violation of any of the laws or governmental regulations that apply to us in connection with the PPP Loan, including the False Claims Act, or it is otherwise determined that we were not eligible to receive the PPP Loan, we may be subject to penalties, including significant civil, criminal and administrative penalties and could be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If we fail to take all actions necessary and promptly file all required reporting to ensure than no less than 90% of the PPP Loan is forgiven in accordance with the loan forgiveness provisions of the Paycheck Protection Program, we will be in violation of the consent given by MidCap with respect to such additional indebtedness, which could lead to an event of default under the MidCap Credit Facility. Any of these events could have a material adverse effect on our business, results of operations and financial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60"/>
        <w:spacing w:after="0" w:line="273" w:lineRule="auto"/>
        <w:rPr>
          <w:sz w:val="20"/>
          <w:szCs w:val="20"/>
          <w:color w:val="auto"/>
        </w:rPr>
      </w:pPr>
      <w:r>
        <w:rPr>
          <w:rFonts w:ascii="Arial" w:cs="Arial" w:eastAsia="Arial" w:hAnsi="Arial"/>
          <w:sz w:val="17"/>
          <w:szCs w:val="17"/>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and is currently scheduled to be phased out in 2021. Before one-month LIBOR is phased out, we may need to renegotiate the MidCap Credit Facility to replace one-month LIBOR with a new standard, which has yet to be established. The consequences of these developments cannot entirely be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MidCap Credit Facility, an advance of $25.0 million will be available to us until June 30, 2021, subject to the satisfaction of certain milestone conditions associated with Afrezza net revenue and certain milestone conditions related to our collaboration with United Therapeutics. As described in Part I, Item 2 of this Quarterly Report, it is unlikely that the milestone conditions for funding Tranche 3 related to Afrezza trailing net revenue will be achieved. In addition, the COVID-19 pandemic is expected to negatively impact TreT clinical development activities being conducted by United Therapeutics. These factors make it unlikely that we will be able to satisfy the milestone conditions necessary for us to draw the remaining advance under the MidCap Credit Facility.</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the MidCap Credit Facility, we must comply with a minimum cash covenant of $15.0 million at all times, which will increase to $20.0 million following the funding of an additional advance. Further, the MidCap Credit Facility requires us, and any debt arrangements we may enter into in the future may require us, to comply with various covenants that limit our ability to, among other things:</w:t>
      </w:r>
    </w:p>
    <w:p>
      <w:pPr>
        <w:spacing w:after="0" w:line="76"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expectation that COVID-19 will negatively impact near-term revenues from Afrezza could also affect our compliance with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40"/>
        <w:spacing w:after="0" w:line="269"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2020 notes,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w:t>
      </w:r>
    </w:p>
    <w:p>
      <w:pPr>
        <w:spacing w:after="0" w:line="153"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30"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1000" w:right="20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30"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FDKP, our Afrezza inhaler, the related cartridges and other materials. Currently, the only source of insulin that we have qualified for Afrezza is manufactured by Amphastar. We must rely on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use our Danbury, Connecticut facility to formulate both the Afrezza and TreT inhalation powders, fill plastic cartridges with the powders, package the cartridges in blister packs, and place the blister packs into foil pouches. We utilize a contract packager to assemble the final kits of Afrezza foil-pouched blister packs along with inhalers and the package inserts. The final responsibility for TreT packaging has not yet been determined.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ind w:right="20"/>
        <w:spacing w:after="0" w:line="255" w:lineRule="auto"/>
        <w:rPr>
          <w:sz w:val="20"/>
          <w:szCs w:val="20"/>
          <w:color w:val="auto"/>
        </w:rPr>
      </w:pPr>
      <w:r>
        <w:rPr>
          <w:rFonts w:ascii="Arial" w:cs="Arial" w:eastAsia="Arial" w:hAnsi="Arial"/>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3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 following:</w:t>
      </w:r>
    </w:p>
    <w:p>
      <w:pPr>
        <w:spacing w:after="0" w:line="129"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the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w:t>
      </w:r>
    </w:p>
    <w:p>
      <w:pPr>
        <w:spacing w:after="0" w:line="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increases. Moreover,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20"/>
        <w:spacing w:after="0" w:line="286" w:lineRule="auto"/>
        <w:rPr>
          <w:sz w:val="20"/>
          <w:szCs w:val="20"/>
          <w:color w:val="auto"/>
        </w:rPr>
      </w:pPr>
      <w:r>
        <w:rPr>
          <w:rFonts w:ascii="Arial" w:cs="Arial" w:eastAsia="Arial" w:hAnsi="Arial"/>
          <w:sz w:val="16"/>
          <w:szCs w:val="16"/>
          <w:color w:val="auto"/>
        </w:rPr>
        <w:t>their products and reduce the out of pocket costs of drug products paid by consumers. The Department of Health and Human Services (“HHS”) has solicited feedback on some of these measures and has implemented others under its existing authority. For example, in May 2019, the Centers for Medicare &amp; Medicaid Services (“CMS”) issued a final rule to allow Medicare Advantage Plans the option of using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stated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For example, it is possible that additional governmental action is taken to address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which are the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61"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7" w:name="page48"/>
    <w:bookmarkEnd w:id="47"/>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 *</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of 2017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 *</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of $2.1 billion and $1.3 billion, respectively, which we assess annually. A portion of our federal and state net operating loss carryforwards have begun to expire. Net operating loss carryforwards that expire unused will be unavailable to offset future income tax liabilities. Under the Tax Act as modified by the CARES Act,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the Tax Act or the CARES Act.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our net operating loss carryforwards and other tax attributes, and no additional changes in ownership that met the Section 382 ownership change threshold were identified through December 31, 2019. There is a risk that changes in ownership may occur in tax years after December 31, 2019.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w:t>
      </w:r>
    </w:p>
    <w:p>
      <w:pPr>
        <w:spacing w:after="0" w:line="2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8" w:name="page49"/>
    <w:bookmarkEnd w:id="48"/>
    <w:p>
      <w:pPr>
        <w:ind w:right="30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least for the foreseeable future, we expect that our manufacturing facility in Danbury, Connecticut will be the sole location for the manufacturing of Afrezza and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recent outbreak of COVID-19),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Additionally, natural disasters, public health pandemics or epidemics (including, for example, the COVID-19 pandemic), terrorism, war and telecommunication and electrical failures may result in damage to or the interruption or impairment of key business processes, or the loss or corruption of confidential information, including intellectual property, proprietary business information and personal information.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European Union may be a source of instability in international markets, create significant currency fluctuations and pose additional risks to our business.</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Following the result of a referendum in 2016, the U.K. left the EU on January 31, 2020. This event is commonly referred to as Brexit. Pursuant to the formal withdrawal arrangements agreed to between the U.K. and the EU, the U.K. will be subject to a transition period until December 31, 2020, (the “Transition Period”), during which EU rules will continue to apply. Negotiations between the U.K. and the EU are expected to continue in relation to the customs and trading relationship between the U.K. and the EU following the expiry of the Transition Period.</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uncertainty concerning the U.K’s legal, political and economic relationship with the EU after the Transition Period may be a source of instability in the international markets, create significant currency fluctuations, and/or otherwise adversely affect trading agreements or similar cross-border co-operation arrangements (whether economic, tax, fiscal, legal, regulatory or otherwise). 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7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 For example, with the approval of Afrezza, the FDA has required that we conduct a five-year, randomized, controlled trial in patients with type 2 diabetes, the primary objective of which is to compare the incidence of pulmonary malignancy observed with Afrezza to that observed in a standard of care control group. We have an ongoing dialogue with the FDA regarding the endpoints and goals for this long-term trial and have not yet commenced this trial.</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 *</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000" w:right="6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2" w:name="page53"/>
    <w:bookmarkEnd w:id="52"/>
    <w:p>
      <w:pPr>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00" w:right="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00" w:right="44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00" w:right="220" w:hanging="493"/>
        <w:spacing w:after="0" w:line="279"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Requirements to report annually to CMS certain financial arrangements with physicians, as defined by such law, and teaching hospitals, as defined in PPACA and its implementing regulations, including reporting any “payments or transfers of value” made or distributed to physicians and teaching hospitals and reporting any ownership and investment interests held by physicians and their immediate family members and applicable group purchasing organizations during the preceding calendar year;</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spacing w:after="0" w:line="267" w:lineRule="auto"/>
        <w:rPr>
          <w:sz w:val="20"/>
          <w:szCs w:val="20"/>
          <w:color w:val="auto"/>
        </w:rPr>
      </w:pPr>
      <w:r>
        <w:rPr>
          <w:rFonts w:ascii="Arial" w:cs="Arial" w:eastAsia="Arial" w:hAnsi="Arial"/>
          <w:sz w:val="17"/>
          <w:szCs w:val="17"/>
          <w:color w:val="auto"/>
        </w:rPr>
        <w:t>There remain judicial and congressional challenges to certain provisions of the PPACA, as well as efforts by the Trump administration to repeal or replace certain aspects of the PPACA. President Trump has signed Executive Orders and other directives designed to eliminate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several bills affecting the implementation of certain taxes under the PPACA have been signed into law. The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eliminated, effective January 1, 2020, the PPACA-mandated “Cadillac” tax on high-cost employer-sponsored health coverage and medical device tax and, effective January 1, 2021, also eliminates the health insurer tax. The Bipartisan Budget Act of 2018, or the BBA, among other things, amended the PPACA, effective January 1, 2019, to close the coverage gap in most Medicare drug plans. In December 2018, CMS published a new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PPACA will impact the PPACA and our business.</w:t>
      </w:r>
    </w:p>
    <w:p>
      <w:pPr>
        <w:spacing w:after="0" w:line="1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2% per fiscal year, starting in 2013, and, following passage of the BBA, will stay in effect through 2030 unless additional Congressional action is taken. The CARES Act suspended the 2% Medicare sequester from May 1, 2020 through December 31, 2020, and extended the sequester by one year, through 2030.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7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It is also possible that additional governmental action is taken to address the COVID-19 pandemic.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40"/>
        <w:spacing w:after="0" w:line="263"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00" w:right="180" w:hanging="493"/>
        <w:spacing w:after="0" w:line="293"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6" w:lineRule="exact"/>
        <w:rPr>
          <w:rFonts w:ascii="Arial" w:cs="Arial" w:eastAsia="Arial" w:hAnsi="Arial"/>
          <w:sz w:val="16"/>
          <w:szCs w:val="16"/>
          <w:color w:val="auto"/>
        </w:rPr>
      </w:pPr>
    </w:p>
    <w:p>
      <w:pPr>
        <w:ind w:left="1000" w:hanging="493"/>
        <w:spacing w:after="0" w:line="273"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ind w:left="1000" w:right="2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5" w:lineRule="exact"/>
        <w:rPr>
          <w:rFonts w:ascii="Arial" w:cs="Arial" w:eastAsia="Arial" w:hAnsi="Arial"/>
          <w:sz w:val="18"/>
          <w:szCs w:val="18"/>
          <w:color w:val="auto"/>
        </w:rPr>
      </w:pPr>
    </w:p>
    <w:p>
      <w:pPr>
        <w:ind w:left="1000" w:right="20" w:hanging="493"/>
        <w:spacing w:after="0" w:line="270"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72"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CCPA, which has been dubbed the first “GDPR-like” law in the United States;</w:t>
      </w:r>
    </w:p>
    <w:p>
      <w:pPr>
        <w:spacing w:after="0" w:line="117"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as defined by such law, and teaching hospitals, and ownership and investment interests held by physicians and other healthcare providers and their immediate family members; and</w:t>
      </w:r>
    </w:p>
    <w:p>
      <w:pPr>
        <w:spacing w:after="0" w:line="78" w:lineRule="exact"/>
        <w:rPr>
          <w:rFonts w:ascii="Arial" w:cs="Arial" w:eastAsia="Arial" w:hAnsi="Arial"/>
          <w:sz w:val="18"/>
          <w:szCs w:val="18"/>
          <w:color w:val="auto"/>
        </w:rPr>
      </w:pPr>
    </w:p>
    <w:p>
      <w:pPr>
        <w:ind w:left="1000" w:hanging="493"/>
        <w:spacing w:after="0" w:line="271"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7"/>
          <w:szCs w:val="17"/>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6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recent outbreak of COVID-19, for example, has negatively affected the stock market and investor sentiment and has resulted in significant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03" w:lineRule="exact"/>
        <w:rPr>
          <w:sz w:val="20"/>
          <w:szCs w:val="20"/>
          <w:color w:val="auto"/>
        </w:rPr>
      </w:pPr>
    </w:p>
    <w:p>
      <w:pPr>
        <w:ind w:left="1000" w:right="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30"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60" w:name="page61"/>
    <w:bookmarkEnd w:id="60"/>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42" w:lineRule="exact"/>
        <w:rPr>
          <w:rFonts w:ascii="Arial" w:cs="Arial" w:eastAsia="Arial" w:hAnsi="Arial"/>
          <w:sz w:val="17"/>
          <w:szCs w:val="17"/>
          <w:color w:val="auto"/>
        </w:rPr>
      </w:pPr>
    </w:p>
    <w:p>
      <w:pPr>
        <w:ind w:left="1000" w:right="60" w:hanging="493"/>
        <w:spacing w:after="0" w:line="25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April 13, 2020, we had 213,137,730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2024 convertible notes or the Mann Group promissory notes,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right="8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306" w:lineRule="exact"/>
        <w:rPr>
          <w:sz w:val="20"/>
          <w:szCs w:val="20"/>
          <w:color w:val="auto"/>
        </w:rPr>
      </w:pPr>
    </w:p>
    <w:p>
      <w:pPr>
        <w:ind w:right="4120"/>
        <w:spacing w:after="0" w:line="423"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980" w:type="dxa"/>
            <w:vAlign w:val="bottom"/>
            <w:gridSpan w:val="26"/>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9980" w:type="dxa"/>
            <w:vAlign w:val="bottom"/>
            <w:tcBorders>
              <w:bottom w:val="single" w:sz="8" w:color="auto"/>
            </w:tcBorders>
            <w:gridSpan w:val="2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20" w:type="dxa"/>
            <w:vAlign w:val="bottom"/>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w w:val="98"/>
              </w:rPr>
            </w:pPr>
            <w:hyperlink r:id="rId87">
              <w:r>
                <w:rPr>
                  <w:rFonts w:ascii="Arial" w:cs="Arial" w:eastAsia="Arial" w:hAnsi="Arial"/>
                  <w:sz w:val="18"/>
                  <w:szCs w:val="18"/>
                  <w:color w:val="0000EE"/>
                  <w:w w:val="98"/>
                </w:rPr>
                <w:t>Amended and Restated Certificate of Incorporation (incorporated by reference to Exhibit 3.1 to MannKind’s Quarterly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Form 10-Q (File No. 000-50865), filed with the SEC on August 9, 2016).</w:t>
              </w:r>
            </w:hyperlink>
          </w:p>
        </w:tc>
        <w:tc>
          <w:tcPr>
            <w:tcW w:w="4000" w:type="dxa"/>
            <w:vAlign w:val="bottom"/>
            <w:tcBorders>
              <w:top w:val="single" w:sz="8" w:color="0000EE"/>
            </w:tcBorders>
            <w:gridSpan w:val="6"/>
          </w:tcPr>
          <w:p>
            <w:pPr>
              <w:spacing w:after="0"/>
              <w:rPr>
                <w:sz w:val="17"/>
                <w:szCs w:val="17"/>
                <w:color w:val="auto"/>
              </w:rPr>
            </w:pPr>
          </w:p>
        </w:tc>
        <w:tc>
          <w:tcPr>
            <w:tcW w:w="6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24"/>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26"/>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Exhibit 3.1 to MannKind’s Current Report on Form 8-K (File No. 000-50865), filed with the SEC on March 2, 2017).</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24"/>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26"/>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Exhibit 3.1 to MannKind’s Current Report on Form 8-K (File No. 000-50865), filed with the SEC on December 13, 2017).</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820" w:type="dxa"/>
            <w:vAlign w:val="bottom"/>
            <w:tcBorders>
              <w:bottom w:val="single" w:sz="8" w:color="0000EE"/>
            </w:tcBorders>
            <w:gridSpan w:val="22"/>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Bylaws (incorporated by reference to MannKind’s Current Report on Form 8-K (File No. 000-50865), filed with</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26"/>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the SEC on November 19, 2007).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7">
              <w:r>
                <w:rPr>
                  <w:rFonts w:ascii="Arial" w:cs="Arial" w:eastAsia="Arial" w:hAnsi="Arial"/>
                  <w:sz w:val="18"/>
                  <w:szCs w:val="18"/>
                  <w:u w:val="single" w:color="auto"/>
                  <w:color w:val="0000EE"/>
                </w:rPr>
                <w:t>3.1</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EE"/>
                </w:rPr>
                <w:t>3.2</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EE"/>
                </w:rPr>
                <w:t>3.3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0">
              <w:r>
                <w:rPr>
                  <w:rFonts w:ascii="Arial" w:cs="Arial" w:eastAsia="Arial" w:hAnsi="Arial"/>
                  <w:sz w:val="18"/>
                  <w:szCs w:val="18"/>
                  <w:u w:val="single" w:color="auto"/>
                  <w:color w:val="0000EE"/>
                </w:rPr>
                <w:t>3.4</w:t>
              </w:r>
            </w:hyperlink>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820" w:type="dxa"/>
            <w:vAlign w:val="bottom"/>
            <w:tcBorders>
              <w:bottom w:val="single" w:sz="8" w:color="0000EE"/>
            </w:tcBorders>
            <w:gridSpan w:val="22"/>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52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9660" w:type="dxa"/>
            <w:vAlign w:val="bottom"/>
            <w:tcBorders>
              <w:bottom w:val="single" w:sz="8" w:color="0000EE"/>
            </w:tcBorders>
            <w:gridSpan w:val="20"/>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Milestone Rights Purchase Agreement, dated as of July 1, 2013, by and among MannKind, Deerfield Private Design Fund II, L.P. and</w:t>
              </w:r>
            </w:hyperlink>
          </w:p>
        </w:tc>
        <w:tc>
          <w:tcPr>
            <w:tcW w:w="3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Horizon Santé FLML SÁRL (incorporated by reference to Exhibit 99.3 to MannKind’s Current Report on Form 8-K (File No. 000-</w:t>
              </w:r>
            </w:hyperlink>
          </w:p>
        </w:tc>
        <w:tc>
          <w:tcPr>
            <w:tcW w:w="5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July 1, 2013).</w:t>
              </w:r>
            </w:hyperlink>
          </w:p>
        </w:tc>
        <w:tc>
          <w:tcPr>
            <w:tcW w:w="678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440" w:type="dxa"/>
            <w:vAlign w:val="bottom"/>
            <w:tcBorders>
              <w:bottom w:val="single" w:sz="8" w:color="0000EE"/>
            </w:tcBorders>
            <w:gridSpan w:val="13"/>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Warrant to Purchase Common Stock issued November 16, 2015 (incorporated by reference to Exhibit 4.17 to MannKind’s</w:t>
              </w:r>
            </w:hyperlink>
          </w:p>
        </w:tc>
        <w:tc>
          <w:tcPr>
            <w:tcW w:w="5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2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Annual Report on Form 10-K (File No. 000-50865), filed with the SEC on March 15,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9740" w:type="dxa"/>
            <w:vAlign w:val="bottom"/>
            <w:tcBorders>
              <w:bottom w:val="single" w:sz="8" w:color="0000EE"/>
            </w:tcBorders>
            <w:gridSpan w:val="21"/>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Form of Common Stock Purchase Warrant issued December 26, 2018 (incorporated by reference to Exhibit 4.1 to MannKind’s Current</w:t>
              </w:r>
            </w:hyperlink>
          </w:p>
        </w:tc>
        <w:tc>
          <w:tcPr>
            <w:tcW w:w="2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Report on Form 8-K (File No. 000-50865), filed with the SEC on December 21, 2018).</w:t>
              </w:r>
            </w:hyperlink>
          </w:p>
        </w:tc>
        <w:tc>
          <w:tcPr>
            <w:tcW w:w="370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9120" w:type="dxa"/>
            <w:vAlign w:val="bottom"/>
            <w:tcBorders>
              <w:bottom w:val="single" w:sz="8" w:color="0000EE"/>
            </w:tcBorders>
            <w:gridSpan w:val="10"/>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Amendment to Common Stock Purchase Warrant, dated December 22, 2019, by and between MannKind Corporation and CVI</w:t>
              </w:r>
            </w:hyperlink>
          </w:p>
        </w:tc>
        <w:tc>
          <w:tcPr>
            <w:tcW w:w="86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26"/>
          </w:tcPr>
          <w:p>
            <w:pPr>
              <w:spacing w:after="0" w:line="196" w:lineRule="exact"/>
              <w:rPr>
                <w:rFonts w:ascii="Arial" w:cs="Arial" w:eastAsia="Arial" w:hAnsi="Arial"/>
                <w:sz w:val="18"/>
                <w:szCs w:val="18"/>
                <w:color w:val="0000EE"/>
                <w:w w:val="97"/>
              </w:rPr>
            </w:pPr>
            <w:hyperlink r:id="rId95">
              <w:r>
                <w:rPr>
                  <w:rFonts w:ascii="Arial" w:cs="Arial" w:eastAsia="Arial" w:hAnsi="Arial"/>
                  <w:sz w:val="18"/>
                  <w:szCs w:val="18"/>
                  <w:color w:val="0000EE"/>
                  <w:w w:val="97"/>
                </w:rPr>
                <w:t>Investments, Inc. (incorporated by reference to Exhibit 4.1 to MannKind’s Current Report on Form 8-K (File No. 000-50865),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with the SEC on December 23, 2019)</w:t>
              </w:r>
              <w:r>
                <w:rPr>
                  <w:rFonts w:ascii="Arial" w:cs="Arial" w:eastAsia="Arial" w:hAnsi="Arial"/>
                  <w:sz w:val="18"/>
                  <w:szCs w:val="18"/>
                  <w:color w:val="000000"/>
                </w:rPr>
                <w:t>.</w:t>
              </w:r>
            </w:hyperlink>
          </w:p>
        </w:tc>
        <w:tc>
          <w:tcPr>
            <w:tcW w:w="4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9540" w:type="dxa"/>
            <w:vAlign w:val="bottom"/>
            <w:tcBorders>
              <w:bottom w:val="single" w:sz="8" w:color="0000EE"/>
            </w:tcBorders>
            <w:gridSpan w:val="16"/>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Warrant to Purchase Stock issued to MidCap Financial Trust on August 6, 2019 (incorporated by reference to Exhibit 4.1 to</w:t>
              </w:r>
            </w:hyperlink>
          </w:p>
        </w:tc>
        <w:tc>
          <w:tcPr>
            <w:tcW w:w="4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26"/>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MannKind’s Current Report on Form 8-K (File No. 000-50865), filed with the SEC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380" w:type="dxa"/>
            <w:vAlign w:val="bottom"/>
            <w:gridSpan w:val="7"/>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20" w:type="dxa"/>
            <w:vAlign w:val="bottom"/>
          </w:tcPr>
          <w:p>
            <w:pPr>
              <w:ind w:lef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5.75% Convertible Senior Subordinated Exchange Notes Due 2024 (incorporated by reference to Exhibit 4.2 to MannKind’s</w:t>
              </w:r>
            </w:hyperlink>
          </w:p>
        </w:tc>
        <w:tc>
          <w:tcPr>
            <w:tcW w:w="3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26"/>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Current Report on Form 8-K (File No. 000-50865), filed with the SEC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380" w:type="dxa"/>
            <w:vAlign w:val="bottom"/>
            <w:gridSpan w:val="7"/>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w w:val="95"/>
              </w:rPr>
            </w:pPr>
            <w:hyperlink r:id="rId97">
              <w:r>
                <w:rPr>
                  <w:rFonts w:ascii="Arial" w:cs="Arial" w:eastAsia="Arial" w:hAnsi="Arial"/>
                  <w:sz w:val="18"/>
                  <w:szCs w:val="18"/>
                  <w:color w:val="0000EE"/>
                  <w:w w:val="95"/>
                </w:rPr>
                <w:t>Indenture, dated as of August 6, 2019, by and between MannKind Corporation and U.S. Bank National Association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560" w:type="dxa"/>
            <w:vAlign w:val="bottom"/>
            <w:tcBorders>
              <w:top w:val="single" w:sz="8" w:color="0000EE"/>
            </w:tcBorders>
            <w:gridSpan w:val="17"/>
          </w:tcPr>
          <w:p>
            <w:pPr>
              <w:spacing w:after="0"/>
              <w:rPr>
                <w:rFonts w:ascii="Arial" w:cs="Arial" w:eastAsia="Arial" w:hAnsi="Arial"/>
                <w:sz w:val="18"/>
                <w:szCs w:val="18"/>
                <w:u w:val="single" w:color="auto"/>
                <w:color w:val="0000EE"/>
                <w:w w:val="93"/>
              </w:rPr>
            </w:pPr>
            <w:hyperlink r:id="rId97">
              <w:r>
                <w:rPr>
                  <w:rFonts w:ascii="Arial" w:cs="Arial" w:eastAsia="Arial" w:hAnsi="Arial"/>
                  <w:sz w:val="18"/>
                  <w:szCs w:val="18"/>
                  <w:u w:val="single" w:color="auto"/>
                  <w:color w:val="0000EE"/>
                  <w:w w:val="93"/>
                </w:rPr>
                <w:t>reference to Exhibit 4.3 to MannKind’s Current Report on Form 8-K (File No. 000-50865), filed with the SEC on August 7, 2019).</w:t>
              </w:r>
            </w:hyperlink>
          </w:p>
        </w:tc>
        <w:tc>
          <w:tcPr>
            <w:tcW w:w="420" w:type="dxa"/>
            <w:vAlign w:val="bottom"/>
            <w:gridSpan w:val="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1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Promissory Note due June 30, 2020 made by MannKind Corporation in favor of Bruce &amp; Co., Inc., dated August 6, 2019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tcBorders>
              <w:top w:val="single" w:sz="8" w:color="0000EE"/>
            </w:tcBorders>
            <w:gridSpan w:val="25"/>
          </w:tcPr>
          <w:p>
            <w:pPr>
              <w:spacing w:after="0"/>
              <w:rPr>
                <w:rFonts w:ascii="Arial" w:cs="Arial" w:eastAsia="Arial" w:hAnsi="Arial"/>
                <w:sz w:val="18"/>
                <w:szCs w:val="18"/>
                <w:u w:val="single" w:color="auto"/>
                <w:color w:val="0000EE"/>
                <w:w w:val="97"/>
              </w:rPr>
            </w:pPr>
            <w:hyperlink r:id="rId98">
              <w:r>
                <w:rPr>
                  <w:rFonts w:ascii="Arial" w:cs="Arial" w:eastAsia="Arial" w:hAnsi="Arial"/>
                  <w:sz w:val="18"/>
                  <w:szCs w:val="18"/>
                  <w:u w:val="single" w:color="auto"/>
                  <w:color w:val="0000EE"/>
                  <w:w w:val="97"/>
                </w:rPr>
                <w:t>reference to Exhibit 4.4 to MannKind’s Current Report on Form 8-K (File No. 000-50865), filed with the SEC on August 7, 2019).</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18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9140" w:type="dxa"/>
            <w:vAlign w:val="bottom"/>
            <w:tcBorders>
              <w:bottom w:val="single" w:sz="8" w:color="0000EE"/>
            </w:tcBorders>
            <w:gridSpan w:val="11"/>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Promissory Note due December 31, 2020 made by MannKind Corporation in favor of Bruce &amp; Co., Inc., dated August 6, 2019</w:t>
              </w:r>
            </w:hyperlink>
          </w:p>
        </w:tc>
        <w:tc>
          <w:tcPr>
            <w:tcW w:w="84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(incorporated by reference to Exhibit 4.5 to MannKind’s Current Report on Form 8-K (File No. 000-50865), filed with the SEC on</w:t>
              </w:r>
            </w:hyperlink>
          </w:p>
        </w:tc>
        <w:tc>
          <w:tcPr>
            <w:tcW w:w="5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August 7, 2019).</w:t>
              </w:r>
            </w:hyperlink>
          </w:p>
        </w:tc>
        <w:tc>
          <w:tcPr>
            <w:tcW w:w="876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8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4"/>
                <w:szCs w:val="24"/>
                <w:color w:val="auto"/>
              </w:rPr>
            </w:pPr>
          </w:p>
        </w:tc>
        <w:tc>
          <w:tcPr>
            <w:tcW w:w="9640" w:type="dxa"/>
            <w:vAlign w:val="bottom"/>
            <w:tcBorders>
              <w:bottom w:val="single" w:sz="8" w:color="0000EE"/>
            </w:tcBorders>
            <w:gridSpan w:val="19"/>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Convertible Promissory Note made by MannKind Corporation in favor of The Mann Group LLC, dated August 6, 2019 (incorporated</w:t>
              </w:r>
            </w:hyperlink>
          </w:p>
        </w:tc>
        <w:tc>
          <w:tcPr>
            <w:tcW w:w="3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26"/>
          </w:tcPr>
          <w:p>
            <w:pPr>
              <w:spacing w:after="0"/>
              <w:rPr>
                <w:rFonts w:ascii="Arial" w:cs="Arial" w:eastAsia="Arial" w:hAnsi="Arial"/>
                <w:sz w:val="18"/>
                <w:szCs w:val="18"/>
                <w:u w:val="single" w:color="auto"/>
                <w:color w:val="0000EE"/>
                <w:w w:val="95"/>
              </w:rPr>
            </w:pPr>
            <w:hyperlink r:id="rId100">
              <w:r>
                <w:rPr>
                  <w:rFonts w:ascii="Arial" w:cs="Arial" w:eastAsia="Arial" w:hAnsi="Arial"/>
                  <w:sz w:val="18"/>
                  <w:szCs w:val="18"/>
                  <w:u w:val="single" w:color="auto"/>
                  <w:color w:val="0000EE"/>
                  <w:w w:val="95"/>
                </w:rPr>
                <w:t>by reference to Exhibit 4.6 to MannKind’s Current Report on Form 8-K (File No. 000-50865), filed with the SEC on August 7, 2019).</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18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Promissory Note made by MannKind Corporation in favor of The Mann Group LLC, dated August 6, 2019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60" w:type="dxa"/>
            <w:vAlign w:val="bottom"/>
            <w:tcBorders>
              <w:top w:val="single" w:sz="8" w:color="0000EE"/>
            </w:tcBorders>
            <w:gridSpan w:val="23"/>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Exhibit 4.7 to MannKind’s Current Report on Form 8-K (File No. 000-50865), filed with the SEC on August 7, 2019).</w:t>
              </w:r>
            </w:hyperlink>
          </w:p>
        </w:tc>
        <w:tc>
          <w:tcPr>
            <w:tcW w:w="1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120" w:type="dxa"/>
            <w:vAlign w:val="bottom"/>
          </w:tcPr>
          <w:p>
            <w:pPr>
              <w:spacing w:after="0"/>
              <w:rPr>
                <w:sz w:val="24"/>
                <w:szCs w:val="24"/>
                <w:color w:val="auto"/>
              </w:rPr>
            </w:pPr>
          </w:p>
        </w:tc>
        <w:tc>
          <w:tcPr>
            <w:tcW w:w="5440" w:type="dxa"/>
            <w:vAlign w:val="bottom"/>
            <w:gridSpan w:val="7"/>
          </w:tcPr>
          <w:p>
            <w:pPr>
              <w:jc w:val="right"/>
              <w:ind w:right="840"/>
              <w:spacing w:after="0"/>
              <w:rPr>
                <w:sz w:val="20"/>
                <w:szCs w:val="20"/>
                <w:color w:val="auto"/>
              </w:rPr>
            </w:pPr>
            <w:r>
              <w:rPr>
                <w:rFonts w:ascii="Arial" w:cs="Arial" w:eastAsia="Arial" w:hAnsi="Arial"/>
                <w:sz w:val="18"/>
                <w:szCs w:val="18"/>
                <w:color w:val="auto"/>
              </w:rPr>
              <w:t>62</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8"/>
            <w:vMerge w:val="restart"/>
          </w:tcPr>
          <w:p>
            <w:pPr>
              <w:ind w:left="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20" w:type="dxa"/>
            <w:vAlign w:val="bottom"/>
            <w:tcBorders>
              <w:top w:val="single" w:sz="8" w:color="auto"/>
            </w:tcBorders>
          </w:tcPr>
          <w:p>
            <w:pPr>
              <w:jc w:val="right"/>
              <w:ind w:right="535"/>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4"/>
                <w:szCs w:val="24"/>
                <w:color w:val="auto"/>
              </w:rPr>
            </w:pPr>
          </w:p>
        </w:tc>
        <w:tc>
          <w:tcPr>
            <w:tcW w:w="934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Promissory Note, dated April 9, 2020, by and between MannKind Corporation and JPMorgan Chase Bank, N.A. (incorporated by</w:t>
              </w:r>
            </w:hyperlink>
          </w:p>
        </w:tc>
        <w:tc>
          <w:tcPr>
            <w:tcW w:w="62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60" w:type="dxa"/>
            <w:vAlign w:val="bottom"/>
            <w:gridSpan w:val="8"/>
          </w:tcPr>
          <w:p>
            <w:pPr>
              <w:spacing w:after="0"/>
              <w:rPr>
                <w:rFonts w:ascii="Arial" w:cs="Arial" w:eastAsia="Arial" w:hAnsi="Arial"/>
                <w:sz w:val="18"/>
                <w:szCs w:val="18"/>
                <w:color w:val="0000EE"/>
                <w:w w:val="97"/>
              </w:rPr>
            </w:pPr>
            <w:hyperlink r:id="rId104">
              <w:r>
                <w:rPr>
                  <w:rFonts w:ascii="Arial" w:cs="Arial" w:eastAsia="Arial" w:hAnsi="Arial"/>
                  <w:sz w:val="18"/>
                  <w:szCs w:val="18"/>
                  <w:u w:val="single" w:color="auto"/>
                  <w:color w:val="0000EE"/>
                  <w:w w:val="97"/>
                </w:rPr>
                <w:t>reference to Exhibit 99.1 to MannKind’s Current Report on Form 8-K (File No. 000-50865), filed with the SEC on April 15, 2020)</w:t>
              </w:r>
            </w:hyperlink>
            <w:r>
              <w:rPr>
                <w:rFonts w:ascii="Arial" w:cs="Arial" w:eastAsia="Arial" w:hAnsi="Arial"/>
                <w:sz w:val="18"/>
                <w:szCs w:val="18"/>
                <w:color w:val="000000"/>
                <w:w w:val="97"/>
              </w:rPr>
              <w:t>.</w:t>
            </w:r>
          </w:p>
        </w:tc>
        <w:tc>
          <w:tcPr>
            <w:tcW w:w="0" w:type="dxa"/>
            <w:vAlign w:val="bottom"/>
          </w:tcPr>
          <w:p>
            <w:pPr>
              <w:spacing w:after="0"/>
              <w:rPr>
                <w:sz w:val="1"/>
                <w:szCs w:val="1"/>
                <w:color w:val="auto"/>
              </w:rPr>
            </w:pPr>
          </w:p>
        </w:tc>
      </w:tr>
      <w:tr>
        <w:trPr>
          <w:trHeight w:val="297"/>
        </w:trPr>
        <w:tc>
          <w:tcPr>
            <w:tcW w:w="1120" w:type="dxa"/>
            <w:vAlign w:val="bottom"/>
          </w:tcPr>
          <w:p>
            <w:pPr>
              <w:jc w:val="right"/>
              <w:ind w:right="535"/>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the Chief Executive Officer pursuant to Rules 13a-14(a) and 15d-14(a) of the Securities Exchange Act of 1934, as</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amended.</w:t>
              </w:r>
            </w:hyperlink>
          </w:p>
        </w:tc>
        <w:tc>
          <w:tcPr>
            <w:tcW w:w="9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535"/>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960" w:type="dxa"/>
            <w:vAlign w:val="bottom"/>
            <w:gridSpan w:val="8"/>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Certification of the Chief Financial Officer pursuant to Rules 13a-14(a) and 15d-14(a)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amended.</w:t>
              </w:r>
            </w:hyperlink>
          </w:p>
        </w:tc>
        <w:tc>
          <w:tcPr>
            <w:tcW w:w="8600" w:type="dxa"/>
            <w:vAlign w:val="bottom"/>
            <w:tcBorders>
              <w:top w:val="single" w:sz="8" w:color="0000EE"/>
            </w:tcBorders>
            <w:gridSpan w:val="2"/>
          </w:tcPr>
          <w:p>
            <w:pPr>
              <w:spacing w:after="0"/>
              <w:rPr>
                <w:sz w:val="17"/>
                <w:szCs w:val="17"/>
                <w:color w:val="auto"/>
              </w:rPr>
            </w:pPr>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right"/>
              <w:ind w:right="535"/>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the Chief Executive Officer pursuant to Rules 13a-14(b) and 15d-14(b) of the Securities Exchange Act of 1934, as</w:t>
              </w:r>
            </w:hyperlink>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amended and Section 1350 of Chapter 63 of Title 18 of the United States Code (18 U.S.C. §1350).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8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right"/>
              <w:ind w:right="535"/>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960" w:type="dxa"/>
            <w:vAlign w:val="bottom"/>
            <w:gridSpan w:val="8"/>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Certification of the Chief Financial Officer pursuant to Rules 13a-14(b) and 15d-14(b)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amended and Section 1350 of Chapter 63 of Title 18 of the United States Code (18 U.S.C. §1350).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38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280" w:hanging="1137"/>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337"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ectPr>
          <w:pgSz w:w="11900" w:h="16838" w:orient="portrait"/>
          <w:cols w:equalWidth="0" w:num="1">
            <w:col w:w="11240"/>
          </w:cols>
          <w:pgMar w:left="320" w:top="33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2020,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6th day of May,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260" w:right="180" w:hanging="252"/>
        <w:spacing w:after="0" w:line="311" w:lineRule="auto"/>
        <w:tabs>
          <w:tab w:leader="none" w:pos="260" w:val="left"/>
        </w:tabs>
        <w:numPr>
          <w:ilvl w:val="0"/>
          <w:numId w:val="29"/>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2020,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6th day of May,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220" w:right="20" w:hanging="212"/>
        <w:spacing w:after="0" w:line="286" w:lineRule="auto"/>
        <w:tabs>
          <w:tab w:leader="none" w:pos="220" w:val="left"/>
        </w:tabs>
        <w:numPr>
          <w:ilvl w:val="0"/>
          <w:numId w:val="31"/>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endash "/>
      <w:numFmt w:val="bullet"/>
      <w:start w:val="1"/>
    </w:lvl>
  </w:abstractNum>
  <w:abstractNum w:abstractNumId="3">
    <w:nsid w:val="519B500D"/>
    <w:multiLevelType w:val="hybridMultilevel"/>
    <w:lvl w:ilvl="0">
      <w:lvlJc w:val="left"/>
      <w:lvlText w:val="•"/>
      <w:numFmt w:val="bullet"/>
      <w:start w:val="1"/>
    </w:lvl>
    <w:lvl w:ilvl="1">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0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decimal"/>
      <w:start w:val="5"/>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87" Type="http://schemas.openxmlformats.org/officeDocument/2006/relationships/hyperlink" Target="http://www.sec.gov/Archives/edgar/data/899460/000119312516676980/d225552dex31.htm" TargetMode="External"/><Relationship Id="rId88" Type="http://schemas.openxmlformats.org/officeDocument/2006/relationships/hyperlink" Target="http://www.sec.gov/Archives/edgar/data/899460/000119312517066630/d313758dex31.htm" TargetMode="External"/><Relationship Id="rId89" Type="http://schemas.openxmlformats.org/officeDocument/2006/relationships/hyperlink" Target="http://www.sec.gov/Archives/edgar/data/899460/000119312517368329/d511527dex31.htm" TargetMode="External"/><Relationship Id="rId90" Type="http://schemas.openxmlformats.org/officeDocument/2006/relationships/hyperlink" Target="http://www.sec.gov/Archives/edgar/data/899460/000095012407005941/v35880exv3w1.htm" TargetMode="External"/><Relationship Id="rId91" Type="http://schemas.openxmlformats.org/officeDocument/2006/relationships/hyperlink" Target="http://www.sec.gov/Archives/edgar/data/899460/000119312517085519/d305327dex42.htm" TargetMode="External"/><Relationship Id="rId92" Type="http://schemas.openxmlformats.org/officeDocument/2006/relationships/hyperlink" Target="http://www.sec.gov/Archives/edgar/data/899460/000119312513279522/d562665dex993.htm" TargetMode="External"/><Relationship Id="rId93" Type="http://schemas.openxmlformats.org/officeDocument/2006/relationships/hyperlink" Target="http://www.sec.gov/Archives/edgar/data/899460/000119312516505366/d107849dex417.htm" TargetMode="External"/><Relationship Id="rId94" Type="http://schemas.openxmlformats.org/officeDocument/2006/relationships/hyperlink" Target="http://www.sec.gov/Archives/edgar/data/899460/000119312518354835/d668953dex41.htm" TargetMode="External"/><Relationship Id="rId95" Type="http://schemas.openxmlformats.org/officeDocument/2006/relationships/hyperlink" Target="http://www.sec.gov/Archives/edgar/data/899460/000119312519321379/d839460dex41.htm" TargetMode="External"/><Relationship Id="rId96" Type="http://schemas.openxmlformats.org/officeDocument/2006/relationships/hyperlink" Target="http://www.sec.gov/Archives/edgar/data/899460/000119312519215305/d757696dex41.htm" TargetMode="External"/><Relationship Id="rId97" Type="http://schemas.openxmlformats.org/officeDocument/2006/relationships/hyperlink" Target="http://www.sec.gov/Archives/edgar/data/899460/000119312519215305/d757696dex43.htm" TargetMode="External"/><Relationship Id="rId98" Type="http://schemas.openxmlformats.org/officeDocument/2006/relationships/hyperlink" Target="http://www.sec.gov/Archives/edgar/data/899460/000119312519215305/d757696dex44.htm" TargetMode="External"/><Relationship Id="rId99" Type="http://schemas.openxmlformats.org/officeDocument/2006/relationships/hyperlink" Target="http://www.sec.gov/Archives/edgar/data/899460/000119312519215305/d757696dex45.htm" TargetMode="External"/><Relationship Id="rId100" Type="http://schemas.openxmlformats.org/officeDocument/2006/relationships/hyperlink" Target="http://www.sec.gov/Archives/edgar/data/899460/000119312519215305/d757696dex46.htm" TargetMode="External"/><Relationship Id="rId101" Type="http://schemas.openxmlformats.org/officeDocument/2006/relationships/hyperlink" Target="http://www.sec.gov/Archives/edgar/data/899460/000119312519215305/d757696dex47.htm" TargetMode="External"/><Relationship Id="rId104" Type="http://schemas.openxmlformats.org/officeDocument/2006/relationships/hyperlink" Target="http://www.sec.gov/Archives/edgar/data/899460/000119312520107670/d89575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2020-05-06T15:09:00Z</dcterms:created>
  <dcterms:modified xsi:type="dcterms:W3CDTF">2020-05-06T15:09:00Z</dcterms:modified>
</cp:coreProperties>
</file>