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140" w:type="dxa"/>
            <w:vAlign w:val="bottom"/>
          </w:tcPr>
          <w:p>
            <w:pPr>
              <w:jc w:val="center"/>
              <w:ind w:right="3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6140" w:type="dxa"/>
            <w:vAlign w:val="bottom"/>
          </w:tcPr>
          <w:p>
            <w:pPr>
              <w:jc w:val="center"/>
              <w:ind w:right="3439"/>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tc>
        <w:tc>
          <w:tcPr>
            <w:tcW w:w="14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(I.R.S. Employer</w:t>
            </w:r>
          </w:p>
        </w:tc>
      </w:tr>
      <w:tr>
        <w:trPr>
          <w:trHeight w:val="192"/>
        </w:trPr>
        <w:tc>
          <w:tcPr>
            <w:tcW w:w="6140" w:type="dxa"/>
            <w:vAlign w:val="bottom"/>
          </w:tcPr>
          <w:p>
            <w:pPr>
              <w:jc w:val="center"/>
              <w:ind w:right="3439"/>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tc>
        <w:tc>
          <w:tcPr>
            <w:tcW w:w="14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tc>
      </w:tr>
      <w:tr>
        <w:trPr>
          <w:trHeight w:val="406"/>
        </w:trPr>
        <w:tc>
          <w:tcPr>
            <w:tcW w:w="6140" w:type="dxa"/>
            <w:vAlign w:val="bottom"/>
          </w:tcPr>
          <w:p>
            <w:pPr>
              <w:jc w:val="center"/>
              <w:ind w:right="3439"/>
              <w:spacing w:after="0"/>
              <w:rPr>
                <w:sz w:val="20"/>
                <w:szCs w:val="20"/>
                <w:color w:val="auto"/>
              </w:rPr>
            </w:pPr>
            <w:r>
              <w:rPr>
                <w:rFonts w:ascii="Times New Roman" w:cs="Times New Roman" w:eastAsia="Times New Roman" w:hAnsi="Times New Roman"/>
                <w:sz w:val="18"/>
                <w:szCs w:val="18"/>
                <w:b w:val="1"/>
                <w:bCs w:val="1"/>
                <w:color w:val="auto"/>
                <w:w w:val="99"/>
              </w:rPr>
              <w:t>25134 Rye Canyon Loop Suite 300</w:t>
            </w:r>
          </w:p>
        </w:tc>
        <w:tc>
          <w:tcPr>
            <w:tcW w:w="1480" w:type="dxa"/>
            <w:vAlign w:val="bottom"/>
          </w:tcPr>
          <w:p>
            <w:pPr>
              <w:spacing w:after="0"/>
              <w:rPr>
                <w:sz w:val="24"/>
                <w:szCs w:val="24"/>
                <w:color w:val="auto"/>
              </w:rPr>
            </w:pPr>
          </w:p>
        </w:tc>
      </w:tr>
      <w:tr>
        <w:trPr>
          <w:trHeight w:val="225"/>
        </w:trPr>
        <w:tc>
          <w:tcPr>
            <w:tcW w:w="6140" w:type="dxa"/>
            <w:vAlign w:val="bottom"/>
          </w:tcPr>
          <w:p>
            <w:pPr>
              <w:jc w:val="center"/>
              <w:ind w:right="3439"/>
              <w:spacing w:after="0"/>
              <w:rPr>
                <w:sz w:val="20"/>
                <w:szCs w:val="20"/>
                <w:color w:val="auto"/>
              </w:rPr>
            </w:pPr>
            <w:r>
              <w:rPr>
                <w:rFonts w:ascii="Times New Roman" w:cs="Times New Roman" w:eastAsia="Times New Roman" w:hAnsi="Times New Roman"/>
                <w:sz w:val="18"/>
                <w:szCs w:val="18"/>
                <w:b w:val="1"/>
                <w:bCs w:val="1"/>
                <w:color w:val="auto"/>
                <w:w w:val="99"/>
              </w:rPr>
              <w:t>Valencia, California</w:t>
            </w:r>
          </w:p>
        </w:tc>
        <w:tc>
          <w:tcPr>
            <w:tcW w:w="14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92"/>
        </w:trPr>
        <w:tc>
          <w:tcPr>
            <w:tcW w:w="6140" w:type="dxa"/>
            <w:vAlign w:val="bottom"/>
          </w:tcPr>
          <w:p>
            <w:pPr>
              <w:jc w:val="center"/>
              <w:ind w:right="343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14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r>
      <w:tr>
        <w:trPr>
          <w:trHeight w:val="390"/>
        </w:trPr>
        <w:tc>
          <w:tcPr>
            <w:tcW w:w="614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(661) 775-5300</w:t>
            </w:r>
          </w:p>
        </w:tc>
        <w:tc>
          <w:tcPr>
            <w:tcW w:w="1480" w:type="dxa"/>
            <w:vAlign w:val="bottom"/>
          </w:tcPr>
          <w:p>
            <w:pPr>
              <w:spacing w:after="0"/>
              <w:rPr>
                <w:sz w:val="24"/>
                <w:szCs w:val="24"/>
                <w:color w:val="auto"/>
              </w:rPr>
            </w:pPr>
          </w:p>
        </w:tc>
      </w:tr>
      <w:tr>
        <w:trPr>
          <w:trHeight w:val="190"/>
        </w:trPr>
        <w:tc>
          <w:tcPr>
            <w:tcW w:w="6140" w:type="dxa"/>
            <w:vAlign w:val="bottom"/>
          </w:tcPr>
          <w:p>
            <w:pPr>
              <w:jc w:val="center"/>
              <w:ind w:left="20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4"/>
          <w:szCs w:val="24"/>
          <w:color w:val="auto"/>
        </w:rPr>
      </w:pPr>
    </w:p>
    <w:p>
      <w:pPr>
        <w:sectPr>
          <w:pgSz w:w="11900" w:h="16838" w:orient="portrait"/>
          <w:cols w:equalWidth="0" w:num="4">
            <w:col w:w="7420" w:space="180"/>
            <w:col w:w="260" w:space="80"/>
            <w:col w:w="160" w:space="180"/>
            <w:col w:w="3140"/>
          </w:cols>
          <w:pgMar w:left="240" w:top="226"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2016, there were 429,161,347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1020" w:type="dxa"/>
            <w:vAlign w:val="bottom"/>
            <w:gridSpan w:val="17"/>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March 31, 2016 and December 31, 2015</w:t>
              </w:r>
            </w:hyperlink>
          </w:p>
        </w:tc>
        <w:tc>
          <w:tcPr>
            <w:tcW w:w="5020" w:type="dxa"/>
            <w:vAlign w:val="bottom"/>
            <w:gridSpan w:val="5"/>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Three months ended March 31, 2016 and 2015</w:t>
              </w:r>
            </w:hyperlink>
          </w:p>
        </w:tc>
        <w:tc>
          <w:tcPr>
            <w:tcW w:w="38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Three months ended March 31, 2016 and 2015</w:t>
              </w:r>
            </w:hyperlink>
          </w:p>
        </w:tc>
        <w:tc>
          <w:tcPr>
            <w:tcW w:w="3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Three months ended March 31, 2016 and 2015</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38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7"/>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39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4. Controls and Procedures</w:t>
              </w:r>
            </w:hyperlink>
          </w:p>
        </w:tc>
        <w:tc>
          <w:tcPr>
            <w:tcW w:w="866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8"/>
        </w:trPr>
        <w:tc>
          <w:tcPr>
            <w:tcW w:w="11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1. Legal Proceedings</w:t>
              </w:r>
            </w:hyperlink>
          </w:p>
        </w:tc>
        <w:tc>
          <w:tcPr>
            <w:tcW w:w="9120" w:type="dxa"/>
            <w:vAlign w:val="bottom"/>
            <w:gridSpan w:val="12"/>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1A. Risk Factors</w:t>
              </w:r>
            </w:hyperlink>
          </w:p>
        </w:tc>
        <w:tc>
          <w:tcPr>
            <w:tcW w:w="94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81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5. Other Information</w:t>
              </w:r>
            </w:hyperlink>
          </w:p>
        </w:tc>
        <w:tc>
          <w:tcPr>
            <w:tcW w:w="91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020" w:type="dxa"/>
            <w:vAlign w:val="bottom"/>
            <w:gridSpan w:val="17"/>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SIGNATURES</w:t>
              </w:r>
            </w:hyperlink>
          </w:p>
        </w:tc>
        <w:tc>
          <w:tcPr>
            <w:tcW w:w="986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4900" w:type="dxa"/>
            <w:vAlign w:val="bottom"/>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4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96"/>
        </w:trPr>
        <w:tc>
          <w:tcPr>
            <w:tcW w:w="8480" w:type="dxa"/>
            <w:vAlign w:val="bottom"/>
            <w:tcBorders>
              <w:top w:val="single" w:sz="8" w:color="CCEEFF"/>
            </w:tcBorders>
            <w:shd w:val="clear" w:color="auto" w:fill="CCEEFF"/>
          </w:tcPr>
          <w:p>
            <w:pPr>
              <w:ind w:left="36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27,653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59,074</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from collaboration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product costs from collaboration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13,539</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44,143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76,654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48,033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48,749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r>
      <w:tr>
        <w:trPr>
          <w:trHeight w:val="223"/>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15,599</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7,929</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75,010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74,582</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product sales from collaboration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17,680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17,503</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payments from collaboration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134,935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140,231</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commitment liabilities — current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249,211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268,319</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to principal stockholder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49,521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49,521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Sanofi loan facility and loss share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68,835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62,371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27,613</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purchase commitments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55,605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53,692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466,736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476,741</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March 31, 2016 and December 31, 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 550,000,000 shares authorized at March 31, 2016 and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 429,138,685 and 428,670,943 shares issued and outstanding at March 31, 2016 and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4,290</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2,510,367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2,508,633</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(2,888,102)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(2,863,229)</w:t>
            </w: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(373,464)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(350,329)</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9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5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manufacturing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 payable to principal stockholder</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(24,873)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428,858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398,916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$(24,873)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$(30,658)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gain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(24,872)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accretion</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incurred through borrowings under Sanofi Loan Facility</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foreign currency exchange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net</w:t>
            </w:r>
          </w:p>
        </w:tc>
        <w:tc>
          <w:tcPr>
            <w:tcW w:w="2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Inventory</w:t>
            </w:r>
          </w:p>
        </w:tc>
        <w:tc>
          <w:tcPr>
            <w:tcW w:w="16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Receivables from Collaboration</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Deferred product costs from collaboration</w:t>
            </w:r>
          </w:p>
        </w:tc>
        <w:tc>
          <w:tcPr>
            <w:tcW w:w="1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Deferred product sales from collaboration</w:t>
            </w:r>
          </w:p>
        </w:tc>
        <w:tc>
          <w:tcPr>
            <w:tcW w:w="2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payment</w:t>
            </w:r>
          </w:p>
        </w:tc>
        <w:tc>
          <w:tcPr>
            <w:tcW w:w="16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employment taxes related to vested restricted stock units</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$ 27,653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120,844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FLOWS DISCLOSURES:</w:t>
            </w:r>
          </w:p>
        </w:tc>
        <w:tc>
          <w:tcPr>
            <w:tcW w:w="1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in cash, net of amounts capitalized</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construction in progress and property and equipment</w:t>
            </w:r>
          </w:p>
        </w:tc>
        <w:tc>
          <w:tcPr>
            <w:tcW w:w="2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2015 filed with the SEC on March 15, 2016 (the “Annual Report”).</w:t>
      </w:r>
    </w:p>
    <w:p>
      <w:pPr>
        <w:spacing w:after="0" w:line="18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2016 may not be indicative of the results that may be expected for the full year.</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and deferred product costs for impairment, accrued expenses,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 </w:t>
      </w:r>
      <w:r>
        <w:rPr>
          <w:rFonts w:ascii="Times New Roman" w:cs="Times New Roman" w:eastAsia="Times New Roman" w:hAnsi="Times New Roman"/>
          <w:sz w:val="18"/>
          <w:szCs w:val="18"/>
          <w:color w:val="auto"/>
        </w:rPr>
        <w:t>MannKind is a biopharmaceutical company focused on the discovery, development and commercialization of therapeutic products for diseases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diabetes. Our only approved product, AFREZZA (insulin human [rDNA origin]) inhalation powder, is a rapid-acting inhaled insulin that was approved by the U.S. Food and Drug Administration (the “FDA”) on June 27, 2014 to improve glycemic control in adult patients with diabetes.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Company’s primary activities since incorporation have been establishing its facilities, recruiting personnel, conducting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development, business development, business and financial planning, raising capital and commercial manufacturing. It is costly to develop therapeutic products and conduct clinical studies for these products. As of March 31, 2016, the Company had an accumulated deficit of $2.9 billion and has reported negative cash flow from operations since inception, other than for the nine months ended September 30, 2014, the year ended December 31, 2014, and for the three months ended March 31, 2015, as a result of receipt of the upfront payment and milestone payments from Sanofi-Aventis U.S. LLC (“Sanofi”).</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March 31, 2016, the Company’s capital resources consisted of cash and cash equivalents of $27.7 million. The Company expects to continue to incur significant expenditures to support commercial manufacturing and sales and marketing of AFREZZA and the development of other product candidates.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that resulted in additional sales of an additional tranche of notes (the “Tranche B notes”) (see Note 12 — Facility Agreement) requires the Company to maintain at least $25.0 million in cash and cash equivalents or available borrowings under the loan arrangement, dated as of October 2, 2007, between The Company and The Mann Group LLC (as amended, restated, or otherwise modified as of the date hereof, “The Mann Group Loan Arrangement”), as of the last day of each fiscal quarter. The Company will need to continue to incur expenses for the commercialization of AFREZZA and will need to raise additional capital to finance such activities. The Company cannot be certain that it will be able to raise additional capital on favorable terms, or at all, which raises substantial doubt about the Company’s ability to continue as a going concern. The financial statements do not include any adjustments that might result from the outcome of this uncertainty.</w:t>
      </w:r>
    </w:p>
    <w:p>
      <w:pPr>
        <w:spacing w:after="0" w:line="19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11, 2014, we executed a license and collaboration agreement (the “Sanofi License Agreement”) with Sanofi-Aventis Deutschland GmbH (which subsequently assigned its rights and obligations under the agreement to Sanofi), pursuant to which Sanofi was responsible for global commercial, regulatory and development activities for AFREZZA. The Sanofi License Agreement became effective on September 23, 2014. The Company manufactured AFREZZA at its manufacturing facility in Danbury, Connecticut to supply Sanofi’s demand for the product pursuant to a supply agreement dated August 11, 2014 (the “Sanofi Supply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January 4, 2016 the Company received notification from Sanofi of its election to terminate in its entirety the Sanofi License Agreement. Pursuant to a transition agreement between the Company and Sanofi, all rights to AFREZZA transferred back to the Company on April 4, 2016 to the Company. Accordingly, on April 5, 2016, the Company assumed responsibility for the worldwide development and commercialization of AFREZZA from Sanofi, in a transition designed to ensure that patients will not experience any interruption in their treatment. Under the terms of the transition agreement, Sanofi will continue to fulfill orders for AFREZZA until such time as Sanofi’s inventory of usable product is depleted or until the Company provides Sanofi written notice requesting that Sanofi cease such activities, but in any event no later than October 1, 2016.</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Sanofi License Agreement, worldwide profits and losses, which are determined based on the difference between the net sales of AFREZZA and the costs and expenses incurred by the Company and Sanofi that are specifically attributable or related to the development, regulatory filings, manufacturing, or commercialization of AFREZZA, are shared 65% by Sanofi and 35% by the Company until Sanofi ceases to distribute AFREZZA. As a result of this loss share provision, and because the Company does not currently have the ability to estimate the amount of costs that would potentially be incurred related to the Sanofi License Agreement, the amount of up-front cash payment or milestone payments that could be recognized as revenue is not fixed or determinable. In connection with the Sanofi License Agreement, an affiliate of Sanofi provided the Company with a secured loan facility (the “Sanofi Loan Facility”) of up to $175.0 million to fund the Company’s share of net losses under the Sanofi License Agreement.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 funding sources that are, or in certain circumstances may be, available to the Company, include approximately $30.1 million principal amount of available borrowings under The Mann Group Loan Arrangement. A portion of these available borrowings may be used to capitalize accrued interest into principal, upon mutual agreement of the parties, as it becomes due and payable under The Mann Group Loan Arrangement (see Note 4 — Related-party arrangements). The Company cannot provide assurances that its plans will not change or that changed circumstances will not result in the depletion of its capital resources more rapidly than it currently anticipates. The Company is seeking and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18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 </w:t>
      </w:r>
      <w:r>
        <w:rPr>
          <w:rFonts w:ascii="Times New Roman" w:cs="Times New Roman" w:eastAsia="Times New Roman" w:hAnsi="Times New Roman"/>
          <w:sz w:val="18"/>
          <w:szCs w:val="18"/>
          <w:color w:val="auto"/>
        </w:rPr>
        <w:t>The carrying amounts reported in the accompanying financial statements for cash and cash equivalents,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accrued liabilities approximate their fair value due to their relatively short maturities. The fair value of the cash equivalents, note payable to related party, senior convertible notes, and the Facility Agreement are discussed in Note 7 – Fair Value of Financial Instruments.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product costs from collaboration — </w:t>
      </w:r>
      <w:r>
        <w:rPr>
          <w:rFonts w:ascii="Times New Roman" w:cs="Times New Roman" w:eastAsia="Times New Roman" w:hAnsi="Times New Roman"/>
          <w:sz w:val="18"/>
          <w:szCs w:val="18"/>
          <w:color w:val="auto"/>
        </w:rPr>
        <w:t>Deferred product costs represent the costs of product manufactured and shipped to Sanofi, not to exceed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the Company believes that it is probable that the amount of future revenue will exceed the amount of deferred costs (i.e., the asset would be realizable through the recognition of probable future income), the Company has elected to account for the deferred costs related to the product sold to Sanofi as an asset and carry forward to future periods until the related revenue is recognized.</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Standards — </w:t>
      </w:r>
      <w:r>
        <w:rPr>
          <w:rFonts w:ascii="Times New Roman" w:cs="Times New Roman" w:eastAsia="Times New Roman" w:hAnsi="Times New Roman"/>
          <w:sz w:val="18"/>
          <w:szCs w:val="18"/>
          <w:color w:val="auto"/>
        </w:rPr>
        <w:t>From time to time, new accounting pronouncements are issued by the Financial Accounting Standards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(FASB) or other standard setting bodies that are adopted by the Company as of the specified effective date.</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related to revenue recognition, which requires an entity to recognize the amount of revenue to which it expects to be entitled for the transfer of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We are assessing the potential impact of the new standards on our consolidated financial statements and have not yet selected a method of adoption.</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2015, the FASB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evaluating the impact the adoption of ASU 2015-11 will have on its consolidated financial statements.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(Subtopic 825-10): Recognition and Measurement of Financial Assets and Financial Liabilities. The update is intended to improve the recognition and measurement of financial instruments. The ASU affects public and private companies, not-for-profit organizations, and employee benefit plans that hold financial assets or owe financial liabilities. The update is effective for fiscal years beginning after December 15, 2017, including interim periods within those fiscal years. The Company is evaluating the impact the adoption of ASU 2016-01 will have on its consolidated financial statements.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new standard requires that all lessees recognize the assets and liabilities that arise from leases on the balance sheet and disclose qualitative and quantitative information about its leasing arrangements. The new standard will be effective for us on January 1, 2019. The adoption of this standard is not expected to have a material impact on our financial position. The Company is evaluating the impact the adoption of ASU 2016-02 will have on its consolidated financial statements.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No. 2016-09, Compensation—Stock Compensation (Topic 718): Improvements to Employee Share-Based Payment Accounting. The new standard involves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The Company is evaluating the impact the adoption of ASU 2016-09 will have on its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 net consist of the following (dollar amounts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1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20" w:type="dxa"/>
            <w:vAlign w:val="bottom"/>
          </w:tcPr>
          <w:p>
            <w:pPr>
              <w:spacing w:after="0"/>
              <w:rPr>
                <w:sz w:val="12"/>
                <w:szCs w:val="12"/>
                <w:color w:val="auto"/>
              </w:rPr>
            </w:pPr>
          </w:p>
        </w:tc>
        <w:tc>
          <w:tcPr>
            <w:tcW w:w="102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68,434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(119,430)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(119,513)</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December 31, 2015 balances have been reclassified to the current year presentation by allocating the impairment of $140.4 million to the individual asset groups.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three months ended March 31, 2016 and 2015 was $0.6 million and $2.3 million,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8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Related-party arrangements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October 2007, the Company entered into a $350.0 million loan arrangement with its principal stockholder. The Mann Group Loan Arrangement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March 31, 2016, the total principal amount outstanding under The Mann Group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March 31, 2016, the Company had accrued $7.1 million of interest in other long term liabilities.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2016, there were no additional borrowings under or amendments to The Mann Group Loan Arrangement.</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May 2015, the Company entered into a sublease agreement with the Alfred Mann Foundation for Scientific Research (the “Mann Foundation”), a California not-for-profit corporation. The lease is for approximately 12,500 square feet of office space in Valencia, California and expires in April 2017. The office space contains the Company’s principal executive offices. Lease payments to the Mann Foundation for the three months ended March 31, 2016 were $65,000 and there were no lease payments to the Mann Foundation for the three months ended March 31, 2015.</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10 — Commitments and contingencies).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Senior convertible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convertible notes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2018 notes</w:t>
            </w:r>
          </w:p>
        </w:tc>
        <w:tc>
          <w:tcPr>
            <w:tcW w:w="2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$ 27,690</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premium</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Unaccreted debt issuance costs</w:t>
            </w:r>
          </w:p>
        </w:tc>
        <w:tc>
          <w:tcPr>
            <w:tcW w:w="2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$ 27,618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Issuance of new 5.75% Convertible Senior Subordinated Exchange Notes due 2018 in exchange for 2015 notes</w:t>
      </w:r>
    </w:p>
    <w:p>
      <w:pPr>
        <w:spacing w:after="0" w:line="22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July 28, 2015, the Company entered into a privately-negotiated exchange agreement (the “Note Exchange Agreement”) with a select holder of the Company’s 5.75% Senior Convertible Notes due 2015 (the “2015 notes”), pursuant to which the Company agreed to issue $27.7 million aggregate principal amount of new 5.75% Convertible Senior Subordinated Exchange Notes due 2018 (the “2018 notes”) to such holder in exchange for the delivery to the Company of the same principal amount of 2015 notes. The 2018 notes were issued at the closing of the exchange on August 10, 2015. The Company analyzed this exchange under the provisions of ASC 470-50 and concluded that the exchange represents an extinguishment of the 2015 notes and a new issuance of 2018 notes and recorded such notes at fair value which resulted in a premium of $0.7 million.</w:t>
      </w:r>
    </w:p>
    <w:p>
      <w:pPr>
        <w:spacing w:after="0" w:line="188"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The 2018 notes are the Company’s general, unsecured, senior obligations, except that the 2018 notes are subordinated in right of payment to the outstanding notes issued pursuant to the Facility Agreement and the Company’s borrowings under the Sanofi Loan Facility with an affiliate of Sanofi-Aventis U.S. LLC. The 2018 notes rank equally in right of payment with the Company’s other unsecured senior debt. The 2018 notes bear interest at the rate of</w:t>
      </w:r>
    </w:p>
    <w:p>
      <w:pPr>
        <w:spacing w:after="0" w:line="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5.75% per year on the principal amount, payable semiannually in arrears in cash on February 15 and August 15 of each year, beginning February 15, 2016, with interest accruing from August 15, 2015. The 2018 notes mature on August 15, 2018.</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2018 notes are convertible, at the option of the holder, at any time on or prior to the close of business on the business day immediately preceding the stated maturity date, into shares of the Company’s common stock at an initial conversion rate of 147.0859 shares per $1,000 principal amount of 2018 notes, which is equal to a conversion price of approximately $6.80 per share, the same conversion price as that of the 2015 notes on the date of exchange. The conversion rate is subject to adjustment under certain circumstances described in an indenture governing the 2018 notes dated August 10, 2015 with US Bank (as successor trustee to Wells Fargo, National Association), including in connection with a make-whole fundamental change. If certain fundamental changes occur, such as share price being over $4.82 on date of conversion, the Company will be obligated to pay a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 The Company can force conversion at $6.80 or 747.1 thousand shares.</w:t>
      </w:r>
    </w:p>
    <w:p>
      <w:pPr>
        <w:spacing w:after="0" w:line="18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w:t>
      </w:r>
    </w:p>
    <w:p>
      <w:pPr>
        <w:ind w:right="20"/>
        <w:spacing w:after="0" w:line="252" w:lineRule="auto"/>
        <w:rPr>
          <w:sz w:val="20"/>
          <w:szCs w:val="20"/>
          <w:color w:val="auto"/>
        </w:rPr>
      </w:pPr>
      <w:r>
        <w:rPr>
          <w:rFonts w:ascii="Times New Roman" w:cs="Times New Roman" w:eastAsia="Times New Roman" w:hAnsi="Times New Roman"/>
          <w:sz w:val="18"/>
          <w:szCs w:val="18"/>
          <w:color w:val="auto"/>
        </w:rPr>
        <w:t>30 consecutive trading day period ending on the trading day immediately prior to the date of the redemption notice. The redemption price will equal the sum of 100% of the principal amount of the 2018 notes to be redeemed, plus accrued and unpaid interest. Under the terms of the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2018 notes provide that upon an acceleration of certain indebtedness, including the 9.75% Senior Convertible Notes due 2019 (the “2019 notes”) and the 8.75% Senior Convertible Notes due 2019 (the “Tranche B notes”) issued to Deerfield pursuant to the Facility Agreement (see Note 13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$0.8 million in issuance costs which are recorded as an offset to the 2018 notes in the accompanying condensed consolidated balance sheet. These costs are being accreted to interest expense using the effective interest method over the term of the 2018 notes.</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Accretion of debt issuance expense in connection with the 2018 notes for the three months ended March 31, 2016 was $62,000. Amortization of 2018 notes premium for the three months ended March 31, 2016 was $57,000.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Collaboration arrangement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License Agreement and Sanofi Supply Agreement</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disclosed in Note 1 under Basis of Presentation, the Company entered into a license and collaboration agreement with Sanofi which was terminated effective April 4, 2016. On April 5, 2016 the Company assumed responsibility for the worldwide development and commercialization of AFREZZA from Sanofi, in a transition designed to ensure that patients will not experience any interruption in their treatment. Under terms of the transition agreement, Sanofi will continue to fulfill orders for AFREZZA until such time as Sanofi’s inventory of usable product is depleted or until the Company provides Sanofi written notice requesting that Sanofi cease such activities, but in any event no later than October 1, 2016. As previously disclosed, worldwide profits and losses incurred by the Company and Sanofi that are specifically attributable or related to the development, regulatory filings, manufacturing, or commercialization of AFREZZA, are shared 65% by Sanofi and 35% by the Company until Sanofi Ceases to distribute AFREZZA.</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analyzed the agreements entered into with Sanofi to determine whether the consideration, or a portion thereof, could be recognized as revenue.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order for revenue to be recognized, the seller’s price to the buyer must be fixed and determinable. Given that as of March 31, 2016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 As such, the Company did not recognize any revenue pursuant to the Sanofi License Agreement or the Sanofi Supply Agreement for the three months ended March 31, 2016. The Company has recorded the $150.0 million up-front payment and $50.0 million from milestone payments as deferred payments from collaboration. In addition, as of March 31, 2016 the Company has recorded $17.7 million in AFREZZA product shipments to Sanofi recorded as deferred product sales from collaboration and recorded $13.5 million as deferred product costs from collaboration. Deferred product costs represent the costs of product manufactured and shipped to Sanofi, not to exceed the amount of deferred product sales, for which recognition of revenue has been deferred. During the quarter ended March 31, 2016, the Company’s portion of the loss sharing was $5.5 million, which resulted in the reclassification from current deferred payments from collaboration to Sanofi loan facility and loss share obligation to reflect amounts owed to Sanofi.</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Loan Facility</w:t>
      </w:r>
    </w:p>
    <w:p>
      <w:pPr>
        <w:spacing w:after="0" w:line="11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On September 23, 2014, the Company entered into the Sanofi Loan Facility, consisting of a senior secured revolving promissory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 assets, potentially requiring the Company to renegotiate the terms of its indebtedness on terms less favorable to the Company, or to immediately cease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 which has a carrying value of $17.7 million as of March 31, 2016.</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4"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from the net cash proceeds of the sale within five business days of receipt. The maturity date of September 23, 2024 for repayment of the outstanding principal amount of the loans under the Sanofi Loan Facility is not affected by the termination of the Sanofi License Agreement.</w:t>
      </w:r>
    </w:p>
    <w:p>
      <w:pPr>
        <w:spacing w:after="0" w:line="16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Company’s total cumulative portion of the loss sharing, including interest, was $68.8 million, of which $63.5 million was borrowed under the Sanofi Loan Facility as of March 31, 2016. Subsequent to March 31, 2016, the Company borrowed $5.3 million under the Sanofi Loan Facility to finance the portion of the Company’s loss for the quarter ended March 31, 2016. The total amount owed to Sanofi is $68.8 million, which includes $2.8 million in paid-in-kind interest capitalized as principal.</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 covenants under any of the Sanofi Loan Facility or certain other related security agreements and documents entered into in connection with the Sanofi Loan Facility, subject to a cure period with respect to most covenants; the Company’s insolvency or the occurrence of certain bankruptcy-related events;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121" w:lineRule="exact"/>
        <w:rPr>
          <w:sz w:val="20"/>
          <w:szCs w:val="20"/>
          <w:color w:val="auto"/>
        </w:rPr>
      </w:pPr>
    </w:p>
    <w:p>
      <w:pPr>
        <w:jc w:val="both"/>
        <w:ind w:right="60" w:firstLine="456"/>
        <w:spacing w:after="0" w:line="272" w:lineRule="auto"/>
        <w:rPr>
          <w:sz w:val="20"/>
          <w:szCs w:val="20"/>
          <w:color w:val="auto"/>
        </w:rPr>
      </w:pPr>
      <w:r>
        <w:rPr>
          <w:rFonts w:ascii="Times New Roman" w:cs="Times New Roman" w:eastAsia="Times New Roman" w:hAnsi="Times New Roman"/>
          <w:sz w:val="17"/>
          <w:szCs w:val="17"/>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17"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Significant inputs to the valuation model are unobservable.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or remaining maturities of 90 days or less at the time of purchase, that are readily convertible into cash. As of March 31, 2016 and December 31, 2015, the Company held $27.7 million and $59.1 million, respectively, of cash and cash equivalents, consisting primarily of money market funds of $26.0 million and $55.8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Arrangement</w:t>
      </w:r>
    </w:p>
    <w:p>
      <w:pPr>
        <w:spacing w:after="0" w:line="11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note payable to our principal stockholder cannot be reasonably estimated as the Company would not be able to obtain a similar credit arrangement in the current economic environment.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notes, facility financing obligation and Sanofi Loan Facility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carrying values and estimated fair values of the 2018 notes, the facility financing obligation (i.e., the 2019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B notes), and the Sanofi Loan Facility (in millions):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17"/>
        </w:trPr>
        <w:tc>
          <w:tcPr>
            <w:tcW w:w="4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5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notes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2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w:t>
            </w:r>
          </w:p>
        </w:tc>
        <w:tc>
          <w:tcPr>
            <w:tcW w:w="4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Sanofi Loan Facility</w:t>
            </w:r>
          </w:p>
        </w:tc>
        <w:tc>
          <w:tcPr>
            <w:tcW w:w="226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44.5</w:t>
            </w:r>
          </w:p>
        </w:tc>
        <w:tc>
          <w:tcPr>
            <w:tcW w:w="4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notes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estimated fair value of the 2018 notes was calculated based on model-derived valuations whose inputs were observable, such 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(21%), stock price volatility (100%) and recent price quotes and trading information regarding Company issued debt instruments and shares of common stock into which the notes are convertible (Level 3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Agreement</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discussed in Note 12 — Facility Agreement, in connection with the Facility Agreement, the Company issued 2019 notes and subsequently issued Tranche B notes (the “Facility Financing Obligation”).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March 31, 2016 the market discount rate was recalculated at 12.0% for the 2019 notes and 11% for the Tranche B notes, which reflected decline in the market price of benchmark U.S. Treasury securities as compared to prior measurement date (Level 3 in the fair value hierarchy).</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the 2019 notes and Tranche B notes, the Company also issued certain rights to receive payments of up to $90.0 million upon 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(14.5%) was selected based on an estimation of required rate of returns for similar investment opportunities using available market data. As of March 31, 2016, the carrying value of the Milestone Rights is $8.9 million, classified as a long-term liability in other liabilities and the fair value is estimated at $17.7 million.</w:t>
      </w:r>
    </w:p>
    <w:p>
      <w:pPr>
        <w:sectPr>
          <w:pgSz w:w="11900" w:h="16838" w:orient="portrait"/>
          <w:cols w:equalWidth="0" w:num="1">
            <w:col w:w="11380"/>
          </w:cols>
          <w:pgMar w:left="240" w:top="455" w:right="279" w:bottom="1440" w:gutter="0" w:footer="0" w:header="0"/>
        </w:sectPr>
      </w:pP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Loan Facility</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discussed in Note 6 —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The estimated fair value was determined using a discounted cash flow model in which time outstanding and discount rate were primary variables. This method considered the key elements of the contractual terms of the Sanofi Loan Facility, market-based estimated cost of capital, and time value of money, namely the amount of time to settlement and the estimated discount rate (11%) appropriate for the liability (Level 3 in the fair value hierarchy). As of March 31, 2016 the carrying value of the Sanofi Loan Facility is $63.5 million and the fair value is estimated at $48.2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Accounting for 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accompanying condensed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and 2015 was as follows (in thousands):</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the Company issued stock awards to employees with a four-year vesting schedule. The grant date fair value of the 2,364,200 restricted stock units and 4,920,267 stock options issued was $2,175,064 and $2,988,418, respectively, with a grant date fair value per share of $0.92 and $0.61, respectively.</w:t>
      </w:r>
    </w:p>
    <w:p>
      <w:pPr>
        <w:spacing w:after="0" w:line="176"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2016, there was $5.7 million and $7.4 million of unrecognized compensation cost related to options and restricted stock units, respectively, which are expected to be recognized over the remaining weighted average vesting period of 3.0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common share</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Basic net loss per share excludes dilution for potentially dilutive securities and is computed by dividing net loss by the weighted average number of common shares outstanding during the period excluding the 9,000,000 shares loaned to Bank of America under a share lending arrangement for the period ended March 31, 2015. In the third quarter of 2015, the 9,000,000 shares loaned to Bank of America were returned and therefore do not impact the first quarter of 2016. Prior to the return of those shares, the borrowed shares were not considered outstanding for the purpose of computing and reporting basic or diluted loss per share because the share borrower had to return all borrowed shares to the Company (or, in certain circumstances, the cash value thereof).</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are not included in the diluted net loss per share calculation and excluded the 9,000,000 shares of the Company’s common stock loaned under the share lending arrangement.</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On February 8, 2016, all unexercised warrants related to the February 2012 public offering expired. The only remaining warrants outstanding relate to those issued to the Company’s placement agent in exchange for services related to the Company’s offering on November 9, 2015 for selected investment funds in Israel.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Potentially dilutive securities outstanding are summarized as follows (in shares):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2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2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24,102,471</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3,946,007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2,647,020</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6,200,721</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Conversion of senior convertible notes into common stock</w:t>
            </w:r>
          </w:p>
        </w:tc>
        <w:tc>
          <w:tcPr>
            <w:tcW w:w="2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4,072,809</w:t>
            </w: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14,708,590</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32,280,590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45,171,595</w:t>
            </w:r>
          </w:p>
        </w:tc>
        <w:tc>
          <w:tcPr>
            <w:tcW w:w="100" w:type="dxa"/>
            <w:vAlign w:val="bottom"/>
            <w:shd w:val="clear" w:color="auto" w:fill="CCEEFF"/>
          </w:tcPr>
          <w:p>
            <w:pPr>
              <w:spacing w:after="0"/>
              <w:rPr>
                <w:sz w:val="18"/>
                <w:szCs w:val="18"/>
                <w:color w:val="auto"/>
              </w:rPr>
            </w:pPr>
          </w:p>
        </w:tc>
      </w:tr>
      <w:tr>
        <w:trPr>
          <w:trHeight w:val="372"/>
        </w:trPr>
        <w:tc>
          <w:tcPr>
            <w:tcW w:w="4220" w:type="dxa"/>
            <w:vAlign w:val="bottom"/>
          </w:tcPr>
          <w:p>
            <w:pPr>
              <w:spacing w:after="0"/>
              <w:rPr>
                <w:sz w:val="24"/>
                <w:szCs w:val="24"/>
                <w:color w:val="auto"/>
              </w:rPr>
            </w:pPr>
          </w:p>
        </w:tc>
        <w:tc>
          <w:tcPr>
            <w:tcW w:w="22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w w:val="99"/>
              </w:rPr>
              <w:t>14</w:t>
            </w: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subject to legal proceedings and claims which arise in the ordinary course of its business. As of March 31, 2016,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Following the public announcement of Sanofies election to terminate the Sanofi License Agreement and the subsequent decline in the Company’s stock price, several complaints were filed in the U.S. District Court for the Central District of California (the “District Court”) against the Company and certain of its officers and directors on behalf of certain purchasers of its common stock. The complaints include claims asserted under Sections 10(b) and 20(a) of the Exchange Act and have been pled as putative shareholder class actions. In general, the complaints allege that the Company and certain of its officers and directors violated federal securities laws by making materially false and misleading statements regarding the prospects for AFREZZA, thereby artificially inflating the price of its common stock. The plaintiffs are seeking monetary damages and other relief. On April 29, 2016, two putative shareholders filed a Joint Stipulation with the District Court seeking an order consolidating the actions for all purposes, appointing them co-lead plaintiffs, and approving their selection of lead counsel. The Company will vigorously defend against the claims advanced.</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Following the public announcement of Sanofies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The Company will vigorously defend against the claims advanced.</w:t>
      </w:r>
    </w:p>
    <w:p>
      <w:pPr>
        <w:spacing w:after="0" w:line="182"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On March 10, 2016, a shareholder derivative complaint, captioned </w:t>
      </w:r>
      <w:r>
        <w:rPr>
          <w:rFonts w:ascii="Times New Roman" w:cs="Times New Roman" w:eastAsia="Times New Roman" w:hAnsi="Times New Roman"/>
          <w:sz w:val="18"/>
          <w:szCs w:val="18"/>
          <w:i w:val="1"/>
          <w:iCs w:val="1"/>
          <w:color w:val="auto"/>
        </w:rPr>
        <w:t>Hoang Dao v. Matthew Pfeffer, et al</w:t>
      </w:r>
      <w:r>
        <w:rPr>
          <w:rFonts w:ascii="Times New Roman" w:cs="Times New Roman" w:eastAsia="Times New Roman" w:hAnsi="Times New Roman"/>
          <w:sz w:val="18"/>
          <w:szCs w:val="18"/>
          <w:color w:val="auto"/>
        </w:rPr>
        <w:t>., Case No. BC613361, was filed in the Superior Court for the State of California, County of Los Angeles against certain of the Company’s directors and officers. The complaint alleges breaches of fiduciary duties by the defendants and other violations of law. Among other allegations, the complaint alleges that the defendants caused the Company to make false and misleading statements or omissions of material fact regarding the Company’s business and the prospects for sales of Afrezza, thereby artificially inflating the price of the Company’s common stock. The plaintiff is seeking unspecified monetary damages and other relief, including reforms to the Company’s corporate governance and internal procedures. The Company has not yet been served with the complaint and summons in this matter.</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Facility Agreement, on July 1, 2013 the Company also entered into a Milestone Rights Purchase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12 – Facility Agreement).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31, 2014, the Company entered into a supply agreement (the “Insulin Supply Agreement”) with Amphastar France Pharmaceuticals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The Company has agreed to purchase annual minimum quantities of insulin for calendar years 2015 through 2019 under the Insulin Supply Agreement of an aggregate total of approximately €120.1 million, of which €98.5 million is remaining at March 31, 2016. The Company has contracted for the purchase of €28.8 million in 2016 and the remaining annual minimum quantities will be €23.3 million for the years ending December 31, 2017 through 2019. The Company may request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purchase additional quantities of insulin over such annual minimum quantities and will incur a cancellation fee of approximately $5.2 million if not purchased (see Note 2 — Summary of Significant accounting policies). Based on our purchase commitments outstanding in foreign currency at March 31. 2016, the Company incurred a loss on foreign currency exchange of $2.4 million for the quarter ended.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Unless earlier terminated, the term of the Insulin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Sanofi Supply Agreement, in the event that Sanofi terminates the Sanofi License Agreement for various reasons (including the reasons cited in its notice of termination to the Company), then upon written notice from the Company within 30 days following the termination date, Sanofi is obligated to purchase up to $50 million of the Company’s insulin inventory as a percentage of each lot received or receivable by the Company (the “Insulin Put”). On April 14, 2016, the Company provided Sanofi with written notice that it was exercising the Insulin Put. The Company and Sanofi are currently discussing the schedule of purchases and deliveries pursuant to the Insulin Put.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As required by ASC 740 Income Taxes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4"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 xml:space="preserve">ASC 740-10-25 </w:t>
      </w:r>
      <w:r>
        <w:rPr>
          <w:rFonts w:ascii="Times New Roman" w:cs="Times New Roman" w:eastAsia="Times New Roman" w:hAnsi="Times New Roman"/>
          <w:sz w:val="18"/>
          <w:szCs w:val="18"/>
          <w:i w:val="1"/>
          <w:iCs w:val="1"/>
          <w:color w:val="auto"/>
        </w:rPr>
        <w:t>Income Taxes Recognition</w:t>
      </w:r>
      <w:r>
        <w:rPr>
          <w:rFonts w:ascii="Times New Roman" w:cs="Times New Roman" w:eastAsia="Times New Roman" w:hAnsi="Times New Roman"/>
          <w:sz w:val="18"/>
          <w:szCs w:val="18"/>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 Update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requires that deferred tax assets and liabilities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As permitted by the standard, we adopted the new presentation and the adoption did not have an impact on our consolidated financial statements and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Facility Agreement</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2016, there were $60.0 million principal amount of 2019 notes and $20.0 million principal amount of Tranche B notes outstanding. The 2019 notes accrue interest at annual rate of 9.75% and the Tranche B notes accrue interest at an annual rate of 8.75%. The Facility Agreement principal repayment schedule is comprised of annual payments beginning on July 1, 2016 and ending December 9, 2019. The repayment dates correspond to the dates on which the 2019 notes or Tranche B notes, as applicable, were issued.</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 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As of March 31, 2016, the remaining liability balance of $8.9 million is classified as long-term liability in other liabilities.</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Accretion of debt issuance cost and debt discount in connection with the Facility financing agreement during the three months ended March 31, 2016 and 2015 are as follows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4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40" w:type="dxa"/>
            <w:vAlign w:val="bottom"/>
            <w:gridSpan w:val="4"/>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debt issuance cost</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debt discount</w:t>
            </w:r>
          </w:p>
        </w:tc>
        <w:tc>
          <w:tcPr>
            <w:tcW w:w="12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Facility Agreement contains a financial covenant that requires the Company’s cash and cash equivalents, which include available borrowings under the Loan Arrangement, on the last day of each fiscal quarter to not be less than $25.0 million. The Company will need to raise additional capital to support its current operating plans. Due to the uncertainties related to maintaining</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sufficient resources to comply with the aforementioned covenant, the 2019 notes have been classified as current liabilities in the accompanying balance sheet as of March 31, 2016. In the event of non-compliance, Deerfield may declare all or any portion of the 2019 notes and/or Tranche B notes to be immediately due and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 April 26, 2016, MannKind Corporation (the “Company”) entered into an At Market Issuance Sales Agreement (the “Sales Agreement”) with FBR Capital Markets &amp; Co. (“FBR”), pursuant to which the Company may issue and sell shares of its common stock having an aggregate offering price of up to $50.0 million from time to time through FBR as its sales agent. The Company is not obligated to make any sales of common stock under the Sales Agreement.</w:t>
      </w:r>
    </w:p>
    <w:p>
      <w:pPr>
        <w:spacing w:after="0" w:line="180" w:lineRule="exact"/>
        <w:rPr>
          <w:sz w:val="20"/>
          <w:szCs w:val="20"/>
          <w:color w:val="auto"/>
        </w:rPr>
      </w:pPr>
    </w:p>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t>The issuance and sale of the common stock by the Company under the Sales Agreement, if any, is subject to the continuing effectiveness of the Company’s registration statement on Form S-3 (File No. 333-210792), filed with the Securities and Exchange Commission on April 18, 2016 (the “Registration Statement”). The Registration Statement became effective on April 27, 2016.</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FBR may sell the common stock by any method that is deemed to be an “at the market offering” as defined in Rule 415 promulgated under the Securities Act of 1933, as amended, including sales made directly on or through The NASDAQ Global Market or to or through a market maker. FBR may also sell the common stock in negotiated transactions, subject to our approval. Subject to the terms and conditions of the Sales Agreement, FBR will use commercially reasonable efforts consistent with its normal trading and sales practices to sell the common stock from time to time, based upon the Company’s instructions (including any price, time or size limits or other customary parameters or conditions the Company may impose).</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Unless earlier terminated as provided below, the Sales Agreement will automatically terminate upon the earlier of (1) the sale of all common stock subject to the Sales Agreement and (2) April 26, 2019. The Sales Agreement may be terminated by the Company or FBR at any time upon 10 days’ notice to the other party, or by FBR at any time in certain circumstances, including the occurrence of a material adverse change in the Company.</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will pay FBR an aggregate commission rate equal to up to 3.0% of the gross proceeds of the sales price per share for common stock sold through FBR under the Sales Agreement. The Company has also provided FBR with customary indemnification rights and expense reimbursements for up to $25,000 of expenses.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2015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development and commercialization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2016, we had an accumulated deficit of $2.9 billion and a stockholders’ deficit of $373.5 million. We have funded our operations primarily through the sale of equity securities and convertible debt securities, borrowings under the Facility Agreement, borrowings under The Mann Group Loan Arrangement, receipt of upfront and milestone payments under the Sanofi License Agreement and borrowings under the Sanofi Loan Facility to fund our portion of the loss share. As discussed below in “Liquidity and Capital Resources”, if we are unable to obtain additional funding, there will be substantial doubt about our ability to continue as a going concern.</w:t>
      </w:r>
    </w:p>
    <w:p>
      <w:pPr>
        <w:spacing w:after="0" w:line="184"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During 2015 and the first quarter of 2016, all sales and marketing activities related to AFREZZA were conducted by Sanofi pursuant to the Sanofi License Agreement, and we were responsible for manufacturing AFREZZA to supply Sanofi’s demand for the product pursuant to the Sanofi Supply Agreement.</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January 4, 2016 we received notification from Sanofi of its election to terminate in its entirety the Sanofi License Agreement. Pursuant to a transition agreement with Sanofi, all rights to AFREZZA transferred back to us on April 4, 2016 (the “Termination Date”), after which we assumed responsibility for the worldwide development and commercialization of AFREZZA. The transition is designed to ensure that patients will not experience any interruption in their treatment. Under terms of the transition agreement, Sanofi will continue to fulfill orders for AFREZZA until such time as Sanofi’s inventory of usable product is depleted or until we provide Sanofi with written notice requesting that Sanofi cease such activities, but in any event no later than October 1, 2016.</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successfully commercialize and manufacture sufficient quantities of AREZZA, our ability to successfully market and sell AFREZZA, and the risks inherent in our ongoing clinical trials and the regulatory approval process for our product candidates. Additional significant risks also include raising capital, the results of our research and development efforts, competition from other products and technologies and uncertainties associated with obtaining and enforcing patent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MANUFACTURING EXPENSES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Product manufacturing expenses represent under-absorbed labor and overhead, foreign currency exchange impact, and inventory write-offs, which are expensed in the period in which they are incurred rather than as a portion of the inventory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the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related to revenue recognition, which requires an entity to recognize the amount of revenue to which it expects to be entitled for the transfer of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We are assessing the potential impact of the new standards on our consolidated financial statements and have not yet selected a method of adoption.</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our consolidated financial statements. In July 2015, the FASB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We are evaluating the impact the adoption of ASU 2015-11 will have on our consolidated financial statements.</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(Subtopic 825-10): Recognition and Measurement of Financial Assets and Financial Liabilities. The update is intended to improve the recognition and measurement of financial instruments. The ASU affects public and private companies, not-for-profit organizations, and employee benefit plans that hold financial assets or owe financial liabilities. The update is effective for fiscal years beginning after December 15, 2017, including interim periods within those fiscal years. We are evaluating the impact the adoption of ASU 2016-01 will have on our consolidated financial statements.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new standard requires that all lessees recognize the assets and liabilities that arise from leases on the balance sheet and disclose qualitative and quantitative information about its leasing arrangements. The new standard will be effective for us on January 1, 2019. The adoption of this standard is not expected to have a material impact on our financial position. We are evaluating the impact the adoption of ASU 2016-02 will have on our consolidated financial statements.</w:t>
      </w:r>
    </w:p>
    <w:p>
      <w:pPr>
        <w:sectPr>
          <w:pgSz w:w="11900" w:h="16838" w:orient="portrait"/>
          <w:cols w:equalWidth="0" w:num="1">
            <w:col w:w="11420"/>
          </w:cols>
          <w:pgMar w:left="240" w:top="455"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No. 2016-09, Compensation—Stock Compensation (Topic 718): Improvements to Employee Share-Based Payment Accounting. The new standard involves several aspects of the accounting for share-based payment transactions, including the income tax consequences, classification of awards as either equity or liabilities and classification on the statement of cash flows. For public business entities, the amendments in this Update are effective for annual periods beginning after December 15, 2016, and interim periods within those annual periods. We are evaluating the impact the adoption of ASU 2016-09 will have on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 and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and 2015 we did not recognize any revenue. Due to the termination of the Sanofi License Agreement and based on our current operating plan, we expect to recognize, likely within 2016, $17.7 million as product sales from collaboration, $13.5 million as product costs from collaboration and income from collaboration related to upfront and milestone payments in excess of $100 million, which amounts are deferred as of March 31, 2016 due to the revenue recognition criteria not being met as of such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three months ended March 31, 2016 and 2015 (dollars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8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$2,465</w:t>
            </w:r>
          </w:p>
        </w:tc>
        <w:tc>
          <w:tcPr>
            <w:tcW w:w="2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$ 3,826</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(1,361)</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process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3,405</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(1,886)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1,403</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$ 9,377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 (4,247</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decrease in research and development expenses of $4.2 million for the three months ended March 31, 2016 compared to the three months ended March 31, 2015 was primarily due to a decrease of $1.9 million in manufacturing process development expenses and a $1.4 million decrease in clinical expenses as a result of the reduction in force and the closure of our Paramus, New Jersey facility in 2015. Research costs also decreased by $0.8 million compared to the same quarter of prior year due to lower research and development activities in the first quarter of 2016 and an up-front payment from Receptor Life Sciences in accordance with the license and collaboration agreement. Stock-based compensation declined by $0.2 million in 2016 compared to 2015 due to reduction in personnel in 2015.</w:t>
      </w:r>
    </w:p>
    <w:p>
      <w:pPr>
        <w:spacing w:after="0" w:line="18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anticipate that our overall research and development expenses will decrease in 2016 compared to 2015 as a result of the restructuring in 2015 and due to the focus on the commercialization of AFREZZA for the remainder of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three months ended March 31, 2016 and 2015 (dollars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7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related expenses</w:t>
            </w:r>
          </w:p>
        </w:tc>
        <w:tc>
          <w:tcPr>
            <w:tcW w:w="2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CEEFF"/>
          </w:tcPr>
          <w:p>
            <w:pPr>
              <w:spacing w:after="0"/>
              <w:rPr>
                <w:sz w:val="18"/>
                <w:szCs w:val="18"/>
                <w:color w:val="auto"/>
              </w:rPr>
            </w:pPr>
          </w:p>
        </w:tc>
        <w:tc>
          <w:tcPr>
            <w:tcW w:w="23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$2,193</w:t>
            </w:r>
          </w:p>
        </w:tc>
        <w:tc>
          <w:tcPr>
            <w:tcW w:w="2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3,484</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(1,291)</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general expenses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5,823</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(1,344)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1,172</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7,351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 (3,128</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2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expenses of $3.1 million for the three months ended March 31, 2016 compared to the three months ended March 31 2015 was primarily due to a $1.3 million decrease in salaries and personnel related expenses due to the reduction in force and closure of our Paramus, New Jersey facility in 2015 and a $1.3 million reduction in professional fees primarily due to a $1.0 million decrease in strategic planning activities performed in the first quarter of 2016 as compared to the first quarter of 2016. Stock compensation decreased by $0.5 million due to our decrease in personnel in 2015, which impacted the first quarter of 2016.</w:t>
      </w:r>
    </w:p>
    <w:p>
      <w:pPr>
        <w:spacing w:after="0" w:line="184" w:lineRule="exact"/>
        <w:rPr>
          <w:sz w:val="20"/>
          <w:szCs w:val="20"/>
          <w:color w:val="auto"/>
        </w:rPr>
      </w:pPr>
    </w:p>
    <w:p>
      <w:pPr>
        <w:jc w:val="both"/>
        <w:ind w:right="140" w:firstLine="456"/>
        <w:spacing w:after="0" w:line="313" w:lineRule="auto"/>
        <w:rPr>
          <w:sz w:val="20"/>
          <w:szCs w:val="20"/>
          <w:color w:val="auto"/>
        </w:rPr>
      </w:pPr>
      <w:r>
        <w:rPr>
          <w:rFonts w:ascii="Times New Roman" w:cs="Times New Roman" w:eastAsia="Times New Roman" w:hAnsi="Times New Roman"/>
          <w:sz w:val="17"/>
          <w:szCs w:val="17"/>
          <w:color w:val="auto"/>
        </w:rPr>
        <w:t>We expect general and administrative expenses to remain relatively flat in 2016 as compared to 2015 from the effects of the reduction in force and the closure of our Paramus, New Jersey facility in 2015. However, we expect sales and marketing expenses will increase in 2016 as we commercialize Afrezza.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Manufacturing</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Product manufacturing expenses, which cannot be capitalized, were $7.5 million for the three months ended March 31, 2016 compared to the $1.9 million for the three months ended March 31, 2015, associated with AFREZZA product sales. The $5.6 million increase in product manufacturing expenses is due to $3.2 million in under-absorbed labor and overhead resulting from a lack of manufacturing in the first quarter of 2016 when compared to the increase in manufacturing in the first quarter of 2015 and a loss on foreign currency exchange of $2.4 million. Product manufacturing expenses represent under absorbed labor and overhead, which are expensed in the period in which they are incurred rather than as a portion of the inventory cost.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Although the Sanofi License Agreement terminated in the second quarter of 2016, we expect our 2016 production of AFREZZA to be relatively consistent with production levels in 2015, primarily as a result of existing customer demand. With the exception of the inventory write-off, we expect product manufacturing expenses to remain relatively flat in 2016 compared to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Other income decreased by $1.3 million for the three months ended March 31, 2016 compared to the three months ended March 31, 2015. The decrease for the three months ended March 31, 2016 is due to a non-recurring transaction of $1.4 million resulting from the relief of an accrual for potential expenses associated with the sale of intellectual property related to oncology in 2014, which was subsequently resolved without payment in the first quarter of 2015, offset by other income of $0.1 million for the three months ended March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Interest expense decreased by $5.4 million for the three months ended March 31, 2016 compared to the three months ended March 31, 2015. The decrease was primarily driven by a non-recurring 2015 milestone payment of $5.8 million resulting from the achievement and re-measurement of the second milestone under the Milestone Agreement in the first quarter of 2015 and a decrease of $1.7 million in interest resulting from the settlement of the 2015 notes in the third quarter of 2015. The decrease was offset by an increase of $1.1 million interest expense associated with the Sanofi Loan Facility, $0.4 million interest expense related to the 2018 notes, and $0.3 million interest expense related to deferred payments to a supplier in 2016 and a decrease of $0.3 million in capitalized interest in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through the sale of equity securities and convertible debt securities, borrowings under The Mann Group Loan Arrangement, borrowings under the Facility Agreement with Deerfield, receipt of upfront, milestone payments under the Sanofi License Agreement, and borrowings under the Sanofi Loan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2016, we had $220.7 million principal amount of outstanding debt, consisting of:</w:t>
      </w:r>
    </w:p>
    <w:p>
      <w:pPr>
        <w:spacing w:after="0" w:line="131" w:lineRule="exact"/>
        <w:rPr>
          <w:sz w:val="20"/>
          <w:szCs w:val="20"/>
          <w:color w:val="auto"/>
        </w:rPr>
      </w:pPr>
    </w:p>
    <w:p>
      <w:pPr>
        <w:ind w:left="5620" w:right="2060" w:hanging="5045"/>
        <w:spacing w:after="0" w:line="454" w:lineRule="auto"/>
        <w:tabs>
          <w:tab w:leader="none" w:pos="8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 million principal amount of 2018 notes bearing interest at 5.75% per annum and maturing on August 15, 2018; 21</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principal amount of Tranche B notes bearing interest at 8.75% per annum, $5.0 million of which is due and payable in each of May 2017, 2018 and 2019, and $5.0 million of which is due and payable in December 2019;</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 million principal amount of indebtedness under The Mann Group Loan Arrangement bearing interest at 5.84% and maturing and due on January 5, 2020; and</w:t>
      </w:r>
    </w:p>
    <w:p>
      <w:pPr>
        <w:spacing w:after="0" w:line="67" w:lineRule="exact"/>
        <w:rPr>
          <w:rFonts w:ascii="Times New Roman" w:cs="Times New Roman" w:eastAsia="Times New Roman" w:hAnsi="Times New Roman"/>
          <w:sz w:val="18"/>
          <w:szCs w:val="18"/>
          <w:color w:val="auto"/>
        </w:rPr>
      </w:pPr>
    </w:p>
    <w:p>
      <w:pPr>
        <w:ind w:left="900" w:right="34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$63.5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spacing w:after="0" w:line="176"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2016, the amount available for future borrowings under The Mann Group Loan Arrangement was $30.1 million. A portion of these available borrowings may be used to capitalize accrued interest into principal, upon mutual agreement of the parties, as it becomes due and payable. As of March 31, 2016, the accrued and unpaid interest under The Mann Group Loan Arrangement was $7.1 million.</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of March 31, 2016, all profits and losses from AFREZZA product sales by Sanofi or its affiliates after the Termination Date, if any, will continue to be shared 65% by Sanofi and 35% by us pursuant to the terms of the Sanofi License Agreement through no later than October 1, 2016. Our total share of the net losses are $68.8 million, classified as Sanofi loan facility and loss share obligation, of which $63.5 million has been borrowed under the Sanofi Loan Facility. Subsequent to March 31, 2016, we borrowed an additional $5.3 million under the Sanofi Loan Facility to finance our share of the net losses for the first quarter of 2016, which was reclassified from current deferred payments from collaboration to Sanofi loan facility and loss share obligation, for a total of $68.8 million, which includes $2.8 million in paid-in-kind interest capitalized as additional principal. We will be required to make mandatory prepayments on any outstanding loans under the Sanofi Loan Facility from our share of any profits under the Sanofi License Agreement. Additionally, if we sell our Valencia facility, which we no longer use as our corporate headquarters, we will be required to prepay the loans under the Sanofi Loan Facility from the net cash proceeds of the sale within five business days of receipt.</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under the 2018 notes, 2019 notes, Tranche B notes, The Mann Group Loan Arrangement or Sanofi Loan Facility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 kind on a quarterly basis</w:t>
      </w:r>
    </w:p>
    <w:p>
      <w:pPr>
        <w:spacing w:after="0" w:line="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(2.06% per quarter compounded).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borrowings under The Mann Group Loan Arrangement or the Sanofi Loan Facility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8"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We do not expect to pay any milestone payments in the next 12 months.</w:t>
      </w:r>
    </w:p>
    <w:p>
      <w:pPr>
        <w:spacing w:after="0" w:line="18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In the event of default under the Facility Agreement, the holders of the 2019 notes and Tranche B notes may declare all or any portion of the 2019 notes and Tranche B notes to be immediately due and payable.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w:t>
      </w:r>
    </w:p>
    <w:p>
      <w:pPr>
        <w:sectPr>
          <w:pgSz w:w="11900" w:h="16838" w:orient="portrait"/>
          <w:cols w:equalWidth="0" w:num="1">
            <w:col w:w="11400"/>
          </w:cols>
          <w:pgMar w:left="240" w:top="455"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80" w:lineRule="exact"/>
        <w:rPr>
          <w:sz w:val="20"/>
          <w:szCs w:val="20"/>
          <w:color w:val="auto"/>
        </w:rPr>
      </w:pPr>
    </w:p>
    <w:p>
      <w:pPr>
        <w:ind w:right="180" w:firstLine="456"/>
        <w:spacing w:after="0" w:line="272" w:lineRule="auto"/>
        <w:rPr>
          <w:sz w:val="20"/>
          <w:szCs w:val="20"/>
          <w:color w:val="auto"/>
        </w:rPr>
      </w:pPr>
      <w:r>
        <w:rPr>
          <w:rFonts w:ascii="Times New Roman" w:cs="Times New Roman" w:eastAsia="Times New Roman" w:hAnsi="Times New Roman"/>
          <w:sz w:val="17"/>
          <w:szCs w:val="17"/>
          <w:color w:val="auto"/>
        </w:rPr>
        <w:t>In August 2015, we issued $27.7 million aggregate principal amount of 2018 notes. The 2018 notes are general, unsecured, senior obligations, except that the 2018 notes are subordinated in right of payment to the outstanding notes issued pursuant to the Facility Agreement and our borrowings under the Sanofi Loan Facility. The 2018 notes rank equally in right of payment with our other unsecured senior debt. The 2018 notes bear interest at the rate of</w:t>
      </w:r>
    </w:p>
    <w:p>
      <w:pPr>
        <w:spacing w:after="0" w:line="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5.75% per year on the principal amount, payable semiannually in arrears in cash on February 15 and August 15 of each year, beginning February 15, 2016, with interest accruing from August 15, 2015. The 2018 notes mature on August 15, 2018.</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July 31, 2014, we entered into the Insulin Supply Agreement, pursuant to which we agreed to purchase certain annual minimum quantities of insulin for calendar years 2015 through 2019, for an aggregate total purchase price of approximately €120.1 million, of which €98.5 million is remaining at March 31, 2016. We have contracted for the purchase of €28.8 million in 2016 and the remaining annual minimum quantities will be €23.3 million for the years ended December 31, 2017 through 2019. Unless earlier terminated, the term of the Insulin Supply Agreement expires on December 31, 2019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 Under the terms of the Sanofi Supply Agreement, in the event that Sanofi terminates the Sanofi License Agreement for various reasons (including the reasons cited in its notice of termination to the Company), then upon written notice from the Company within 30 days following the termination date, Sanofi is obligated to purchase up to $50 million of the Company’s insulin inventory as a percentage of each lot received or receivable by the Company (the “Insulin Put”). On April 14, 2016, the Company provided Sanofi with written notice that it was exercising the Insulin Put. The Company and Sanofi are currently discussing the schedule of purchases and deliveries pursuant to the Insulin Put.</w:t>
      </w:r>
    </w:p>
    <w:p>
      <w:pPr>
        <w:spacing w:after="0" w:line="19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Pursuant to the Sanofi License Agreement, we received milestone payments of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w:t>
      </w:r>
    </w:p>
    <w:p>
      <w:pPr>
        <w:spacing w:after="0" w:line="17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we used $30.8 million of cash for our operating activities as a result of our net loss of $24.9 million, adjusted by non-cash charges of $6.5 million and a net decrease in assets and liabilities of $12.4 million. The non-cash charges included $2.3 million of depreciation and accretion and stock-based compensation, a $2.4 million loss on foreign currency exchange, $1.2 million in interest accrued through borrowings under Sanofi Loan Facility, and $0.7 million of impairment charges. The change in net assets and liabilities was predominately due to the net decrease in accounts payable of $15.0 million offset by a decrease in prepaids and other current assets at March 31, 2016 compared to December 31, 2015.</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2015 cash provided by operations was $3.0 million as a result of our net loss of $30.7 million, adjusted by non-cash charges of $5.0 million and a net increase in assets and liabilities of $28.7 million. The non-cash charges included $5.0 million of depreciation and accretion and stock-based compensation. The change in net assets and liabilities was predominately due to a $50.0 million decrease in milestone receivable from Sanofi, earned as of December 31, 2014 and received in the first quarter 2015, offset by $5.8 million in interest expense associated with the achievement and payment of the second milestone to Deerfield for product launch on February 3, 2015 and decreases in accrued expenses primarily due to the $4.9 million inventory payment to Amphastar and a $2.9 million interest payment related to the 2015 notes.</w:t>
      </w:r>
    </w:p>
    <w:p>
      <w:pPr>
        <w:spacing w:after="0" w:line="18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used $1.1 million of cash for investing activities during the three months ended March 31, 2016, compared to $4.2 million of cash for investing activities during the three months ended March 31, 2015. The $3.1 million decrease was due to a decrease in purchase of machinery and equipment in 2016 compared to 2015.</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financing activities provided $0.5 million of cash for the three months ended March 31, 2016 from exercises of stock options, compared to $1.2 million for the three months ended March 31, 2015 from $6.2 million in warrant exercises and $4.2 million in stock option exercises, offset by a $4.2 million outflow associated with the achievement and payment of the second milestone to Deerfield for product launch on February 3, 2015 and a $0.8 million payment for employment taxes related to vested restricted stock units.</w:t>
      </w:r>
    </w:p>
    <w:p>
      <w:pPr>
        <w:spacing w:after="0" w:line="180"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2016, we had $27.7 million in cash and cash equivalents. We expect to expend our capital resources for the manufacturing, sales and marketing of AFREZZA subsequent to the termination with Sanofi and to develop our other product candidates. We also intend to use our capital resources for general corporate purposes.</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If we enter into strategic business collaborations with respect to our other product candidates,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may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we did not have any off-balance sheet arrangements.</w:t>
      </w:r>
    </w:p>
    <w:p>
      <w:pPr>
        <w:spacing w:after="0" w:line="370" w:lineRule="exact"/>
        <w:rPr>
          <w:sz w:val="20"/>
          <w:szCs w:val="20"/>
          <w:color w:val="auto"/>
        </w:rPr>
      </w:pPr>
    </w:p>
    <w:p>
      <w:pPr>
        <w:ind w:right="392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ind w:right="40"/>
        <w:spacing w:after="0" w:line="258" w:lineRule="auto"/>
        <w:rPr>
          <w:sz w:val="20"/>
          <w:szCs w:val="20"/>
          <w:color w:val="auto"/>
        </w:rPr>
      </w:pPr>
      <w:r>
        <w:rPr>
          <w:rFonts w:ascii="Times New Roman" w:cs="Times New Roman" w:eastAsia="Times New Roman" w:hAnsi="Times New Roman"/>
          <w:sz w:val="18"/>
          <w:szCs w:val="18"/>
          <w:color w:val="auto"/>
        </w:rPr>
        <w:t>Due to the fixed interest rates of our debt, we currently do not have exposure to changes in our interest expense as a result of changes in interest rates. The interest rate on amounts borrowed under The Mann Group Loan Arrangement for the three months ended March 31, 2015 was a fixed rate equal to 5.84%. As of March 31, 2016, the total principal amount outstanding under The Mann Group Loan Arrangement was $49.5 million. We also have debt related to the 2018 notes at a fixed interest rate of 5.75%, debt related to the 2019 notes at a fixed interest rate of 9.75%, and debt related to the Tranche B notes at a fixed interest rate of 8.75%.</w:t>
      </w:r>
    </w:p>
    <w:p>
      <w:pPr>
        <w:spacing w:after="0" w:line="1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change in interest rates equal to 10% of the interest rates on March 31, 2016 were to have occurred, this change would not have had a material effect on the value of our short-term investment portfolio or on our interest expense obligations with respect to outstanding borrowed amounts.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three months ended March 31, 2016, we did not purchase any inventory and for the year ended December 31, 2016 we are required to purchase the minimum quarterly supply purchases of insulin contemplated under our supply agreement with Amphastar. If a change in the U.S. dollar to euro exchange rate equal to 10% of the U.S. dollar to euro exchange rate on March 31, 2016 were to have occurred on March 31, 2016, this change would have resulted in a foreign currency impact to our pre-tax losses of approximately $11.2 million.</w:t>
      </w:r>
    </w:p>
    <w:p>
      <w:pPr>
        <w:spacing w:after="0" w:line="33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under Item 9A. “Controls and Procedures” in our Annual Report on Form 10-K for our fiscal year ended December 31, 2015, we concluded that our disclosure controls and procedures were not effective as of December 31, 2015 based on the material weakness identified. We did not maintain sufficient internal control over financial reporting due to the lack of operating effectiveness of our controls over the impairment testing that we performed in accordance with ASC 360-10, </w:t>
      </w:r>
      <w:r>
        <w:rPr>
          <w:rFonts w:ascii="Times New Roman" w:cs="Times New Roman" w:eastAsia="Times New Roman" w:hAnsi="Times New Roman"/>
          <w:sz w:val="18"/>
          <w:szCs w:val="18"/>
          <w:i w:val="1"/>
          <w:iCs w:val="1"/>
          <w:color w:val="auto"/>
        </w:rPr>
        <w:t>Impairment and Disposal of Long-Lived Assets</w:t>
      </w:r>
      <w:r>
        <w:rPr>
          <w:rFonts w:ascii="Times New Roman" w:cs="Times New Roman" w:eastAsia="Times New Roman" w:hAnsi="Times New Roman"/>
          <w:sz w:val="18"/>
          <w:szCs w:val="18"/>
          <w:color w:val="auto"/>
        </w:rPr>
        <w:t xml:space="preserve"> and ASC 330-10,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as of December 31, 2015. Specifically, our review controls did not operate at a sufficient level of precision to identify certain errors, which management has determined constituted a material weakness.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Remediation generally requires making changes to how controls are designed and then adhering to those changes for a sufficient period of time such that the effectiveness of those changes is demonstrated with an appropriate amount of consistency. Although progress has been made through March 31, 2016 to remediate the material weakness discussed above, these enhanced controls have not yet been fully implemented or operating for a sufficient period of time to conclude they are operating effectively and we continue to improve our internal control processes, therefore the material weakness continues to exist.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including consideration of the control deficiencies discussed above, management has concluded that the Company’s disclosure controls and procedures were not effective as of March 31, 2016.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public announcement of Sanofi’s election to terminate the Sanofi License Agreement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pled as putative shareholder class actions. In general, the complaints allege that we and certain of our officers and directors violated federal securities laws by making materially false and misleading statements regarding the prospects for AFREZZA, thereby artificially inflating the price of our common stock. The plaintiffs are seeking monetary damages and other relief. We expect the complaints to be transferred to a single court and consolidated for all purposes, following which the court would be expected to appoint a lead plaintiff and lead counsel and to order the lead plaintiff to file a consolidated complaint. We will vigorously defend against the claims advanced.</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Following the public announcement of Sanofi’s election to terminate the Sanofi License Agreement and the subsequent decline of the price of our common stock, two motions were submitted to the District Court at Tel Aviv (Economic Department) for the certification of a class action against us and certain of our officers and directors. In general, the complaints allege that we and certain of our officers and directors violated Israeli and US securities laws by making materially false and misleading statements regarding the prospects for AFREZZA, thereby artificially inflating the price of our common stock. The plaintiffs are seeking monetary damages. We will vigorously defend against the claims advanced.</w:t>
      </w:r>
    </w:p>
    <w:p>
      <w:pPr>
        <w:spacing w:after="0" w:line="184" w:lineRule="exact"/>
        <w:rPr>
          <w:sz w:val="20"/>
          <w:szCs w:val="20"/>
          <w:color w:val="auto"/>
        </w:rPr>
      </w:pPr>
    </w:p>
    <w:p>
      <w:pPr>
        <w:jc w:val="both"/>
        <w:ind w:right="660"/>
        <w:spacing w:after="0" w:line="289" w:lineRule="auto"/>
        <w:rPr>
          <w:sz w:val="20"/>
          <w:szCs w:val="20"/>
          <w:color w:val="auto"/>
        </w:rPr>
      </w:pPr>
      <w:r>
        <w:rPr>
          <w:rFonts w:ascii="Times New Roman" w:cs="Times New Roman" w:eastAsia="Times New Roman" w:hAnsi="Times New Roman"/>
          <w:sz w:val="17"/>
          <w:szCs w:val="17"/>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3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depend heavily on the successful commercialization of our only approved product, AFREZZA.*</w:t>
      </w:r>
    </w:p>
    <w:p>
      <w:pPr>
        <w:spacing w:after="0" w:line="227"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expended significant time, money and effort in the development of our only approved product, AFREZZA. We anticipate that in the near term, our ability to generate revenues will depend on the successful commercialization of AFREZZA and our ability to enter into licensing arrangements for our Technosphere platform technology that involve license, milestone, royalty or other payments to us.</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February 3, 2015, AFREZZA became available by prescription in United States retail pharmacies. We must receive the necessary approvals from foreign regulatory agencies before AFREZZA can be marketed outside of the United States. Even with such regulatory approval, we ultimately may be unable to gain market acceptance of AFREZZA for a variety of reasons, including the treatment and dosage regimen, potential adverse effects, the availability of alternative treatments and lack of coverage or adequate reimbursement.</w:t>
      </w:r>
    </w:p>
    <w:p>
      <w:pPr>
        <w:sectPr>
          <w:pgSz w:w="11900" w:h="16838" w:orient="portrait"/>
          <w:cols w:equalWidth="0" w:num="1">
            <w:col w:w="11420"/>
          </w:cols>
          <w:pgMar w:left="240" w:top="455" w:right="239" w:bottom="306"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306"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April 5, 2016, we assumed responsibility for the worldwide development and commercialization of AFREZZA from Sanofi and expect to begin distributing AFREZZA in the third quarter of 2016. Until that time, Sanofi will continue to distribute AFREZZA from its existing inventory of product, and all profits and losses from AFREZZA product sales by Sanofi or its affiliates will continue to be shared 65% by Sanofi and 35% by us pursuant to the terms of the Sanofi License Agreement. We intend to continue the development and commercialization of AFREZZA in the United States on our own and to seek regional partnerships for the development and commercialization of AFREZZA in foreign jurisdictions where there are appropriate commercial opportunities. If we fail to commercialize AFREZZA successfully, our business, financial condition and results of operations will be materially and adversely affected.</w:t>
      </w:r>
    </w:p>
    <w:p>
      <w:pPr>
        <w:spacing w:after="0" w:line="186" w:lineRule="exact"/>
        <w:rPr>
          <w:sz w:val="20"/>
          <w:szCs w:val="20"/>
          <w:color w:val="auto"/>
        </w:rPr>
      </w:pPr>
    </w:p>
    <w:p>
      <w:pPr>
        <w:ind w:left="240" w:right="220"/>
        <w:spacing w:after="0" w:line="267" w:lineRule="auto"/>
        <w:rPr>
          <w:sz w:val="20"/>
          <w:szCs w:val="20"/>
          <w:color w:val="auto"/>
        </w:rPr>
      </w:pPr>
      <w:r>
        <w:rPr>
          <w:rFonts w:ascii="Times New Roman" w:cs="Times New Roman" w:eastAsia="Times New Roman" w:hAnsi="Times New Roman"/>
          <w:sz w:val="18"/>
          <w:szCs w:val="18"/>
          <w:i w:val="1"/>
          <w:iCs w:val="1"/>
          <w:color w:val="auto"/>
        </w:rPr>
        <w:t>We may not be able to successfully develop and commercialize AFREZZA on our own in the United States or find regional partnerships for the development and commercialization of AFREZZA in foreign jurisdictions. The commercialization and development of AFREZZA will require substantial capital that we may not be able to obtain.*</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Following the termination of the Sanofi License Agreement, we have assumed responsibility for commercializing and developing AFREZZA in the United States. We have no experience with commercializing AFREZZA and may not have sufficient resources to undertake and maintain such activities on our own. In order to commercialize AFREZZA in the United States, we will need to continue to build our commercialization capabilities, including sales and marketing capabilities, through hiring our own personnel or subcontracting to a commercial sales organization, or a combination of these. The market for skilled commercial personnel is highly competitive, and we may not be able to find and hire all of the personnel we need on a timely basis. We may engage in sales and marketing activities by subcontracting with a skilled commercial sales organization, though there are risks regarding whether a subcontractor will provide the level of effort and attention to AFREZZA necessary for successful commercialization. We are also responsible for negotiating and securing coverage and reimbursement for AFREZZA. If we are unable to obtain coverage of, and adequate payment levels for AFREZZA, physicians may limit how much or under what circumstances they will prescribe or administer AFREZZA and patients may decline to purchase AFREZZA, which would have an adverse effect on our ability to generate revenues. Building the internal infrastructure to further develop and commercialize AFREZZA will be costly and time-consuming, and may be distracting to management, and we may not be successful in our efforts or successful in obtaining financing to support those efforts.</w:t>
      </w:r>
    </w:p>
    <w:p>
      <w:pPr>
        <w:spacing w:after="0" w:line="19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a result of the termination of the Sanofi License Agreement, we are also responsible for the NDA for AFREZZA and its maintenance. We have no experience with the maintenance of an NDA and may fail to comply with maintenance requirements, including timely submitting required reports. Furthermore, we are responsible for the conduct of ongoing or still required post-approval trials of AFREZZA. Our financial and other resource constraints may result in delays or adversely impact the reliability and completion of these trials.</w:t>
      </w:r>
    </w:p>
    <w:p>
      <w:pPr>
        <w:spacing w:after="0" w:line="180" w:lineRule="exact"/>
        <w:rPr>
          <w:sz w:val="20"/>
          <w:szCs w:val="20"/>
          <w:color w:val="auto"/>
        </w:rPr>
      </w:pPr>
    </w:p>
    <w:p>
      <w:pPr>
        <w:ind w:right="20" w:firstLine="456"/>
        <w:spacing w:after="0" w:line="271" w:lineRule="auto"/>
        <w:rPr>
          <w:sz w:val="20"/>
          <w:szCs w:val="20"/>
          <w:color w:val="auto"/>
        </w:rPr>
      </w:pPr>
      <w:r>
        <w:rPr>
          <w:rFonts w:ascii="Times New Roman" w:cs="Times New Roman" w:eastAsia="Times New Roman" w:hAnsi="Times New Roman"/>
          <w:sz w:val="17"/>
          <w:szCs w:val="17"/>
          <w:color w:val="auto"/>
        </w:rPr>
        <w:t>We also intend to seek regional partnerships for the development and commercialization of AFREZZA in foreign jurisdictions where there are appropriate commercial opportunities. It may be difficult to find a new collaboration partner that is willing to devote the time and resources necessary to successfully commercialize AFREZZA. Collaborations with third parties may require us to relinquish material rights, including revenue from commercialization, on terms that are less attractive than our previous collaboration with Sanofi or to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and could have a material and adverse impact on our business, financial condition and results of operations and the market price of our common stock and other securities could decline.</w:t>
      </w:r>
    </w:p>
    <w:p>
      <w:pPr>
        <w:spacing w:after="0" w:line="17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ability to successfully continue the development and commercialization of AFREZZA is also dependent upon the successful transition of AFREZZA to us from Sanofi. We and Sanofi are required to use diligent efforts to facilitate the smooth and orderly transition of relevant obligations and rights to us with respect to development and commercialization activities related to AFREZZA. During the transition period, we will be dependent on Sanofi to perform certain activities related to AFREZZA, which subjects us to a number of risks, including:</w:t>
      </w:r>
    </w:p>
    <w:p>
      <w:pPr>
        <w:spacing w:after="0" w:line="86"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not perform as expected and we are not be able to control the amount and timing of resources that Sanofi devotes to the transition;</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disputes between us and Sanofi that may result in the delay of the achievement of regulatory and commercial objectives, or costly litigation or arbitration that diverts our management’s attention and resources;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Sanofi effects the transition could adversely impact the development of or sales of AFREZZA and failure to comply with applicable regulatory guidelines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85"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Sanofi’s business strategy or failure to apply financial and other resources to the transition may also adversely affect Sanofi’s ability to perform its obligations; and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may use our proprietary information in such a way as to invite litigation that could jeopardize or invalidate our proprietary information or expose us to potential litigation.</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may not be successful in our efforts to develop and commercialize our other product candidates.</w:t>
      </w:r>
    </w:p>
    <w:p>
      <w:pPr>
        <w:spacing w:after="0" w:line="22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of these programs or to obtain funding to enable us to continue these programs.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have a history of operating losses, we expect to incur losses in the future and we may not generate positive cash flow from operations in the future.*</w:t>
      </w:r>
    </w:p>
    <w:p>
      <w:pPr>
        <w:spacing w:after="0" w:line="22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an upfront payment and milestone payments from Sanofi. As of March 31, 2016, we had an accumulated deficit of</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$2.9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continue the commercialization of AFREZZA. In connection with our quarterly assessment of impairment indicators and inventory valuation for the quarter ended December 31, 2015, we identified an impairment of our long-lived assets which resulted in charges of $140.4 million in such quarter. In addition, we have agreed to purchase annual minimum quantities of insulin for calendar years 2015 through 2019 under the Insulin Supply Agreement with Amphastar in the aggregate of approximately €120.1 million, of which €98.5 million is remaining at March 31, 2016. We are obligated to purchase €28.8 million in 2016 and the remaining annual minimum quantities will be €23.3 million for the years ending December 31, 2017 through 2019. We may not have the necessary capital resources on hand in order to service this contractual commitment.</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As of March 31, 2016, we had stockholders’ deficit of $373.5 million.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178" w:lineRule="exact"/>
        <w:rPr>
          <w:sz w:val="20"/>
          <w:szCs w:val="20"/>
          <w:color w:val="auto"/>
        </w:rPr>
      </w:pPr>
    </w:p>
    <w:p>
      <w:pPr>
        <w:ind w:left="240"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will need to raise additional capital to fund our operations, and our inability to do so could raise substantial doubt about our ability to continue as a going concern.*</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other product candidates and to avoid defaulting under the covenant in the Facility Agreement with Deerfield, which requires us to maintain at least $25.0 million in cash and cash equivalents or available borrowings under The Mann Group Loan Arrangement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the last day of each fiscal quarter. It may be difficult for us to raise additional funds on favorable terms, or at all. As of March 31, 2016, we had stockholders’ deficit of $373.5 million, which may raise concerns about our solvency and affect our ability to raise additional capital. The extent of our additional funding requirements will depend on a number of factors, including:</w:t>
      </w:r>
    </w:p>
    <w:p>
      <w:pPr>
        <w:spacing w:after="0" w:line="82"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AFREZZA is commercially successful;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our Technosphere drug delivery platform;</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AFREZZA on our own in the United States, including the costs of building our commercialization capabilities;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finding regional collaboration partners for the development and commercialization of AFREZZA in foreign jurisdictions;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the 2018 notes, the 2019 notes, and the Tranche B notes to require us to repay or repurchase such debt securities if and when required;</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facilities;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milestone payments pursuant to the Milestone Rights issued to the Milestone Purchasers and pursuant to the Milestone Rights Purchase Agreement dated July 1, 2013 (the “Milestone Agreement”);</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bear our share of net losses, if any, if Sanofi makes any product sales under the Sanofi License Agreement after the Termination Date;</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strategic business collaborations or other sales or licensing of assets, and the timing and amount of any payments we might receive from any such transactions;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and our product candidates and competitive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in which case we will be required to raise additional capital.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82" w:lineRule="exact"/>
        <w:rPr>
          <w:sz w:val="20"/>
          <w:szCs w:val="20"/>
          <w:color w:val="auto"/>
        </w:rPr>
      </w:pPr>
    </w:p>
    <w:p>
      <w:pPr>
        <w:ind w:left="240" w:right="120"/>
        <w:spacing w:after="0" w:line="267" w:lineRule="auto"/>
        <w:rPr>
          <w:sz w:val="20"/>
          <w:szCs w:val="20"/>
          <w:color w:val="auto"/>
        </w:rPr>
      </w:pPr>
      <w:r>
        <w:rPr>
          <w:rFonts w:ascii="Times New Roman" w:cs="Times New Roman" w:eastAsia="Times New Roman" w:hAnsi="Times New Roman"/>
          <w:sz w:val="18"/>
          <w:szCs w:val="18"/>
          <w:i w:val="1"/>
          <w:iCs w:val="1"/>
          <w:color w:val="auto"/>
        </w:rPr>
        <w:t>We have a substantial amount of debt pursuant to the 2018 notes, 2019 notes, Tranche B notes, The Mann Group Loan Arrangement and the Sanofi Loan Facility, and we may incur additional indebtedness under The Mann Group Loan Arrangement and the Sanofi Loan Facility and we may be unable to make required payments of interest and principal as they become due.*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2016, we had $220.7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 million principal amount of 2018 notes bearing interest at 5.75% per annum and maturing on August 15, 2018;</w:t>
      </w:r>
    </w:p>
    <w:p>
      <w:pPr>
        <w:spacing w:after="0" w:line="130" w:lineRule="exact"/>
        <w:rPr>
          <w:rFonts w:ascii="Times New Roman" w:cs="Times New Roman" w:eastAsia="Times New Roman" w:hAnsi="Times New Roman"/>
          <w:sz w:val="18"/>
          <w:szCs w:val="18"/>
          <w:color w:val="auto"/>
        </w:rPr>
      </w:pPr>
    </w:p>
    <w:p>
      <w:pPr>
        <w:jc w:val="both"/>
        <w:ind w:left="900" w:right="120" w:hanging="325"/>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principal amount of Tranche B notes bearing interest at 8.75% per annum, $5.0 million of which is due and payable in each of May 2017, 2018 and 2019, the balance of which is due and payable in December 2019;</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$49.5 million principal amount of indebtedness under The Mann Group Loan Arrangement, bearing interest at 5.84% and maturing and due on January 5, 2020; and</w:t>
      </w:r>
    </w:p>
    <w:p>
      <w:pPr>
        <w:spacing w:after="0" w:line="67" w:lineRule="exact"/>
        <w:rPr>
          <w:rFonts w:ascii="Times New Roman" w:cs="Times New Roman" w:eastAsia="Times New Roman" w:hAnsi="Times New Roman"/>
          <w:sz w:val="18"/>
          <w:szCs w:val="18"/>
          <w:color w:val="auto"/>
        </w:rPr>
      </w:pPr>
    </w:p>
    <w:p>
      <w:pPr>
        <w:ind w:left="900" w:right="340" w:hanging="325"/>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$63.5 million principal amount borrowed under the Sanofi Loan Facility to fund our share of net losses under the Sanofi License Agreement, bearing interest at a rate of 8.5% per annum, with accrued interest payable in-kind and compounded quarterly, and maturing and due on September 23, 2024.</w:t>
      </w:r>
    </w:p>
    <w:p>
      <w:pPr>
        <w:spacing w:after="0" w:line="176"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may borrow an additional $30.1 million under The Mann Group Loan Arrangement. The available borrowings may be used to capitalize accrued interest into principal upon mutual agreement of the parties, as accrued interest becomes due and payable under The Mann Group Loan Arrangement. As of March 31, 2016 the accrued and unpaid interest under The Mann Group Loan Arrangement was $7.1 million.</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All profits and losses from AFREZZA product sales by Sanofi or its affiliates, if any, will continue to be shared 65% by Sanofi and 35% by us pursuant to the terms of the Sanofi License Agreement, and we may borrow up to an aggregate of $175.0 million pursuant to the Sanofi Loan Facility to fund our share of net losses from AFREZZA product sales by Sanofi or its affiliates. Our total share of the net losses are $68.8 million as of March 31, 2016, classified as Sanofi loan facility and loss share obligation, and such amount has been borrowed under the Sanofi Loan Facility as of March 31, 2016.</w:t>
      </w:r>
    </w:p>
    <w:p>
      <w:pPr>
        <w:spacing w:after="0" w:line="180"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paid-in-kind on a quarterly basis (2.06% per quarter compounded).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the loans under The Mann Group Loan Arrangement Sanofi Loan Facility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agreements governing our indebtedness contain covenants that we may not be able to meet and place restrictions on our operating and financial flexibility.*</w:t>
      </w:r>
    </w:p>
    <w:p>
      <w:pPr>
        <w:spacing w:after="0" w:line="16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89" w:lineRule="exact"/>
        <w:rPr>
          <w:sz w:val="20"/>
          <w:szCs w:val="20"/>
          <w:color w:val="auto"/>
        </w:rPr>
      </w:pPr>
    </w:p>
    <w:p>
      <w:pPr>
        <w:ind w:right="100" w:firstLine="456"/>
        <w:spacing w:after="0" w:line="252" w:lineRule="auto"/>
        <w:rPr>
          <w:sz w:val="20"/>
          <w:szCs w:val="20"/>
          <w:color w:val="auto"/>
        </w:rPr>
      </w:pPr>
      <w:r>
        <w:rPr>
          <w:rFonts w:ascii="Times New Roman" w:cs="Times New Roman" w:eastAsia="Times New Roman" w:hAnsi="Times New Roman"/>
          <w:sz w:val="18"/>
          <w:szCs w:val="18"/>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If we fail to timely pay accrued interest under The Mann Group Loan Arrangement when required, we will be in default under The Mann Group Loan Arrangement. During any such time as an event of default is continuing under The Mann Group Loan Arrangement, The Mann Group will not be obligated to make additional borrowings available to us. If an event of default is continuing under The Mann Group Loan Arrangement as of the last day of a fiscal quarter, we may be in breach of the financial covenant under the Facility Agreement that requires us to maintain cash and cash equivalents (including available borrowings under The Mann Group Loan Arrangement) of at least $25.0 million if our other cash and cash equivalents on hand do not equal or exceed $25.0 million.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9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19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74" w:lineRule="exact"/>
        <w:rPr>
          <w:sz w:val="20"/>
          <w:szCs w:val="20"/>
          <w:color w:val="auto"/>
        </w:rPr>
      </w:pPr>
    </w:p>
    <w:p>
      <w:pPr>
        <w:ind w:left="240" w:right="440"/>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6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9"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AFREZZA or our product candidates may be rendered obsolete by rapid technological change.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74" w:lineRule="exact"/>
        <w:rPr>
          <w:sz w:val="20"/>
          <w:szCs w:val="20"/>
          <w:color w:val="auto"/>
        </w:rPr>
      </w:pPr>
    </w:p>
    <w:p>
      <w:pPr>
        <w:ind w:left="240"/>
        <w:spacing w:after="0" w:line="284" w:lineRule="auto"/>
        <w:rPr>
          <w:sz w:val="20"/>
          <w:szCs w:val="20"/>
          <w:color w:val="auto"/>
        </w:rPr>
      </w:pPr>
      <w:r>
        <w:rPr>
          <w:rFonts w:ascii="Times New Roman" w:cs="Times New Roman" w:eastAsia="Times New Roman" w:hAnsi="Times New Roman"/>
          <w:sz w:val="18"/>
          <w:szCs w:val="18"/>
          <w:i w:val="1"/>
          <w:iCs w:val="1"/>
          <w:color w:val="auto"/>
        </w:rPr>
        <w:t>Continued testing of AFREZZA or our product candidates may not yield successful results, and even if it does, we may still be unable to commercialize our product candidates.*</w:t>
      </w:r>
    </w:p>
    <w:p>
      <w:pPr>
        <w:spacing w:after="0" w:line="16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2" w:lineRule="exact"/>
        <w:rPr>
          <w:sz w:val="20"/>
          <w:szCs w:val="20"/>
          <w:color w:val="auto"/>
        </w:rPr>
      </w:pPr>
    </w:p>
    <w:p>
      <w:pPr>
        <w:jc w:val="both"/>
        <w:ind w:left="900" w:right="180" w:hanging="325"/>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1"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62"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74" w:lineRule="exact"/>
        <w:rPr>
          <w:sz w:val="20"/>
          <w:szCs w:val="20"/>
          <w:color w:val="auto"/>
        </w:rPr>
      </w:pPr>
    </w:p>
    <w:p>
      <w:pPr>
        <w:ind w:left="240" w:right="180"/>
        <w:spacing w:after="0" w:line="267" w:lineRule="auto"/>
        <w:rPr>
          <w:sz w:val="20"/>
          <w:szCs w:val="20"/>
          <w:color w:val="auto"/>
        </w:rPr>
      </w:pPr>
      <w:r>
        <w:rPr>
          <w:rFonts w:ascii="Times New Roman" w:cs="Times New Roman" w:eastAsia="Times New Roman" w:hAnsi="Times New Roman"/>
          <w:sz w:val="18"/>
          <w:szCs w:val="18"/>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and the only source of our proprietary inert excipient, FDKP (fumaryl diketopiperazine), which is the primary component of our Technosphere technology platform, is manufactured by Lonza. We must rely on our suppliers, including Amphastar, to comply with relevant regulatory and other legal requirements, including the production of insulin and FDKP in accordance with the FDA’s cGMPs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or Lonza ceases to manufacture or is otherwise unable to deliver insulin for AFREZZA or FDKP, respectively,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89" w:lineRule="exact"/>
        <w:rPr>
          <w:sz w:val="20"/>
          <w:szCs w:val="20"/>
          <w:color w:val="auto"/>
        </w:rPr>
      </w:pPr>
    </w:p>
    <w:p>
      <w:pPr>
        <w:ind w:left="240" w:right="640"/>
        <w:spacing w:after="0" w:line="284" w:lineRule="auto"/>
        <w:rPr>
          <w:sz w:val="20"/>
          <w:szCs w:val="20"/>
          <w:color w:val="auto"/>
        </w:rPr>
      </w:pPr>
      <w:r>
        <w:rPr>
          <w:rFonts w:ascii="Times New Roman" w:cs="Times New Roman" w:eastAsia="Times New Roman" w:hAnsi="Times New Roman"/>
          <w:sz w:val="18"/>
          <w:szCs w:val="18"/>
          <w:i w:val="1"/>
          <w:iCs w:val="1"/>
          <w:color w:val="auto"/>
        </w:rPr>
        <w:t>If we fail as an effective manufacturing organization or fail to engage third-party manufacturers with this capability, we may be unable to support commercialization of this product.*</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right="640"/>
        <w:spacing w:after="0" w:line="284" w:lineRule="auto"/>
        <w:rPr>
          <w:sz w:val="20"/>
          <w:szCs w:val="20"/>
          <w:color w:val="auto"/>
        </w:rPr>
      </w:pPr>
      <w:r>
        <w:rPr>
          <w:rFonts w:ascii="Times New Roman" w:cs="Times New Roman" w:eastAsia="Times New Roman" w:hAnsi="Times New Roman"/>
          <w:sz w:val="18"/>
          <w:szCs w:val="18"/>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16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market acceptance of AFREZZA and other products that we may develop in the future depends on many factors, including the:</w:t>
      </w:r>
    </w:p>
    <w:p>
      <w:pPr>
        <w:spacing w:after="0" w:line="131"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payors, regarding the safety, efficacy and benefits compared to competing products or therapies;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pricing and reimbursement relative to other treatment therapeutics and methods;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160" w:lineRule="exact"/>
        <w:rPr>
          <w:sz w:val="20"/>
          <w:szCs w:val="20"/>
          <w:color w:val="auto"/>
        </w:rPr>
      </w:pPr>
    </w:p>
    <w:p>
      <w:pPr>
        <w:ind w:left="240" w:right="500"/>
        <w:spacing w:after="0" w:line="284" w:lineRule="auto"/>
        <w:rPr>
          <w:sz w:val="20"/>
          <w:szCs w:val="20"/>
          <w:color w:val="auto"/>
        </w:rPr>
      </w:pPr>
      <w:r>
        <w:rPr>
          <w:rFonts w:ascii="Times New Roman" w:cs="Times New Roman" w:eastAsia="Times New Roman" w:hAnsi="Times New Roman"/>
          <w:sz w:val="18"/>
          <w:szCs w:val="18"/>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Healthcare legislation may make it more difficult to receive revenues.</w:t>
      </w:r>
    </w:p>
    <w:p>
      <w:pPr>
        <w:spacing w:after="0" w:line="22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86" w:lineRule="exact"/>
        <w:rPr>
          <w:sz w:val="20"/>
          <w:szCs w:val="20"/>
          <w:color w:val="auto"/>
        </w:rPr>
      </w:pPr>
    </w:p>
    <w:p>
      <w:pPr>
        <w:ind w:left="900" w:right="38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67"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biological products;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certain manufacturers and authorized distributors provide to physicians;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 Further, there have been judicial and Congressional challenges to other aspects of PPACA, and we expect there will be additional challenges and amendments to PPACA in the future.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These new laws and initiatives may result in additional reductions in Medicare and other healthcare funding, which could have a material adverse effect on our customers and accordingly, our financial operations.</w:t>
      </w:r>
    </w:p>
    <w:p>
      <w:pPr>
        <w:spacing w:after="0" w:line="17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82" w:lineRule="exact"/>
        <w:rPr>
          <w:sz w:val="20"/>
          <w:szCs w:val="20"/>
          <w:color w:val="auto"/>
        </w:rPr>
      </w:pPr>
    </w:p>
    <w:p>
      <w:pPr>
        <w:ind w:left="240"/>
        <w:spacing w:after="0" w:line="315" w:lineRule="auto"/>
        <w:rPr>
          <w:sz w:val="20"/>
          <w:szCs w:val="20"/>
          <w:color w:val="auto"/>
        </w:rPr>
      </w:pPr>
      <w:r>
        <w:rPr>
          <w:rFonts w:ascii="Times New Roman" w:cs="Times New Roman" w:eastAsia="Times New Roman" w:hAnsi="Times New Roman"/>
          <w:sz w:val="17"/>
          <w:szCs w:val="17"/>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3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86" w:lineRule="exact"/>
        <w:rPr>
          <w:sz w:val="20"/>
          <w:szCs w:val="20"/>
          <w:color w:val="auto"/>
        </w:rPr>
      </w:pPr>
    </w:p>
    <w:p>
      <w:pPr>
        <w:ind w:left="900" w:right="20" w:hanging="325"/>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offering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93" w:lineRule="exact"/>
        <w:rPr>
          <w:rFonts w:ascii="Times New Roman" w:cs="Times New Roman" w:eastAsia="Times New Roman" w:hAnsi="Times New Roman"/>
          <w:sz w:val="18"/>
          <w:szCs w:val="18"/>
          <w:color w:val="auto"/>
        </w:rPr>
      </w:pPr>
    </w:p>
    <w:p>
      <w:pPr>
        <w:ind w:left="900" w:right="80" w:hanging="325"/>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civil False Claims Act, and civil monetary penalty laws, which prohibit, among other things, individuals or entities from knowingly presenting, or causing to be presented, claims for payment from Medicare, Medicaid, or other federal healthcare programs that are false or fraudulent and under PPACA, the government may assert that a claim including items or services resulting from a violation of the federal Anti-Kickback Statute constitutes a false or fraudulent claim for purposes of the federal false claims laws;</w:t>
      </w:r>
    </w:p>
    <w:p>
      <w:pPr>
        <w:spacing w:after="0" w:line="89"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among other things,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imposes certain requirements relating to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85" w:lineRule="exact"/>
        <w:rPr>
          <w:rFonts w:ascii="Times New Roman" w:cs="Times New Roman" w:eastAsia="Times New Roman" w:hAnsi="Times New Roman"/>
          <w:sz w:val="18"/>
          <w:szCs w:val="18"/>
          <w:color w:val="auto"/>
        </w:rPr>
      </w:pPr>
    </w:p>
    <w:p>
      <w:pPr>
        <w:ind w:left="900" w:right="140" w:hanging="325"/>
        <w:spacing w:after="0" w:line="25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8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If product liability claims are brought against us, we may incur significant liabilities and suffer damage to our reputation.</w:t>
      </w:r>
    </w:p>
    <w:p>
      <w:pPr>
        <w:spacing w:after="0" w:line="22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If we lose any key employees or scientific advisors, our operations and our ability to execute our business strategy could be materially harmed.</w:t>
      </w:r>
    </w:p>
    <w:p>
      <w:pPr>
        <w:spacing w:after="0" w:line="22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86" w:lineRule="exact"/>
        <w:rPr>
          <w:sz w:val="20"/>
          <w:szCs w:val="20"/>
          <w:color w:val="auto"/>
        </w:rPr>
      </w:pPr>
    </w:p>
    <w:p>
      <w:pPr>
        <w:ind w:left="240" w:right="160"/>
        <w:spacing w:after="0" w:line="284" w:lineRule="auto"/>
        <w:rPr>
          <w:sz w:val="20"/>
          <w:szCs w:val="20"/>
          <w:color w:val="auto"/>
        </w:rPr>
      </w:pPr>
      <w:r>
        <w:rPr>
          <w:rFonts w:ascii="Times New Roman" w:cs="Times New Roman" w:eastAsia="Times New Roman" w:hAnsi="Times New Roman"/>
          <w:sz w:val="18"/>
          <w:szCs w:val="18"/>
          <w:i w:val="1"/>
          <w:iCs w:val="1"/>
          <w:color w:val="auto"/>
        </w:rPr>
        <w:t>If our internal controls over financial reporting are not considered effective, our business, financial condition and market price of our common stock and other securities could be adversely affected. *</w:t>
      </w:r>
    </w:p>
    <w:p>
      <w:pPr>
        <w:spacing w:after="0" w:line="16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cannot assure you that we or our independent registered public accounting firm will not identify a material weakness in our internal controls in the future. In connection with the audit of our financial statements for the year ended December 31, 2015, we concluded that there was a material weakness in our internal control over financial reporting. 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 on a timely basis. The material weakness we identified related to impairment testing that we performed in accordance with ASC 360-10,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Disposal of Long-Lived Assets </w:t>
      </w:r>
      <w:r>
        <w:rPr>
          <w:rFonts w:ascii="Times New Roman" w:cs="Times New Roman" w:eastAsia="Times New Roman" w:hAnsi="Times New Roman"/>
          <w:sz w:val="18"/>
          <w:szCs w:val="18"/>
          <w:color w:val="auto"/>
        </w:rPr>
        <w:t>and ASC 330-10,</w:t>
      </w:r>
      <w:r>
        <w:rPr>
          <w:rFonts w:ascii="Times New Roman" w:cs="Times New Roman" w:eastAsia="Times New Roman" w:hAnsi="Times New Roman"/>
          <w:sz w:val="18"/>
          <w:szCs w:val="18"/>
          <w:i w:val="1"/>
          <w:iCs w:val="1"/>
          <w:color w:val="auto"/>
        </w:rPr>
        <w:t xml:space="preserve"> Inventories</w:t>
      </w:r>
      <w:r>
        <w:rPr>
          <w:rFonts w:ascii="Times New Roman" w:cs="Times New Roman" w:eastAsia="Times New Roman" w:hAnsi="Times New Roman"/>
          <w:sz w:val="18"/>
          <w:szCs w:val="18"/>
          <w:color w:val="auto"/>
        </w:rPr>
        <w:t>, as of December 31, 2015. Specifically, our review controls did not operate at a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precision to identify certain errors. As a result of this material weakness, we and our independent registered public accounting firm evaluated our internal control over financial reporting as ineffective.</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taking steps to remediate the material weakness in our internal control over financial reporting, including designing additional training programs for relevant personnel and developing specific review procedures regarding the review of the impairment of assets. However, we cannot assure you that these efforts will remediate our material weakness in a timely manner, or at all. If we are unable to successfully remediate our material weakness, or identify any future material weaknesses, the accuracy and timing of our financial reporting may be adversely affected, we may be unable to maintain compliance with securities law requirements regarding timely filing of periodic reports and we may experience a loss of public confidence, which could have an adverse effect on our business, financial condition and the market price of our common stock and other securities.</w:t>
      </w:r>
    </w:p>
    <w:p>
      <w:pPr>
        <w:spacing w:after="0" w:line="186" w:lineRule="exact"/>
        <w:rPr>
          <w:sz w:val="20"/>
          <w:szCs w:val="20"/>
          <w:color w:val="auto"/>
        </w:rPr>
      </w:pPr>
    </w:p>
    <w:p>
      <w:pPr>
        <w:ind w:left="240"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undertake internal restructuring activities in the future that could result in disruptions to our business or otherwise materially harm our results of operations or financial condition.</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87" w:lineRule="exact"/>
        <w:rPr>
          <w:sz w:val="20"/>
          <w:szCs w:val="20"/>
          <w:color w:val="auto"/>
        </w:rPr>
      </w:pPr>
    </w:p>
    <w:p>
      <w:pPr>
        <w:ind w:left="240" w:right="480"/>
        <w:spacing w:after="0" w:line="284" w:lineRule="auto"/>
        <w:rPr>
          <w:sz w:val="20"/>
          <w:szCs w:val="20"/>
          <w:color w:val="auto"/>
        </w:rPr>
      </w:pPr>
      <w:r>
        <w:rPr>
          <w:rFonts w:ascii="Times New Roman" w:cs="Times New Roman" w:eastAsia="Times New Roman" w:hAnsi="Times New Roman"/>
          <w:sz w:val="18"/>
          <w:szCs w:val="18"/>
          <w:i w:val="1"/>
          <w:iCs w:val="1"/>
          <w:color w:val="auto"/>
        </w:rPr>
        <w:t>We and certain of our executive officers and directors have been named as defendants in ongoing securities class action lawsuits that could result in substantial costs and divert management’s attention.</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pled as putative shareholder class actions. In general, the complaints allege that we and certain of our officers and directors violated federal securities laws by making materially false and misleading statements regarding the prospects for AFREZZA, thereby artificially inflating the price of our common stock. We and certain of our directors and executive officers have also been named in similar lawsuits filed in Israel.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operations might be interrupted by the occurrence of a natural disaster or other catastrophic event.</w:t>
      </w:r>
    </w:p>
    <w:p>
      <w:pPr>
        <w:spacing w:after="0" w:line="22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deal with hazardous materials and must comply with environmental laws and regulations, which can be expensive and restrict how we do business.</w:t>
      </w:r>
    </w:p>
    <w:p>
      <w:pPr>
        <w:spacing w:after="0" w:line="22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9" w:lineRule="exact"/>
        <w:rPr>
          <w:sz w:val="20"/>
          <w:szCs w:val="20"/>
          <w:color w:val="auto"/>
        </w:rPr>
      </w:pPr>
    </w:p>
    <w:p>
      <w:pPr>
        <w:jc w:val="both"/>
        <w:ind w:left="240" w:right="160"/>
        <w:spacing w:after="0" w:line="267" w:lineRule="auto"/>
        <w:rPr>
          <w:sz w:val="20"/>
          <w:szCs w:val="20"/>
          <w:color w:val="auto"/>
        </w:rPr>
      </w:pPr>
      <w:r>
        <w:rPr>
          <w:rFonts w:ascii="Times New Roman" w:cs="Times New Roman" w:eastAsia="Times New Roman" w:hAnsi="Times New Roman"/>
          <w:sz w:val="18"/>
          <w:szCs w:val="18"/>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76" w:lineRule="exact"/>
        <w:rPr>
          <w:sz w:val="20"/>
          <w:szCs w:val="20"/>
          <w:color w:val="auto"/>
        </w:rPr>
      </w:pPr>
    </w:p>
    <w:p>
      <w:pPr>
        <w:jc w:val="both"/>
        <w:ind w:right="720" w:firstLine="456"/>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82"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8"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80"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8" w:lineRule="exact"/>
        <w:rPr>
          <w:sz w:val="20"/>
          <w:szCs w:val="20"/>
          <w:color w:val="auto"/>
        </w:rPr>
      </w:pPr>
    </w:p>
    <w:p>
      <w:pPr>
        <w:ind w:left="240"/>
        <w:spacing w:after="0" w:line="267" w:lineRule="auto"/>
        <w:rPr>
          <w:sz w:val="20"/>
          <w:szCs w:val="20"/>
          <w:color w:val="auto"/>
        </w:rPr>
      </w:pPr>
      <w:r>
        <w:rPr>
          <w:rFonts w:ascii="Times New Roman" w:cs="Times New Roman" w:eastAsia="Times New Roman" w:hAnsi="Times New Roman"/>
          <w:sz w:val="18"/>
          <w:szCs w:val="18"/>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 For example, the FDA required the following post-marketing studies for AFREZZA that remain to be completed:</w:t>
      </w:r>
    </w:p>
    <w:p>
      <w:pPr>
        <w:spacing w:after="0" w:line="82"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to evaluate pharmacokinetics, safety and efficacy in pediatric patients;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to evaluate the potential risk of pulmonary malignancy with AFREZZA (as well as cardiovascular risk and the long-term effect of AFREZZA on pulmonary function).</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are subject to stringent, ongoing government regulation.</w:t>
      </w:r>
    </w:p>
    <w:p>
      <w:pPr>
        <w:spacing w:after="0" w:line="227"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93"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FDA and comparable foreign regulatory authorities subject AFFREZZA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93" w:lineRule="exact"/>
        <w:rPr>
          <w:sz w:val="20"/>
          <w:szCs w:val="20"/>
          <w:color w:val="auto"/>
        </w:rPr>
      </w:pPr>
    </w:p>
    <w:p>
      <w:pPr>
        <w:ind w:left="900" w:right="12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suppliers are subject to FDA inspection.*</w:t>
      </w:r>
    </w:p>
    <w:p>
      <w:pPr>
        <w:spacing w:after="0" w:line="227"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74" w:lineRule="exact"/>
        <w:rPr>
          <w:sz w:val="20"/>
          <w:szCs w:val="20"/>
          <w:color w:val="auto"/>
        </w:rPr>
      </w:pPr>
    </w:p>
    <w:p>
      <w:pPr>
        <w:ind w:left="240" w:right="440"/>
        <w:spacing w:after="0" w:line="315" w:lineRule="auto"/>
        <w:rPr>
          <w:sz w:val="20"/>
          <w:szCs w:val="20"/>
          <w:color w:val="auto"/>
        </w:rPr>
      </w:pPr>
      <w:r>
        <w:rPr>
          <w:rFonts w:ascii="Times New Roman" w:cs="Times New Roman" w:eastAsia="Times New Roman" w:hAnsi="Times New Roman"/>
          <w:sz w:val="17"/>
          <w:szCs w:val="17"/>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37"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4"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If we are unable to protect our proprietary rights, we may not be able to compete effectively, or operate profitably.*</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4"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United States Patent and Trademark Office, or USPTO, must still implement various regulations, the courts have yet to address any of these provisions and the applicability of the act and new regulations on specific patents discussed herein have not been determined and would need to be reviewed.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9"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For example,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ind w:left="240" w:right="580"/>
        <w:spacing w:after="0" w:line="284" w:lineRule="auto"/>
        <w:rPr>
          <w:sz w:val="20"/>
          <w:szCs w:val="20"/>
          <w:color w:val="auto"/>
        </w:rPr>
      </w:pPr>
      <w:r>
        <w:rPr>
          <w:rFonts w:ascii="Times New Roman" w:cs="Times New Roman" w:eastAsia="Times New Roman" w:hAnsi="Times New Roman"/>
          <w:sz w:val="18"/>
          <w:szCs w:val="18"/>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In particular Inter Partes Review (IPR) has resulted in a higher rate of claim invalidation as compared to re-examination, due in part to the much reduced opportunity to repair claims by amendment. Moreover, the filing of IPR petitions has been used by short-sellers as a tool to help drive down stock prices.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8" w:lineRule="exact"/>
        <w:rPr>
          <w:sz w:val="20"/>
          <w:szCs w:val="20"/>
          <w:color w:val="auto"/>
        </w:rPr>
      </w:pPr>
    </w:p>
    <w:p>
      <w:pPr>
        <w:ind w:left="240" w:right="60"/>
        <w:spacing w:after="0" w:line="267" w:lineRule="auto"/>
        <w:rPr>
          <w:sz w:val="20"/>
          <w:szCs w:val="20"/>
          <w:color w:val="auto"/>
        </w:rPr>
      </w:pPr>
      <w:r>
        <w:rPr>
          <w:rFonts w:ascii="Times New Roman" w:cs="Times New Roman" w:eastAsia="Times New Roman" w:hAnsi="Times New Roman"/>
          <w:sz w:val="18"/>
          <w:szCs w:val="18"/>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176"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may not obtain trademark registrations for our potential trade names.</w:t>
      </w:r>
    </w:p>
    <w:p>
      <w:pPr>
        <w:spacing w:after="0" w:line="22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9" w:lineRule="exact"/>
        <w:rPr>
          <w:sz w:val="20"/>
          <w:szCs w:val="20"/>
          <w:color w:val="auto"/>
        </w:rPr>
      </w:pPr>
    </w:p>
    <w:p>
      <w:pPr>
        <w:ind w:left="240"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5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91" w:lineRule="exact"/>
        <w:rPr>
          <w:sz w:val="20"/>
          <w:szCs w:val="20"/>
          <w:color w:val="auto"/>
        </w:rPr>
      </w:pPr>
    </w:p>
    <w:p>
      <w:pPr>
        <w:ind w:left="240" w:right="160"/>
        <w:spacing w:after="0" w:line="284" w:lineRule="auto"/>
        <w:rPr>
          <w:sz w:val="20"/>
          <w:szCs w:val="20"/>
          <w:color w:val="auto"/>
        </w:rPr>
      </w:pPr>
      <w:r>
        <w:rPr>
          <w:rFonts w:ascii="Times New Roman" w:cs="Times New Roman" w:eastAsia="Times New Roman" w:hAnsi="Times New Roman"/>
          <w:sz w:val="18"/>
          <w:szCs w:val="18"/>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160"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86" w:lineRule="exact"/>
        <w:rPr>
          <w:sz w:val="20"/>
          <w:szCs w:val="20"/>
          <w:color w:val="auto"/>
        </w:rPr>
      </w:pPr>
    </w:p>
    <w:p>
      <w:pPr>
        <w:ind w:left="240" w:right="260"/>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the death of Alfred E. Mann, our founder and former largest stockholder, the stock that he previously controlled is currently controlled by various trusts, and we cannot assure you of the manner in which the trustees will manage the holdings.*</w:t>
      </w:r>
    </w:p>
    <w:p>
      <w:pPr>
        <w:spacing w:after="0" w:line="16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At March 31, 2016, the estate of Alfred E. Mann beneficially owned approximately 35.7% of our outstanding shares of capital stock, including shares held in the Alfred E. Mann Living Trust, Mann Group LLC, Mannco LLC, Biomed Partners, LLC and Biomed Partners II, LLC (collectively, the “Mann Affiliated Entities”).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Mr. Mann passed away on February 25, 2016. All of the shares beneficially owned by Mr. Mann in the Alfred E. Mann Living Trust, The Mann Group LLC and Mannco LLC are controlled by a trust during the period of administration of Mr. Mann’s estate. The trustees of the administrative trust are Mr. Mann’s wife and two other trustees. The trustees have the power to sell the shares or deal with them as an owner. Relatives and other individuals may receive bequests of shares under Mr. Mann’s trust. The residuary beneficiary of the trust is the Alfred E. Mann Family Foundation, a charitable organization under section 501(c)(3) of the Internal Revenue Code that is a private foundation under section 509 of the Code. The same three trustees control the Alfred E. Mann Family Foundation. The Alfred E. Mann Family Foundation will have the power to sell the shares or deal with them as an owner. If not sold by the trust, the shares owned by the trust may be distributed to one or more of the individual or charitable beneficiaries of the trust.</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managing members of Biomed Partners, LLC and Biomed Partners II, LLC are now controlled by trusts for which the same individuals described above are the trustees. Biomed Partners, LLC and Biomed Partners II, LLC will have the power to sell the shares or deal with them as an owner.</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been informed by the trustees for the Mann Affiliated Entities that the trustees may seek to dispose of some or all of the shares beneficially owned by the Mann Affiliated Entities, pursuant to one or more trading plans under Rule 10b5-1 of the Exchange Act or otherwise. Although at this time we are not aware of any definitive decision by the trustees relating to the holding or disposition of the shares held by the Mann Affiliated Entities, any sales of our common stock by the Mann Affiliated Entities, or the perception that such sales may occur, including the entry into any such trading plans, could have a material adverse effect on the trading price of our common stock and could make it more difficult for us to raise capital through the sale of our common stock or securities convertible into or exercisable for our common stock, which could have a material adverse effect on our business and financial condition.</w:t>
      </w:r>
    </w:p>
    <w:p>
      <w:pPr>
        <w:sectPr>
          <w:pgSz w:w="11900" w:h="16838" w:orient="portrait"/>
          <w:cols w:equalWidth="0" w:num="1">
            <w:col w:w="11380"/>
          </w:cols>
          <w:pgMar w:left="240" w:top="455" w:right="279" w:bottom="79" w:gutter="0" w:footer="0" w:header="0"/>
        </w:sectPr>
      </w:pP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stock price is volatile and may affect the market price of our common stock and other securities.*</w:t>
      </w:r>
    </w:p>
    <w:p>
      <w:pPr>
        <w:sectPr>
          <w:pgSz w:w="11900" w:h="16838" w:orient="portrait"/>
          <w:cols w:equalWidth="0" w:num="1">
            <w:col w:w="11380"/>
          </w:cols>
          <w:pgMar w:left="240" w:top="455" w:right="279" w:bottom="79" w:gutter="0" w:footer="0" w:header="0"/>
          <w:type w:val="continuous"/>
        </w:sectPr>
      </w:pPr>
    </w:p>
    <w:bookmarkStart w:id="44" w:name="page45"/>
    <w:bookmarkEnd w:id="44"/>
    <w:p>
      <w:pPr>
        <w:ind w:firstLine="456"/>
        <w:spacing w:after="0" w:line="258" w:lineRule="auto"/>
        <w:rPr>
          <w:sz w:val="20"/>
          <w:szCs w:val="20"/>
          <w:color w:val="auto"/>
        </w:rPr>
      </w:pPr>
      <w:r>
        <w:rPr>
          <w:rFonts w:ascii="Times New Roman" w:cs="Times New Roman" w:eastAsia="Times New Roman" w:hAnsi="Times New Roman"/>
          <w:sz w:val="18"/>
          <w:szCs w:val="18"/>
          <w:color w:val="auto"/>
        </w:rPr>
        <w:t>Since January 1, 2013, our closing stock price as reported on The NASDAQ Global Market has ranged from $0.66 to $10.96. The trading price of our common stock is likely to continue to be volatile.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9"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AFREZZA on our own in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collaboration partners for the development and commercialization of AFREZZA in foreign jurisdictions;</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commercial launch of AFREZZA and other events or circumstances that we or others estimate will impact the future commercialization of AFREZZA;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estimates of AFREZZA sales, prescriptions or other operating metrics;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 commercialize our Technosphere drug delivery platform;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studies of our product candidates and the post-approval studies of AFREZZA required by the FDA;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and clinical studies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30"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fluctuations for emerging growth and pharmaceutical market sectors;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30"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3" w:lineRule="exact"/>
        <w:rPr>
          <w:sz w:val="20"/>
          <w:szCs w:val="20"/>
          <w:color w:val="auto"/>
        </w:rPr>
      </w:pPr>
    </w:p>
    <w:p>
      <w:pPr>
        <w:ind w:left="240"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160"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including, for example, if the closing bid price for our common stock falls below $1.00 per share for 30 consecutive trading days, NASDAQ could determine to delist our common stock, which could adversely affect the market liquidity of our common stock and the market price of our common stock could decrease. A delisting of our common stock could also adversely affect our ability to obtain financing for the continuation of our operations and could result in the loss of confidence in our company.</w:t>
      </w:r>
    </w:p>
    <w:p>
      <w:pPr>
        <w:spacing w:after="0" w:line="182" w:lineRule="exact"/>
        <w:rPr>
          <w:sz w:val="20"/>
          <w:szCs w:val="20"/>
          <w:color w:val="auto"/>
        </w:rPr>
      </w:pPr>
    </w:p>
    <w:p>
      <w:pPr>
        <w:ind w:left="240" w:right="140"/>
        <w:spacing w:after="0" w:line="284" w:lineRule="auto"/>
        <w:rPr>
          <w:sz w:val="20"/>
          <w:szCs w:val="20"/>
          <w:color w:val="auto"/>
        </w:rPr>
      </w:pPr>
      <w:r>
        <w:rPr>
          <w:rFonts w:ascii="Times New Roman" w:cs="Times New Roman" w:eastAsia="Times New Roman" w:hAnsi="Times New Roman"/>
          <w:sz w:val="18"/>
          <w:szCs w:val="18"/>
          <w:i w:val="1"/>
          <w:iCs w:val="1"/>
          <w:color w:val="auto"/>
        </w:rPr>
        <w:t>If other biotechnology and biopharmaceutical companies or the securities markets in general encounter problems, the market price of our common stock and other securities could be adversely affected.</w:t>
      </w:r>
    </w:p>
    <w:p>
      <w:pPr>
        <w:spacing w:after="0" w:line="16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right="160"/>
        <w:spacing w:after="0" w:line="284" w:lineRule="auto"/>
        <w:rPr>
          <w:sz w:val="20"/>
          <w:szCs w:val="20"/>
          <w:color w:val="auto"/>
        </w:rPr>
      </w:pPr>
      <w:r>
        <w:rPr>
          <w:rFonts w:ascii="Times New Roman" w:cs="Times New Roman" w:eastAsia="Times New Roman" w:hAnsi="Times New Roman"/>
          <w:sz w:val="18"/>
          <w:szCs w:val="18"/>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160" w:lineRule="exact"/>
        <w:rPr>
          <w:sz w:val="20"/>
          <w:szCs w:val="20"/>
          <w:color w:val="auto"/>
        </w:rPr>
      </w:pPr>
    </w:p>
    <w:p>
      <w:pPr>
        <w:jc w:val="both"/>
        <w:ind w:right="40" w:firstLine="456"/>
        <w:spacing w:after="0" w:line="256" w:lineRule="auto"/>
        <w:rPr>
          <w:sz w:val="20"/>
          <w:szCs w:val="20"/>
          <w:color w:val="auto"/>
        </w:rPr>
      </w:pPr>
      <w:r>
        <w:rPr>
          <w:rFonts w:ascii="Times New Roman" w:cs="Times New Roman" w:eastAsia="Times New Roman" w:hAnsi="Times New Roman"/>
          <w:sz w:val="18"/>
          <w:szCs w:val="18"/>
          <w:color w:val="auto"/>
        </w:rPr>
        <w:t>As of May 2, 2016, we had 429,161,347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8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60" w:lineRule="exact"/>
        <w:rPr>
          <w:sz w:val="20"/>
          <w:szCs w:val="20"/>
          <w:color w:val="auto"/>
        </w:rPr>
      </w:pPr>
    </w:p>
    <w:p>
      <w:pPr>
        <w:ind w:left="240" w:right="40"/>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ind w:left="240" w:right="120"/>
        <w:spacing w:after="0" w:line="284" w:lineRule="auto"/>
        <w:rPr>
          <w:sz w:val="20"/>
          <w:szCs w:val="20"/>
          <w:color w:val="auto"/>
        </w:rPr>
      </w:pPr>
      <w:r>
        <w:rPr>
          <w:rFonts w:ascii="Times New Roman" w:cs="Times New Roman" w:eastAsia="Times New Roman" w:hAnsi="Times New Roman"/>
          <w:sz w:val="18"/>
          <w:szCs w:val="18"/>
          <w:i w:val="1"/>
          <w:iCs w:val="1"/>
          <w:color w:val="auto"/>
        </w:rPr>
        <w:t>Because we do not expect to pay dividends in the foreseeable future, you must rely on stock appreciation for any return on any investment in our common stock.</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right="740"/>
        <w:spacing w:after="0" w:line="284" w:lineRule="auto"/>
        <w:rPr>
          <w:sz w:val="20"/>
          <w:szCs w:val="20"/>
          <w:color w:val="auto"/>
        </w:rPr>
      </w:pPr>
      <w:r>
        <w:rPr>
          <w:rFonts w:ascii="Times New Roman" w:cs="Times New Roman" w:eastAsia="Times New Roman" w:hAnsi="Times New Roman"/>
          <w:sz w:val="18"/>
          <w:szCs w:val="18"/>
          <w:i w:val="1"/>
          <w:iCs w:val="1"/>
          <w:color w:val="auto"/>
        </w:rPr>
        <w:t>We have a limited number of unreserved shares available for future issuance, which may impair our ability to conduct future financing and other transactions.*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currently authorizes us to issue up to 550,000,000 shares of common stock and 10,000,000 shares of preferred stock. As of May 2, 2016, we had a total of 120,838,653 shares of common stock that were authorized but unissued, and we have currently reserved a significant number of these shares for future issuance pursuant to outstanding equity awards, our equity plans and our 2018 notes. As described in our definitive Proxy Statement for our 2016 Annual Meeting of Stockholders filed with the SEC on April 21, 2016, we are presenting a proposal for stockholder vote during the 2016 Annual Meeting to approve an amendment to our amended and restated certificate of incorporation to increase the authorized number of shares of common stock from 550,000,000 to 700,000,000 shares. There is no guarantee that this proposal will be approved by our stockholders.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8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335" w:lineRule="exact"/>
        <w:rPr>
          <w:sz w:val="20"/>
          <w:szCs w:val="20"/>
          <w:color w:val="auto"/>
        </w:rPr>
      </w:pPr>
    </w:p>
    <w:p>
      <w:pPr>
        <w:ind w:right="39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32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58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7"/>
        </w:trPr>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87"/>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540" w:type="dxa"/>
            <w:vAlign w:val="bottom"/>
            <w:gridSpan w:val="3"/>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73"/>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3"/>
                <w:szCs w:val="23"/>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MannKind’s Registration Statement on Form S-1 (File No.</w:t>
            </w:r>
          </w:p>
        </w:tc>
      </w:tr>
      <w:tr>
        <w:trPr>
          <w:trHeight w:val="234"/>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333-115020), originally filed with the SEC on April 30, 2004, as amended).</w:t>
            </w:r>
          </w:p>
        </w:tc>
      </w:tr>
      <w:tr>
        <w:trPr>
          <w:trHeight w:val="306"/>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Certificate of Amendment of Amended and Restated Certificate of Incorporation (incorporated by reference to MannKind’s Quarterly Report on</w:t>
            </w:r>
          </w:p>
        </w:tc>
      </w:tr>
      <w:tr>
        <w:trPr>
          <w:trHeight w:val="234"/>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10-Q (File No. 000-50865), originally filed with the SEC on August 9, 2007).</w:t>
            </w:r>
          </w:p>
        </w:tc>
      </w:tr>
      <w:tr>
        <w:trPr>
          <w:trHeight w:val="306"/>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(incorporated by reference to MannKind’s Quarterly report on</w:t>
            </w:r>
          </w:p>
        </w:tc>
      </w:tr>
      <w:tr>
        <w:trPr>
          <w:trHeight w:val="234"/>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10-Q (File No. 000-50865), originally filed with the SEC on August 2, 2010).</w:t>
            </w:r>
          </w:p>
        </w:tc>
      </w:tr>
      <w:tr>
        <w:trPr>
          <w:trHeight w:val="306"/>
        </w:trPr>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4"/>
                <w:szCs w:val="24"/>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(incorporated by reference to MannKind’s Current Report on</w:t>
            </w:r>
          </w:p>
        </w:tc>
      </w:tr>
      <w:tr>
        <w:trPr>
          <w:trHeight w:val="234"/>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8-K (File No. 000-50865), originally filed with the SEC on May 22, 2012).</w:t>
            </w:r>
          </w:p>
        </w:tc>
      </w:tr>
    </w:tbl>
    <w:p>
      <w:pPr>
        <w:spacing w:after="0" w:line="130"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187"/>
        </w:trPr>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80" w:type="dxa"/>
            <w:vAlign w:val="bottom"/>
            <w:gridSpan w:val="3"/>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73"/>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3"/>
                <w:szCs w:val="23"/>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(incorporated by reference to MannKind’s Current Report on Form 8-K (File No. 000-50865), originally filed</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with the SEC on November 19, 2007).</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common stock certificate (incorporated by reference to MannKind’s Annual Report on Form 10-K (File No. 000-50865), originally filed</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with the SEC on March 18, 2013).</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9.75% Senior Secured Convertible Promissory Note due 2019 (incorporated by reference to MannKind’s current report on Form 8-K</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(File No. 000-50865), originally filed with the SEC on July 1, 2013).</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Form of Amended and Restated 9.75% Senior Secured Convertible Promissory Note due 2019 (incorporated by reference to MannKind’s Annual</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 on Form 10-K (File No. 000-50865), originally filed with the SEC on March 3, 2014).</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Form of Tranche B Senior Secured Note due 2019 (incorporated by reference to Exhibit 4.8 to MannKind’s Quarterly Report on Form 10-Q (File</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 000-50856), filed with the SEC on May 12, 2014).</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Milestone Rights Purchase Agreement, dated as of July 1, 2013, by and among MannKind, Deerfield Private Design Fund II, L.P. and Horizon</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Santé FLML SÁRL (incorporated by reference to MannKind’s Current Report on Form 8-K (File No. 000-50865), originally filed with the SEC</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on July 1, 2013).</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Guaranty and Security Agreement, dated as of July 1, 2013, by and among MannKind, MannKind LLC, Deerfield Private Design Fund II, L.P.,</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Deerfield Private Design International II, L.P. and Horizon Santé FLML SÁRL (incorporated by reference to MannKind’s Current Report on</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8-K (File No. 000-50865), originally filed with the SEC on July 1, 2013).</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Facility Agreement, dated as of July 1, 2013, by and among MannKind Corporation, Deerfield Private Design Fund II, L.P. and Deerfield Private</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Design International II, L.P. (incorporated by reference to MannKind’s Current Report on Form 8-K (File No. 000-50865), originally filed with</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SEC on July 1, 2013).</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First Amendment to Facility Agreement and Registration Rights Agreement, dated as of February 28, 2014, by and among MannKind, Deerfield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Private Design Fund II, L.P. and Deerfield Private Design International II, L.P. (incorporated by reference to MannKind’s Annual Report on</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10-K (File No. 000-50865), originally filed with the SEC on March 3, 2014).</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Second Amendment to Facility Agreement and Registration Rights Agreement, dated as of August 11, 2014, by and among MannKind, Deerfield</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Private Design Fund II, L.P. and Deerfield Private Design International II, L.P. (incorporated by reference to Exhibit 4.14 to MannKind’s</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Quarterly Report on Form 10-Q (File No. 000-50865), filed with the SEC on November 10, 2014).</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Senior Secured Revolving Promissory Note, dated as of September 23, 2014, by and between MannKind Corporation and Aventisub LLC</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(incorporated by reference to Exhibit 99.1 to MannKind’s Current Report on Form 8-K (File No. 000-50865), filed with the SEC on September</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 2014).</w:t>
            </w:r>
          </w:p>
        </w:tc>
        <w:tc>
          <w:tcPr>
            <w:tcW w:w="15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Guaranty and Security Agreement, dated as of September 23, 2014, by and among MannKind Corporation, MannKind LLC and Aventisub LLC</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(incorporated by reference to Exhibit 99.2 to MannKind’s Current Report on Form 8-K (File No. 000-50865), filed with the SEC on September</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 2014).</w:t>
            </w:r>
          </w:p>
        </w:tc>
        <w:tc>
          <w:tcPr>
            <w:tcW w:w="15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Indenture, by and between MannKind and U.S. Bank (as successor trustee to Wells Fargo, N.A., dated August 10, 2015 (incorporated by</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reference to Exhibit 4.18 to MannKind’s Quarterly Report on Form 10-Q (File No. 000-50865), filed with the SEC on August 10, 2015).</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5.75% Convertible Senior Subordinated Exchange Note due 2018 (included in Exhibit 4.18 as Exhibit A thereto) (incorporated by</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reference to Exhibit 4.19 to MannKind’s Quarterly Report on Form 10-Q (File No. 000-50865), filed with the SEC on August 10, 2015).</w:t>
            </w:r>
          </w:p>
        </w:tc>
      </w:tr>
      <w:tr>
        <w:trPr>
          <w:trHeight w:val="306"/>
        </w:trPr>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Warrant to Purchase Common Stock issued November 16, 2015 (incorporated by reference to Exhibit 4.17 to MannKind’s Annual</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Report on Form 10-K (File No. 000-50865), filed with the SEC on March 15, 2016).</w:t>
            </w:r>
          </w:p>
        </w:tc>
      </w:tr>
      <w:tr>
        <w:trPr>
          <w:trHeight w:val="30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Separation Agreement, dated March 11, 2016, by and between MannKind and Juergen Martens (incorporated by reference to Exhibit 10.8 to</w:t>
            </w:r>
          </w:p>
        </w:tc>
      </w:tr>
      <w:tr>
        <w:trPr>
          <w:trHeight w:val="234"/>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MannKind’s Annual Report on Form 10-K (File No. 000-50865), filed with the SEC on March 15, 2016).</w:t>
            </w:r>
          </w:p>
        </w:tc>
      </w:tr>
      <w:tr>
        <w:trPr>
          <w:trHeight w:val="365"/>
        </w:trPr>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47</w:t>
            </w:r>
          </w:p>
        </w:tc>
        <w:tc>
          <w:tcPr>
            <w:tcW w:w="44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340"/>
          </w:cols>
          <w:pgMar w:left="240" w:top="455" w:right="319" w:bottom="1440" w:gutter="0" w:footer="0" w:header="0"/>
        </w:sectPr>
      </w:pP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Offer Letter, dated March 9, 2016, by and between MannKind and Michael Castagna (incorporated by reference to Exhibit 10.38 to MannKind’s Annual Report on Form 10-K (File No. 000-50865), filed with the SEC on March 15, 2016).</w:t>
      </w:r>
    </w:p>
    <w:p>
      <w:pPr>
        <w:spacing w:after="0" w:line="54" w:lineRule="exact"/>
        <w:rPr>
          <w:sz w:val="20"/>
          <w:szCs w:val="20"/>
          <w:color w:val="auto"/>
        </w:rPr>
      </w:pPr>
    </w:p>
    <w:p>
      <w:pPr>
        <w:sectPr>
          <w:pgSz w:w="11900" w:h="16838" w:orient="portrait"/>
          <w:cols w:equalWidth="0" w:num="2">
            <w:col w:w="560" w:space="360"/>
            <w:col w:w="10420"/>
          </w:cols>
          <w:pgMar w:left="240" w:top="455" w:right="319" w:bottom="1440" w:gutter="0" w:footer="0" w:header="0"/>
          <w:type w:val="continuous"/>
        </w:sectPr>
      </w:pPr>
    </w:p>
    <w:p>
      <w:pPr>
        <w:ind w:left="920" w:right="50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At Market Issuance Sales Agreement, by and between MannKind and FBR Capital Markets &amp; Co., dated April 26, 2016 (incorporated by reference to MannKind’s Current Report on Form 8-K filed with the SEC on April 26, 2016).</w:t>
      </w:r>
    </w:p>
    <w:p>
      <w:pPr>
        <w:spacing w:after="0" w:line="54" w:lineRule="exact"/>
        <w:rPr>
          <w:sz w:val="20"/>
          <w:szCs w:val="20"/>
          <w:color w:val="auto"/>
        </w:rPr>
      </w:pPr>
    </w:p>
    <w:p>
      <w:pPr>
        <w:ind w:left="920" w:right="160" w:hanging="822"/>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and Chief Financial Officer pursuant to Rules 13a-14(a) and 15d-14(a) of the Securities Exchange Act of 1934, as amended.</w:t>
      </w:r>
    </w:p>
    <w:p>
      <w:pPr>
        <w:spacing w:after="0" w:line="53" w:lineRule="exact"/>
        <w:rPr>
          <w:rFonts w:ascii="Times New Roman" w:cs="Times New Roman" w:eastAsia="Times New Roman" w:hAnsi="Times New Roman"/>
          <w:sz w:val="18"/>
          <w:szCs w:val="18"/>
          <w:color w:val="auto"/>
        </w:rPr>
      </w:pPr>
    </w:p>
    <w:p>
      <w:pPr>
        <w:ind w:left="920" w:right="80" w:hanging="822"/>
        <w:spacing w:after="0" w:line="282"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54" w:lineRule="exact"/>
        <w:rPr>
          <w:sz w:val="20"/>
          <w:szCs w:val="20"/>
          <w:color w:val="auto"/>
        </w:rPr>
      </w:pPr>
    </w:p>
    <w:p>
      <w:pPr>
        <w:ind w:right="5940" w:firstLine="8"/>
        <w:spacing w:after="0" w:line="446"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 Indicates management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240" w:top="455" w:right="31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May 9, 2016</w:t>
      </w:r>
      <w:r>
        <w:rPr>
          <w:sz w:val="20"/>
          <w:szCs w:val="20"/>
          <w:color w:val="auto"/>
        </w:rPr>
        <w:tab/>
      </w:r>
      <w:r>
        <w:rPr>
          <w:rFonts w:ascii="Times New Roman" w:cs="Times New Roman" w:eastAsia="Times New Roman" w:hAnsi="Times New Roman"/>
          <w:sz w:val="17"/>
          <w:szCs w:val="17"/>
          <w:color w:val="auto"/>
        </w:rPr>
        <w:t>MANNKIND CORPORATION</w:t>
      </w:r>
    </w:p>
    <w:p>
      <w:pPr>
        <w:spacing w:after="0" w:line="225" w:lineRule="exact"/>
        <w:rPr>
          <w:sz w:val="20"/>
          <w:szCs w:val="20"/>
          <w:color w:val="auto"/>
        </w:rPr>
      </w:pPr>
    </w:p>
    <w:p>
      <w:pPr>
        <w:jc w:val="center"/>
        <w:ind w:left="5700"/>
        <w:spacing w:after="0"/>
        <w:tabs>
          <w:tab w:leader="none" w:pos="160" w:val="left"/>
        </w:tabs>
        <w:rPr>
          <w:sz w:val="20"/>
          <w:szCs w:val="20"/>
          <w:color w:val="auto"/>
        </w:rPr>
      </w:pPr>
      <w:r>
        <w:rPr>
          <w:rFonts w:ascii="Times New Roman" w:cs="Times New Roman" w:eastAsia="Times New Roman" w:hAnsi="Times New Roman"/>
          <w:sz w:val="18"/>
          <w:szCs w:val="18"/>
          <w:color w:val="auto"/>
        </w:rPr>
        <w:t>By:</w:t>
        <w:tab/>
        <w:t>/s/ M</w:t>
      </w:r>
      <w:r>
        <w:rPr>
          <w:rFonts w:ascii="Times New Roman" w:cs="Times New Roman" w:eastAsia="Times New Roman" w:hAnsi="Times New Roman"/>
          <w:sz w:val="15"/>
          <w:szCs w:val="15"/>
          <w:color w:val="auto"/>
        </w:rPr>
        <w:t>ATTHEW</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5"/>
          <w:szCs w:val="15"/>
          <w:color w:val="auto"/>
        </w:rPr>
        <w:t>FEFFER</w:t>
      </w:r>
    </w:p>
    <w:p>
      <w:pPr>
        <w:spacing w:after="0" w:line="27"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455"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2016 of MannKind Corporation;</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ind w:left="460" w:right="80" w:firstLine="443"/>
        <w:spacing w:after="0" w:line="266" w:lineRule="auto"/>
        <w:tabs>
          <w:tab w:leader="none" w:pos="11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43"/>
        <w:spacing w:after="0" w:line="266" w:lineRule="auto"/>
        <w:tabs>
          <w:tab w:leader="none" w:pos="11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40" w:firstLine="443"/>
        <w:spacing w:after="0" w:line="282" w:lineRule="auto"/>
        <w:tabs>
          <w:tab w:leader="none" w:pos="11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40" w:firstLine="443"/>
        <w:spacing w:after="0" w:line="266" w:lineRule="auto"/>
        <w:tabs>
          <w:tab w:leader="none" w:pos="11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80" w:firstLine="443"/>
        <w:spacing w:after="0" w:line="282" w:lineRule="auto"/>
        <w:tabs>
          <w:tab w:leader="none" w:pos="11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2016</w:t>
            </w:r>
          </w:p>
        </w:tc>
        <w:tc>
          <w:tcPr>
            <w:tcW w:w="5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ATTHEW</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5"/>
                <w:szCs w:val="15"/>
                <w:color w:val="auto"/>
              </w:rPr>
              <w:t>FEFFER</w:t>
            </w:r>
          </w:p>
        </w:tc>
      </w:tr>
      <w:tr>
        <w:trPr>
          <w:trHeight w:val="191"/>
        </w:trPr>
        <w:tc>
          <w:tcPr>
            <w:tcW w:w="5960" w:type="dxa"/>
            <w:vAlign w:val="bottom"/>
          </w:tcPr>
          <w:p>
            <w:pPr>
              <w:spacing w:after="0"/>
              <w:rPr>
                <w:sz w:val="16"/>
                <w:szCs w:val="16"/>
                <w:color w:val="auto"/>
              </w:rPr>
            </w:pPr>
          </w:p>
        </w:tc>
        <w:tc>
          <w:tcPr>
            <w:tcW w:w="54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Matthew J. Pfeffer</w:t>
            </w:r>
          </w:p>
        </w:tc>
      </w:tr>
      <w:tr>
        <w:trPr>
          <w:trHeight w:val="234"/>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r>
    </w:tbl>
    <w:p>
      <w:pPr>
        <w:sectPr>
          <w:pgSz w:w="11900" w:h="16838" w:orient="portrait"/>
          <w:cols w:equalWidth="0" w:num="1">
            <w:col w:w="11420"/>
          </w:cols>
          <w:pgMar w:left="240" w:top="11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2016,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Matthew J. Pfeffer, Chief Executive Officer and Chief Financial Officer of MannKind Corporation (the “Company”), hereby certifies that, to the best of his knowledge:</w:t>
      </w:r>
    </w:p>
    <w:p>
      <w:pPr>
        <w:spacing w:after="0" w:line="76" w:lineRule="exact"/>
        <w:rPr>
          <w:sz w:val="20"/>
          <w:szCs w:val="20"/>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225" w:lineRule="exact"/>
        <w:rPr>
          <w:rFonts w:ascii="Times New Roman" w:cs="Times New Roman" w:eastAsia="Times New Roman" w:hAnsi="Times New Roman"/>
          <w:sz w:val="18"/>
          <w:szCs w:val="18"/>
          <w:color w:val="auto"/>
        </w:rPr>
      </w:pPr>
    </w:p>
    <w:p>
      <w:pPr>
        <w:ind w:right="340" w:firstLine="464"/>
        <w:spacing w:after="0" w:line="501"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9, 2016</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undersigned has set his hand hereto as of the 9th day of May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Matthew J. Pfeffer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ind w:left="460" w:right="120" w:hanging="452"/>
        <w:spacing w:after="0" w:line="261"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3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2019-12-29T11:50:32Z</dcterms:created>
  <dcterms:modified xsi:type="dcterms:W3CDTF">2019-12-29T11:50:32Z</dcterms:modified>
</cp:coreProperties>
</file>