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4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INFORMATION REQUIRED IN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48"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4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151" w:lineRule="exact"/>
        <w:rPr>
          <w:sz w:val="24"/>
          <w:szCs w:val="24"/>
          <w:color w:val="auto"/>
        </w:rPr>
      </w:pPr>
    </w:p>
    <w:p>
      <w:pPr>
        <w:ind w:left="20"/>
        <w:spacing w:after="0" w:line="207" w:lineRule="exact"/>
        <w:tabs>
          <w:tab w:leader="none" w:pos="300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Filed by a Party other than the Registrant  </w:t>
      </w:r>
      <w:r>
        <w:rPr>
          <w:rFonts w:ascii="MS PGothic" w:cs="MS PGothic" w:eastAsia="MS PGothic" w:hAnsi="MS PGothic"/>
          <w:sz w:val="17"/>
          <w:szCs w:val="17"/>
          <w:color w:val="auto"/>
        </w:rPr>
        <w:t>☐</w:t>
      </w:r>
    </w:p>
    <w:p>
      <w:pPr>
        <w:spacing w:after="0" w:line="14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04" w:lineRule="exact"/>
        <w:rPr>
          <w:sz w:val="24"/>
          <w:szCs w:val="24"/>
          <w:color w:val="auto"/>
        </w:rPr>
      </w:pPr>
    </w:p>
    <w:p>
      <w:pPr>
        <w:ind w:left="500" w:hanging="475"/>
        <w:spacing w:after="0"/>
        <w:tabs>
          <w:tab w:leader="none" w:pos="50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500" w:hanging="475"/>
        <w:spacing w:after="0"/>
        <w:tabs>
          <w:tab w:leader="none" w:pos="50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500" w:hanging="479"/>
        <w:spacing w:after="0"/>
        <w:tabs>
          <w:tab w:leader="none" w:pos="50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500" w:hanging="475"/>
        <w:spacing w:after="0"/>
        <w:tabs>
          <w:tab w:leader="none" w:pos="50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500" w:hanging="475"/>
        <w:spacing w:after="0"/>
        <w:tabs>
          <w:tab w:leader="none" w:pos="50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 240.14a-12</w:t>
      </w:r>
    </w:p>
    <w:p>
      <w:pPr>
        <w:spacing w:after="0" w:line="200" w:lineRule="exact"/>
        <w:rPr>
          <w:sz w:val="24"/>
          <w:szCs w:val="24"/>
          <w:color w:val="auto"/>
        </w:rPr>
      </w:pPr>
    </w:p>
    <w:p>
      <w:pPr>
        <w:spacing w:after="0" w:line="32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42"/>
          <w:szCs w:val="42"/>
          <w:b w:val="1"/>
          <w:bCs w:val="1"/>
          <w:color w:val="auto"/>
        </w:rPr>
        <w:t>MANNKIND CORPORATION</w:t>
      </w:r>
    </w:p>
    <w:p>
      <w:pPr>
        <w:spacing w:after="0" w:line="7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04"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31" w:lineRule="exact"/>
        <w:rPr>
          <w:sz w:val="24"/>
          <w:szCs w:val="24"/>
          <w:color w:val="auto"/>
        </w:rPr>
      </w:pPr>
    </w:p>
    <w:p>
      <w:pPr>
        <w:ind w:left="480" w:hanging="459"/>
        <w:spacing w:after="0"/>
        <w:tabs>
          <w:tab w:leader="none" w:pos="4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480" w:hanging="459"/>
        <w:spacing w:after="0"/>
        <w:tabs>
          <w:tab w:leader="none" w:pos="48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613410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86" w:right="1440" w:bottom="1440" w:gutter="0" w:footer="0" w:header="0"/>
        </w:sectPr>
      </w:pPr>
    </w:p>
    <w:bookmarkStart w:id="1" w:name="page2"/>
    <w:bookmarkEnd w:id="1"/>
    <w:p>
      <w:pPr>
        <w:spacing w:after="0" w:line="2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216535</wp:posOffset>
            </wp:positionH>
            <wp:positionV relativeFrom="page">
              <wp:posOffset>149225</wp:posOffset>
            </wp:positionV>
            <wp:extent cx="6866255" cy="69437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66255" cy="6943725"/>
                    </a:xfrm>
                    <a:prstGeom prst="rect">
                      <a:avLst/>
                    </a:prstGeom>
                    <a:noFill/>
                  </pic:spPr>
                </pic:pic>
              </a:graphicData>
            </a:graphic>
          </wp:anchor>
        </w:drawing>
      </w:r>
    </w:p>
    <w:p>
      <w:pPr>
        <w:ind w:left="7680"/>
        <w:spacing w:after="0"/>
        <w:rPr>
          <w:sz w:val="20"/>
          <w:szCs w:val="20"/>
          <w:color w:val="auto"/>
        </w:rPr>
      </w:pPr>
      <w:r>
        <w:rPr>
          <w:rFonts w:ascii="Arial" w:cs="Arial" w:eastAsia="Arial" w:hAnsi="Arial"/>
          <w:sz w:val="38"/>
          <w:szCs w:val="38"/>
          <w:b w:val="1"/>
          <w:bCs w:val="1"/>
          <w:color w:val="auto"/>
        </w:rPr>
        <w:t>Notice of</w:t>
      </w:r>
    </w:p>
    <w:p>
      <w:pPr>
        <w:spacing w:after="0" w:line="28" w:lineRule="exact"/>
        <w:rPr>
          <w:sz w:val="20"/>
          <w:szCs w:val="20"/>
          <w:color w:val="auto"/>
        </w:rPr>
      </w:pPr>
    </w:p>
    <w:p>
      <w:pPr>
        <w:ind w:left="7020"/>
        <w:spacing w:after="0"/>
        <w:rPr>
          <w:sz w:val="20"/>
          <w:szCs w:val="20"/>
          <w:color w:val="auto"/>
        </w:rPr>
      </w:pPr>
      <w:r>
        <w:rPr>
          <w:rFonts w:ascii="Arial" w:cs="Arial" w:eastAsia="Arial" w:hAnsi="Arial"/>
          <w:sz w:val="38"/>
          <w:szCs w:val="38"/>
          <w:b w:val="1"/>
          <w:bCs w:val="1"/>
          <w:color w:val="auto"/>
        </w:rPr>
        <w:t>2023 Meeting of</w:t>
      </w:r>
    </w:p>
    <w:p>
      <w:pPr>
        <w:ind w:left="6860"/>
        <w:spacing w:after="0"/>
        <w:rPr>
          <w:sz w:val="20"/>
          <w:szCs w:val="20"/>
          <w:color w:val="auto"/>
        </w:rPr>
      </w:pPr>
      <w:r>
        <w:rPr>
          <w:rFonts w:ascii="Arial" w:cs="Arial" w:eastAsia="Arial" w:hAnsi="Arial"/>
          <w:sz w:val="37"/>
          <w:szCs w:val="37"/>
          <w:b w:val="1"/>
          <w:bCs w:val="1"/>
          <w:color w:val="auto"/>
        </w:rPr>
        <w:t>Stockholders and</w:t>
      </w:r>
    </w:p>
    <w:p>
      <w:pPr>
        <w:spacing w:after="0" w:line="7" w:lineRule="exact"/>
        <w:rPr>
          <w:sz w:val="20"/>
          <w:szCs w:val="20"/>
          <w:color w:val="auto"/>
        </w:rPr>
      </w:pPr>
    </w:p>
    <w:p>
      <w:pPr>
        <w:ind w:left="7000"/>
        <w:spacing w:after="0"/>
        <w:rPr>
          <w:sz w:val="20"/>
          <w:szCs w:val="20"/>
          <w:color w:val="auto"/>
        </w:rPr>
      </w:pPr>
      <w:r>
        <w:rPr>
          <w:rFonts w:ascii="Arial" w:cs="Arial" w:eastAsia="Arial" w:hAnsi="Arial"/>
          <w:sz w:val="38"/>
          <w:szCs w:val="38"/>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5379085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2700020</wp:posOffset>
            </wp:positionV>
            <wp:extent cx="1680210" cy="9175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000000"/>
                        </a:clrFrom>
                        <a:clrTo>
                          <a:srgbClr val="000000">
                            <a:alpha val="0"/>
                          </a:srgbClr>
                        </a:clrTo>
                      </a:clrChange>
                      <a:extLst>
                        <a:ext uri="{28A0092B-C50C-407E-A947-70E740481C1C}"/>
                      </a:extLst>
                    </a:blip>
                    <a:srcRect/>
                    <a:stretch>
                      <a:fillRect/>
                    </a:stretch>
                  </pic:blipFill>
                  <pic:spPr bwMode="auto">
                    <a:xfrm>
                      <a:off x="0" y="0"/>
                      <a:ext cx="1680210" cy="917575"/>
                    </a:xfrm>
                    <a:prstGeom prst="rect">
                      <a:avLst/>
                    </a:prstGeom>
                    <a:noFill/>
                  </pic:spPr>
                </pic:pic>
              </a:graphicData>
            </a:graphic>
          </wp:anchor>
        </w:drawing>
        <w:drawing>
          <wp:anchor simplePos="0" relativeHeight="251657728" behindDoc="1" locked="0" layoutInCell="0" allowOverlap="1">
            <wp:simplePos x="0" y="0"/>
            <wp:positionH relativeFrom="column">
              <wp:posOffset>4359910</wp:posOffset>
            </wp:positionH>
            <wp:positionV relativeFrom="paragraph">
              <wp:posOffset>2700020</wp:posOffset>
            </wp:positionV>
            <wp:extent cx="1680210" cy="917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680210" cy="917575"/>
                    </a:xfrm>
                    <a:prstGeom prst="rect">
                      <a:avLst/>
                    </a:prstGeom>
                    <a:noFill/>
                  </pic:spPr>
                </pic:pic>
              </a:graphicData>
            </a:graphic>
          </wp:anchor>
        </w:drawing>
      </w:r>
    </w:p>
    <w:p>
      <w:pPr>
        <w:sectPr>
          <w:pgSz w:w="11900" w:h="16838" w:orient="portrait"/>
          <w:cols w:equalWidth="0" w:num="1">
            <w:col w:w="10040"/>
          </w:cols>
          <w:pgMar w:left="1440" w:top="1440" w:right="41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6"/>
          <w:szCs w:val="16"/>
          <w:color w:val="auto"/>
        </w:rPr>
        <w:t>MANNKIND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-73025</wp:posOffset>
            </wp:positionV>
            <wp:extent cx="1688465" cy="2825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88465" cy="282575"/>
                    </a:xfrm>
                    <a:prstGeom prst="rect">
                      <a:avLst/>
                    </a:prstGeom>
                    <a:noFill/>
                  </pic:spPr>
                </pic:pic>
              </a:graphicData>
            </a:graphic>
          </wp:anchor>
        </w:drawing>
      </w:r>
    </w:p>
    <w:p>
      <w:pPr>
        <w:spacing w:after="0" w:line="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1 Casper Street, Danbury, Connecticut 06810</w:t>
      </w:r>
    </w:p>
    <w:p>
      <w:pPr>
        <w:spacing w:after="0" w:line="1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6"/>
          <w:szCs w:val="16"/>
          <w:color w:val="auto"/>
        </w:rPr>
        <w:t>(818) 661-5000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NOTICE OF ANNUAL</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MEETING OF STOCKHOLDERS</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To Be Held On Thursday, May 25, 2023</w:t>
      </w: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333" w:lineRule="exact"/>
        <w:rPr>
          <w:sz w:val="20"/>
          <w:szCs w:val="20"/>
          <w:color w:val="auto"/>
        </w:rPr>
      </w:pPr>
    </w:p>
    <w:p>
      <w:pPr>
        <w:ind w:right="340" w:firstLine="416"/>
        <w:spacing w:after="0" w:line="261" w:lineRule="auto"/>
        <w:rPr>
          <w:sz w:val="20"/>
          <w:szCs w:val="20"/>
          <w:color w:val="auto"/>
        </w:rPr>
      </w:pPr>
      <w:r>
        <w:rPr>
          <w:rFonts w:ascii="Times New Roman" w:cs="Times New Roman" w:eastAsia="Times New Roman" w:hAnsi="Times New Roman"/>
          <w:sz w:val="18"/>
          <w:szCs w:val="18"/>
          <w:color w:val="auto"/>
        </w:rPr>
        <w:t>You are cordially invited to attend the Annual Meeting of Stockholders of MannKind Corporation, a Delaware corporation (“MannKind”). The meeting will be held live via the Internet on Thursday, May 25, 2023 at 10:00 a.m. U.S. Eastern Time. To attend, please visit www.virtualshareholdermeeting.com/MNKD2023. You will not be able to attend the Annual Meeting in person. The Annual Meeting will consider the following matters:</w:t>
      </w:r>
    </w:p>
    <w:p>
      <w:pPr>
        <w:spacing w:after="0" w:line="72" w:lineRule="exact"/>
        <w:rPr>
          <w:sz w:val="20"/>
          <w:szCs w:val="20"/>
          <w:color w:val="auto"/>
        </w:rPr>
      </w:pPr>
    </w:p>
    <w:p>
      <w:pPr>
        <w:ind w:left="840" w:hanging="413"/>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the nine nominees named herein as directors to serve for the ensuing year and until their successors are elected;</w:t>
      </w:r>
    </w:p>
    <w:p>
      <w:pPr>
        <w:spacing w:after="0" w:line="63" w:lineRule="exact"/>
        <w:rPr>
          <w:rFonts w:ascii="Times New Roman" w:cs="Times New Roman" w:eastAsia="Times New Roman" w:hAnsi="Times New Roman"/>
          <w:sz w:val="18"/>
          <w:szCs w:val="18"/>
          <w:color w:val="auto"/>
        </w:rPr>
      </w:pPr>
    </w:p>
    <w:p>
      <w:pPr>
        <w:ind w:left="840" w:right="220" w:hanging="413"/>
        <w:spacing w:after="0" w:line="281"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MannKind’s Amended and Restated Certificate of Incorporation to increase the authorized number of shares of common stock from 400,000,000 shares to 800,000,000 shares (the “Authorized Shares Increase Proposal”);</w:t>
      </w:r>
    </w:p>
    <w:p>
      <w:pPr>
        <w:spacing w:after="0" w:line="1" w:lineRule="exact"/>
        <w:rPr>
          <w:rFonts w:ascii="Times New Roman" w:cs="Times New Roman" w:eastAsia="Times New Roman" w:hAnsi="Times New Roman"/>
          <w:sz w:val="18"/>
          <w:szCs w:val="18"/>
          <w:color w:val="auto"/>
        </w:rPr>
      </w:pPr>
    </w:p>
    <w:p>
      <w:pPr>
        <w:ind w:left="840" w:right="580" w:hanging="413"/>
        <w:spacing w:after="0" w:line="281"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 adjournment of the Annual Meeting, if necessary, to solicit additional proxies if there are not sufficient votes in favor of Proposal 2;</w:t>
      </w:r>
    </w:p>
    <w:p>
      <w:pPr>
        <w:spacing w:after="0" w:line="1" w:lineRule="exact"/>
        <w:rPr>
          <w:rFonts w:ascii="Times New Roman" w:cs="Times New Roman" w:eastAsia="Times New Roman" w:hAnsi="Times New Roman"/>
          <w:sz w:val="18"/>
          <w:szCs w:val="18"/>
          <w:color w:val="auto"/>
        </w:rPr>
      </w:pPr>
    </w:p>
    <w:p>
      <w:pPr>
        <w:ind w:left="840" w:right="220" w:hanging="413"/>
        <w:spacing w:after="0" w:line="281"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MannKind 2018 Equity Incentive Plan (as amended, the “EIP”) to increase the number of shares authorized for issuance thereunder by 25,000,000 shares;</w:t>
      </w:r>
    </w:p>
    <w:p>
      <w:pPr>
        <w:spacing w:after="0" w:line="1" w:lineRule="exact"/>
        <w:rPr>
          <w:rFonts w:ascii="Times New Roman" w:cs="Times New Roman" w:eastAsia="Times New Roman" w:hAnsi="Times New Roman"/>
          <w:sz w:val="18"/>
          <w:szCs w:val="18"/>
          <w:color w:val="auto"/>
        </w:rPr>
      </w:pPr>
    </w:p>
    <w:p>
      <w:pPr>
        <w:ind w:left="840" w:right="60" w:hanging="413"/>
        <w:spacing w:after="0" w:line="281"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MannKind 2004 Employee Stock Purchase Plan (the “ESPP”) to increase the number of shares authorized for issuance thereunder by 3,000,000 shares;</w:t>
      </w:r>
    </w:p>
    <w:p>
      <w:pPr>
        <w:spacing w:after="0" w:line="1" w:lineRule="exact"/>
        <w:rPr>
          <w:rFonts w:ascii="Times New Roman" w:cs="Times New Roman" w:eastAsia="Times New Roman" w:hAnsi="Times New Roman"/>
          <w:sz w:val="18"/>
          <w:szCs w:val="18"/>
          <w:color w:val="auto"/>
        </w:rPr>
      </w:pPr>
    </w:p>
    <w:p>
      <w:pPr>
        <w:ind w:left="840" w:right="40" w:hanging="413"/>
        <w:spacing w:after="0" w:line="281"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on an advisory basis, the compensation of the named executive officers of MannKind, as disclosed in MannKind’s proxy statement for the Annual Meeting;</w:t>
      </w:r>
    </w:p>
    <w:p>
      <w:pPr>
        <w:spacing w:after="0" w:line="1" w:lineRule="exact"/>
        <w:rPr>
          <w:rFonts w:ascii="Times New Roman" w:cs="Times New Roman" w:eastAsia="Times New Roman" w:hAnsi="Times New Roman"/>
          <w:sz w:val="18"/>
          <w:szCs w:val="18"/>
          <w:color w:val="auto"/>
        </w:rPr>
      </w:pPr>
    </w:p>
    <w:p>
      <w:pPr>
        <w:ind w:left="840" w:right="100" w:hanging="413"/>
        <w:spacing w:after="0" w:line="281"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indicate, on an advisory basis, the preferred frequency of stockholder advisory vote on the compensation of the named executive officers of MannKind;</w:t>
      </w:r>
    </w:p>
    <w:p>
      <w:pPr>
        <w:spacing w:after="0" w:line="1" w:lineRule="exact"/>
        <w:rPr>
          <w:rFonts w:ascii="Times New Roman" w:cs="Times New Roman" w:eastAsia="Times New Roman" w:hAnsi="Times New Roman"/>
          <w:sz w:val="18"/>
          <w:szCs w:val="18"/>
          <w:color w:val="auto"/>
        </w:rPr>
      </w:pPr>
    </w:p>
    <w:p>
      <w:pPr>
        <w:ind w:left="840" w:right="580" w:hanging="413"/>
        <w:spacing w:after="0" w:line="281" w:lineRule="auto"/>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by the Audit Committee of the Board of Directors of Deloitte &amp; Touche LLP as the independent registered public accounting firm of MannKind for its fiscal year ending December 31, 2023; and</w:t>
      </w:r>
    </w:p>
    <w:p>
      <w:pPr>
        <w:spacing w:after="0" w:line="1"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 or postponement thereof.</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These items of business are more fully described in the proxy statement accompanying this notice.</w:t>
      </w:r>
    </w:p>
    <w:p>
      <w:pPr>
        <w:spacing w:after="0" w:line="63" w:lineRule="exact"/>
        <w:rPr>
          <w:sz w:val="20"/>
          <w:szCs w:val="20"/>
          <w:color w:val="auto"/>
        </w:rPr>
      </w:pPr>
    </w:p>
    <w:p>
      <w:pPr>
        <w:ind w:right="360" w:firstLine="416"/>
        <w:spacing w:after="0" w:line="282" w:lineRule="auto"/>
        <w:rPr>
          <w:sz w:val="20"/>
          <w:szCs w:val="20"/>
          <w:color w:val="auto"/>
        </w:rPr>
      </w:pPr>
      <w:r>
        <w:rPr>
          <w:rFonts w:ascii="Times New Roman" w:cs="Times New Roman" w:eastAsia="Times New Roman" w:hAnsi="Times New Roman"/>
          <w:sz w:val="18"/>
          <w:szCs w:val="18"/>
          <w:color w:val="auto"/>
        </w:rPr>
        <w:t>The record date for the Annual Meeting is March 27, 2023. Only stockholders of record on that date may vote at the meeting or any adjournment thereof.</w:t>
      </w:r>
    </w:p>
    <w:p>
      <w:pPr>
        <w:spacing w:after="0" w:line="31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85725</wp:posOffset>
            </wp:positionV>
            <wp:extent cx="1928495" cy="5060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928495"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David B. Thomson</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Executive Vice President, General Counsel and Secretary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Danbury, Connecticut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501650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3" w:name="page4"/>
    <w:bookmarkEnd w:id="3"/>
    <w:p>
      <w:pPr>
        <w:spacing w:after="0" w:line="262" w:lineRule="auto"/>
        <w:rPr>
          <w:sz w:val="20"/>
          <w:szCs w:val="20"/>
          <w:color w:val="auto"/>
        </w:rPr>
      </w:pPr>
      <w:r>
        <w:rPr>
          <w:rFonts w:ascii="Times New Roman" w:cs="Times New Roman" w:eastAsia="Times New Roman" w:hAnsi="Times New Roman"/>
          <w:sz w:val="18"/>
          <w:szCs w:val="18"/>
          <w:b w:val="1"/>
          <w:bCs w:val="1"/>
          <w:color w:val="auto"/>
        </w:rPr>
        <w:t>You are cordially invited to attend the meeting via the Internet. Whether or not you expect to attend the meeting, please vote by proxy pursuant to the instructions set forth herein as promptly as possible in order to ensure your representation at the meeting. Even if you have voted by proxy, you may still vote live if you attend the meeting via the Internet. Please note, however, that if your shares are held of record by a broker, bank or other nominee and you wish to vote at the meeting, you must obtain a proxy issued in your name from that record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293370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71" w:right="37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07"/>
        </w:trPr>
        <w:tc>
          <w:tcPr>
            <w:tcW w:w="972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0000FF"/>
              </w:rPr>
              <w:t>Proxy Statement Summary</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1020" w:type="dxa"/>
            <w:vAlign w:val="bottom"/>
            <w:tcBorders>
              <w:left w:val="single" w:sz="8" w:color="0000EE"/>
            </w:tcBorders>
            <w:shd w:val="clear" w:color="auto" w:fill="0000FF"/>
          </w:tcPr>
          <w:p>
            <w:pPr>
              <w:spacing w:after="0" w:line="20" w:lineRule="exact"/>
              <w:rPr>
                <w:sz w:val="1"/>
                <w:szCs w:val="1"/>
                <w:color w:val="auto"/>
              </w:rPr>
            </w:pPr>
          </w:p>
        </w:tc>
        <w:tc>
          <w:tcPr>
            <w:tcW w:w="96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10"/>
        </w:trPr>
        <w:tc>
          <w:tcPr>
            <w:tcW w:w="2480" w:type="dxa"/>
            <w:vAlign w:val="bottom"/>
            <w:tcBorders>
              <w:bottom w:val="single" w:sz="8" w:color="0000FF"/>
            </w:tcBorders>
            <w:gridSpan w:val="6"/>
          </w:tcPr>
          <w:p>
            <w:pPr>
              <w:ind w:left="20"/>
              <w:spacing w:after="0"/>
              <w:rPr>
                <w:sz w:val="20"/>
                <w:szCs w:val="20"/>
                <w:color w:val="auto"/>
              </w:rPr>
            </w:pPr>
            <w:r>
              <w:rPr>
                <w:rFonts w:ascii="Times New Roman" w:cs="Times New Roman" w:eastAsia="Times New Roman" w:hAnsi="Times New Roman"/>
                <w:sz w:val="18"/>
                <w:szCs w:val="18"/>
                <w:color w:val="0000FF"/>
              </w:rPr>
              <w:t>Proposal 1 - Election of Directors</w:t>
            </w:r>
          </w:p>
        </w:tc>
        <w:tc>
          <w:tcPr>
            <w:tcW w:w="7240" w:type="dxa"/>
            <w:vAlign w:val="bottom"/>
            <w:gridSpan w:val="15"/>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9"/>
        </w:trPr>
        <w:tc>
          <w:tcPr>
            <w:tcW w:w="4960" w:type="dxa"/>
            <w:vAlign w:val="bottom"/>
            <w:tcBorders>
              <w:bottom w:val="single" w:sz="8" w:color="0000FF"/>
            </w:tcBorders>
            <w:gridSpan w:val="15"/>
          </w:tcPr>
          <w:p>
            <w:pPr>
              <w:ind w:left="20"/>
              <w:spacing w:after="0"/>
              <w:rPr>
                <w:sz w:val="20"/>
                <w:szCs w:val="20"/>
                <w:color w:val="auto"/>
              </w:rPr>
            </w:pPr>
            <w:r>
              <w:rPr>
                <w:rFonts w:ascii="Times New Roman" w:cs="Times New Roman" w:eastAsia="Times New Roman" w:hAnsi="Times New Roman"/>
                <w:sz w:val="18"/>
                <w:szCs w:val="18"/>
                <w:color w:val="0000FF"/>
                <w:w w:val="99"/>
              </w:rPr>
              <w:t>Corporate Governance Principles and Board and Committee Matters</w:t>
            </w:r>
          </w:p>
        </w:tc>
        <w:tc>
          <w:tcPr>
            <w:tcW w:w="20" w:type="dxa"/>
            <w:vAlign w:val="bottom"/>
            <w:tcBorders>
              <w:bottom w:val="single" w:sz="8" w:color="0000EE"/>
            </w:tcBorders>
          </w:tcPr>
          <w:p>
            <w:pPr>
              <w:spacing w:after="0"/>
              <w:rPr>
                <w:sz w:val="18"/>
                <w:szCs w:val="18"/>
                <w:color w:val="auto"/>
              </w:rPr>
            </w:pPr>
          </w:p>
        </w:tc>
        <w:tc>
          <w:tcPr>
            <w:tcW w:w="4740" w:type="dxa"/>
            <w:vAlign w:val="bottom"/>
            <w:gridSpan w:val="5"/>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9"/>
        </w:trPr>
        <w:tc>
          <w:tcPr>
            <w:tcW w:w="6280" w:type="dxa"/>
            <w:vAlign w:val="bottom"/>
            <w:tcBorders>
              <w:bottom w:val="single" w:sz="8" w:color="0000EE"/>
            </w:tcBorders>
            <w:gridSpan w:val="17"/>
          </w:tcPr>
          <w:p>
            <w:pPr>
              <w:ind w:left="20"/>
              <w:spacing w:after="0"/>
              <w:rPr>
                <w:sz w:val="20"/>
                <w:szCs w:val="20"/>
                <w:color w:val="auto"/>
              </w:rPr>
            </w:pPr>
            <w:r>
              <w:rPr>
                <w:rFonts w:ascii="Times New Roman" w:cs="Times New Roman" w:eastAsia="Times New Roman" w:hAnsi="Times New Roman"/>
                <w:sz w:val="18"/>
                <w:szCs w:val="18"/>
                <w:color w:val="0000FF"/>
              </w:rPr>
              <w:t>Proposal 2 – Approval of Increase in Number of Authorized Shares of Common Stock</w:t>
            </w:r>
          </w:p>
        </w:tc>
        <w:tc>
          <w:tcPr>
            <w:tcW w:w="3440" w:type="dxa"/>
            <w:vAlign w:val="bottom"/>
            <w:gridSpan w:val="4"/>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0"/>
        </w:trPr>
        <w:tc>
          <w:tcPr>
            <w:tcW w:w="7400" w:type="dxa"/>
            <w:vAlign w:val="bottom"/>
            <w:tcBorders>
              <w:bottom w:val="single" w:sz="8" w:color="0000FF"/>
            </w:tcBorders>
            <w:gridSpan w:val="18"/>
          </w:tcPr>
          <w:p>
            <w:pPr>
              <w:ind w:left="20"/>
              <w:spacing w:after="0"/>
              <w:rPr>
                <w:sz w:val="20"/>
                <w:szCs w:val="20"/>
                <w:color w:val="auto"/>
              </w:rPr>
            </w:pPr>
            <w:r>
              <w:rPr>
                <w:rFonts w:ascii="Times New Roman" w:cs="Times New Roman" w:eastAsia="Times New Roman" w:hAnsi="Times New Roman"/>
                <w:sz w:val="18"/>
                <w:szCs w:val="18"/>
                <w:color w:val="0000FF"/>
                <w:w w:val="99"/>
              </w:rPr>
              <w:t>Proposal 3 – Authorization to Adjourn the Annual Meeting, if Necessary, to Solicit Additional Proxies</w:t>
            </w:r>
          </w:p>
        </w:tc>
        <w:tc>
          <w:tcPr>
            <w:tcW w:w="2320" w:type="dxa"/>
            <w:vAlign w:val="bottom"/>
            <w:gridSpan w:val="3"/>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9"/>
        </w:trPr>
        <w:tc>
          <w:tcPr>
            <w:tcW w:w="376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9"/>
              </w:rPr>
              <w:t>Proposal 4 – Approval of an Amendment to the EIP</w:t>
            </w:r>
          </w:p>
        </w:tc>
        <w:tc>
          <w:tcPr>
            <w:tcW w:w="20" w:type="dxa"/>
            <w:vAlign w:val="bottom"/>
            <w:tcBorders>
              <w:bottom w:val="single" w:sz="8" w:color="0000EE"/>
            </w:tcBorders>
          </w:tcPr>
          <w:p>
            <w:pPr>
              <w:spacing w:after="0"/>
              <w:rPr>
                <w:sz w:val="18"/>
                <w:szCs w:val="18"/>
                <w:color w:val="auto"/>
              </w:rPr>
            </w:pPr>
          </w:p>
        </w:tc>
        <w:tc>
          <w:tcPr>
            <w:tcW w:w="5940" w:type="dxa"/>
            <w:vAlign w:val="bottom"/>
            <w:gridSpan w:val="12"/>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09"/>
        </w:trPr>
        <w:tc>
          <w:tcPr>
            <w:tcW w:w="3900" w:type="dxa"/>
            <w:vAlign w:val="bottom"/>
            <w:tcBorders>
              <w:bottom w:val="single" w:sz="8" w:color="0000FF"/>
            </w:tcBorders>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Proposal 5 – Approval of an Amendment to the ESPP</w:t>
            </w:r>
          </w:p>
        </w:tc>
        <w:tc>
          <w:tcPr>
            <w:tcW w:w="20" w:type="dxa"/>
            <w:vAlign w:val="bottom"/>
            <w:tcBorders>
              <w:bottom w:val="single" w:sz="8" w:color="0000EE"/>
            </w:tcBorders>
          </w:tcPr>
          <w:p>
            <w:pPr>
              <w:spacing w:after="0"/>
              <w:rPr>
                <w:sz w:val="18"/>
                <w:szCs w:val="18"/>
                <w:color w:val="auto"/>
              </w:rPr>
            </w:pPr>
          </w:p>
        </w:tc>
        <w:tc>
          <w:tcPr>
            <w:tcW w:w="5800" w:type="dxa"/>
            <w:vAlign w:val="bottom"/>
            <w:gridSpan w:val="10"/>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0"/>
        </w:trPr>
        <w:tc>
          <w:tcPr>
            <w:tcW w:w="972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0000FF"/>
              </w:rPr>
              <w:t>Proposal 6 – Advisory Vote on Executive Compensation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1020" w:type="dxa"/>
            <w:vAlign w:val="bottom"/>
            <w:tcBorders>
              <w:left w:val="single" w:sz="8" w:color="0000EE"/>
            </w:tcBorders>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480" w:type="dxa"/>
            <w:vAlign w:val="bottom"/>
            <w:tcBorders>
              <w:right w:val="single" w:sz="8" w:color="0000EE"/>
            </w:tcBorders>
            <w:gridSpan w:val="5"/>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09"/>
        </w:trPr>
        <w:tc>
          <w:tcPr>
            <w:tcW w:w="972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0000FF"/>
              </w:rPr>
              <w:t>Proposal 7 – Advisory Indication of Frequency of Stockholder Advisory Votes on Executive Compensation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0"/>
        </w:trPr>
        <w:tc>
          <w:tcPr>
            <w:tcW w:w="1020" w:type="dxa"/>
            <w:vAlign w:val="bottom"/>
            <w:tcBorders>
              <w:left w:val="single" w:sz="8" w:color="0000EE"/>
            </w:tcBorders>
            <w:shd w:val="clear" w:color="auto" w:fill="0000FF"/>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200" w:type="dxa"/>
            <w:vAlign w:val="bottom"/>
            <w:gridSpan w:val="6"/>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60" w:type="dxa"/>
            <w:vAlign w:val="bottom"/>
            <w:tcBorders>
              <w:right w:val="single" w:sz="8" w:color="0000EE"/>
            </w:tcBorders>
            <w:gridSpan w:val="5"/>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10"/>
        </w:trPr>
        <w:tc>
          <w:tcPr>
            <w:tcW w:w="8400" w:type="dxa"/>
            <w:vAlign w:val="bottom"/>
            <w:tcBorders>
              <w:bottom w:val="single" w:sz="8" w:color="0000FF"/>
            </w:tcBorders>
            <w:gridSpan w:val="20"/>
          </w:tcPr>
          <w:p>
            <w:pPr>
              <w:ind w:left="20"/>
              <w:spacing w:after="0"/>
              <w:rPr>
                <w:sz w:val="20"/>
                <w:szCs w:val="20"/>
                <w:color w:val="auto"/>
              </w:rPr>
            </w:pPr>
            <w:r>
              <w:rPr>
                <w:rFonts w:ascii="Times New Roman" w:cs="Times New Roman" w:eastAsia="Times New Roman" w:hAnsi="Times New Roman"/>
                <w:sz w:val="18"/>
                <w:szCs w:val="18"/>
                <w:color w:val="0000FF"/>
                <w:w w:val="99"/>
              </w:rPr>
              <w:t>Proposal 8 – Ratification of Selection of Deloitte &amp; Touche LLP as Independent Registered Public Accounting Firm</w:t>
            </w:r>
          </w:p>
        </w:tc>
        <w:tc>
          <w:tcPr>
            <w:tcW w:w="13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9"/>
        </w:trPr>
        <w:tc>
          <w:tcPr>
            <w:tcW w:w="228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9"/>
              </w:rPr>
              <w:t>Report of the Audit Committee</w:t>
            </w:r>
          </w:p>
        </w:tc>
        <w:tc>
          <w:tcPr>
            <w:tcW w:w="20" w:type="dxa"/>
            <w:vAlign w:val="bottom"/>
            <w:tcBorders>
              <w:bottom w:val="single" w:sz="8" w:color="0000EE"/>
            </w:tcBorders>
          </w:tcPr>
          <w:p>
            <w:pPr>
              <w:spacing w:after="0"/>
              <w:rPr>
                <w:sz w:val="18"/>
                <w:szCs w:val="18"/>
                <w:color w:val="auto"/>
              </w:rPr>
            </w:pPr>
          </w:p>
        </w:tc>
        <w:tc>
          <w:tcPr>
            <w:tcW w:w="7420" w:type="dxa"/>
            <w:vAlign w:val="bottom"/>
            <w:gridSpan w:val="17"/>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09"/>
        </w:trPr>
        <w:tc>
          <w:tcPr>
            <w:tcW w:w="2620" w:type="dxa"/>
            <w:vAlign w:val="bottom"/>
            <w:tcBorders>
              <w:bottom w:val="single" w:sz="8" w:color="0000FF"/>
            </w:tcBorders>
            <w:gridSpan w:val="7"/>
          </w:tcPr>
          <w:p>
            <w:pPr>
              <w:ind w:left="20"/>
              <w:spacing w:after="0"/>
              <w:rPr>
                <w:sz w:val="20"/>
                <w:szCs w:val="20"/>
                <w:color w:val="auto"/>
              </w:rPr>
            </w:pPr>
            <w:r>
              <w:rPr>
                <w:rFonts w:ascii="Times New Roman" w:cs="Times New Roman" w:eastAsia="Times New Roman" w:hAnsi="Times New Roman"/>
                <w:sz w:val="18"/>
                <w:szCs w:val="18"/>
                <w:color w:val="0000FF"/>
                <w:w w:val="99"/>
              </w:rPr>
              <w:t>Executive Officers of the Registrant</w:t>
            </w:r>
          </w:p>
        </w:tc>
        <w:tc>
          <w:tcPr>
            <w:tcW w:w="7100" w:type="dxa"/>
            <w:vAlign w:val="bottom"/>
            <w:gridSpan w:val="14"/>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0"/>
        </w:trPr>
        <w:tc>
          <w:tcPr>
            <w:tcW w:w="972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0000FF"/>
              </w:rPr>
              <w:t>Executive Compensation - Compensation Discussion and Analysis</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09"/>
        </w:trPr>
        <w:tc>
          <w:tcPr>
            <w:tcW w:w="4820" w:type="dxa"/>
            <w:vAlign w:val="bottom"/>
            <w:tcBorders>
              <w:top w:val="single" w:sz="8" w:color="0000FF"/>
            </w:tcBorders>
            <w:gridSpan w:val="13"/>
          </w:tcPr>
          <w:p>
            <w:pPr>
              <w:ind w:left="20"/>
              <w:spacing w:after="0"/>
              <w:rPr>
                <w:sz w:val="20"/>
                <w:szCs w:val="20"/>
                <w:color w:val="auto"/>
              </w:rPr>
            </w:pPr>
            <w:r>
              <w:rPr>
                <w:rFonts w:ascii="Times New Roman" w:cs="Times New Roman" w:eastAsia="Times New Roman" w:hAnsi="Times New Roman"/>
                <w:sz w:val="18"/>
                <w:szCs w:val="18"/>
                <w:color w:val="0000FF"/>
              </w:rPr>
              <w:t>Compensation Committee Report</w:t>
            </w:r>
          </w:p>
        </w:tc>
        <w:tc>
          <w:tcPr>
            <w:tcW w:w="4900" w:type="dxa"/>
            <w:vAlign w:val="bottom"/>
            <w:gridSpan w:val="8"/>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0"/>
        </w:trPr>
        <w:tc>
          <w:tcPr>
            <w:tcW w:w="1020" w:type="dxa"/>
            <w:vAlign w:val="bottom"/>
            <w:tcBorders>
              <w:left w:val="single" w:sz="8" w:color="0000EE"/>
            </w:tcBorders>
            <w:shd w:val="clear" w:color="auto" w:fill="0000FF"/>
          </w:tcPr>
          <w:p>
            <w:pPr>
              <w:spacing w:after="0" w:line="20" w:lineRule="exact"/>
              <w:rPr>
                <w:sz w:val="1"/>
                <w:szCs w:val="1"/>
                <w:color w:val="auto"/>
              </w:rPr>
            </w:pPr>
          </w:p>
        </w:tc>
        <w:tc>
          <w:tcPr>
            <w:tcW w:w="1440" w:type="dxa"/>
            <w:vAlign w:val="bottom"/>
            <w:tcBorders>
              <w:right w:val="single" w:sz="8" w:color="0000EE"/>
            </w:tcBorders>
            <w:gridSpan w:val="4"/>
            <w:shd w:val="clear" w:color="auto" w:fill="0000FF"/>
          </w:tcPr>
          <w:p>
            <w:pPr>
              <w:spacing w:after="0" w:line="20" w:lineRule="exact"/>
              <w:rPr>
                <w:sz w:val="1"/>
                <w:szCs w:val="1"/>
                <w:color w:val="auto"/>
              </w:rPr>
            </w:pPr>
          </w:p>
        </w:tc>
        <w:tc>
          <w:tcPr>
            <w:tcW w:w="2440" w:type="dxa"/>
            <w:vAlign w:val="bottom"/>
            <w:gridSpan w:val="9"/>
          </w:tcPr>
          <w:p>
            <w:pPr>
              <w:spacing w:after="0" w:line="20" w:lineRule="exact"/>
              <w:rPr>
                <w:sz w:val="1"/>
                <w:szCs w:val="1"/>
                <w:color w:val="auto"/>
              </w:rPr>
            </w:pPr>
          </w:p>
        </w:tc>
        <w:tc>
          <w:tcPr>
            <w:tcW w:w="4820" w:type="dxa"/>
            <w:vAlign w:val="bottom"/>
            <w:gridSpan w:val="7"/>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09"/>
        </w:trPr>
        <w:tc>
          <w:tcPr>
            <w:tcW w:w="9720" w:type="dxa"/>
            <w:vAlign w:val="bottom"/>
            <w:gridSpan w:val="21"/>
          </w:tcPr>
          <w:p>
            <w:pPr>
              <w:ind w:left="20"/>
              <w:spacing w:after="0"/>
              <w:rPr>
                <w:sz w:val="20"/>
                <w:szCs w:val="20"/>
                <w:color w:val="auto"/>
              </w:rPr>
            </w:pPr>
            <w:r>
              <w:rPr>
                <w:rFonts w:ascii="Times New Roman" w:cs="Times New Roman" w:eastAsia="Times New Roman" w:hAnsi="Times New Roman"/>
                <w:sz w:val="18"/>
                <w:szCs w:val="18"/>
                <w:color w:val="0000FF"/>
              </w:rPr>
              <w:t>Security Ownership of Certain Beneficial Owners and Management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0"/>
        </w:trPr>
        <w:tc>
          <w:tcPr>
            <w:tcW w:w="4900" w:type="dxa"/>
            <w:vAlign w:val="bottom"/>
            <w:tcBorders>
              <w:top w:val="single" w:sz="8" w:color="0000FF"/>
            </w:tcBorders>
            <w:gridSpan w:val="14"/>
          </w:tcPr>
          <w:p>
            <w:pPr>
              <w:ind w:left="20"/>
              <w:spacing w:after="0"/>
              <w:rPr>
                <w:sz w:val="20"/>
                <w:szCs w:val="20"/>
                <w:color w:val="auto"/>
              </w:rPr>
            </w:pPr>
            <w:r>
              <w:rPr>
                <w:rFonts w:ascii="Times New Roman" w:cs="Times New Roman" w:eastAsia="Times New Roman" w:hAnsi="Times New Roman"/>
                <w:sz w:val="18"/>
                <w:szCs w:val="18"/>
                <w:color w:val="0000FF"/>
              </w:rPr>
              <w:t>Other Matters</w:t>
            </w:r>
          </w:p>
        </w:tc>
        <w:tc>
          <w:tcPr>
            <w:tcW w:w="4820" w:type="dxa"/>
            <w:vAlign w:val="bottom"/>
            <w:gridSpan w:val="7"/>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757"/>
        </w:trPr>
        <w:tc>
          <w:tcPr>
            <w:tcW w:w="1020" w:type="dxa"/>
            <w:vAlign w:val="bottom"/>
            <w:tcBorders>
              <w:top w:val="single" w:sz="8" w:color="0000FF"/>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668020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ind w:left="120"/>
        <w:spacing w:after="0"/>
        <w:rPr>
          <w:sz w:val="20"/>
          <w:szCs w:val="20"/>
          <w:color w:val="auto"/>
        </w:rPr>
      </w:pPr>
      <w:r>
        <w:rPr>
          <w:rFonts w:ascii="Times New Roman" w:cs="Times New Roman" w:eastAsia="Times New Roman" w:hAnsi="Times New Roman"/>
          <w:sz w:val="57"/>
          <w:szCs w:val="57"/>
          <w:b w:val="1"/>
          <w:bCs w:val="1"/>
          <w:color w:val="FFFFFF"/>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6254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625475"/>
                    </a:xfrm>
                    <a:prstGeom prst="rect">
                      <a:avLst/>
                    </a:prstGeom>
                    <a:noFill/>
                  </pic:spPr>
                </pic:pic>
              </a:graphicData>
            </a:graphic>
          </wp:anchor>
        </w:drawing>
        <w:t>Proxy Statement</w:t>
      </w:r>
    </w:p>
    <w:p>
      <w:pPr>
        <w:sectPr>
          <w:pgSz w:w="11900" w:h="16838" w:orient="portrait"/>
          <w:cols w:equalWidth="0" w:num="1">
            <w:col w:w="11220"/>
          </w:cols>
          <w:pgMar w:left="320" w:top="67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MANNKIND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Casper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Danbury, Connecticut 06810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(818) 661-5000</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auto"/>
        </w:rPr>
        <w:t>PROXY STATEMENT</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FOR THE 2023 ANNUAL MEETING OF STOCKHOLDERS</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To be held on May 25, 2023</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QUESTIONS AND ANSWERS ABOUT THESE PROXY MATERIALS AND VOTING</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did I receive a notice regarding the availability of proxy materials on the Internet?</w:t>
      </w:r>
    </w:p>
    <w:p>
      <w:pPr>
        <w:spacing w:after="0" w:line="121"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Pursuant to rules adopted by the Securities and Exchange Commission (the “SEC”), we have elected to provide access to our proxy materials over the Internet. Accordingly, we have sent you a Notice of Internet Availability of Proxy Materials (the “Notice”) because the Board of Directors (sometimes referred to as the “Board”) of MannKind Corporation (sometimes referred to as, “we,” “us,” the “Company” or “MannKind”) is soliciting your proxy to vote at the 2023 Annual Meeting of Stockholders (the “Annual Meeting”), including any adjournments or postponements of the Annual Meeting. This year’s Annual Meeting will be held entirely via the Internet. You are invited to attend the Annual Meeting to vote on the proposals described in this proxy statement. However, you do not need to attend the meeting via the Internet to vote your shares. All stockholders will have the ability to access the proxy materials on the website referred to in the Notice or request to receive a printed set of the proxy materials. Instructions on how to access the proxy materials over the Internet or to request a printed copy may be found in the Notice.</w:t>
      </w:r>
    </w:p>
    <w:p>
      <w:pPr>
        <w:spacing w:after="0" w:line="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Notice will be mailed on April 10, 2023 to our stockholders of record entitled to vote at the Annual Meeting.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 I receive any other proxy materials by mail?</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may send you a proxy card, along with a second Notice, ten days after mailing the first Notice.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are we holding a virtual Annual Meeting?</w:t>
      </w:r>
    </w:p>
    <w:p>
      <w:pPr>
        <w:spacing w:after="0" w:line="121" w:lineRule="exact"/>
        <w:rPr>
          <w:sz w:val="20"/>
          <w:szCs w:val="20"/>
          <w:color w:val="auto"/>
        </w:rPr>
      </w:pPr>
    </w:p>
    <w:p>
      <w:pPr>
        <w:ind w:right="20" w:firstLine="419"/>
        <w:spacing w:after="0" w:line="254" w:lineRule="auto"/>
        <w:rPr>
          <w:sz w:val="20"/>
          <w:szCs w:val="20"/>
          <w:color w:val="auto"/>
        </w:rPr>
      </w:pPr>
      <w:r>
        <w:rPr>
          <w:rFonts w:ascii="Times New Roman" w:cs="Times New Roman" w:eastAsia="Times New Roman" w:hAnsi="Times New Roman"/>
          <w:sz w:val="18"/>
          <w:szCs w:val="18"/>
          <w:color w:val="auto"/>
        </w:rPr>
        <w:t>In recent years we have implemented a virtual format for our Annual Meeting, which is conducted via live audio webcast and online stockholder tools. Our experience has been that a virtual format helps to facilitate stockholder attendance and participation by enabling stockholders to participate fully, and equally, from any location around the world at no cost (other than any costs associated with your Internet access, such as usage charges from Internet access providers and telephone companies). A virtual Annual Meeting makes it possible for more stockholders (regardless of size, resources or physical location) to have direct access to information more quickly, while saving the Company and our stockholders time and money. We also believe that the online tools we have selected increase stockholder communication. For example, the virtual format allows stockholders to communicate with us in advance of, and during, the Annual Meeting so they can ask questions of our board of directors or management. During the Annual Meeting, we are able to answer questions submitted during the Annual Meeting and address those asked in advance, to the extent relevant to the business of the Annual Meeting. We do not intend to post questions received during the Annual Meeting on our website.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can vote at the Annual Meeting?</w:t>
      </w:r>
    </w:p>
    <w:p>
      <w:pPr>
        <w:spacing w:after="0" w:line="121" w:lineRule="exact"/>
        <w:rPr>
          <w:sz w:val="20"/>
          <w:szCs w:val="20"/>
          <w:color w:val="auto"/>
        </w:rPr>
      </w:pPr>
    </w:p>
    <w:p>
      <w:pPr>
        <w:ind w:right="60" w:firstLine="416"/>
        <w:spacing w:after="0" w:line="256" w:lineRule="auto"/>
        <w:rPr>
          <w:sz w:val="20"/>
          <w:szCs w:val="20"/>
          <w:color w:val="auto"/>
        </w:rPr>
      </w:pPr>
      <w:r>
        <w:rPr>
          <w:rFonts w:ascii="Times New Roman" w:cs="Times New Roman" w:eastAsia="Times New Roman" w:hAnsi="Times New Roman"/>
          <w:sz w:val="18"/>
          <w:szCs w:val="18"/>
          <w:color w:val="auto"/>
        </w:rPr>
        <w:t>Only stockholders of record at the close of business on March 27, 2023 (the “record date”) will be entitled to vote at the Annual Meeting. On this record date, there were 264,248,864 shares of common stock outstanding and entitled to vote. A list of MannKind's stockholders of record will be open for examination by any stockholder beginning ten days prior to the Annual Meeting at our principal executive office located at 1 Casper Street, Danbury, Connecticut 06810. If you would like to view the list, please contact our Corporate Secretary to schedule an appointment by calling (818) 661-5000 or writing to him at the address above. In addition, the list will be available for inspection by stockholders on the virtual meeting website during the Annual Meeting.</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71"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8"/>
          <w:szCs w:val="18"/>
          <w:color w:val="auto"/>
        </w:rPr>
        <w:t>If on the record date your shares were registered directly in your name with MannKind’s transfer agent, Computershare, then you are a stockholder of record. As a stockholder of record, you may vote live at the meeting or vote by proxy. Whether or not you plan to attend the Annual Meeting, we urge you to vote by proxy pursuant to the instructions set forth below to ensure your vote is counted.</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a Broker or Bank</w:t>
      </w:r>
    </w:p>
    <w:p>
      <w:pPr>
        <w:spacing w:after="0" w:line="65" w:lineRule="exact"/>
        <w:rPr>
          <w:sz w:val="20"/>
          <w:szCs w:val="20"/>
          <w:color w:val="auto"/>
        </w:rPr>
      </w:pPr>
    </w:p>
    <w:p>
      <w:pPr>
        <w:ind w:right="20" w:firstLine="416"/>
        <w:spacing w:after="0" w:line="256" w:lineRule="auto"/>
        <w:rPr>
          <w:sz w:val="20"/>
          <w:szCs w:val="20"/>
          <w:color w:val="auto"/>
        </w:rPr>
      </w:pPr>
      <w:r>
        <w:rPr>
          <w:rFonts w:ascii="Times New Roman" w:cs="Times New Roman" w:eastAsia="Times New Roman" w:hAnsi="Times New Roman"/>
          <w:sz w:val="18"/>
          <w:szCs w:val="18"/>
          <w:color w:val="auto"/>
        </w:rPr>
        <w:t>If on the record date your shares were held, not in your name, but rather in an account at a brokerage firm, bank, dealer, or other similar organization, then you are the beneficial owner of shares held in “street name” and the Notice is being forwarded to you by that organization. The organization holding your account is considered to be the stockholder of record for purposes of voting at the Annual Meeting. As a beneficial owner, you have the right to direct your broker or other agent on how to vote the shares in your account. You are also invited to attend the Annual Meeting. However, because you are not the stockholder of record, you may not vote your shares live at the Annual Meeting unless you request and obtain a valid proxy from your broker or other agent.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am I voting on?</w:t>
      </w:r>
    </w:p>
    <w:p>
      <w:pPr>
        <w:spacing w:after="0" w:line="13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Management is presenting the following eight proposals for stockholder vote:</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1. Election of Nine Directors</w:t>
      </w:r>
    </w:p>
    <w:p>
      <w:pPr>
        <w:spacing w:after="0" w:line="119" w:lineRule="exact"/>
        <w:rPr>
          <w:sz w:val="20"/>
          <w:szCs w:val="20"/>
          <w:color w:val="auto"/>
        </w:rPr>
      </w:pPr>
    </w:p>
    <w:p>
      <w:pPr>
        <w:ind w:right="60" w:firstLine="416"/>
        <w:spacing w:after="0" w:line="266" w:lineRule="auto"/>
        <w:rPr>
          <w:sz w:val="20"/>
          <w:szCs w:val="20"/>
          <w:color w:val="auto"/>
        </w:rPr>
      </w:pPr>
      <w:r>
        <w:rPr>
          <w:rFonts w:ascii="Times New Roman" w:cs="Times New Roman" w:eastAsia="Times New Roman" w:hAnsi="Times New Roman"/>
          <w:sz w:val="18"/>
          <w:szCs w:val="18"/>
          <w:color w:val="auto"/>
        </w:rPr>
        <w:t>The first proposal to be voted on is the election of our nine nominees named herein as directors for a one-year term ending at our 2024 Annual Meeting of Stockholders. The Board has nominated these nine people as directors. You may find information about these nominees, as well as information about MannKind’s Board of Directors and its committees, director compensation and other related matters beginning on page 8.</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You may vote “For” all the nominees, “Withhold” your votes as to all nominees or “Withhold” your votes as to specific nominees.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Board of Directors unanimously recommends a vote FOR all the director nominees named in Proposal 1.</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2. Amendment to MannKind’s Amended and Restated Certificate of Incorporation</w:t>
      </w:r>
    </w:p>
    <w:p>
      <w:pPr>
        <w:spacing w:after="0" w:line="254" w:lineRule="exact"/>
        <w:rPr>
          <w:sz w:val="20"/>
          <w:szCs w:val="20"/>
          <w:color w:val="auto"/>
        </w:rPr>
      </w:pPr>
    </w:p>
    <w:p>
      <w:pPr>
        <w:ind w:right="80" w:firstLine="419"/>
        <w:spacing w:after="0" w:line="266" w:lineRule="auto"/>
        <w:rPr>
          <w:sz w:val="20"/>
          <w:szCs w:val="20"/>
          <w:color w:val="auto"/>
        </w:rPr>
      </w:pPr>
      <w:r>
        <w:rPr>
          <w:rFonts w:ascii="Times New Roman" w:cs="Times New Roman" w:eastAsia="Times New Roman" w:hAnsi="Times New Roman"/>
          <w:sz w:val="18"/>
          <w:szCs w:val="18"/>
          <w:color w:val="auto"/>
        </w:rPr>
        <w:t>The second proposal to be voted on is to approve an amendment to MannKind’s Amended and Restated Certificate of Incorporation to increase the authorized number of shares of our common stock from 400,000,000 shares to 800,000,000 shares (the “Authorized Shares Increase Proposal”). You may find information about this proposal beginning on page 22.</w:t>
      </w:r>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You may vote “For” or “Against” the proposal or “Abstain” from voting on the proposal.</w:t>
      </w:r>
    </w:p>
    <w:p>
      <w:pPr>
        <w:spacing w:after="0" w:line="26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Board of Directors unanimously recommends a vote FOR Proposal 2.</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3. Authorization to Adjourn the Annual Meeting</w:t>
      </w:r>
    </w:p>
    <w:p>
      <w:pPr>
        <w:spacing w:after="0" w:line="268" w:lineRule="exact"/>
        <w:rPr>
          <w:sz w:val="20"/>
          <w:szCs w:val="20"/>
          <w:color w:val="auto"/>
        </w:rPr>
      </w:pPr>
    </w:p>
    <w:p>
      <w:pPr>
        <w:ind w:right="380" w:firstLine="419"/>
        <w:spacing w:after="0" w:line="282" w:lineRule="auto"/>
        <w:rPr>
          <w:sz w:val="20"/>
          <w:szCs w:val="20"/>
          <w:color w:val="auto"/>
        </w:rPr>
      </w:pPr>
      <w:r>
        <w:rPr>
          <w:rFonts w:ascii="Times New Roman" w:cs="Times New Roman" w:eastAsia="Times New Roman" w:hAnsi="Times New Roman"/>
          <w:sz w:val="18"/>
          <w:szCs w:val="18"/>
          <w:color w:val="auto"/>
        </w:rPr>
        <w:t>The third proposal to be voted on is to authorize an adjournment of the Annual Meeting, if necessary, to solicit additional proxies if there are not sufficient votes in favor of Proposal 2 (the “Adjournment Proposal”). You may find information about this proposal beginning on page 24.</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You may vote “For” or “Against” the proposal or “Abstain” from voting on the proposal.</w:t>
      </w:r>
    </w:p>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Board of Directors unanimously recommends a vote FOR Proposal 3.</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4. Amendment to MannKind’s EIP</w:t>
      </w:r>
    </w:p>
    <w:p>
      <w:pPr>
        <w:spacing w:after="0" w:line="268" w:lineRule="exact"/>
        <w:rPr>
          <w:sz w:val="20"/>
          <w:szCs w:val="20"/>
          <w:color w:val="auto"/>
        </w:rPr>
      </w:pPr>
    </w:p>
    <w:p>
      <w:pPr>
        <w:ind w:right="40" w:firstLine="419"/>
        <w:spacing w:after="0" w:line="282" w:lineRule="auto"/>
        <w:rPr>
          <w:sz w:val="20"/>
          <w:szCs w:val="20"/>
          <w:color w:val="auto"/>
        </w:rPr>
      </w:pPr>
      <w:r>
        <w:rPr>
          <w:rFonts w:ascii="Times New Roman" w:cs="Times New Roman" w:eastAsia="Times New Roman" w:hAnsi="Times New Roman"/>
          <w:sz w:val="18"/>
          <w:szCs w:val="18"/>
          <w:color w:val="auto"/>
        </w:rPr>
        <w:t>The fourth proposal to be voted on is to approve an amendment to MannKind’s EIP to increase the number of shares of common stock authorized for issuance thereunder by 25,000,000 shares. You may find information about this proposal beginning on page 25.</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You may vote “For” or “Against” the proposal or “Abstain” from voting on the proposal.</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05" w:right="379" w:bottom="1440" w:gutter="0" w:footer="0" w:header="0"/>
        </w:sectPr>
      </w:pPr>
    </w:p>
    <w:bookmarkStart w:id="8" w:name="page9"/>
    <w:bookmarkEnd w:id="8"/>
    <w:p>
      <w:pPr>
        <w:ind w:left="420"/>
        <w:spacing w:after="0"/>
        <w:rPr>
          <w:sz w:val="20"/>
          <w:szCs w:val="20"/>
          <w:color w:val="auto"/>
        </w:rPr>
      </w:pPr>
      <w:r>
        <w:rPr>
          <w:rFonts w:ascii="Times New Roman" w:cs="Times New Roman" w:eastAsia="Times New Roman" w:hAnsi="Times New Roman"/>
          <w:sz w:val="18"/>
          <w:szCs w:val="18"/>
          <w:color w:val="auto"/>
        </w:rPr>
        <w:t>The Board of Directors unanimously recommends a vote FOR Proposal 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5. Approval of an Amendment to MannKind’s ESPP</w:t>
      </w:r>
    </w:p>
    <w:p>
      <w:pPr>
        <w:spacing w:after="0" w:line="268" w:lineRule="exact"/>
        <w:rPr>
          <w:sz w:val="20"/>
          <w:szCs w:val="20"/>
          <w:color w:val="auto"/>
        </w:rPr>
      </w:pPr>
    </w:p>
    <w:p>
      <w:pPr>
        <w:ind w:right="20" w:firstLine="419"/>
        <w:spacing w:after="0" w:line="282" w:lineRule="auto"/>
        <w:rPr>
          <w:sz w:val="20"/>
          <w:szCs w:val="20"/>
          <w:color w:val="auto"/>
        </w:rPr>
      </w:pPr>
      <w:r>
        <w:rPr>
          <w:rFonts w:ascii="Times New Roman" w:cs="Times New Roman" w:eastAsia="Times New Roman" w:hAnsi="Times New Roman"/>
          <w:sz w:val="18"/>
          <w:szCs w:val="18"/>
          <w:color w:val="auto"/>
        </w:rPr>
        <w:t>The fifth proposal to be voted on is to approve an amendment to MannKind’s ESPP to increase the number of shares of common stock authorized for issuance thereunder by 3,000,000 shares. You may find information about this proposal beginning on page 38.</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You may vote “For” or “Against” the proposal or “Abstain” from voting on the proposal.</w:t>
      </w:r>
    </w:p>
    <w:p>
      <w:pPr>
        <w:spacing w:after="0" w:line="25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Board of Directors unanimously recommends a vote FOR Proposal 5.</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6. Advisory Vote on Executive Compensation</w:t>
      </w:r>
    </w:p>
    <w:p>
      <w:pPr>
        <w:spacing w:after="0" w:line="119" w:lineRule="exact"/>
        <w:rPr>
          <w:sz w:val="20"/>
          <w:szCs w:val="20"/>
          <w:color w:val="auto"/>
        </w:rPr>
      </w:pPr>
    </w:p>
    <w:p>
      <w:pPr>
        <w:ind w:right="40" w:firstLine="419"/>
        <w:spacing w:after="0" w:line="266" w:lineRule="auto"/>
        <w:rPr>
          <w:sz w:val="20"/>
          <w:szCs w:val="20"/>
          <w:color w:val="auto"/>
        </w:rPr>
      </w:pPr>
      <w:r>
        <w:rPr>
          <w:rFonts w:ascii="Times New Roman" w:cs="Times New Roman" w:eastAsia="Times New Roman" w:hAnsi="Times New Roman"/>
          <w:sz w:val="18"/>
          <w:szCs w:val="18"/>
          <w:color w:val="auto"/>
        </w:rPr>
        <w:t>The sixth proposal to be voted on is an advisory vote regarding the compensation of the Company’s named executive officers as described in this proxy statement, including the disclosures under “Compensation Discussion and Analysis”, the compensation tables and the narrative discussion following the compensation tables. You may find information about this proposal beginning on page 43.</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You may vote “For” or “Against” the proposal or “Abstain” from voting on the proposal.</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Board of Directors unanimously recommends a vote FOR Proposal 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Proposal 7. Advisory Indication on the Preferred Frequency of Stockholder Advisory Vote on Executive Compensation</w:t>
      </w:r>
    </w:p>
    <w:p>
      <w:pPr>
        <w:spacing w:after="0" w:line="227" w:lineRule="exact"/>
        <w:rPr>
          <w:sz w:val="20"/>
          <w:szCs w:val="20"/>
          <w:color w:val="auto"/>
        </w:rPr>
      </w:pPr>
    </w:p>
    <w:p>
      <w:pPr>
        <w:ind w:firstLine="419"/>
        <w:spacing w:after="0" w:line="255" w:lineRule="auto"/>
        <w:rPr>
          <w:sz w:val="20"/>
          <w:szCs w:val="20"/>
          <w:color w:val="auto"/>
        </w:rPr>
      </w:pPr>
      <w:r>
        <w:rPr>
          <w:rFonts w:ascii="Times New Roman" w:cs="Times New Roman" w:eastAsia="Times New Roman" w:hAnsi="Times New Roman"/>
          <w:sz w:val="18"/>
          <w:szCs w:val="18"/>
          <w:color w:val="auto"/>
        </w:rPr>
        <w:t>The seventh proposal is an advisory vote on the frequency of solicitation of stockholder approval of executive compensation. Stockholders are provided with the opportunity to choose among four options (holding the vote every one, two or three years, or abstaining) and, therefore, stockholders will not be voting to approve or disapprove the recommendation of the Board of Directors. The option among those choices that obtains a majority of votes cast by the shares present or represented by proxy and entitled to vote at the Annual Meeting will be deemed to be the frequency adopted for advisory purposes by our stockholders in accordance with our Amended and Restated Bylaws; however, in the event that no frequency receives a majority, we will consider whichever frequency receives a plurality of the votes to be the frequency preferred by our stockholders. You may find information about this proposal on page 45.</w:t>
      </w:r>
    </w:p>
    <w:p>
      <w:pPr>
        <w:spacing w:after="0" w:line="189" w:lineRule="exact"/>
        <w:rPr>
          <w:sz w:val="20"/>
          <w:szCs w:val="20"/>
          <w:color w:val="auto"/>
        </w:rPr>
      </w:pPr>
    </w:p>
    <w:p>
      <w:pPr>
        <w:ind w:right="20" w:firstLine="419"/>
        <w:spacing w:after="0" w:line="282" w:lineRule="auto"/>
        <w:rPr>
          <w:sz w:val="20"/>
          <w:szCs w:val="20"/>
          <w:color w:val="auto"/>
        </w:rPr>
      </w:pPr>
      <w:r>
        <w:rPr>
          <w:rFonts w:ascii="Times New Roman" w:cs="Times New Roman" w:eastAsia="Times New Roman" w:hAnsi="Times New Roman"/>
          <w:sz w:val="18"/>
          <w:szCs w:val="18"/>
          <w:color w:val="auto"/>
        </w:rPr>
        <w:t>The Board and the Compensation Committee value the opinions of our stockholders in this matter, and the Board of Directors intends to hold say-on-pay votes in the future in accordance with the alternative that receives the most stockholder support.</w:t>
      </w:r>
    </w:p>
    <w:p>
      <w:pPr>
        <w:spacing w:after="0" w:line="162" w:lineRule="exact"/>
        <w:rPr>
          <w:sz w:val="20"/>
          <w:szCs w:val="20"/>
          <w:color w:val="auto"/>
        </w:rPr>
      </w:pPr>
    </w:p>
    <w:p>
      <w:pPr>
        <w:ind w:right="280" w:firstLine="419"/>
        <w:spacing w:after="0" w:line="282" w:lineRule="auto"/>
        <w:rPr>
          <w:sz w:val="20"/>
          <w:szCs w:val="20"/>
          <w:color w:val="auto"/>
        </w:rPr>
      </w:pPr>
      <w:r>
        <w:rPr>
          <w:rFonts w:ascii="Times New Roman" w:cs="Times New Roman" w:eastAsia="Times New Roman" w:hAnsi="Times New Roman"/>
          <w:sz w:val="18"/>
          <w:szCs w:val="18"/>
          <w:color w:val="auto"/>
        </w:rPr>
        <w:t>The Board of Directors unanimously recommends one year as the preferred frequency of stockholder advisory vote on executive compensation in Proposal 7.</w:t>
      </w:r>
    </w:p>
    <w:p>
      <w:pPr>
        <w:spacing w:after="0" w:line="160" w:lineRule="exact"/>
        <w:rPr>
          <w:sz w:val="20"/>
          <w:szCs w:val="20"/>
          <w:color w:val="auto"/>
        </w:rPr>
      </w:pPr>
    </w:p>
    <w:p>
      <w:pP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Proposal 8. Ratification of Selection by the Audit Committee of the Board of Directors of Deloitte &amp; Touche LLP as the Company’s Independent Registered Public Accounting Firm for the Fiscal Year Ending December 31, 2023</w:t>
      </w:r>
    </w:p>
    <w:p>
      <w:pPr>
        <w:spacing w:after="0" w:line="160" w:lineRule="exact"/>
        <w:rPr>
          <w:sz w:val="20"/>
          <w:szCs w:val="20"/>
          <w:color w:val="auto"/>
        </w:rPr>
      </w:pPr>
    </w:p>
    <w:p>
      <w:pPr>
        <w:ind w:right="80" w:firstLine="419"/>
        <w:spacing w:after="0" w:line="276" w:lineRule="auto"/>
        <w:rPr>
          <w:sz w:val="20"/>
          <w:szCs w:val="20"/>
          <w:color w:val="auto"/>
        </w:rPr>
      </w:pPr>
      <w:r>
        <w:rPr>
          <w:rFonts w:ascii="Times New Roman" w:cs="Times New Roman" w:eastAsia="Times New Roman" w:hAnsi="Times New Roman"/>
          <w:sz w:val="17"/>
          <w:szCs w:val="17"/>
          <w:color w:val="auto"/>
        </w:rPr>
        <w:t>The eighth proposal to be voted on is the ratification of the selection by the Audit Committee of the Board of Directors of Deloitte &amp; Touche LLP as the Company’s independent registered public accounting firm for the fiscal year ending December 31, 2023. It is expected that representatives of Deloitte</w:t>
      </w:r>
    </w:p>
    <w:p>
      <w:pPr>
        <w:spacing w:after="0" w:line="1" w:lineRule="exact"/>
        <w:rPr>
          <w:sz w:val="20"/>
          <w:szCs w:val="20"/>
          <w:color w:val="auto"/>
        </w:rPr>
      </w:pPr>
    </w:p>
    <w:p>
      <w:pPr>
        <w:ind w:right="140" w:firstLine="8"/>
        <w:spacing w:after="0" w:line="260" w:lineRule="auto"/>
        <w:tabs>
          <w:tab w:leader="none" w:pos="18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Touche LLP will attend the Annual Meeting and be available to make a statement or respond to appropriate questions. You may find information about this proposal beginning on page 46.</w:t>
      </w:r>
    </w:p>
    <w:p>
      <w:pPr>
        <w:spacing w:after="0" w:line="1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You may vote “For” or “Against” the proposal or “Abstain” from voting on the proposal.</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Board of Directors unanimously recommends a vote FOR Proposal 8.</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another matter is properly brought before the Annual Meeting?</w:t>
      </w:r>
    </w:p>
    <w:p>
      <w:pPr>
        <w:spacing w:after="0" w:line="121" w:lineRule="exact"/>
        <w:rPr>
          <w:sz w:val="20"/>
          <w:szCs w:val="20"/>
          <w:color w:val="auto"/>
        </w:rPr>
      </w:pPr>
    </w:p>
    <w:p>
      <w:pPr>
        <w:jc w:val="both"/>
        <w:ind w:right="200" w:firstLine="416"/>
        <w:spacing w:after="0" w:line="282"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Annual Meeting, it is the intention of the persons named in the proxy to vote on those matters in accordance with their best judgment.</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94" w:right="37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How do I vote?</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Stockholder of Record: Shares Registered in Your Name</w:t>
      </w:r>
    </w:p>
    <w:p>
      <w:pPr>
        <w:spacing w:after="0" w:line="119" w:lineRule="exact"/>
        <w:rPr>
          <w:sz w:val="20"/>
          <w:szCs w:val="20"/>
          <w:color w:val="auto"/>
        </w:rPr>
      </w:pPr>
    </w:p>
    <w:p>
      <w:pPr>
        <w:ind w:right="60" w:firstLine="416"/>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you may vote live at the Annual Meeting, vote by proxy over the telephone, vote by proxy through the Internet or vote by proxy using a proxy card that you may request or that we may elect to deliver at a later time. Whether or not you plan to attend the Annual Meeting, we urge you to vote by proxy to ensure your vote is counted. You may still attend the Annual Meeting and vote live if you have already voted by proxy.</w:t>
      </w:r>
    </w:p>
    <w:p>
      <w:pPr>
        <w:spacing w:after="0" w:line="72" w:lineRule="exact"/>
        <w:rPr>
          <w:sz w:val="20"/>
          <w:szCs w:val="20"/>
          <w:color w:val="auto"/>
        </w:rPr>
      </w:pPr>
    </w:p>
    <w:p>
      <w:pPr>
        <w:ind w:left="760" w:right="2000" w:hanging="378"/>
        <w:spacing w:after="0" w:line="312" w:lineRule="auto"/>
        <w:tabs>
          <w:tab w:leader="none" w:pos="7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vote live, attend the Annual Meeting and follow the instructions for voting. To attend the meeting, please visit www.virtualshareholdermeeting.com/MNKD2023. You will be asked to provide the control number from the Notice.</w:t>
      </w:r>
    </w:p>
    <w:p>
      <w:pPr>
        <w:spacing w:after="0" w:line="31" w:lineRule="exact"/>
        <w:rPr>
          <w:rFonts w:ascii="Times New Roman" w:cs="Times New Roman" w:eastAsia="Times New Roman" w:hAnsi="Times New Roman"/>
          <w:sz w:val="17"/>
          <w:szCs w:val="17"/>
          <w:color w:val="auto"/>
        </w:rPr>
      </w:pPr>
    </w:p>
    <w:p>
      <w:pPr>
        <w:ind w:left="760" w:right="58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using the proxy card, simply complete, sign and date the proxy card that may be delivered and return it promptly in the envelope provided. Your signed proxy card must be received by 11:59 PM U.S. Eastern time on May 24, 2023 to be counted.</w:t>
      </w:r>
    </w:p>
    <w:p>
      <w:pPr>
        <w:spacing w:after="0" w:line="53" w:lineRule="exact"/>
        <w:rPr>
          <w:rFonts w:ascii="Times New Roman" w:cs="Times New Roman" w:eastAsia="Times New Roman" w:hAnsi="Times New Roman"/>
          <w:sz w:val="18"/>
          <w:szCs w:val="18"/>
          <w:color w:val="auto"/>
        </w:rPr>
      </w:pPr>
    </w:p>
    <w:p>
      <w:pPr>
        <w:ind w:left="760" w:right="30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over the telephone, dial toll-free (800) 690-6903 using a touch-tone phone and follow the recorded instructions. You will be asked to provide the control number from the Notice. Your vote must be received by 11:59 PM U.S. Eastern time on May 24, 2023 to be counted.</w:t>
      </w:r>
    </w:p>
    <w:p>
      <w:pPr>
        <w:spacing w:after="0" w:line="53" w:lineRule="exact"/>
        <w:rPr>
          <w:rFonts w:ascii="Times New Roman" w:cs="Times New Roman" w:eastAsia="Times New Roman" w:hAnsi="Times New Roman"/>
          <w:sz w:val="18"/>
          <w:szCs w:val="18"/>
          <w:color w:val="auto"/>
        </w:rPr>
      </w:pPr>
    </w:p>
    <w:p>
      <w:pPr>
        <w:ind w:left="760" w:right="8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through the Internet in advance of the Annual Meeting, go to http://www.proxyvote.com to complete an electronic proxy card. You will be asked to provide the control number from the Notice. Your vote must be received by 11:59 PM U.S. Eastern time on May 24, 2023 to be counted.</w:t>
      </w:r>
    </w:p>
    <w:p>
      <w:pPr>
        <w:spacing w:after="0" w:line="176" w:lineRule="exact"/>
        <w:rPr>
          <w:sz w:val="20"/>
          <w:szCs w:val="20"/>
          <w:color w:val="auto"/>
        </w:rPr>
      </w:pPr>
    </w:p>
    <w:p>
      <w:pPr>
        <w:ind w:right="200" w:firstLine="416"/>
        <w:spacing w:after="0" w:line="266" w:lineRule="auto"/>
        <w:rPr>
          <w:sz w:val="20"/>
          <w:szCs w:val="20"/>
          <w:color w:val="auto"/>
        </w:rPr>
      </w:pPr>
      <w:r>
        <w:rPr>
          <w:rFonts w:ascii="Times New Roman" w:cs="Times New Roman" w:eastAsia="Times New Roman" w:hAnsi="Times New Roman"/>
          <w:sz w:val="18"/>
          <w:szCs w:val="18"/>
          <w:color w:val="auto"/>
        </w:rPr>
        <w:t>Voting at the Annual Meeting and Internet proxy voting have procedures designed to ensure the authenticity and correctness of your vote or voting instructions. However, please be aware that you must bear any costs associated with your internet access, such as usage charges from Internet access providers and telephone companies.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Beneficial Owner: Shares Registered in the Name of Broker or Bank</w:t>
      </w:r>
    </w:p>
    <w:p>
      <w:pPr>
        <w:spacing w:after="0" w:line="119" w:lineRule="exact"/>
        <w:rPr>
          <w:sz w:val="20"/>
          <w:szCs w:val="20"/>
          <w:color w:val="auto"/>
        </w:rPr>
      </w:pPr>
    </w:p>
    <w:p>
      <w:pPr>
        <w:ind w:right="380" w:firstLine="416"/>
        <w:spacing w:after="0" w:line="266" w:lineRule="auto"/>
        <w:rPr>
          <w:sz w:val="20"/>
          <w:szCs w:val="20"/>
          <w:color w:val="auto"/>
        </w:rPr>
      </w:pPr>
      <w:r>
        <w:rPr>
          <w:rFonts w:ascii="Times New Roman" w:cs="Times New Roman" w:eastAsia="Times New Roman" w:hAnsi="Times New Roman"/>
          <w:sz w:val="18"/>
          <w:szCs w:val="18"/>
          <w:color w:val="auto"/>
        </w:rPr>
        <w:t>If you are a beneficial owner of shares registered in the name of your broker, bank, or other agent, you should have received a Notice containing voting instructions from that organization rather than from MannKind. Simply follow the voting instructions in the Notice to ensure that your vote is counted. To vote live at the Annual Meeting, follow the instructions after logging into the meeting website.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do I have?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each matter to be voted upon, you have one vote for each share of common stock you owned as of the record date.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I return a proxy card or otherwise vote by proxy but do not make specific choices?</w:t>
      </w:r>
    </w:p>
    <w:p>
      <w:pPr>
        <w:spacing w:after="0" w:line="121"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color w:val="auto"/>
        </w:rPr>
        <w:t>If you voted by proxy without marking any voting selections, your shares will be voted “For” the election of each of the nine nominees for director listed in Proposal 1, “For” the approval of the Authorized Shares Increase in Proposal 2, “For” the Adjournment Proposal in Proposal 3, “For” the approval of the amendment to the EIP as provided in Proposal 4, “For” the approval of the amendment to the ESPP as provided in Proposal 5, “For” the advisory vote on executive compensation as provided in Proposal 6, for “one year” as the preferred frequency of stockholder advisory vote on executive compensation as provided in Proposal 7 and “For” the ratification of the selection of Deloitte &amp; Touche LLP as our independent registered public accounting firm for the fiscal year ending December 31, 2023 as provided in Proposal 8. If any other matter is properly presented at the Annual Meeting, your proxy (one of the individuals named on your proxy card) will vote your shares using his or her best judgment.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Who is paying for this proxy solicitation?</w:t>
      </w:r>
    </w:p>
    <w:p>
      <w:pPr>
        <w:spacing w:after="0" w:line="121" w:lineRule="exact"/>
        <w:rPr>
          <w:sz w:val="20"/>
          <w:szCs w:val="20"/>
          <w:color w:val="auto"/>
        </w:rPr>
      </w:pPr>
    </w:p>
    <w:p>
      <w:pPr>
        <w:ind w:right="220" w:firstLine="416"/>
        <w:spacing w:after="0" w:line="282" w:lineRule="auto"/>
        <w:rPr>
          <w:sz w:val="20"/>
          <w:szCs w:val="20"/>
          <w:color w:val="auto"/>
        </w:rPr>
      </w:pPr>
      <w:r>
        <w:rPr>
          <w:rFonts w:ascii="Times New Roman" w:cs="Times New Roman" w:eastAsia="Times New Roman" w:hAnsi="Times New Roman"/>
          <w:sz w:val="18"/>
          <w:szCs w:val="18"/>
          <w:color w:val="auto"/>
        </w:rPr>
        <w:t>We will pay for the entire cost of soliciting proxies. We have retained Morrow Sodali as a proxy solicitor to solicit proxies for the Annual Meeting and will pay them a fee of $10,000 plus an additional amount per call, as well as reimbursement of out-of-pocket expenses.</w:t>
      </w:r>
    </w:p>
    <w:p>
      <w:pPr>
        <w:spacing w:after="0" w:line="54" w:lineRule="exact"/>
        <w:rPr>
          <w:sz w:val="20"/>
          <w:szCs w:val="20"/>
          <w:color w:val="auto"/>
        </w:rPr>
      </w:pPr>
    </w:p>
    <w:p>
      <w:pPr>
        <w:ind w:right="360" w:firstLine="416"/>
        <w:spacing w:after="0" w:line="266" w:lineRule="auto"/>
        <w:rPr>
          <w:sz w:val="20"/>
          <w:szCs w:val="20"/>
          <w:color w:val="auto"/>
        </w:rPr>
      </w:pPr>
      <w:r>
        <w:rPr>
          <w:rFonts w:ascii="Times New Roman" w:cs="Times New Roman" w:eastAsia="Times New Roman" w:hAnsi="Times New Roman"/>
          <w:sz w:val="18"/>
          <w:szCs w:val="18"/>
          <w:color w:val="auto"/>
        </w:rPr>
        <w:t>In addition to these proxy materials, our directors and employees may also solicit proxies in person, by telephone, or by other means of communication. Directors and employees will not be paid any additional compensation for soliciting proxies. We will also reimburse brokerage firms, banks and other agents for the cost of forwarding proxy materials to beneficial owners.</w:t>
      </w:r>
    </w:p>
    <w:p>
      <w:pPr>
        <w:spacing w:after="0" w:line="13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57" w:right="3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What does it mean if I receive more than one Notice?</w:t>
      </w:r>
    </w:p>
    <w:p>
      <w:pPr>
        <w:spacing w:after="0" w:line="121" w:lineRule="exact"/>
        <w:rPr>
          <w:sz w:val="20"/>
          <w:szCs w:val="20"/>
          <w:color w:val="auto"/>
        </w:rPr>
      </w:pPr>
    </w:p>
    <w:p>
      <w:pPr>
        <w:ind w:right="20" w:firstLine="416"/>
        <w:spacing w:after="0" w:line="261" w:lineRule="auto"/>
        <w:rPr>
          <w:sz w:val="20"/>
          <w:szCs w:val="20"/>
          <w:color w:val="auto"/>
        </w:rPr>
      </w:pPr>
      <w:r>
        <w:rPr>
          <w:rFonts w:ascii="Times New Roman" w:cs="Times New Roman" w:eastAsia="Times New Roman" w:hAnsi="Times New Roman"/>
          <w:sz w:val="18"/>
          <w:szCs w:val="18"/>
          <w:color w:val="auto"/>
        </w:rPr>
        <w:t xml:space="preserve">If you receive more than one Notice, your shares are registered in more than one name or are registered in different accounts. Please follow the voting instructions with respect to </w:t>
      </w:r>
      <w:r>
        <w:rPr>
          <w:rFonts w:ascii="Times New Roman" w:cs="Times New Roman" w:eastAsia="Times New Roman" w:hAnsi="Times New Roman"/>
          <w:sz w:val="18"/>
          <w:szCs w:val="18"/>
          <w:b w:val="1"/>
          <w:bCs w:val="1"/>
          <w:color w:val="auto"/>
        </w:rPr>
        <w:t>each</w:t>
      </w:r>
      <w:r>
        <w:rPr>
          <w:rFonts w:ascii="Times New Roman" w:cs="Times New Roman" w:eastAsia="Times New Roman" w:hAnsi="Times New Roman"/>
          <w:sz w:val="18"/>
          <w:szCs w:val="18"/>
          <w:color w:val="auto"/>
        </w:rPr>
        <w:t xml:space="preserve"> Notice to ensure that all of your shares are voted. Similarly, if you are a stockholder of record and you receive more than one Notice, your shares are registered in more than one name. Please follow the voting instructions with respect to </w:t>
      </w:r>
      <w:r>
        <w:rPr>
          <w:rFonts w:ascii="Times New Roman" w:cs="Times New Roman" w:eastAsia="Times New Roman" w:hAnsi="Times New Roman"/>
          <w:sz w:val="18"/>
          <w:szCs w:val="18"/>
          <w:b w:val="1"/>
          <w:bCs w:val="1"/>
          <w:color w:val="auto"/>
        </w:rPr>
        <w:t>each</w:t>
      </w:r>
      <w:r>
        <w:rPr>
          <w:rFonts w:ascii="Times New Roman" w:cs="Times New Roman" w:eastAsia="Times New Roman" w:hAnsi="Times New Roman"/>
          <w:sz w:val="18"/>
          <w:szCs w:val="18"/>
          <w:color w:val="auto"/>
        </w:rPr>
        <w:t xml:space="preserve"> Notice to ensure that all of your shares are voted.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Can I change my vote after submitting my proxy?</w:t>
      </w:r>
    </w:p>
    <w:p>
      <w:pPr>
        <w:spacing w:after="0" w:line="121" w:lineRule="exact"/>
        <w:rPr>
          <w:sz w:val="20"/>
          <w:szCs w:val="20"/>
          <w:color w:val="auto"/>
        </w:rPr>
      </w:pPr>
    </w:p>
    <w:p>
      <w:pPr>
        <w:ind w:right="380" w:firstLine="416"/>
        <w:spacing w:after="0" w:line="282" w:lineRule="auto"/>
        <w:rPr>
          <w:sz w:val="20"/>
          <w:szCs w:val="20"/>
          <w:color w:val="auto"/>
        </w:rPr>
      </w:pPr>
      <w:r>
        <w:rPr>
          <w:rFonts w:ascii="Times New Roman" w:cs="Times New Roman" w:eastAsia="Times New Roman" w:hAnsi="Times New Roman"/>
          <w:sz w:val="18"/>
          <w:szCs w:val="18"/>
          <w:color w:val="auto"/>
        </w:rPr>
        <w:t>Yes. You can revoke your proxy at any time before the final vote at the Annual Meeting. If you are a stockholder of record, you may revoke your proxy in any one of the following ways:</w:t>
      </w:r>
    </w:p>
    <w:p>
      <w:pPr>
        <w:spacing w:after="0" w:line="54" w:lineRule="exact"/>
        <w:rPr>
          <w:sz w:val="20"/>
          <w:szCs w:val="20"/>
          <w:color w:val="auto"/>
        </w:rPr>
      </w:pPr>
    </w:p>
    <w:p>
      <w:pPr>
        <w:ind w:left="760" w:right="280" w:hanging="378"/>
        <w:spacing w:after="0" w:line="282" w:lineRule="auto"/>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send a written notice that you are revoking your proxy to MannKind’s Corporate Secretary at 1 Casper Street, Danbury, Connecticut 06810.</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grant another proxy by telephone or through the Internet.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submit another properly completed proxy card with a later date.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may attend the Annual Meeting and vote live. Simply attending the Annual Meeting will not, by itself, revoke your proxy.</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Your most current proxy, whether submitted by proxy card, telephone or Internet, is the one that is counted.</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If your shares are held by your broker or bank as a nominee or agent, you should follow the instructions provided by your broker or bank.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are votes counted?</w:t>
      </w:r>
    </w:p>
    <w:p>
      <w:pPr>
        <w:spacing w:after="0" w:line="121" w:lineRule="exact"/>
        <w:rPr>
          <w:sz w:val="20"/>
          <w:szCs w:val="20"/>
          <w:color w:val="auto"/>
        </w:rPr>
      </w:pPr>
    </w:p>
    <w:p>
      <w:pPr>
        <w:ind w:right="60" w:firstLine="416"/>
        <w:spacing w:after="0" w:line="255" w:lineRule="auto"/>
        <w:rPr>
          <w:sz w:val="20"/>
          <w:szCs w:val="20"/>
          <w:color w:val="auto"/>
        </w:rPr>
      </w:pPr>
      <w:r>
        <w:rPr>
          <w:rFonts w:ascii="Times New Roman" w:cs="Times New Roman" w:eastAsia="Times New Roman" w:hAnsi="Times New Roman"/>
          <w:sz w:val="18"/>
          <w:szCs w:val="18"/>
          <w:color w:val="auto"/>
        </w:rPr>
        <w:t>Votes will be counted by the inspector of election appointed for the meeting, who will separately count, with respect to the proposal to elect directors, votes “For,” “Withhold” and broker non-votes; with respect to Proposal 7 regarding frequency of stockholder advisory votes to approve executive compensation, votes for frequencies of one year, two years or three years, abstentions and broker non-votes; and with respect to other proposals, “For” and “Against” votes, abstentions and, if applicable, broker non-votes. Abstentions will be counted towards the vote total for each proposal, except with respect to the election of directors and Proposals 4 and 5, and will have the same effect as “Against” votes. Abstentions will have no effect on Proposals 4 and 5. Broker non-votes will have no effect and will not be counted towards the vote total for any proposal except Proposal 2. For Proposal 2, broker non-votes will have the same effect as “Against” votes.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are “broker non-votes”?</w:t>
      </w:r>
    </w:p>
    <w:p>
      <w:pPr>
        <w:spacing w:after="0" w:line="121"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Broker non-votes occur when a beneficial owner of shares held in street name does not give instructions to the broker or nominee holding the shares as to how to vote on matters deemed “non-routine.” Generally, if shares are held in street name (shares are held by your broker as your nominee), the beneficial owner of the shares is entitled to give voting instructions to the broker or nominee holding the shares. If you do not give instructions to your broker, your broker can vote your shares with respect to matters that are considered to be “routine,” but not with respect to “non-routine” matters. Under the rules and interpretations of the New York Stock Exchange, “non-routine” matters are generally those involving a matter that may substantially affect the rights or privileges of stockholders, such as mergers or stockholder proposals, election of directors (even if not contested) and executive compensation, including the stockholder advisory votes on executive compensation. Proposals 1, 4, 5, 6 and 7 regarding the election of directors, amendment to the EIP, amendment to the ESPP, the advisory vote regarding executive compensation, and the advisory indication on the preferred frequency of stockholder advisory vote on executive compensation, respectively, are non-routine matters. Proposal 2 to approve the Authorized Shares Increase Proposal, Proposal 3 to authorize the Adjournment Proposal, and Proposal 8 to ratify Deloitte &amp; Touche LLP as our independent registered public accounting firm are routine matters.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many votes are needed to approve each proposal?</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election of directors, the nine nominees receiving the most “For” votes (among votes properly cast at the meeting or by proxy) will be elected.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votes “For” will affect the outcome. Only the nine nominees named herein have been properly nominated for election as directors.</w:t>
      </w:r>
    </w:p>
    <w:p>
      <w:pPr>
        <w:spacing w:after="0" w:line="207" w:lineRule="exact"/>
        <w:rPr>
          <w:sz w:val="20"/>
          <w:szCs w:val="20"/>
          <w:color w:val="auto"/>
        </w:rPr>
      </w:pPr>
    </w:p>
    <w:p>
      <w:pPr>
        <w:ind w:right="440" w:firstLine="416"/>
        <w:spacing w:after="0" w:line="282" w:lineRule="auto"/>
        <w:rPr>
          <w:sz w:val="20"/>
          <w:szCs w:val="20"/>
          <w:color w:val="auto"/>
        </w:rPr>
      </w:pPr>
      <w:r>
        <w:rPr>
          <w:rFonts w:ascii="Times New Roman" w:cs="Times New Roman" w:eastAsia="Times New Roman" w:hAnsi="Times New Roman"/>
          <w:sz w:val="18"/>
          <w:szCs w:val="18"/>
          <w:color w:val="auto"/>
        </w:rPr>
        <w:t>Proposal 2, the Authorized Shares Increase Proposal, must receive a “For” vote from the majority of shares of common stock outstanding on the record date in order to be approved.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11" w:name="page12"/>
    <w:bookmarkEnd w:id="11"/>
    <w:p>
      <w:pPr>
        <w:ind w:right="40" w:firstLine="416"/>
        <w:spacing w:after="0" w:line="261" w:lineRule="auto"/>
        <w:rPr>
          <w:sz w:val="20"/>
          <w:szCs w:val="20"/>
          <w:color w:val="auto"/>
        </w:rPr>
      </w:pPr>
      <w:r>
        <w:rPr>
          <w:rFonts w:ascii="Times New Roman" w:cs="Times New Roman" w:eastAsia="Times New Roman" w:hAnsi="Times New Roman"/>
          <w:sz w:val="18"/>
          <w:szCs w:val="18"/>
          <w:color w:val="auto"/>
        </w:rPr>
        <w:t>Proposals 3, 6, and 8 regarding, respectively, approval of the Adjournment Proposal, approval on an advisory basis of the compensation of the Company’s named executive officers and ratification of the Audit Committee’s selection of the independent registered public accounting firm, must receive a “For” vote from the majority of shares present and entitled to vote either at the meeting or by proxy in order to be approved. If you abstain from voting on any of these proposals, it will have the same effect as an “Against” vote. Broker non-votes, if any, will have no effect.</w:t>
      </w:r>
    </w:p>
    <w:p>
      <w:pPr>
        <w:spacing w:after="0" w:line="180" w:lineRule="exact"/>
        <w:rPr>
          <w:sz w:val="20"/>
          <w:szCs w:val="20"/>
          <w:color w:val="auto"/>
        </w:rPr>
      </w:pPr>
    </w:p>
    <w:p>
      <w:pPr>
        <w:ind w:right="40" w:firstLine="416"/>
        <w:spacing w:after="0" w:line="282" w:lineRule="auto"/>
        <w:rPr>
          <w:sz w:val="20"/>
          <w:szCs w:val="20"/>
          <w:color w:val="auto"/>
        </w:rPr>
      </w:pPr>
      <w:r>
        <w:rPr>
          <w:rFonts w:ascii="Times New Roman" w:cs="Times New Roman" w:eastAsia="Times New Roman" w:hAnsi="Times New Roman"/>
          <w:sz w:val="18"/>
          <w:szCs w:val="18"/>
          <w:color w:val="auto"/>
        </w:rPr>
        <w:t>Proposals 4 and 5 regarding, respectively, the amendment to the EIP and the amendment to the ESPP, must receive “For” votes from a majority of the votes cast either at the meeting or by proxy in order to be approved. Abstentions and broker non-votes will have no effect.</w:t>
      </w:r>
    </w:p>
    <w:p>
      <w:pPr>
        <w:spacing w:after="0" w:line="162" w:lineRule="exact"/>
        <w:rPr>
          <w:sz w:val="20"/>
          <w:szCs w:val="20"/>
          <w:color w:val="auto"/>
        </w:rPr>
      </w:pPr>
    </w:p>
    <w:p>
      <w:pPr>
        <w:ind w:right="20" w:firstLine="416"/>
        <w:spacing w:after="0" w:line="258" w:lineRule="auto"/>
        <w:rPr>
          <w:sz w:val="20"/>
          <w:szCs w:val="20"/>
          <w:color w:val="auto"/>
        </w:rPr>
      </w:pPr>
      <w:r>
        <w:rPr>
          <w:rFonts w:ascii="Times New Roman" w:cs="Times New Roman" w:eastAsia="Times New Roman" w:hAnsi="Times New Roman"/>
          <w:sz w:val="18"/>
          <w:szCs w:val="18"/>
          <w:color w:val="auto"/>
        </w:rPr>
        <w:t>For Proposal 7, stockholders are provided with the opportunity to choose among four options (holding the vote every one, two or three years, or abstaining) and, therefore, stockholders will not be voting to approve or disapprove the recommendation of the Board. The option among those choices that obtains a majority of votes cast by the shares present or represented by proxy and entitled to vote at the Annual Meeting will be deemed to be the frequency adopted for advisory purposes by our stockholders in accordance with our Amended and Restated Bylaws; however, in the event that no frequency receives a majority, we will consider whichever frequency receives a plurality of the votes to be the frequency preferred by our stockholders.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is the quorum requirement?</w:t>
      </w:r>
    </w:p>
    <w:p>
      <w:pPr>
        <w:spacing w:after="0" w:line="121" w:lineRule="exact"/>
        <w:rPr>
          <w:sz w:val="20"/>
          <w:szCs w:val="20"/>
          <w:color w:val="auto"/>
        </w:rPr>
      </w:pPr>
    </w:p>
    <w:p>
      <w:pPr>
        <w:ind w:right="140" w:firstLine="416"/>
        <w:spacing w:after="0" w:line="289" w:lineRule="auto"/>
        <w:rPr>
          <w:sz w:val="20"/>
          <w:szCs w:val="20"/>
          <w:color w:val="auto"/>
        </w:rPr>
      </w:pPr>
      <w:r>
        <w:rPr>
          <w:rFonts w:ascii="Times New Roman" w:cs="Times New Roman" w:eastAsia="Times New Roman" w:hAnsi="Times New Roman"/>
          <w:sz w:val="17"/>
          <w:szCs w:val="17"/>
          <w:color w:val="auto"/>
        </w:rPr>
        <w:t>A quorum of stockholders is necessary to hold a valid Annual Meeting. A quorum will be present if at least a majority of the outstanding shares entitled to vote are represented by stockholders present at the Annual Meeting or by proxy. On the record date, there were 264,248,864 shares outstanding and entitled to vote. Thus, 132,124,433 shares must be represented by stockholders present at the Annual Meeting or by proxy to have a quorum.</w:t>
      </w:r>
    </w:p>
    <w:p>
      <w:pPr>
        <w:spacing w:after="0" w:line="158" w:lineRule="exact"/>
        <w:rPr>
          <w:sz w:val="20"/>
          <w:szCs w:val="20"/>
          <w:color w:val="auto"/>
        </w:rPr>
      </w:pPr>
    </w:p>
    <w:p>
      <w:pPr>
        <w:ind w:right="240" w:firstLine="416"/>
        <w:spacing w:after="0" w:line="266" w:lineRule="auto"/>
        <w:rPr>
          <w:sz w:val="20"/>
          <w:szCs w:val="20"/>
          <w:color w:val="auto"/>
        </w:rPr>
      </w:pPr>
      <w:r>
        <w:rPr>
          <w:rFonts w:ascii="Times New Roman" w:cs="Times New Roman" w:eastAsia="Times New Roman" w:hAnsi="Times New Roman"/>
          <w:sz w:val="18"/>
          <w:szCs w:val="18"/>
          <w:color w:val="auto"/>
        </w:rPr>
        <w:t>Your shares will be counted towards the quorum only if you submit a valid proxy (or one is submitted on your behalf by your broker, bank or other nominee) or if you vote live at the Annual Meeting. Abstentions and broker non-votes will be counted towards the quorum requirement. If there is no quorum, the chair of the Annual Meeting or a majority of the votes present at the Annual Meeting may adjourn the meeting to another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can I find out the results of the voting at the Annual Meeting?</w:t>
      </w:r>
    </w:p>
    <w:p>
      <w:pPr>
        <w:spacing w:after="0" w:line="67" w:lineRule="exact"/>
        <w:rPr>
          <w:sz w:val="20"/>
          <w:szCs w:val="20"/>
          <w:color w:val="auto"/>
        </w:rPr>
      </w:pPr>
    </w:p>
    <w:p>
      <w:pPr>
        <w:ind w:right="140" w:firstLine="416"/>
        <w:spacing w:after="0" w:line="276" w:lineRule="auto"/>
        <w:rPr>
          <w:sz w:val="20"/>
          <w:szCs w:val="20"/>
          <w:color w:val="auto"/>
        </w:rPr>
      </w:pPr>
      <w:r>
        <w:rPr>
          <w:rFonts w:ascii="Times New Roman" w:cs="Times New Roman" w:eastAsia="Times New Roman" w:hAnsi="Times New Roman"/>
          <w:sz w:val="17"/>
          <w:szCs w:val="17"/>
          <w:color w:val="auto"/>
        </w:rPr>
        <w:t>Preliminary voting results will be announced at the Annual Meeting. Final voting results will be published in a current report on Form 8-K that we expect to file no later than four business days following the date of the Annual Meeting. If final voting results are not available to us in time to file a Form</w:t>
      </w:r>
    </w:p>
    <w:p>
      <w:pPr>
        <w:spacing w:after="0" w:line="1"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8-K on or before such date, we intend to file a Form 8-K to publish preliminary results and, within four business days after the final results are known to us, file an additional Form 8-K to publish the final results.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When are stockholder proposals due for next year’s annual meeting?</w:t>
      </w:r>
    </w:p>
    <w:p>
      <w:pPr>
        <w:spacing w:after="0" w:line="67" w:lineRule="exact"/>
        <w:rPr>
          <w:sz w:val="20"/>
          <w:szCs w:val="20"/>
          <w:color w:val="auto"/>
        </w:rPr>
      </w:pPr>
    </w:p>
    <w:p>
      <w:pPr>
        <w:ind w:right="80" w:firstLine="416"/>
        <w:spacing w:after="0" w:line="258" w:lineRule="auto"/>
        <w:rPr>
          <w:sz w:val="20"/>
          <w:szCs w:val="20"/>
          <w:color w:val="auto"/>
        </w:rPr>
      </w:pPr>
      <w:r>
        <w:rPr>
          <w:rFonts w:ascii="Times New Roman" w:cs="Times New Roman" w:eastAsia="Times New Roman" w:hAnsi="Times New Roman"/>
          <w:sz w:val="18"/>
          <w:szCs w:val="18"/>
          <w:color w:val="auto"/>
        </w:rPr>
        <w:t>To be considered for inclusion in MannKind’s proxy material for next year’s annual meeting, your proposal must be submitted in writing by December 12, 2023 to Attn: Corporate Secretary, MannKind Corporation, 1 Casper Street, Danbury, Connecticut 06810. If you wish to submit a proposal (including a director nomination) that is not to be included in MannKind’s proxy materials, you must do so not later than February 25, 2024 and not earlier than January 26, 2024. You are also advised to review the Company’s Amended and Restated Bylaws, which contain additional requirements about advance notice of stockholder proposals and director nominations.</w:t>
      </w:r>
    </w:p>
    <w:p>
      <w:pPr>
        <w:spacing w:after="0" w:line="183" w:lineRule="exact"/>
        <w:rPr>
          <w:sz w:val="20"/>
          <w:szCs w:val="20"/>
          <w:color w:val="auto"/>
        </w:rPr>
      </w:pPr>
    </w:p>
    <w:p>
      <w:pPr>
        <w:ind w:right="500" w:firstLine="416"/>
        <w:spacing w:after="0" w:line="282" w:lineRule="auto"/>
        <w:rPr>
          <w:sz w:val="20"/>
          <w:szCs w:val="20"/>
          <w:color w:val="auto"/>
        </w:rPr>
      </w:pPr>
      <w:r>
        <w:rPr>
          <w:rFonts w:ascii="Times New Roman" w:cs="Times New Roman" w:eastAsia="Times New Roman" w:hAnsi="Times New Roman"/>
          <w:sz w:val="18"/>
          <w:szCs w:val="18"/>
          <w:color w:val="auto"/>
        </w:rPr>
        <w:t>In addition, stockholders who intend to solicit proxies in support of director nominees other than our nominees must provide in their notice any additional information required by Rule 14a-19(b) under the Securities Exchange Act of 1934, as amended (the “Exchange Act”).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12" w:name="page13"/>
    <w:bookmarkEnd w:id="1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97"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auto"/>
        </w:rPr>
        <w:t>These proxy materials contain “forward-looking statements” as that term is defined in the Private Securities Litigation Reform Act of 1995. These statements are based on our current expectations and involve risks and uncertainties. Forward-looking statements include, without limitation, statements regarding the expected or potential benefits of the proposed amendments to the EIP and ESPP described in Proposals 4 and 5, respectively, and other forward-looking information in Proposals 4 and 5. No forward-looking statement can be guaranteed and actual results may differ materially from those stated or implied by forward-looking statements. We undertake no obligation to publicly update any forward-looking statement, except as required under applicable law. Forward-looking statements should be evaluated together with the many risks and uncertainties that affect our business, particularly those mentioned under the “Risk Factors” heading of our Annual Report on Form 10-K for the year ended December 31, 2022, which was filed with the SEC on February 23, 2023.</w:t>
      </w:r>
    </w:p>
    <w:p>
      <w:pPr>
        <w:spacing w:after="0" w:line="15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333" w:right="439" w:bottom="1440" w:gutter="0" w:footer="0" w:header="0"/>
        </w:sectPr>
      </w:pPr>
    </w:p>
    <w:bookmarkStart w:id="13" w:name="page14"/>
    <w:bookmarkEnd w:id="13"/>
    <w:p>
      <w:pPr>
        <w:ind w:left="120"/>
        <w:spacing w:after="0"/>
        <w:rPr>
          <w:sz w:val="20"/>
          <w:szCs w:val="20"/>
          <w:color w:val="auto"/>
        </w:rPr>
      </w:pPr>
      <w:r>
        <w:rPr>
          <w:rFonts w:ascii="Times New Roman" w:cs="Times New Roman" w:eastAsia="Times New Roman" w:hAnsi="Times New Roman"/>
          <w:sz w:val="57"/>
          <w:szCs w:val="57"/>
          <w:b w:val="1"/>
          <w:bCs w:val="1"/>
          <w:color w:val="FFFFFF"/>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6261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626110"/>
                    </a:xfrm>
                    <a:prstGeom prst="rect">
                      <a:avLst/>
                    </a:prstGeom>
                    <a:noFill/>
                  </pic:spPr>
                </pic:pic>
              </a:graphicData>
            </a:graphic>
          </wp:anchor>
        </w:drawing>
        <w:t>Proposal 1</w:t>
      </w:r>
    </w:p>
    <w:p>
      <w:pPr>
        <w:sectPr>
          <w:pgSz w:w="11900" w:h="16838" w:orient="portrait"/>
          <w:cols w:equalWidth="0" w:num="1">
            <w:col w:w="11220"/>
          </w:cols>
          <w:pgMar w:left="320" w:top="887" w:right="35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ELECTION OF DIRECTORS</w:t>
      </w:r>
    </w:p>
    <w:p>
      <w:pPr>
        <w:spacing w:after="0" w:line="358" w:lineRule="exact"/>
        <w:rPr>
          <w:sz w:val="20"/>
          <w:szCs w:val="20"/>
          <w:color w:val="auto"/>
        </w:rPr>
      </w:pPr>
    </w:p>
    <w:p>
      <w:pPr>
        <w:ind w:right="100" w:firstLine="419"/>
        <w:spacing w:after="0" w:line="258" w:lineRule="auto"/>
        <w:rPr>
          <w:sz w:val="20"/>
          <w:szCs w:val="20"/>
          <w:color w:val="auto"/>
        </w:rPr>
      </w:pPr>
      <w:r>
        <w:rPr>
          <w:rFonts w:ascii="Times New Roman" w:cs="Times New Roman" w:eastAsia="Times New Roman" w:hAnsi="Times New Roman"/>
          <w:sz w:val="18"/>
          <w:szCs w:val="18"/>
          <w:color w:val="auto"/>
        </w:rPr>
        <w:t>Our Board currently consists of nine directors. There are nine nominees for director this year, all of whom were nominated by our Board, consisting of our incumbent directors. Each director to be elected will hold office until the next annual meeting of stockholders and until his or her successor is elected, or until the director’s earlier death, resignation or removal. All nominees listed below are currently our directors and were previously elected by our stockholders at the 2022 Annual Meeting of Stockholders. It is our policy that directors are invited and expected to attend annual meetings. All of our directors attended the 2022 Annual Meeting of Stockholders.</w:t>
      </w:r>
    </w:p>
    <w:p>
      <w:pPr>
        <w:spacing w:after="0" w:line="183" w:lineRule="exact"/>
        <w:rPr>
          <w:sz w:val="20"/>
          <w:szCs w:val="20"/>
          <w:color w:val="auto"/>
        </w:rPr>
      </w:pPr>
    </w:p>
    <w:p>
      <w:pPr>
        <w:ind w:firstLine="419"/>
        <w:spacing w:after="0" w:line="258" w:lineRule="auto"/>
        <w:rPr>
          <w:sz w:val="20"/>
          <w:szCs w:val="20"/>
          <w:color w:val="auto"/>
        </w:rPr>
      </w:pPr>
      <w:r>
        <w:rPr>
          <w:rFonts w:ascii="Times New Roman" w:cs="Times New Roman" w:eastAsia="Times New Roman" w:hAnsi="Times New Roman"/>
          <w:sz w:val="18"/>
          <w:szCs w:val="18"/>
          <w:color w:val="auto"/>
        </w:rPr>
        <w:t>Directors are elected by a plurality of the votes properly cast at the Annual Meeting or by proxy. The nine nominees receiving the highest number of affirmative votes will be elected. Shares represented by executed proxies will be voted, if authority to do so is not withheld, for the election of the nine nominees named below. If any nominee becomes unavailable for election as a result of an unexpected occurrence, your shares may be voted for the election of a substitute nominee proposed by our Nominating and Corporate Governance Committee. Each person nominated for election has agreed to serve if elected. Our management has no reason to believe that any nominee will be unable to serve.</w:t>
      </w:r>
    </w:p>
    <w:p>
      <w:pPr>
        <w:spacing w:after="0" w:line="183" w:lineRule="exact"/>
        <w:rPr>
          <w:sz w:val="20"/>
          <w:szCs w:val="20"/>
          <w:color w:val="auto"/>
        </w:rPr>
      </w:pPr>
    </w:p>
    <w:p>
      <w:pPr>
        <w:ind w:right="20" w:firstLine="419"/>
        <w:spacing w:after="0" w:line="261" w:lineRule="auto"/>
        <w:rPr>
          <w:sz w:val="20"/>
          <w:szCs w:val="20"/>
          <w:color w:val="auto"/>
        </w:rPr>
      </w:pPr>
      <w:r>
        <w:rPr>
          <w:rFonts w:ascii="Times New Roman" w:cs="Times New Roman" w:eastAsia="Times New Roman" w:hAnsi="Times New Roman"/>
          <w:sz w:val="18"/>
          <w:szCs w:val="18"/>
          <w:color w:val="auto"/>
        </w:rPr>
        <w:t>We believe that we have an accomplished slate of nominees, with diversity of thought, experience, perspective and skills beneficial to the Company. All nominees except Mr. Castagna are independent. The average tenure of our directors is approximately 9.6 years, which includes three directors that have an extensive history with the Company and three directors that have joined the Board within the last 3.5 years. We believe that a mix of service lengths is beneficial to the overall functioning of the Board.</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NOMINEES FOR DIRECTOR</w:t>
      </w:r>
    </w:p>
    <w:p>
      <w:pPr>
        <w:spacing w:after="0" w:line="121" w:lineRule="exact"/>
        <w:rPr>
          <w:sz w:val="20"/>
          <w:szCs w:val="20"/>
          <w:color w:val="auto"/>
        </w:rPr>
      </w:pPr>
    </w:p>
    <w:p>
      <w:pPr>
        <w:ind w:right="120" w:firstLine="419"/>
        <w:spacing w:after="0" w:line="282" w:lineRule="auto"/>
        <w:rPr>
          <w:sz w:val="20"/>
          <w:szCs w:val="20"/>
          <w:color w:val="auto"/>
        </w:rPr>
      </w:pPr>
      <w:r>
        <w:rPr>
          <w:rFonts w:ascii="Times New Roman" w:cs="Times New Roman" w:eastAsia="Times New Roman" w:hAnsi="Times New Roman"/>
          <w:sz w:val="18"/>
          <w:szCs w:val="18"/>
          <w:color w:val="auto"/>
        </w:rPr>
        <w:t>The following is a brief biography of each nominee for director and a discussion of the specific experience, qualifications, attributes or skills of each nominee that led our Board of Directors to conclude that each nominee should serve as a member of the Board.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JAMES S. SHANNON, M.D.,</w:t>
            </w:r>
          </w:p>
        </w:tc>
        <w:tc>
          <w:tcPr>
            <w:tcW w:w="4840" w:type="dxa"/>
            <w:vAlign w:val="bottom"/>
            <w:tcBorders>
              <w:top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Chair of the Board of Directors</w:t>
            </w:r>
          </w:p>
        </w:tc>
        <w:tc>
          <w:tcPr>
            <w:tcW w:w="3760" w:type="dxa"/>
            <w:vAlign w:val="bottom"/>
            <w:tcBorders>
              <w:top w:val="single" w:sz="8" w:color="auto"/>
            </w:tcBorders>
          </w:tcPr>
          <w:p>
            <w:pPr>
              <w:ind w:left="1740"/>
              <w:spacing w:after="0"/>
              <w:rPr>
                <w:sz w:val="20"/>
                <w:szCs w:val="20"/>
                <w:color w:val="auto"/>
              </w:rPr>
            </w:pPr>
            <w:r>
              <w:rPr>
                <w:rFonts w:ascii="Times New Roman" w:cs="Times New Roman" w:eastAsia="Times New Roman" w:hAnsi="Times New Roman"/>
                <w:sz w:val="18"/>
                <w:szCs w:val="18"/>
                <w:b w:val="1"/>
                <w:bCs w:val="1"/>
                <w:color w:val="auto"/>
              </w:rPr>
              <w:t>Age: 66</w:t>
            </w:r>
          </w:p>
        </w:tc>
      </w:tr>
      <w:tr>
        <w:trPr>
          <w:trHeight w:val="238"/>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MRCP (UK)</w:t>
            </w:r>
          </w:p>
        </w:tc>
        <w:tc>
          <w:tcPr>
            <w:tcW w:w="484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Member, Compensation Committee</w:t>
            </w:r>
          </w:p>
        </w:tc>
        <w:tc>
          <w:tcPr>
            <w:tcW w:w="376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Director since: 2015</w:t>
            </w:r>
          </w:p>
        </w:tc>
      </w:tr>
    </w:tbl>
    <w:p>
      <w:pPr>
        <w:spacing w:after="0" w:line="7" w:lineRule="exact"/>
        <w:rPr>
          <w:sz w:val="20"/>
          <w:szCs w:val="20"/>
          <w:color w:val="auto"/>
        </w:rPr>
      </w:pPr>
    </w:p>
    <w:p>
      <w:pPr>
        <w:sectPr>
          <w:pgSz w:w="11900" w:h="16838" w:orient="portrait"/>
          <w:cols w:equalWidth="0" w:num="1">
            <w:col w:w="11240"/>
          </w:cols>
          <w:pgMar w:left="320" w:top="333" w:right="339" w:bottom="1440" w:gutter="0" w:footer="0" w:header="0"/>
        </w:sectPr>
      </w:pPr>
    </w:p>
    <w:p>
      <w:pPr>
        <w:ind w:left="20"/>
        <w:spacing w:after="0" w:line="271" w:lineRule="auto"/>
        <w:rPr>
          <w:sz w:val="20"/>
          <w:szCs w:val="20"/>
          <w:color w:val="auto"/>
        </w:rPr>
      </w:pPr>
      <w:r>
        <w:rPr>
          <w:rFonts w:ascii="Times New Roman" w:cs="Times New Roman" w:eastAsia="Times New Roman" w:hAnsi="Times New Roman"/>
          <w:sz w:val="17"/>
          <w:szCs w:val="17"/>
          <w:i w:val="1"/>
          <w:iCs w:val="1"/>
          <w:color w:val="auto"/>
        </w:rPr>
        <w:t>The Board believes that Dr. Shannon’s business experience and his extensive experience in drug development, combined with his business acumen and judgment provide our Board with valuable scientific and operational expertise and leadership and qualify him to serve on our Board of Directors.</w:t>
      </w:r>
    </w:p>
    <w:p>
      <w:pPr>
        <w:spacing w:after="0" w:line="20" w:lineRule="exact"/>
        <w:rPr>
          <w:sz w:val="20"/>
          <w:szCs w:val="20"/>
          <w:color w:val="auto"/>
        </w:rPr>
      </w:pPr>
      <w:r>
        <w:rPr>
          <w:sz w:val="20"/>
          <w:szCs w:val="20"/>
          <w:color w:val="auto"/>
        </w:rPr>
        <w:br w:type="column"/>
      </w:r>
    </w:p>
    <w:p>
      <w:pPr>
        <w:ind w:right="20"/>
        <w:spacing w:after="0" w:line="252" w:lineRule="auto"/>
        <w:rPr>
          <w:sz w:val="20"/>
          <w:szCs w:val="20"/>
          <w:color w:val="auto"/>
        </w:rPr>
      </w:pPr>
      <w:r>
        <w:rPr>
          <w:rFonts w:ascii="Times New Roman" w:cs="Times New Roman" w:eastAsia="Times New Roman" w:hAnsi="Times New Roman"/>
          <w:sz w:val="18"/>
          <w:szCs w:val="18"/>
          <w:color w:val="auto"/>
        </w:rPr>
        <w:t>James S. Shannon, M.D., MRCP (UK) rejoined our board in May 2015 after previously serving as a director from February 2010 until April 2012. Dr. Shannon was appointed Chairman of the Board of Directors in December 2020. From May 2012 until his retirement in April 2015, Dr. Shannon was the Chief Medical Officer of GSK plc. He formerly held the position of Global Head of Pharma Development at Novartis AG, based in Basel, Switzerland from 2005 until 2008. After joining Sandoz in 1994 as Head of Drug Regulatory Affairs, Dr. Shannon led the Integration Office for R&amp;D overseeing the creation of the Novartis R&amp;D groups from those of Ciba-Geigy Ltd and Sandoz. Following the merger, he was appointed Head of the Cardiovascular Strategic Team and subsequently became Global Head of Project Management before being appointed Global Head of Clinical Development and Medical Affairs in 1999, a position that he held until 2005 when he was appointed to Head Pharma Development. Between 2008 and joining GSK, Dr. Shannon served on the boards of a number of companies, including Biotie, Circassia, Crucell and Endocyte. He also sat on the board of Cerimon Pharmaceuticals where he held the position of interim Chief Executive Officer and President from January 2009 until April 2010. Dr. Shannon has served on the boards of ProQR Therapeutics NV since June 2016, Immodulon Therapeutics Limited since July 2015, Kyowa Kirin, Inc. – U.S. since July 2019, Leyden Labs since September 2020 and Horizon Therapeutics plc since May 2017. He first entered the pharmaceutical industry in 1987 joining Sterling Winthrop Inc., working initially in Europe and subsequently in the USA, where he held positions of increasing responsibility in the management of research and development ultimately serving as Senior Vice-President, Clinical Development. Dr. Shannon is trained in Medicine and Cardiology. He received his undergraduate and postgraduate degrees at Queen’s University of Belfast and is a Member of the Royal College of Physicians (UK).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-2756535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560" w:space="420"/>
            <w:col w:w="8260"/>
          </w:cols>
          <w:pgMar w:left="320" w:top="333" w:right="339" w:bottom="1440" w:gutter="0" w:footer="0" w:header="0"/>
          <w:type w:val="continuous"/>
        </w:sect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MICHAEL E. CASTAGNA,</w:t>
            </w:r>
          </w:p>
        </w:tc>
        <w:tc>
          <w:tcPr>
            <w:tcW w:w="4420" w:type="dxa"/>
            <w:vAlign w:val="bottom"/>
            <w:tcBorders>
              <w:top w:val="single" w:sz="8" w:color="auto"/>
            </w:tcBorders>
          </w:tcPr>
          <w:p>
            <w:pPr>
              <w:ind w:left="40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4240" w:type="dxa"/>
            <w:vAlign w:val="bottom"/>
            <w:tcBorders>
              <w:top w:val="single" w:sz="8" w:color="auto"/>
            </w:tcBorders>
          </w:tcPr>
          <w:p>
            <w:pPr>
              <w:ind w:left="2220"/>
              <w:spacing w:after="0"/>
              <w:rPr>
                <w:sz w:val="20"/>
                <w:szCs w:val="20"/>
                <w:color w:val="auto"/>
              </w:rPr>
            </w:pPr>
            <w:r>
              <w:rPr>
                <w:rFonts w:ascii="Times New Roman" w:cs="Times New Roman" w:eastAsia="Times New Roman" w:hAnsi="Times New Roman"/>
                <w:sz w:val="18"/>
                <w:szCs w:val="18"/>
                <w:b w:val="1"/>
                <w:bCs w:val="1"/>
                <w:color w:val="auto"/>
              </w:rPr>
              <w:t>Age: 46</w:t>
            </w:r>
          </w:p>
        </w:tc>
      </w:tr>
      <w:tr>
        <w:trPr>
          <w:trHeight w:val="238"/>
        </w:trPr>
        <w:tc>
          <w:tcPr>
            <w:tcW w:w="2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PHARM.D.</w:t>
            </w:r>
          </w:p>
        </w:tc>
        <w:tc>
          <w:tcPr>
            <w:tcW w:w="442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c>
          <w:tcPr>
            <w:tcW w:w="4240" w:type="dxa"/>
            <w:vAlign w:val="bottom"/>
          </w:tcPr>
          <w:p>
            <w:pPr>
              <w:ind w:left="2220"/>
              <w:spacing w:after="0"/>
              <w:rPr>
                <w:sz w:val="20"/>
                <w:szCs w:val="20"/>
                <w:color w:val="auto"/>
              </w:rPr>
            </w:pPr>
            <w:r>
              <w:rPr>
                <w:rFonts w:ascii="Times New Roman" w:cs="Times New Roman" w:eastAsia="Times New Roman" w:hAnsi="Times New Roman"/>
                <w:sz w:val="18"/>
                <w:szCs w:val="18"/>
                <w:b w:val="1"/>
                <w:bCs w:val="1"/>
                <w:color w:val="auto"/>
              </w:rPr>
              <w:t>Director since: 2017</w:t>
            </w:r>
          </w:p>
        </w:tc>
      </w:tr>
    </w:tbl>
    <w:p>
      <w:pPr>
        <w:spacing w:after="0" w:line="7" w:lineRule="exact"/>
        <w:rPr>
          <w:sz w:val="20"/>
          <w:szCs w:val="20"/>
          <w:color w:val="auto"/>
        </w:rPr>
      </w:pPr>
    </w:p>
    <w:p>
      <w:pPr>
        <w:sectPr>
          <w:pgSz w:w="11900" w:h="16838" w:orient="portrait"/>
          <w:cols w:equalWidth="0" w:num="1">
            <w:col w:w="11240"/>
          </w:cols>
          <w:pgMar w:left="320" w:top="333" w:right="339" w:bottom="1440" w:gutter="0" w:footer="0" w:header="0"/>
          <w:type w:val="continuous"/>
        </w:sectPr>
      </w:pPr>
    </w:p>
    <w:p>
      <w:pPr>
        <w:ind w:left="20"/>
        <w:spacing w:after="0" w:line="271" w:lineRule="auto"/>
        <w:rPr>
          <w:sz w:val="20"/>
          <w:szCs w:val="20"/>
          <w:color w:val="auto"/>
        </w:rPr>
      </w:pPr>
      <w:r>
        <w:rPr>
          <w:rFonts w:ascii="Times New Roman" w:cs="Times New Roman" w:eastAsia="Times New Roman" w:hAnsi="Times New Roman"/>
          <w:sz w:val="17"/>
          <w:szCs w:val="17"/>
          <w:i w:val="1"/>
          <w:iCs w:val="1"/>
          <w:color w:val="auto"/>
        </w:rPr>
        <w:t>The Board believes that Mr. Castagna’s knowledge and extensive experience with commercial pharmaceutical companies, combined with his business acumen and judgment, provide our Board with valuable operational expertise and leadership and qualify him to serve on our Board of Directors.</w:t>
      </w:r>
    </w:p>
    <w:p>
      <w:pPr>
        <w:spacing w:after="0" w:line="20" w:lineRule="exact"/>
        <w:rPr>
          <w:sz w:val="20"/>
          <w:szCs w:val="20"/>
          <w:color w:val="auto"/>
        </w:rPr>
      </w:pPr>
      <w:r>
        <w:rPr>
          <w:sz w:val="20"/>
          <w:szCs w:val="20"/>
          <w:color w:val="auto"/>
        </w:rPr>
        <w:br w:type="column"/>
      </w:r>
    </w:p>
    <w:p>
      <w:pPr>
        <w:ind w:right="60"/>
        <w:spacing w:after="0" w:line="253" w:lineRule="auto"/>
        <w:rPr>
          <w:sz w:val="20"/>
          <w:szCs w:val="20"/>
          <w:color w:val="auto"/>
        </w:rPr>
      </w:pPr>
      <w:r>
        <w:rPr>
          <w:rFonts w:ascii="Times New Roman" w:cs="Times New Roman" w:eastAsia="Times New Roman" w:hAnsi="Times New Roman"/>
          <w:sz w:val="18"/>
          <w:szCs w:val="18"/>
          <w:color w:val="auto"/>
        </w:rPr>
        <w:t>Michael E. Castagna, Pharm.D. has served as our Chief Executive Officer and as one of our directors since May 2017. Mr. Castagna also served as our Corporate Vice President, Chief Commercial Officer from March 2016 until May 2017. From November 2012 until he joined us, Mr. Castagna was at Amgen Inc., where he initially served as Vice President, Global Lifecycle Management and was most recently Vice President, Global Commercial Lead for Amgen’s Biosimilar Business Unit. From 2010 to 2012, he was Executive Director, Immunology, at Bristol-Myers Squibb Company (BMS). Before BMS, Mr. Castagna served as Vice President and Head, Biopharmaceuticals, North America, at Sandoz, a division of Novartis. Beginning in 1997, he held positions with commercial or medical affairs responsibilities at EMD (Merck) Serono, Pharmasset and DuPont Pharmaceuticals. He received his pharmacy degree from the University of the Sciences-Philadelphia College of Pharmacy, a Pharm.D. from Massachusetts College of Pharmacy &amp; Sciences and an MBA from The Wharton School of Business at the University of Pennsylvania.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-1520190</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150495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60" w:space="320"/>
            <w:col w:w="8260"/>
          </w:cols>
          <w:pgMar w:left="320" w:top="333" w:right="339" w:bottom="1440" w:gutter="0" w:footer="0" w:header="0"/>
          <w:type w:val="continuous"/>
        </w:sect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type w:val="continuous"/>
        </w:sectPr>
      </w:pPr>
    </w:p>
    <w:bookmarkStart w:id="15" w:name="page16"/>
    <w:bookmarkEnd w:id="15"/>
    <w:tbl>
      <w:tblPr>
        <w:tblLayout w:type="fixed"/>
        <w:tblInd w:w="0" w:type="dxa"/>
        <w:tblCellMar>
          <w:top w:w="0" w:type="dxa"/>
          <w:left w:w="0" w:type="dxa"/>
          <w:bottom w:w="0" w:type="dxa"/>
          <w:right w:w="0" w:type="dxa"/>
        </w:tblCellMar>
      </w:tblPr>
      <w:tr>
        <w:trPr>
          <w:trHeight w:val="207"/>
        </w:trPr>
        <w:tc>
          <w:tcPr>
            <w:tcW w:w="2520" w:type="dxa"/>
            <w:vAlign w:val="bottom"/>
            <w:tcBorders>
              <w:top w:val="single" w:sz="8" w:color="auto"/>
            </w:tcBorders>
          </w:tcPr>
          <w:p>
            <w:pPr>
              <w:spacing w:after="0"/>
              <w:rPr>
                <w:sz w:val="18"/>
                <w:szCs w:val="18"/>
                <w:color w:val="auto"/>
              </w:rPr>
            </w:pPr>
          </w:p>
        </w:tc>
        <w:tc>
          <w:tcPr>
            <w:tcW w:w="5920" w:type="dxa"/>
            <w:vAlign w:val="bottom"/>
            <w:tcBorders>
              <w:top w:val="single" w:sz="8" w:color="auto"/>
            </w:tcBorders>
          </w:tcPr>
          <w:p>
            <w:pPr>
              <w:ind w:left="46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800" w:type="dxa"/>
            <w:vAlign w:val="bottom"/>
            <w:tcBorders>
              <w:top w:val="single" w:sz="8" w:color="auto"/>
            </w:tcBorders>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Age: 79</w:t>
            </w:r>
          </w:p>
        </w:tc>
        <w:tc>
          <w:tcPr>
            <w:tcW w:w="0" w:type="dxa"/>
            <w:vAlign w:val="bottom"/>
          </w:tcPr>
          <w:p>
            <w:pPr>
              <w:spacing w:after="0"/>
              <w:rPr>
                <w:sz w:val="1"/>
                <w:szCs w:val="1"/>
                <w:color w:val="auto"/>
              </w:rPr>
            </w:pPr>
          </w:p>
        </w:tc>
      </w:tr>
      <w:tr>
        <w:trPr>
          <w:trHeight w:val="108"/>
        </w:trPr>
        <w:tc>
          <w:tcPr>
            <w:tcW w:w="25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RONALD J. CONSIGLIO</w:t>
            </w:r>
          </w:p>
        </w:tc>
        <w:tc>
          <w:tcPr>
            <w:tcW w:w="59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Chair, Audit Committee</w:t>
            </w:r>
          </w:p>
        </w:tc>
        <w:tc>
          <w:tcPr>
            <w:tcW w:w="2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20" w:type="dxa"/>
            <w:vAlign w:val="bottom"/>
            <w:vMerge w:val="continue"/>
          </w:tcPr>
          <w:p>
            <w:pPr>
              <w:spacing w:after="0"/>
              <w:rPr>
                <w:sz w:val="9"/>
                <w:szCs w:val="9"/>
                <w:color w:val="auto"/>
              </w:rPr>
            </w:pPr>
          </w:p>
        </w:tc>
        <w:tc>
          <w:tcPr>
            <w:tcW w:w="5920" w:type="dxa"/>
            <w:vAlign w:val="bottom"/>
            <w:vMerge w:val="continue"/>
          </w:tcPr>
          <w:p>
            <w:pPr>
              <w:spacing w:after="0"/>
              <w:rPr>
                <w:sz w:val="9"/>
                <w:szCs w:val="9"/>
                <w:color w:val="auto"/>
              </w:rPr>
            </w:pPr>
          </w:p>
        </w:tc>
        <w:tc>
          <w:tcPr>
            <w:tcW w:w="2800" w:type="dxa"/>
            <w:vAlign w:val="bottom"/>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Director since: 2003</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5920" w:type="dxa"/>
            <w:vAlign w:val="bottom"/>
            <w:vMerge w:val="restart"/>
          </w:tcPr>
          <w:p>
            <w:pPr>
              <w:ind w:left="460"/>
              <w:spacing w:after="0"/>
              <w:rPr>
                <w:sz w:val="20"/>
                <w:szCs w:val="20"/>
                <w:color w:val="auto"/>
              </w:rPr>
            </w:pPr>
            <w:r>
              <w:rPr>
                <w:rFonts w:ascii="Times New Roman" w:cs="Times New Roman" w:eastAsia="Times New Roman" w:hAnsi="Times New Roman"/>
                <w:sz w:val="18"/>
                <w:szCs w:val="18"/>
                <w:b w:val="1"/>
                <w:bCs w:val="1"/>
                <w:color w:val="auto"/>
              </w:rPr>
              <w:t>Member, Nominating and Corporate Governance Committee</w:t>
            </w:r>
          </w:p>
        </w:tc>
        <w:tc>
          <w:tcPr>
            <w:tcW w:w="2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20" w:type="dxa"/>
            <w:vAlign w:val="bottom"/>
          </w:tcPr>
          <w:p>
            <w:pPr>
              <w:spacing w:after="0"/>
              <w:rPr>
                <w:sz w:val="9"/>
                <w:szCs w:val="9"/>
                <w:color w:val="auto"/>
              </w:rPr>
            </w:pPr>
          </w:p>
        </w:tc>
        <w:tc>
          <w:tcPr>
            <w:tcW w:w="5920" w:type="dxa"/>
            <w:vAlign w:val="bottom"/>
            <w:vMerge w:val="continue"/>
          </w:tcPr>
          <w:p>
            <w:pPr>
              <w:spacing w:after="0"/>
              <w:rPr>
                <w:sz w:val="9"/>
                <w:szCs w:val="9"/>
                <w:color w:val="auto"/>
              </w:rPr>
            </w:pPr>
          </w:p>
        </w:tc>
        <w:tc>
          <w:tcPr>
            <w:tcW w:w="28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1">
            <w:col w:w="11240"/>
          </w:cols>
          <w:pgMar w:left="320" w:top="336" w:right="339" w:bottom="1440" w:gutter="0" w:footer="0" w:header="0"/>
        </w:sectPr>
      </w:pPr>
    </w:p>
    <w:p>
      <w:pPr>
        <w:ind w:left="20"/>
        <w:spacing w:after="0" w:line="252" w:lineRule="auto"/>
        <w:rPr>
          <w:sz w:val="20"/>
          <w:szCs w:val="20"/>
          <w:color w:val="auto"/>
        </w:rPr>
      </w:pPr>
      <w:r>
        <w:rPr>
          <w:rFonts w:ascii="Times New Roman" w:cs="Times New Roman" w:eastAsia="Times New Roman" w:hAnsi="Times New Roman"/>
          <w:sz w:val="18"/>
          <w:szCs w:val="18"/>
          <w:i w:val="1"/>
          <w:iCs w:val="1"/>
          <w:color w:val="auto"/>
        </w:rPr>
        <w:t>The Board believes that Mr. Consiglio’s knowledge and understanding of accounting and finance, his experience as a board member and executive officer at financial services firms, combined with his business acumen and judgment provide our Board with valuable accounting, financial and operational expertise and leadership and qualify him to serve on our Board of Directors. Mr. Consiglio meets the requirements of an SEC designated Audit Committee Financial Expert.</w:t>
      </w:r>
    </w:p>
    <w:p>
      <w:pPr>
        <w:spacing w:after="0" w:line="20" w:lineRule="exact"/>
        <w:rPr>
          <w:sz w:val="20"/>
          <w:szCs w:val="20"/>
          <w:color w:val="auto"/>
        </w:rPr>
      </w:pPr>
      <w:r>
        <w:rPr>
          <w:sz w:val="20"/>
          <w:szCs w:val="20"/>
          <w:color w:val="auto"/>
        </w:rPr>
        <w:br w:type="column"/>
      </w:r>
    </w:p>
    <w:p>
      <w:pPr>
        <w:ind w:right="140"/>
        <w:spacing w:after="0" w:line="253" w:lineRule="auto"/>
        <w:rPr>
          <w:sz w:val="20"/>
          <w:szCs w:val="20"/>
          <w:color w:val="auto"/>
        </w:rPr>
      </w:pPr>
      <w:r>
        <w:rPr>
          <w:rFonts w:ascii="Times New Roman" w:cs="Times New Roman" w:eastAsia="Times New Roman" w:hAnsi="Times New Roman"/>
          <w:sz w:val="18"/>
          <w:szCs w:val="18"/>
          <w:color w:val="auto"/>
        </w:rPr>
        <w:t>Ronald J. Consiglio has been one of our directors since October 2003. Since 1999, Mr. Consiglio has been the Managing Director of Synergy Trading, a securities-trading partnership. From 1999 to 2001, Mr. Consiglio was Executive Vice President and Chief Financial Officer of Trading Edge, Inc., a national automated bond-trading firm. From January 1993 to 1998 Mr. Consiglio served as Chief Executive Officer of Angeles Mortgage Investment Trust, a publicly traded Real Estate Investment Trust. His prior experience includes serving as Senior Vice President and Chief Financial Officer of Cantor Fitzgerald &amp; Co. and as a member of its board of directors. Mr. Consiglio has served as a member of the board of trustees for the Metropolitan West Funds since 2003. Mr. Consiglio served as a certified public accountant for over 17 years and was a partner in the international accounting firm of Deloitte &amp; Touche LLP. He holds a bachelor’s degree in accounting from California State University at Northridge.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-1381760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76" w:lineRule="exact"/>
        <w:rPr>
          <w:sz w:val="20"/>
          <w:szCs w:val="20"/>
          <w:color w:val="auto"/>
        </w:rPr>
      </w:pPr>
    </w:p>
    <w:p>
      <w:pPr>
        <w:sectPr>
          <w:pgSz w:w="11900" w:h="16838" w:orient="portrait"/>
          <w:cols w:equalWidth="0" w:num="2">
            <w:col w:w="2680" w:space="300"/>
            <w:col w:w="8260"/>
          </w:cols>
          <w:pgMar w:left="320" w:top="336" w:right="339" w:bottom="1440" w:gutter="0" w:footer="0" w:header="0"/>
          <w:type w:val="continuous"/>
        </w:sectPr>
      </w:pP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40" w:type="dxa"/>
            <w:vAlign w:val="bottom"/>
            <w:tcBorders>
              <w:top w:val="single" w:sz="8" w:color="auto"/>
            </w:tcBorders>
          </w:tcPr>
          <w:p>
            <w:pPr>
              <w:ind w:left="298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900" w:type="dxa"/>
            <w:vAlign w:val="bottom"/>
            <w:tcBorders>
              <w:top w:val="single" w:sz="8" w:color="auto"/>
            </w:tcBorders>
            <w:vMerge w:val="restart"/>
          </w:tcPr>
          <w:p>
            <w:pPr>
              <w:ind w:left="880"/>
              <w:spacing w:after="0"/>
              <w:rPr>
                <w:sz w:val="20"/>
                <w:szCs w:val="20"/>
                <w:color w:val="auto"/>
              </w:rPr>
            </w:pPr>
            <w:r>
              <w:rPr>
                <w:rFonts w:ascii="Times New Roman" w:cs="Times New Roman" w:eastAsia="Times New Roman" w:hAnsi="Times New Roman"/>
                <w:sz w:val="18"/>
                <w:szCs w:val="18"/>
                <w:b w:val="1"/>
                <w:bCs w:val="1"/>
                <w:color w:val="auto"/>
              </w:rPr>
              <w:t>Age: 79</w:t>
            </w:r>
          </w:p>
        </w:tc>
        <w:tc>
          <w:tcPr>
            <w:tcW w:w="0" w:type="dxa"/>
            <w:vAlign w:val="bottom"/>
          </w:tcPr>
          <w:p>
            <w:pPr>
              <w:spacing w:after="0"/>
              <w:rPr>
                <w:sz w:val="1"/>
                <w:szCs w:val="1"/>
                <w:color w:val="auto"/>
              </w:rPr>
            </w:pPr>
          </w:p>
        </w:tc>
      </w:tr>
      <w:tr>
        <w:trPr>
          <w:trHeight w:val="108"/>
        </w:trPr>
        <w:tc>
          <w:tcPr>
            <w:tcW w:w="8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MICHAEL A. FRIEDMAN, M.D.    Chair, Nominating and Corporate Governance Committee</w:t>
            </w:r>
          </w:p>
        </w:tc>
        <w:tc>
          <w:tcPr>
            <w:tcW w:w="2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340" w:type="dxa"/>
            <w:vAlign w:val="bottom"/>
            <w:vMerge w:val="continue"/>
          </w:tcPr>
          <w:p>
            <w:pPr>
              <w:spacing w:after="0"/>
              <w:rPr>
                <w:sz w:val="9"/>
                <w:szCs w:val="9"/>
                <w:color w:val="auto"/>
              </w:rPr>
            </w:pPr>
          </w:p>
        </w:tc>
        <w:tc>
          <w:tcPr>
            <w:tcW w:w="2900" w:type="dxa"/>
            <w:vAlign w:val="bottom"/>
            <w:vMerge w:val="restart"/>
          </w:tcPr>
          <w:p>
            <w:pPr>
              <w:ind w:left="880"/>
              <w:spacing w:after="0"/>
              <w:rPr>
                <w:sz w:val="20"/>
                <w:szCs w:val="20"/>
                <w:color w:val="auto"/>
              </w:rPr>
            </w:pPr>
            <w:r>
              <w:rPr>
                <w:rFonts w:ascii="Times New Roman" w:cs="Times New Roman" w:eastAsia="Times New Roman" w:hAnsi="Times New Roman"/>
                <w:sz w:val="18"/>
                <w:szCs w:val="18"/>
                <w:b w:val="1"/>
                <w:bCs w:val="1"/>
                <w:color w:val="auto"/>
              </w:rPr>
              <w:t>Director since: 2003</w:t>
            </w:r>
          </w:p>
        </w:tc>
        <w:tc>
          <w:tcPr>
            <w:tcW w:w="0" w:type="dxa"/>
            <w:vAlign w:val="bottom"/>
          </w:tcPr>
          <w:p>
            <w:pPr>
              <w:spacing w:after="0"/>
              <w:rPr>
                <w:sz w:val="1"/>
                <w:szCs w:val="1"/>
                <w:color w:val="auto"/>
              </w:rPr>
            </w:pPr>
          </w:p>
        </w:tc>
      </w:tr>
      <w:tr>
        <w:trPr>
          <w:trHeight w:val="130"/>
        </w:trPr>
        <w:tc>
          <w:tcPr>
            <w:tcW w:w="8340" w:type="dxa"/>
            <w:vAlign w:val="bottom"/>
            <w:vMerge w:val="restart"/>
          </w:tcPr>
          <w:p>
            <w:pPr>
              <w:ind w:left="2980"/>
              <w:spacing w:after="0"/>
              <w:rPr>
                <w:sz w:val="20"/>
                <w:szCs w:val="20"/>
                <w:color w:val="auto"/>
              </w:rPr>
            </w:pPr>
            <w:r>
              <w:rPr>
                <w:rFonts w:ascii="Times New Roman" w:cs="Times New Roman" w:eastAsia="Times New Roman" w:hAnsi="Times New Roman"/>
                <w:sz w:val="18"/>
                <w:szCs w:val="18"/>
                <w:b w:val="1"/>
                <w:bCs w:val="1"/>
                <w:color w:val="auto"/>
              </w:rPr>
              <w:t>Member, Compensation Committee</w:t>
            </w:r>
          </w:p>
        </w:tc>
        <w:tc>
          <w:tcPr>
            <w:tcW w:w="29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8340" w:type="dxa"/>
            <w:vAlign w:val="bottom"/>
            <w:vMerge w:val="continue"/>
          </w:tcPr>
          <w:p>
            <w:pPr>
              <w:spacing w:after="0"/>
              <w:rPr>
                <w:sz w:val="9"/>
                <w:szCs w:val="9"/>
                <w:color w:val="auto"/>
              </w:rPr>
            </w:pPr>
          </w:p>
        </w:tc>
        <w:tc>
          <w:tcPr>
            <w:tcW w:w="29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1">
            <w:col w:w="11240"/>
          </w:cols>
          <w:pgMar w:left="320" w:top="336" w:right="339" w:bottom="1440" w:gutter="0" w:footer="0" w:header="0"/>
          <w:type w:val="continuous"/>
        </w:sectPr>
      </w:pPr>
    </w:p>
    <w:p>
      <w:pPr>
        <w:ind w:left="20"/>
        <w:spacing w:after="0" w:line="253" w:lineRule="auto"/>
        <w:rPr>
          <w:sz w:val="20"/>
          <w:szCs w:val="20"/>
          <w:color w:val="auto"/>
        </w:rPr>
      </w:pPr>
      <w:r>
        <w:rPr>
          <w:rFonts w:ascii="Times New Roman" w:cs="Times New Roman" w:eastAsia="Times New Roman" w:hAnsi="Times New Roman"/>
          <w:sz w:val="18"/>
          <w:szCs w:val="18"/>
          <w:i w:val="1"/>
          <w:iCs w:val="1"/>
          <w:color w:val="auto"/>
        </w:rPr>
        <w:t>The Board believes Dr. Friedman’s business experience, including his experience as an executive officer at biopharmaceutical companies and a leading clinical and research center specializing in cancer and diabetes, and his service at the Food and Drug Administration, combined with his business acumen and judgment provide our Board with valuable scientific and operational expertise and leadership and qualify him to serve on our Board of Directors.</w:t>
      </w:r>
    </w:p>
    <w:p>
      <w:pPr>
        <w:spacing w:after="0" w:line="20" w:lineRule="exact"/>
        <w:rPr>
          <w:sz w:val="20"/>
          <w:szCs w:val="20"/>
          <w:color w:val="auto"/>
        </w:rPr>
      </w:pPr>
      <w:r>
        <w:rPr>
          <w:sz w:val="20"/>
          <w:szCs w:val="20"/>
          <w:color w:val="auto"/>
        </w:rPr>
        <w:br w:type="column"/>
      </w:r>
    </w:p>
    <w:p>
      <w:pPr>
        <w:ind w:right="20"/>
        <w:spacing w:after="0" w:line="270" w:lineRule="auto"/>
        <w:rPr>
          <w:sz w:val="20"/>
          <w:szCs w:val="20"/>
          <w:color w:val="auto"/>
        </w:rPr>
      </w:pPr>
      <w:r>
        <w:rPr>
          <w:rFonts w:ascii="Times New Roman" w:cs="Times New Roman" w:eastAsia="Times New Roman" w:hAnsi="Times New Roman"/>
          <w:sz w:val="17"/>
          <w:szCs w:val="17"/>
          <w:color w:val="auto"/>
        </w:rPr>
        <w:t>Michael A. Friedman, M.D. has been one of our directors since December 2003. In 2014, Dr. Friedman completed a decade of service as the President and Chief Executive Officer of the City of Hope National Medical Center. Previously, from September 2001 until April 2003, Dr. Friedman held the position of Senior Vice President of Research and Development, Medical and Public Policy, for Pharmacia Corporation and, from July 1999 until September 2001, was a Senior Vice President of Searle, a subsidiary of Monsanto Company. From 1995 until June 1999, Dr. Friedman served as Deputy Commissioner for Operations for the Food and Drug Administration, and was Acting Commissioner and Lead Deputy Commissioner from 1997 to 1998. He served on the board of Celgene Corporation from February 2011 to December 2019 and on the board of Smith &amp; Nephew plc from April 2013 to April 2019. Dr. Friedman received a Bachelor of Arts degree, magna cum laude, from Tulane University, New Orleans, Louisiana, and a doctorate in medicine from the University of Texas, Southwestern Medical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-1392555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35" w:lineRule="exact"/>
        <w:rPr>
          <w:sz w:val="20"/>
          <w:szCs w:val="20"/>
          <w:color w:val="auto"/>
        </w:rPr>
      </w:pPr>
    </w:p>
    <w:p>
      <w:pPr>
        <w:sectPr>
          <w:pgSz w:w="11900" w:h="16838" w:orient="portrait"/>
          <w:cols w:equalWidth="0" w:num="2">
            <w:col w:w="2680" w:space="300"/>
            <w:col w:w="8260"/>
          </w:cols>
          <w:pgMar w:left="320" w:top="336" w:right="339" w:bottom="1440" w:gutter="0" w:footer="0" w:header="0"/>
          <w:type w:val="continuous"/>
        </w:sectPr>
      </w:pP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0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JENNIFER GRANCIO</w:t>
            </w:r>
          </w:p>
        </w:tc>
        <w:tc>
          <w:tcPr>
            <w:tcW w:w="4740" w:type="dxa"/>
            <w:vAlign w:val="bottom"/>
            <w:tcBorders>
              <w:top w:val="single" w:sz="8" w:color="auto"/>
            </w:tcBorders>
          </w:tcPr>
          <w:p>
            <w:pPr>
              <w:ind w:left="58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4100" w:type="dxa"/>
            <w:vAlign w:val="bottom"/>
            <w:tcBorders>
              <w:top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Age: 51</w:t>
            </w:r>
          </w:p>
        </w:tc>
        <w:tc>
          <w:tcPr>
            <w:tcW w:w="0" w:type="dxa"/>
            <w:vAlign w:val="bottom"/>
          </w:tcPr>
          <w:p>
            <w:pPr>
              <w:spacing w:after="0"/>
              <w:rPr>
                <w:sz w:val="1"/>
                <w:szCs w:val="1"/>
                <w:color w:val="auto"/>
              </w:rPr>
            </w:pPr>
          </w:p>
        </w:tc>
      </w:tr>
      <w:tr>
        <w:trPr>
          <w:trHeight w:val="130"/>
        </w:trPr>
        <w:tc>
          <w:tcPr>
            <w:tcW w:w="2400" w:type="dxa"/>
            <w:vAlign w:val="bottom"/>
            <w:vMerge w:val="continue"/>
          </w:tcPr>
          <w:p>
            <w:pPr>
              <w:spacing w:after="0"/>
              <w:rPr>
                <w:sz w:val="11"/>
                <w:szCs w:val="11"/>
                <w:color w:val="auto"/>
              </w:rPr>
            </w:pPr>
          </w:p>
        </w:tc>
        <w:tc>
          <w:tcPr>
            <w:tcW w:w="474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Member, Audit Committee</w:t>
            </w:r>
          </w:p>
        </w:tc>
        <w:tc>
          <w:tcPr>
            <w:tcW w:w="4100" w:type="dxa"/>
            <w:vAlign w:val="bottom"/>
            <w:vMerge w:val="restart"/>
          </w:tcPr>
          <w:p>
            <w:pPr>
              <w:ind w:left="2080"/>
              <w:spacing w:after="0"/>
              <w:rPr>
                <w:sz w:val="20"/>
                <w:szCs w:val="20"/>
                <w:color w:val="auto"/>
              </w:rPr>
            </w:pPr>
            <w:r>
              <w:rPr>
                <w:rFonts w:ascii="Times New Roman" w:cs="Times New Roman" w:eastAsia="Times New Roman" w:hAnsi="Times New Roman"/>
                <w:sz w:val="18"/>
                <w:szCs w:val="18"/>
                <w:b w:val="1"/>
                <w:bCs w:val="1"/>
                <w:color w:val="auto"/>
              </w:rPr>
              <w:t>Director since: 2020</w:t>
            </w:r>
          </w:p>
        </w:tc>
        <w:tc>
          <w:tcPr>
            <w:tcW w:w="0" w:type="dxa"/>
            <w:vAlign w:val="bottom"/>
          </w:tcPr>
          <w:p>
            <w:pPr>
              <w:spacing w:after="0"/>
              <w:rPr>
                <w:sz w:val="1"/>
                <w:szCs w:val="1"/>
                <w:color w:val="auto"/>
              </w:rPr>
            </w:pPr>
          </w:p>
        </w:tc>
      </w:tr>
      <w:tr>
        <w:trPr>
          <w:trHeight w:val="108"/>
        </w:trPr>
        <w:tc>
          <w:tcPr>
            <w:tcW w:w="2400" w:type="dxa"/>
            <w:vAlign w:val="bottom"/>
          </w:tcPr>
          <w:p>
            <w:pPr>
              <w:spacing w:after="0"/>
              <w:rPr>
                <w:sz w:val="9"/>
                <w:szCs w:val="9"/>
                <w:color w:val="auto"/>
              </w:rPr>
            </w:pPr>
          </w:p>
        </w:tc>
        <w:tc>
          <w:tcPr>
            <w:tcW w:w="4740" w:type="dxa"/>
            <w:vAlign w:val="bottom"/>
            <w:vMerge w:val="continue"/>
          </w:tcPr>
          <w:p>
            <w:pPr>
              <w:spacing w:after="0"/>
              <w:rPr>
                <w:sz w:val="9"/>
                <w:szCs w:val="9"/>
                <w:color w:val="auto"/>
              </w:rPr>
            </w:pPr>
          </w:p>
        </w:tc>
        <w:tc>
          <w:tcPr>
            <w:tcW w:w="4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1">
            <w:col w:w="11240"/>
          </w:cols>
          <w:pgMar w:left="320" w:top="336" w:right="339" w:bottom="1440" w:gutter="0" w:footer="0" w:header="0"/>
          <w:type w:val="continuous"/>
        </w:sectPr>
      </w:pPr>
    </w:p>
    <w:p>
      <w:pPr>
        <w:ind w:left="20"/>
        <w:spacing w:after="0" w:line="255" w:lineRule="auto"/>
        <w:rPr>
          <w:sz w:val="20"/>
          <w:szCs w:val="20"/>
          <w:color w:val="auto"/>
        </w:rPr>
      </w:pPr>
      <w:r>
        <w:rPr>
          <w:rFonts w:ascii="Times New Roman" w:cs="Times New Roman" w:eastAsia="Times New Roman" w:hAnsi="Times New Roman"/>
          <w:sz w:val="18"/>
          <w:szCs w:val="18"/>
          <w:i w:val="1"/>
          <w:iCs w:val="1"/>
          <w:color w:val="auto"/>
        </w:rPr>
        <w:t>The Board believes that Ms. Grancio’s business acumen and judgment including her service on other public company boards, provide our Board with valuable operational expertise and leadership and qualify her to serve on our Board of Directors.</w:t>
      </w:r>
    </w:p>
    <w:p>
      <w:pPr>
        <w:spacing w:after="0" w:line="20" w:lineRule="exact"/>
        <w:rPr>
          <w:sz w:val="20"/>
          <w:szCs w:val="20"/>
          <w:color w:val="auto"/>
        </w:rPr>
      </w:pPr>
      <w:r>
        <w:rPr>
          <w:sz w:val="20"/>
          <w:szCs w:val="20"/>
          <w:color w:val="auto"/>
        </w:rPr>
        <w:br w:type="column"/>
      </w:r>
    </w:p>
    <w:p>
      <w:pPr>
        <w:ind w:right="60"/>
        <w:spacing w:after="0" w:line="253" w:lineRule="auto"/>
        <w:rPr>
          <w:sz w:val="20"/>
          <w:szCs w:val="20"/>
          <w:color w:val="auto"/>
        </w:rPr>
      </w:pPr>
      <w:r>
        <w:rPr>
          <w:rFonts w:ascii="Times New Roman" w:cs="Times New Roman" w:eastAsia="Times New Roman" w:hAnsi="Times New Roman"/>
          <w:sz w:val="18"/>
          <w:szCs w:val="18"/>
          <w:color w:val="auto"/>
        </w:rPr>
        <w:t>Jennifer Grancio has been one of our directors since March 2020. Since October 2020, Ms. Grancio has served as the Chief Executive Officer of Engine No. 1, an impact investment firm. From November 2018 until October 2020, she consulted through Grancio Capital, where she worked with CEOs to accelerate high-growth company success. From 1999 to 2018, she served as a founder and executive with BlackRock’s iShares business, where she spearheaded the distribution of iShares in the United States and Europe and acted as the Global Head of Marketing and Partnerships for BlackRock’s index business. Prior to BlackRock, she was a senior associate with PricewaterhouseCoopers, a management consulting firm. Ms. Grancio serves as a board member for Ethic Inc., a sustainable investing firm, and for Harvest Savings &amp; Wealth Technologies, Inc. She is also on the advisory boards of Say Technologies LLC and m+ funds (from Alaia Capital, LLC). Ms. Grancio earned a bachelor’s degree in economics and international relations from Stanford University, and an MBA degree in strategy and finance from Columbia Business School.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-1520190</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5" w:lineRule="exact"/>
        <w:rPr>
          <w:sz w:val="20"/>
          <w:szCs w:val="20"/>
          <w:color w:val="auto"/>
        </w:rPr>
      </w:pPr>
    </w:p>
    <w:p>
      <w:pPr>
        <w:ind w:left="256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-1899285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2680" w:space="300"/>
            <w:col w:w="8260"/>
          </w:cols>
          <w:pgMar w:left="320" w:top="336" w:right="3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207"/>
        </w:trPr>
        <w:tc>
          <w:tcPr>
            <w:tcW w:w="238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ANTHONY HOOPER</w:t>
            </w:r>
          </w:p>
        </w:tc>
        <w:tc>
          <w:tcPr>
            <w:tcW w:w="5940" w:type="dxa"/>
            <w:vAlign w:val="bottom"/>
            <w:tcBorders>
              <w:top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92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Age: 68</w:t>
            </w:r>
          </w:p>
        </w:tc>
        <w:tc>
          <w:tcPr>
            <w:tcW w:w="0" w:type="dxa"/>
            <w:vAlign w:val="bottom"/>
          </w:tcPr>
          <w:p>
            <w:pPr>
              <w:spacing w:after="0"/>
              <w:rPr>
                <w:sz w:val="1"/>
                <w:szCs w:val="1"/>
                <w:color w:val="auto"/>
              </w:rPr>
            </w:pPr>
          </w:p>
        </w:tc>
      </w:tr>
      <w:tr>
        <w:trPr>
          <w:trHeight w:val="130"/>
        </w:trPr>
        <w:tc>
          <w:tcPr>
            <w:tcW w:w="2380" w:type="dxa"/>
            <w:vAlign w:val="bottom"/>
            <w:vMerge w:val="continue"/>
          </w:tcPr>
          <w:p>
            <w:pPr>
              <w:spacing w:after="0"/>
              <w:rPr>
                <w:sz w:val="11"/>
                <w:szCs w:val="11"/>
                <w:color w:val="auto"/>
              </w:rPr>
            </w:pPr>
          </w:p>
        </w:tc>
        <w:tc>
          <w:tcPr>
            <w:tcW w:w="5940" w:type="dxa"/>
            <w:vAlign w:val="bottom"/>
            <w:vMerge w:val="restart"/>
          </w:tcPr>
          <w:p>
            <w:pPr>
              <w:ind w:left="600"/>
              <w:spacing w:after="0"/>
              <w:rPr>
                <w:sz w:val="20"/>
                <w:szCs w:val="20"/>
                <w:color w:val="auto"/>
              </w:rPr>
            </w:pPr>
            <w:r>
              <w:rPr>
                <w:rFonts w:ascii="Times New Roman" w:cs="Times New Roman" w:eastAsia="Times New Roman" w:hAnsi="Times New Roman"/>
                <w:sz w:val="18"/>
                <w:szCs w:val="18"/>
                <w:b w:val="1"/>
                <w:bCs w:val="1"/>
                <w:color w:val="auto"/>
              </w:rPr>
              <w:t>Member, Audit Committee and Compensation Committee</w:t>
            </w:r>
          </w:p>
        </w:tc>
        <w:tc>
          <w:tcPr>
            <w:tcW w:w="2920" w:type="dxa"/>
            <w:vAlign w:val="bottom"/>
            <w:vMerge w:val="restart"/>
          </w:tcPr>
          <w:p>
            <w:pPr>
              <w:ind w:left="900"/>
              <w:spacing w:after="0"/>
              <w:rPr>
                <w:sz w:val="20"/>
                <w:szCs w:val="20"/>
                <w:color w:val="auto"/>
              </w:rPr>
            </w:pPr>
            <w:r>
              <w:rPr>
                <w:rFonts w:ascii="Times New Roman" w:cs="Times New Roman" w:eastAsia="Times New Roman" w:hAnsi="Times New Roman"/>
                <w:sz w:val="18"/>
                <w:szCs w:val="18"/>
                <w:b w:val="1"/>
                <w:bCs w:val="1"/>
                <w:color w:val="auto"/>
              </w:rPr>
              <w:t>Director since: 2020</w:t>
            </w:r>
          </w:p>
        </w:tc>
        <w:tc>
          <w:tcPr>
            <w:tcW w:w="0" w:type="dxa"/>
            <w:vAlign w:val="bottom"/>
          </w:tcPr>
          <w:p>
            <w:pPr>
              <w:spacing w:after="0"/>
              <w:rPr>
                <w:sz w:val="1"/>
                <w:szCs w:val="1"/>
                <w:color w:val="auto"/>
              </w:rPr>
            </w:pPr>
          </w:p>
        </w:tc>
      </w:tr>
      <w:tr>
        <w:trPr>
          <w:trHeight w:val="108"/>
        </w:trPr>
        <w:tc>
          <w:tcPr>
            <w:tcW w:w="2380" w:type="dxa"/>
            <w:vAlign w:val="bottom"/>
          </w:tcPr>
          <w:p>
            <w:pPr>
              <w:spacing w:after="0"/>
              <w:rPr>
                <w:sz w:val="9"/>
                <w:szCs w:val="9"/>
                <w:color w:val="auto"/>
              </w:rPr>
            </w:pPr>
          </w:p>
        </w:tc>
        <w:tc>
          <w:tcPr>
            <w:tcW w:w="5940" w:type="dxa"/>
            <w:vAlign w:val="bottom"/>
            <w:vMerge w:val="continue"/>
          </w:tcPr>
          <w:p>
            <w:pPr>
              <w:spacing w:after="0"/>
              <w:rPr>
                <w:sz w:val="9"/>
                <w:szCs w:val="9"/>
                <w:color w:val="auto"/>
              </w:rPr>
            </w:pPr>
          </w:p>
        </w:tc>
        <w:tc>
          <w:tcPr>
            <w:tcW w:w="29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1">
            <w:col w:w="11240"/>
          </w:cols>
          <w:pgMar w:left="320" w:top="565" w:right="339" w:bottom="1440" w:gutter="0" w:footer="0" w:header="0"/>
        </w:sectPr>
      </w:pPr>
    </w:p>
    <w:p>
      <w:pPr>
        <w:ind w:left="20"/>
        <w:spacing w:after="0" w:line="254" w:lineRule="auto"/>
        <w:rPr>
          <w:sz w:val="20"/>
          <w:szCs w:val="20"/>
          <w:color w:val="auto"/>
        </w:rPr>
      </w:pPr>
      <w:r>
        <w:rPr>
          <w:rFonts w:ascii="Times New Roman" w:cs="Times New Roman" w:eastAsia="Times New Roman" w:hAnsi="Times New Roman"/>
          <w:sz w:val="18"/>
          <w:szCs w:val="18"/>
          <w:i w:val="1"/>
          <w:iCs w:val="1"/>
          <w:color w:val="auto"/>
        </w:rPr>
        <w:t>The Board believes that Mr. Hooper’s business experience, his extensive experience in drug commercialization and his service on other public company boards, combined with his business acumen and judgment, provide our Board with valuable operational expertise and leadership and qualify him to serve on our Board of Directors.</w:t>
      </w:r>
    </w:p>
    <w:p>
      <w:pPr>
        <w:spacing w:after="0" w:line="20" w:lineRule="exact"/>
        <w:rPr>
          <w:sz w:val="20"/>
          <w:szCs w:val="20"/>
          <w:color w:val="auto"/>
        </w:rPr>
      </w:pPr>
      <w:r>
        <w:rPr>
          <w:sz w:val="20"/>
          <w:szCs w:val="20"/>
          <w:color w:val="auto"/>
        </w:rPr>
        <w:br w:type="column"/>
      </w:r>
    </w:p>
    <w:p>
      <w:pPr>
        <w:ind w:right="80"/>
        <w:spacing w:after="0" w:line="254" w:lineRule="auto"/>
        <w:rPr>
          <w:sz w:val="20"/>
          <w:szCs w:val="20"/>
          <w:color w:val="auto"/>
        </w:rPr>
      </w:pPr>
      <w:r>
        <w:rPr>
          <w:rFonts w:ascii="Times New Roman" w:cs="Times New Roman" w:eastAsia="Times New Roman" w:hAnsi="Times New Roman"/>
          <w:sz w:val="18"/>
          <w:szCs w:val="18"/>
          <w:color w:val="auto"/>
        </w:rPr>
        <w:t>Anthony Hooper has been one of our directors since January 2020. He is also a director of BeiGene, Ltd. since January 2020 and Amplity Health since March 2020. Mr. Hooper served as executive vice president of Global Commercial Operations for Amgen Inc. from Oct 2011 until August 2018. Prior to joining Amgen, Mr. Hooper spent more than 15 years at Bristol-Myers Squibb Company. His last role there was Senior Vice President, Global Commercial Operations and president of the company’s pharmaceutical business in the Americas, Japan and intercontinental regions. Previously, he was Assistant Vice President of Global Marketing for Wyeth Laboratories and led the international marketing group for Lederle International. Mr. Hooper earned law and MBA degrees from the University of South Africa.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-1109345</wp:posOffset>
            </wp:positionV>
            <wp:extent cx="713232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36" w:lineRule="exact"/>
        <w:rPr>
          <w:sz w:val="20"/>
          <w:szCs w:val="20"/>
          <w:color w:val="auto"/>
        </w:rPr>
      </w:pPr>
    </w:p>
    <w:p>
      <w:pPr>
        <w:sectPr>
          <w:pgSz w:w="11900" w:h="16838" w:orient="portrait"/>
          <w:cols w:equalWidth="0" w:num="2">
            <w:col w:w="2600" w:space="380"/>
            <w:col w:w="8260"/>
          </w:cols>
          <w:pgMar w:left="320" w:top="565" w:right="339" w:bottom="1440" w:gutter="0" w:footer="0" w:header="0"/>
          <w:type w:val="continuous"/>
        </w:sect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360" w:type="dxa"/>
            <w:vAlign w:val="bottom"/>
            <w:tcBorders>
              <w:top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SABRINA KAY, ED.D</w:t>
            </w:r>
          </w:p>
        </w:tc>
        <w:tc>
          <w:tcPr>
            <w:tcW w:w="4780" w:type="dxa"/>
            <w:vAlign w:val="bottom"/>
            <w:tcBorders>
              <w:top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4100" w:type="dxa"/>
            <w:vAlign w:val="bottom"/>
            <w:tcBorders>
              <w:top w:val="single" w:sz="8" w:color="auto"/>
            </w:tcBorders>
          </w:tcPr>
          <w:p>
            <w:pPr>
              <w:ind w:left="2080"/>
              <w:spacing w:after="0"/>
              <w:rPr>
                <w:sz w:val="20"/>
                <w:szCs w:val="20"/>
                <w:color w:val="auto"/>
              </w:rPr>
            </w:pPr>
            <w:r>
              <w:rPr>
                <w:rFonts w:ascii="Times New Roman" w:cs="Times New Roman" w:eastAsia="Times New Roman" w:hAnsi="Times New Roman"/>
                <w:sz w:val="18"/>
                <w:szCs w:val="18"/>
                <w:b w:val="1"/>
                <w:bCs w:val="1"/>
                <w:color w:val="auto"/>
              </w:rPr>
              <w:t>Age: 60</w:t>
            </w:r>
          </w:p>
        </w:tc>
        <w:tc>
          <w:tcPr>
            <w:tcW w:w="0" w:type="dxa"/>
            <w:vAlign w:val="bottom"/>
          </w:tcPr>
          <w:p>
            <w:pPr>
              <w:spacing w:after="0"/>
              <w:rPr>
                <w:sz w:val="1"/>
                <w:szCs w:val="1"/>
                <w:color w:val="auto"/>
              </w:rPr>
            </w:pPr>
          </w:p>
        </w:tc>
      </w:tr>
      <w:tr>
        <w:trPr>
          <w:trHeight w:val="130"/>
        </w:trPr>
        <w:tc>
          <w:tcPr>
            <w:tcW w:w="2360" w:type="dxa"/>
            <w:vAlign w:val="bottom"/>
            <w:vMerge w:val="continue"/>
          </w:tcPr>
          <w:p>
            <w:pPr>
              <w:spacing w:after="0"/>
              <w:rPr>
                <w:sz w:val="11"/>
                <w:szCs w:val="11"/>
                <w:color w:val="auto"/>
              </w:rPr>
            </w:pPr>
          </w:p>
        </w:tc>
        <w:tc>
          <w:tcPr>
            <w:tcW w:w="4780" w:type="dxa"/>
            <w:vAlign w:val="bottom"/>
            <w:vMerge w:val="restart"/>
          </w:tcPr>
          <w:p>
            <w:pPr>
              <w:ind w:left="620"/>
              <w:spacing w:after="0"/>
              <w:rPr>
                <w:sz w:val="20"/>
                <w:szCs w:val="20"/>
                <w:color w:val="auto"/>
              </w:rPr>
            </w:pPr>
            <w:r>
              <w:rPr>
                <w:rFonts w:ascii="Times New Roman" w:cs="Times New Roman" w:eastAsia="Times New Roman" w:hAnsi="Times New Roman"/>
                <w:sz w:val="18"/>
                <w:szCs w:val="18"/>
                <w:b w:val="1"/>
                <w:bCs w:val="1"/>
                <w:color w:val="auto"/>
              </w:rPr>
              <w:t>Member, Audit Committee</w:t>
            </w:r>
          </w:p>
        </w:tc>
        <w:tc>
          <w:tcPr>
            <w:tcW w:w="4100" w:type="dxa"/>
            <w:vAlign w:val="bottom"/>
            <w:vMerge w:val="restart"/>
          </w:tcPr>
          <w:p>
            <w:pPr>
              <w:ind w:left="2080"/>
              <w:spacing w:after="0"/>
              <w:rPr>
                <w:sz w:val="20"/>
                <w:szCs w:val="20"/>
                <w:color w:val="auto"/>
              </w:rPr>
            </w:pPr>
            <w:r>
              <w:rPr>
                <w:rFonts w:ascii="Times New Roman" w:cs="Times New Roman" w:eastAsia="Times New Roman" w:hAnsi="Times New Roman"/>
                <w:sz w:val="18"/>
                <w:szCs w:val="18"/>
                <w:b w:val="1"/>
                <w:bCs w:val="1"/>
                <w:color w:val="auto"/>
              </w:rPr>
              <w:t>Director since: 2020</w:t>
            </w:r>
          </w:p>
        </w:tc>
        <w:tc>
          <w:tcPr>
            <w:tcW w:w="0" w:type="dxa"/>
            <w:vAlign w:val="bottom"/>
          </w:tcPr>
          <w:p>
            <w:pPr>
              <w:spacing w:after="0"/>
              <w:rPr>
                <w:sz w:val="1"/>
                <w:szCs w:val="1"/>
                <w:color w:val="auto"/>
              </w:rPr>
            </w:pPr>
          </w:p>
        </w:tc>
      </w:tr>
      <w:tr>
        <w:trPr>
          <w:trHeight w:val="108"/>
        </w:trPr>
        <w:tc>
          <w:tcPr>
            <w:tcW w:w="2360" w:type="dxa"/>
            <w:vAlign w:val="bottom"/>
          </w:tcPr>
          <w:p>
            <w:pPr>
              <w:spacing w:after="0"/>
              <w:rPr>
                <w:sz w:val="9"/>
                <w:szCs w:val="9"/>
                <w:color w:val="auto"/>
              </w:rPr>
            </w:pPr>
          </w:p>
        </w:tc>
        <w:tc>
          <w:tcPr>
            <w:tcW w:w="4780" w:type="dxa"/>
            <w:vAlign w:val="bottom"/>
            <w:vMerge w:val="continue"/>
          </w:tcPr>
          <w:p>
            <w:pPr>
              <w:spacing w:after="0"/>
              <w:rPr>
                <w:sz w:val="9"/>
                <w:szCs w:val="9"/>
                <w:color w:val="auto"/>
              </w:rPr>
            </w:pPr>
          </w:p>
        </w:tc>
        <w:tc>
          <w:tcPr>
            <w:tcW w:w="4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1">
            <w:col w:w="11240"/>
          </w:cols>
          <w:pgMar w:left="320" w:top="565" w:right="339" w:bottom="1440" w:gutter="0" w:footer="0" w:header="0"/>
          <w:type w:val="continuous"/>
        </w:sectPr>
      </w:pPr>
    </w:p>
    <w:p>
      <w:pPr>
        <w:ind w:left="20"/>
        <w:spacing w:after="0" w:line="257" w:lineRule="auto"/>
        <w:rPr>
          <w:sz w:val="20"/>
          <w:szCs w:val="20"/>
          <w:color w:val="auto"/>
        </w:rPr>
      </w:pPr>
      <w:r>
        <w:rPr>
          <w:rFonts w:ascii="Times New Roman" w:cs="Times New Roman" w:eastAsia="Times New Roman" w:hAnsi="Times New Roman"/>
          <w:sz w:val="18"/>
          <w:szCs w:val="18"/>
          <w:i w:val="1"/>
          <w:iCs w:val="1"/>
          <w:color w:val="auto"/>
        </w:rPr>
        <w:t>The Board believes that Dr. Kay’s business acumen and judgment provide our Board with valuable operational expertise and leadership and qualify her to serve on our Board of Directors.</w:t>
      </w:r>
    </w:p>
    <w:p>
      <w:pPr>
        <w:spacing w:after="0" w:line="20" w:lineRule="exact"/>
        <w:rPr>
          <w:sz w:val="20"/>
          <w:szCs w:val="20"/>
          <w:color w:val="auto"/>
        </w:rPr>
      </w:pPr>
      <w:r>
        <w:rPr>
          <w:sz w:val="20"/>
          <w:szCs w:val="20"/>
          <w:color w:val="auto"/>
        </w:rPr>
        <w:br w:type="column"/>
      </w:r>
    </w:p>
    <w:p>
      <w:pPr>
        <w:ind w:right="60"/>
        <w:spacing w:after="0" w:line="253" w:lineRule="auto"/>
        <w:rPr>
          <w:sz w:val="20"/>
          <w:szCs w:val="20"/>
          <w:color w:val="auto"/>
        </w:rPr>
      </w:pPr>
      <w:r>
        <w:rPr>
          <w:rFonts w:ascii="Times New Roman" w:cs="Times New Roman" w:eastAsia="Times New Roman" w:hAnsi="Times New Roman"/>
          <w:sz w:val="18"/>
          <w:szCs w:val="18"/>
          <w:color w:val="auto"/>
        </w:rPr>
        <w:t>Sabrina Kay has been a member of our Board of Directors since December 2020. Currently, Dr. Kay serves as Founder and CEO of Fremont Private Investments, where for over 20 years she has led the operations and exits of several companies including The Art Institute of Hollywood (sold to Education Management Corp.), Premier Business Bank (sold to First Foundation Inc.), Fashion Umbrella, Fremont College, and Dale Carnegie of Los Angeles. Dr. Kay currently serves on the boards of East West Bank and Hagerty. She is also a philanthropist, having served on more than 30 charitable and civic boards, including the Los Angeles Sports and Entertainment Commission, Petersen Automotive Museum, Portal Schools, the Leadership Council of International Medical Corps Leadership Council, the Board of Leaders of USC Marshall School of Business and After-School All-Stars Los Angeles, which she chairs. Dr. Kay received Ed.D. and M.Sc. degrees in education from the University of Pennsylvania. She also holds an MBA from the University of Southern California.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-1381760</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80" w:space="300"/>
            <w:col w:w="8260"/>
          </w:cols>
          <w:pgMar w:left="320" w:top="565" w:right="339" w:bottom="1440" w:gutter="0" w:footer="0" w:header="0"/>
          <w:type w:val="continuous"/>
        </w:sectPr>
      </w:pP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80" w:type="dxa"/>
            <w:vAlign w:val="bottom"/>
            <w:tcBorders>
              <w:top w:val="single" w:sz="8" w:color="auto"/>
            </w:tcBorders>
          </w:tcPr>
          <w:p>
            <w:pPr>
              <w:spacing w:after="0"/>
              <w:rPr>
                <w:sz w:val="18"/>
                <w:szCs w:val="18"/>
                <w:color w:val="auto"/>
              </w:rPr>
            </w:pPr>
          </w:p>
        </w:tc>
        <w:tc>
          <w:tcPr>
            <w:tcW w:w="636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800" w:type="dxa"/>
            <w:vAlign w:val="bottom"/>
            <w:tcBorders>
              <w:top w:val="single" w:sz="8" w:color="auto"/>
            </w:tcBorders>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Age: 85</w:t>
            </w:r>
          </w:p>
        </w:tc>
        <w:tc>
          <w:tcPr>
            <w:tcW w:w="0" w:type="dxa"/>
            <w:vAlign w:val="bottom"/>
          </w:tcPr>
          <w:p>
            <w:pPr>
              <w:spacing w:after="0"/>
              <w:rPr>
                <w:sz w:val="1"/>
                <w:szCs w:val="1"/>
                <w:color w:val="auto"/>
              </w:rPr>
            </w:pPr>
          </w:p>
        </w:tc>
      </w:tr>
      <w:tr>
        <w:trPr>
          <w:trHeight w:val="108"/>
        </w:trPr>
        <w:tc>
          <w:tcPr>
            <w:tcW w:w="2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KENT KRESA</w:t>
            </w:r>
          </w:p>
        </w:tc>
        <w:tc>
          <w:tcPr>
            <w:tcW w:w="6360" w:type="dxa"/>
            <w:vAlign w:val="bottom"/>
            <w:vMerge w:val="restart"/>
          </w:tcPr>
          <w:p>
            <w:pPr>
              <w:ind w:left="900"/>
              <w:spacing w:after="0"/>
              <w:rPr>
                <w:sz w:val="20"/>
                <w:szCs w:val="20"/>
                <w:color w:val="auto"/>
              </w:rPr>
            </w:pPr>
            <w:r>
              <w:rPr>
                <w:rFonts w:ascii="Times New Roman" w:cs="Times New Roman" w:eastAsia="Times New Roman" w:hAnsi="Times New Roman"/>
                <w:sz w:val="18"/>
                <w:szCs w:val="18"/>
                <w:b w:val="1"/>
                <w:bCs w:val="1"/>
                <w:color w:val="auto"/>
              </w:rPr>
              <w:t>Chair, Compensation Committee</w:t>
            </w:r>
          </w:p>
        </w:tc>
        <w:tc>
          <w:tcPr>
            <w:tcW w:w="28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80" w:type="dxa"/>
            <w:vAlign w:val="bottom"/>
            <w:vMerge w:val="continue"/>
          </w:tcPr>
          <w:p>
            <w:pPr>
              <w:spacing w:after="0"/>
              <w:rPr>
                <w:sz w:val="9"/>
                <w:szCs w:val="9"/>
                <w:color w:val="auto"/>
              </w:rPr>
            </w:pPr>
          </w:p>
        </w:tc>
        <w:tc>
          <w:tcPr>
            <w:tcW w:w="6360" w:type="dxa"/>
            <w:vAlign w:val="bottom"/>
            <w:vMerge w:val="continue"/>
          </w:tcPr>
          <w:p>
            <w:pPr>
              <w:spacing w:after="0"/>
              <w:rPr>
                <w:sz w:val="9"/>
                <w:szCs w:val="9"/>
                <w:color w:val="auto"/>
              </w:rPr>
            </w:pPr>
          </w:p>
        </w:tc>
        <w:tc>
          <w:tcPr>
            <w:tcW w:w="2800" w:type="dxa"/>
            <w:vAlign w:val="bottom"/>
            <w:vMerge w:val="restart"/>
          </w:tcPr>
          <w:p>
            <w:pPr>
              <w:ind w:left="780"/>
              <w:spacing w:after="0"/>
              <w:rPr>
                <w:sz w:val="20"/>
                <w:szCs w:val="20"/>
                <w:color w:val="auto"/>
              </w:rPr>
            </w:pPr>
            <w:r>
              <w:rPr>
                <w:rFonts w:ascii="Times New Roman" w:cs="Times New Roman" w:eastAsia="Times New Roman" w:hAnsi="Times New Roman"/>
                <w:sz w:val="18"/>
                <w:szCs w:val="18"/>
                <w:b w:val="1"/>
                <w:bCs w:val="1"/>
                <w:color w:val="auto"/>
              </w:rPr>
              <w:t>Director since: 2004</w:t>
            </w:r>
          </w:p>
        </w:tc>
        <w:tc>
          <w:tcPr>
            <w:tcW w:w="0" w:type="dxa"/>
            <w:vAlign w:val="bottom"/>
          </w:tcPr>
          <w:p>
            <w:pPr>
              <w:spacing w:after="0"/>
              <w:rPr>
                <w:sz w:val="1"/>
                <w:szCs w:val="1"/>
                <w:color w:val="auto"/>
              </w:rPr>
            </w:pPr>
          </w:p>
        </w:tc>
      </w:tr>
      <w:tr>
        <w:trPr>
          <w:trHeight w:val="130"/>
        </w:trPr>
        <w:tc>
          <w:tcPr>
            <w:tcW w:w="2080" w:type="dxa"/>
            <w:vAlign w:val="bottom"/>
          </w:tcPr>
          <w:p>
            <w:pPr>
              <w:spacing w:after="0"/>
              <w:rPr>
                <w:sz w:val="11"/>
                <w:szCs w:val="11"/>
                <w:color w:val="auto"/>
              </w:rPr>
            </w:pPr>
          </w:p>
        </w:tc>
        <w:tc>
          <w:tcPr>
            <w:tcW w:w="6360" w:type="dxa"/>
            <w:vAlign w:val="bottom"/>
            <w:vMerge w:val="restart"/>
          </w:tcPr>
          <w:p>
            <w:pPr>
              <w:ind w:left="900"/>
              <w:spacing w:after="0"/>
              <w:rPr>
                <w:sz w:val="20"/>
                <w:szCs w:val="20"/>
                <w:color w:val="auto"/>
              </w:rPr>
            </w:pPr>
            <w:r>
              <w:rPr>
                <w:rFonts w:ascii="Times New Roman" w:cs="Times New Roman" w:eastAsia="Times New Roman" w:hAnsi="Times New Roman"/>
                <w:sz w:val="18"/>
                <w:szCs w:val="18"/>
                <w:b w:val="1"/>
                <w:bCs w:val="1"/>
                <w:color w:val="auto"/>
              </w:rPr>
              <w:t>Member, Nominating and Corporate Governance Committee</w:t>
            </w:r>
          </w:p>
        </w:tc>
        <w:tc>
          <w:tcPr>
            <w:tcW w:w="28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80" w:type="dxa"/>
            <w:vAlign w:val="bottom"/>
          </w:tcPr>
          <w:p>
            <w:pPr>
              <w:spacing w:after="0"/>
              <w:rPr>
                <w:sz w:val="9"/>
                <w:szCs w:val="9"/>
                <w:color w:val="auto"/>
              </w:rPr>
            </w:pPr>
          </w:p>
        </w:tc>
        <w:tc>
          <w:tcPr>
            <w:tcW w:w="6360" w:type="dxa"/>
            <w:vAlign w:val="bottom"/>
            <w:vMerge w:val="continue"/>
          </w:tcPr>
          <w:p>
            <w:pPr>
              <w:spacing w:after="0"/>
              <w:rPr>
                <w:sz w:val="9"/>
                <w:szCs w:val="9"/>
                <w:color w:val="auto"/>
              </w:rPr>
            </w:pPr>
          </w:p>
        </w:tc>
        <w:tc>
          <w:tcPr>
            <w:tcW w:w="28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1">
            <w:col w:w="11240"/>
          </w:cols>
          <w:pgMar w:left="320" w:top="565" w:right="339" w:bottom="1440" w:gutter="0" w:footer="0" w:header="0"/>
          <w:type w:val="continuous"/>
        </w:sectPr>
      </w:pPr>
    </w:p>
    <w:p>
      <w:pPr>
        <w:ind w:left="20"/>
        <w:spacing w:after="0" w:line="270" w:lineRule="auto"/>
        <w:rPr>
          <w:sz w:val="20"/>
          <w:szCs w:val="20"/>
          <w:color w:val="auto"/>
        </w:rPr>
      </w:pPr>
      <w:r>
        <w:rPr>
          <w:rFonts w:ascii="Times New Roman" w:cs="Times New Roman" w:eastAsia="Times New Roman" w:hAnsi="Times New Roman"/>
          <w:sz w:val="17"/>
          <w:szCs w:val="17"/>
          <w:i w:val="1"/>
          <w:iCs w:val="1"/>
          <w:color w:val="auto"/>
        </w:rPr>
        <w:t>The Board believes that Mr. Kresa’s business experience, including his experience as a director and executive officer of Northrop Grumman, and his service on other public company boards, combined with his business acumen and judgment provide our Board with valuable operational expertise and leadership and qualify him to serve on our Board of Directors.</w:t>
      </w:r>
    </w:p>
    <w:p>
      <w:pPr>
        <w:spacing w:after="0" w:line="20" w:lineRule="exact"/>
        <w:rPr>
          <w:sz w:val="20"/>
          <w:szCs w:val="20"/>
          <w:color w:val="auto"/>
        </w:rPr>
      </w:pPr>
      <w:r>
        <w:rPr>
          <w:sz w:val="20"/>
          <w:szCs w:val="20"/>
          <w:color w:val="auto"/>
        </w:rPr>
        <w:br w:type="column"/>
      </w:r>
    </w:p>
    <w:p>
      <w:pPr>
        <w:ind w:right="120" w:firstLine="39"/>
        <w:spacing w:after="0" w:line="253" w:lineRule="auto"/>
        <w:rPr>
          <w:sz w:val="20"/>
          <w:szCs w:val="20"/>
          <w:color w:val="auto"/>
        </w:rPr>
      </w:pPr>
      <w:r>
        <w:rPr>
          <w:rFonts w:ascii="Times New Roman" w:cs="Times New Roman" w:eastAsia="Times New Roman" w:hAnsi="Times New Roman"/>
          <w:sz w:val="18"/>
          <w:szCs w:val="18"/>
          <w:color w:val="auto"/>
        </w:rPr>
        <w:t>Kent Kresa has been a member of our Board of Directors since June 2004 and served as Chairman of the Board from February 2017 until December 2020. From November 2011 until his appointment as our Chairman, Mr. Kresa served on our Board of Directors as our lead independent director. Mr. Kresa is Chairman Emeritus of Northrop Grumman Corporation, a defense company, and from September 1990 until October 2003, he was also its Chairman. He also served as Chief Executive Officer of Northrop Grumman Corporation from January 1990 until March 2003 and as its President from 1987 until September 2001. From 2003 to August 2010, Mr. Kresa served as a director of General Motors Company (or its predecessor). Mr. Kresa has also served on the boards of Fluor Corporation and Avery Dennison Corporation. Mr. Kresa has been a member of the Caltech Board of Trustees since 1994 and also serves on the boards of several non-profit organizations. As a graduate of Massachusetts Institute of Technology, he received a B.S. in 1959, an M.S. in 1961, and an E.A.A. in 1966, all in aeronautics and astronautics.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-1520190</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-1886585</wp:posOffset>
            </wp:positionH>
            <wp:positionV relativeFrom="paragraph">
              <wp:posOffset>287655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6" w:lineRule="exact"/>
        <w:rPr>
          <w:sz w:val="20"/>
          <w:szCs w:val="20"/>
          <w:color w:val="auto"/>
        </w:rPr>
      </w:pPr>
    </w:p>
    <w:p>
      <w:pPr>
        <w:sectPr>
          <w:pgSz w:w="11900" w:h="16838" w:orient="portrait"/>
          <w:cols w:equalWidth="0" w:num="2">
            <w:col w:w="2600" w:space="380"/>
            <w:col w:w="8260"/>
          </w:cols>
          <w:pgMar w:left="320" w:top="565" w:right="339" w:bottom="1440" w:gutter="0" w:footer="0" w:header="0"/>
          <w:type w:val="continuous"/>
        </w:sect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type w:val="continuous"/>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2500" w:type="dxa"/>
            <w:vAlign w:val="bottom"/>
            <w:tcBorders>
              <w:top w:val="single" w:sz="8" w:color="auto"/>
            </w:tcBorders>
          </w:tcPr>
          <w:p>
            <w:pPr>
              <w:spacing w:after="0"/>
              <w:rPr>
                <w:sz w:val="18"/>
                <w:szCs w:val="18"/>
                <w:color w:val="auto"/>
              </w:rPr>
            </w:pPr>
          </w:p>
        </w:tc>
        <w:tc>
          <w:tcPr>
            <w:tcW w:w="636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2380" w:type="dxa"/>
            <w:vAlign w:val="bottom"/>
            <w:tcBorders>
              <w:top w:val="single" w:sz="8" w:color="auto"/>
            </w:tcBorders>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Age: 54</w:t>
            </w:r>
          </w:p>
        </w:tc>
        <w:tc>
          <w:tcPr>
            <w:tcW w:w="0" w:type="dxa"/>
            <w:vAlign w:val="bottom"/>
          </w:tcPr>
          <w:p>
            <w:pPr>
              <w:spacing w:after="0"/>
              <w:rPr>
                <w:sz w:val="1"/>
                <w:szCs w:val="1"/>
                <w:color w:val="auto"/>
              </w:rPr>
            </w:pPr>
          </w:p>
        </w:tc>
      </w:tr>
      <w:tr>
        <w:trPr>
          <w:trHeight w:val="108"/>
        </w:trPr>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CHRISTINE MUNDKUR</w:t>
            </w:r>
          </w:p>
        </w:tc>
        <w:tc>
          <w:tcPr>
            <w:tcW w:w="6360" w:type="dxa"/>
            <w:vAlign w:val="bottom"/>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Member, Audit Committee and Nominating and Corporate Governance</w:t>
            </w:r>
          </w:p>
        </w:tc>
        <w:tc>
          <w:tcPr>
            <w:tcW w:w="23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500" w:type="dxa"/>
            <w:vAlign w:val="bottom"/>
            <w:vMerge w:val="continue"/>
          </w:tcPr>
          <w:p>
            <w:pPr>
              <w:spacing w:after="0"/>
              <w:rPr>
                <w:sz w:val="9"/>
                <w:szCs w:val="9"/>
                <w:color w:val="auto"/>
              </w:rPr>
            </w:pPr>
          </w:p>
        </w:tc>
        <w:tc>
          <w:tcPr>
            <w:tcW w:w="6360" w:type="dxa"/>
            <w:vAlign w:val="bottom"/>
            <w:vMerge w:val="continue"/>
          </w:tcPr>
          <w:p>
            <w:pPr>
              <w:spacing w:after="0"/>
              <w:rPr>
                <w:sz w:val="9"/>
                <w:szCs w:val="9"/>
                <w:color w:val="auto"/>
              </w:rPr>
            </w:pPr>
          </w:p>
        </w:tc>
        <w:tc>
          <w:tcPr>
            <w:tcW w:w="2380" w:type="dxa"/>
            <w:vAlign w:val="bottom"/>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Director since: 2018</w:t>
            </w:r>
          </w:p>
        </w:tc>
        <w:tc>
          <w:tcPr>
            <w:tcW w:w="0" w:type="dxa"/>
            <w:vAlign w:val="bottom"/>
          </w:tcPr>
          <w:p>
            <w:pPr>
              <w:spacing w:after="0"/>
              <w:rPr>
                <w:sz w:val="1"/>
                <w:szCs w:val="1"/>
                <w:color w:val="auto"/>
              </w:rPr>
            </w:pPr>
          </w:p>
        </w:tc>
      </w:tr>
      <w:tr>
        <w:trPr>
          <w:trHeight w:val="130"/>
        </w:trPr>
        <w:tc>
          <w:tcPr>
            <w:tcW w:w="2500" w:type="dxa"/>
            <w:vAlign w:val="bottom"/>
          </w:tcPr>
          <w:p>
            <w:pPr>
              <w:spacing w:after="0"/>
              <w:rPr>
                <w:sz w:val="11"/>
                <w:szCs w:val="11"/>
                <w:color w:val="auto"/>
              </w:rPr>
            </w:pPr>
          </w:p>
        </w:tc>
        <w:tc>
          <w:tcPr>
            <w:tcW w:w="6360" w:type="dxa"/>
            <w:vAlign w:val="bottom"/>
            <w:vMerge w:val="restart"/>
          </w:tcPr>
          <w:p>
            <w:pPr>
              <w:ind w:left="480"/>
              <w:spacing w:after="0"/>
              <w:rPr>
                <w:sz w:val="20"/>
                <w:szCs w:val="20"/>
                <w:color w:val="auto"/>
              </w:rPr>
            </w:pPr>
            <w:r>
              <w:rPr>
                <w:rFonts w:ascii="Times New Roman" w:cs="Times New Roman" w:eastAsia="Times New Roman" w:hAnsi="Times New Roman"/>
                <w:sz w:val="18"/>
                <w:szCs w:val="18"/>
                <w:b w:val="1"/>
                <w:bCs w:val="1"/>
                <w:color w:val="auto"/>
              </w:rPr>
              <w:t>Committee</w:t>
            </w: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500" w:type="dxa"/>
            <w:vAlign w:val="bottom"/>
          </w:tcPr>
          <w:p>
            <w:pPr>
              <w:spacing w:after="0"/>
              <w:rPr>
                <w:sz w:val="9"/>
                <w:szCs w:val="9"/>
                <w:color w:val="auto"/>
              </w:rPr>
            </w:pPr>
          </w:p>
        </w:tc>
        <w:tc>
          <w:tcPr>
            <w:tcW w:w="6360" w:type="dxa"/>
            <w:vAlign w:val="bottom"/>
            <w:vMerge w:val="continue"/>
          </w:tcPr>
          <w:p>
            <w:pPr>
              <w:spacing w:after="0"/>
              <w:rPr>
                <w:sz w:val="9"/>
                <w:szCs w:val="9"/>
                <w:color w:val="auto"/>
              </w:rPr>
            </w:pPr>
          </w:p>
        </w:tc>
        <w:tc>
          <w:tcPr>
            <w:tcW w:w="23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sectPr>
          <w:pgSz w:w="11900" w:h="16838" w:orient="portrait"/>
          <w:cols w:equalWidth="0" w:num="1">
            <w:col w:w="11240"/>
          </w:cols>
          <w:pgMar w:left="320" w:top="336" w:right="339" w:bottom="1440" w:gutter="0" w:footer="0" w:header="0"/>
        </w:sectPr>
      </w:pPr>
    </w:p>
    <w:p>
      <w:pPr>
        <w:ind w:left="20"/>
        <w:spacing w:after="0" w:line="253" w:lineRule="auto"/>
        <w:rPr>
          <w:sz w:val="20"/>
          <w:szCs w:val="20"/>
          <w:color w:val="auto"/>
        </w:rPr>
      </w:pPr>
      <w:r>
        <w:rPr>
          <w:rFonts w:ascii="Times New Roman" w:cs="Times New Roman" w:eastAsia="Times New Roman" w:hAnsi="Times New Roman"/>
          <w:sz w:val="18"/>
          <w:szCs w:val="18"/>
          <w:i w:val="1"/>
          <w:iCs w:val="1"/>
          <w:color w:val="auto"/>
        </w:rPr>
        <w:t>The Board believes that Ms. Mundkur’s business experience, including her experience as chair of the board and chief executive officer at a pharmaceutical company developing inhaled drugs, combined with her business acumen and judgment provide our Board with valuable operational expertise and leadership and qualify her to serve on our Board of Directors.</w:t>
      </w:r>
    </w:p>
    <w:p>
      <w:pPr>
        <w:spacing w:after="0" w:line="20" w:lineRule="exact"/>
        <w:rPr>
          <w:sz w:val="20"/>
          <w:szCs w:val="20"/>
          <w:color w:val="auto"/>
        </w:rPr>
      </w:pPr>
      <w:r>
        <w:rPr>
          <w:sz w:val="20"/>
          <w:szCs w:val="20"/>
          <w:color w:val="auto"/>
        </w:rPr>
        <w:br w:type="column"/>
      </w:r>
    </w:p>
    <w:p>
      <w:pPr>
        <w:ind w:right="120"/>
        <w:spacing w:after="0" w:line="252" w:lineRule="auto"/>
        <w:rPr>
          <w:sz w:val="20"/>
          <w:szCs w:val="20"/>
          <w:color w:val="auto"/>
        </w:rPr>
      </w:pPr>
      <w:r>
        <w:rPr>
          <w:rFonts w:ascii="Times New Roman" w:cs="Times New Roman" w:eastAsia="Times New Roman" w:hAnsi="Times New Roman"/>
          <w:sz w:val="18"/>
          <w:szCs w:val="18"/>
          <w:color w:val="auto"/>
        </w:rPr>
        <w:t>Christine Mundkur has been one of our directors since November 2018. Ms. Mundkur most recently served as Chief Executive Officer and non-voting Chairman of the Board of Directors for Impopharma Inc., a developer of complex formulations focused on inhaled pharmaceutical products, from February 2013 to February 2017. While at Impopharma, Ms. Mundkur led the transition of the company from a successful clinical research organization into a generic pharmaceutical inhalation development company. Her work included the internal development and filing of Abbreviated New Drug Applications for spray and inhalation products. Ms. Mundkur also previously served as President and Chief Executive Officer of the U.S. Division and Head of Commercial Operations for North America for Sandoz, Inc. from January 2009 to April 2010. She served as Chief Executive Officer of Barr Laboratories, Inc. from April 2008 to December 2008, where she started her career as quality and regulatory counsel in 1993. In addition, Ms. Mundkur has served as a strategic consultant advising several clients on global pharmaceutical business strategies. Ms. Mundkur currently serves on the board of directors of Cardinal Health Inc. and served on the board of directors of Lupin Limited from April 2019 through December 2022. Ms. Mundkur holds a J.D. from the St. Louis University School of Law and received her B.S. degree in chemistry from St. Louis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-1886585</wp:posOffset>
            </wp:positionH>
            <wp:positionV relativeFrom="paragraph">
              <wp:posOffset>-1928495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40" w:space="340"/>
            <w:col w:w="8260"/>
          </w:cols>
          <w:pgMar w:left="320" w:top="336" w:right="339" w:bottom="1440" w:gutter="0" w:footer="0" w:header="0"/>
          <w:type w:val="continuous"/>
        </w:sect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AND BOARD OF DIRECTORS RECOMMENDATION</w:t>
      </w:r>
    </w:p>
    <w:p>
      <w:pPr>
        <w:spacing w:after="0" w:line="121" w:lineRule="exact"/>
        <w:rPr>
          <w:sz w:val="20"/>
          <w:szCs w:val="20"/>
          <w:color w:val="auto"/>
        </w:rPr>
      </w:pPr>
    </w:p>
    <w:p>
      <w:pPr>
        <w:ind w:right="440" w:firstLine="416"/>
        <w:spacing w:after="0" w:line="282" w:lineRule="auto"/>
        <w:rPr>
          <w:sz w:val="20"/>
          <w:szCs w:val="20"/>
          <w:color w:val="auto"/>
        </w:rPr>
      </w:pPr>
      <w:r>
        <w:rPr>
          <w:rFonts w:ascii="Times New Roman" w:cs="Times New Roman" w:eastAsia="Times New Roman" w:hAnsi="Times New Roman"/>
          <w:sz w:val="18"/>
          <w:szCs w:val="18"/>
          <w:color w:val="auto"/>
        </w:rPr>
        <w:t>The nine nominees receiving the most “For” votes (among votes properly cast at the meeting or by proxy) will be elected. Only votes “For” will affect the outcome. Only the nine nominees named herein have been properly nominated for election as directors.</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VOTE “FOR” THE ELECTION OF ALL DIRECTOR NOMINEES NAMED ABOVE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CORPORATE GOVERNANCE PRINCIPLES AND BOARD AND COMMITTEE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Diversity</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Board Diversity Matrix, below, provides the diversity statistics for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508635</wp:posOffset>
            </wp:positionH>
            <wp:positionV relativeFrom="paragraph">
              <wp:posOffset>152400</wp:posOffset>
            </wp:positionV>
            <wp:extent cx="6133465" cy="1841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33465" cy="184150"/>
                    </a:xfrm>
                    <a:prstGeom prst="rect">
                      <a:avLst/>
                    </a:prstGeom>
                    <a:noFill/>
                  </pic:spPr>
                </pic:pic>
              </a:graphicData>
            </a:graphic>
          </wp:anchor>
        </w:drawing>
      </w: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Board Diversity Matrix (As of March 23, 2023)</w:t>
      </w:r>
    </w:p>
    <w:p>
      <w:pPr>
        <w:spacing w:after="0" w:line="35" w:lineRule="exact"/>
        <w:rPr>
          <w:sz w:val="20"/>
          <w:szCs w:val="20"/>
          <w:color w:val="auto"/>
        </w:rPr>
      </w:pPr>
    </w:p>
    <w:tbl>
      <w:tblPr>
        <w:tblLayout w:type="fixed"/>
        <w:tblInd w:w="760" w:type="dxa"/>
        <w:tblCellMar>
          <w:top w:w="0" w:type="dxa"/>
          <w:left w:w="0" w:type="dxa"/>
          <w:bottom w:w="0" w:type="dxa"/>
          <w:right w:w="0" w:type="dxa"/>
        </w:tblCellMar>
      </w:tblPr>
      <w:tr>
        <w:trPr>
          <w:trHeight w:val="267"/>
        </w:trPr>
        <w:tc>
          <w:tcPr>
            <w:tcW w:w="60" w:type="dxa"/>
            <w:vAlign w:val="bottom"/>
            <w:tcBorders>
              <w:right w:val="single" w:sz="8" w:color="auto"/>
            </w:tcBorders>
          </w:tcPr>
          <w:p>
            <w:pPr>
              <w:spacing w:after="0"/>
              <w:rPr>
                <w:sz w:val="23"/>
                <w:szCs w:val="23"/>
                <w:color w:val="auto"/>
              </w:rPr>
            </w:pPr>
          </w:p>
        </w:tc>
        <w:tc>
          <w:tcPr>
            <w:tcW w:w="4840" w:type="dxa"/>
            <w:vAlign w:val="bottom"/>
            <w:tcBorders>
              <w:top w:val="single" w:sz="8" w:color="auto"/>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Total Number of Directors</w:t>
            </w:r>
          </w:p>
        </w:tc>
        <w:tc>
          <w:tcPr>
            <w:tcW w:w="1120" w:type="dxa"/>
            <w:vAlign w:val="bottom"/>
            <w:tcBorders>
              <w:top w:val="single" w:sz="8" w:color="auto"/>
              <w:bottom w:val="single" w:sz="8" w:color="auto"/>
            </w:tcBorders>
          </w:tcPr>
          <w:p>
            <w:pPr>
              <w:spacing w:after="0"/>
              <w:rPr>
                <w:sz w:val="23"/>
                <w:szCs w:val="23"/>
                <w:color w:val="auto"/>
              </w:rPr>
            </w:pPr>
          </w:p>
        </w:tc>
        <w:tc>
          <w:tcPr>
            <w:tcW w:w="980" w:type="dxa"/>
            <w:vAlign w:val="bottom"/>
            <w:tcBorders>
              <w:top w:val="single" w:sz="8" w:color="auto"/>
              <w:bottom w:val="single" w:sz="8" w:color="auto"/>
            </w:tcBorders>
          </w:tcPr>
          <w:p>
            <w:pPr>
              <w:spacing w:after="0"/>
              <w:rPr>
                <w:sz w:val="23"/>
                <w:szCs w:val="23"/>
                <w:color w:val="auto"/>
              </w:rPr>
            </w:pPr>
          </w:p>
        </w:tc>
        <w:tc>
          <w:tcPr>
            <w:tcW w:w="1480" w:type="dxa"/>
            <w:vAlign w:val="bottom"/>
            <w:tcBorders>
              <w:top w:val="single" w:sz="8" w:color="auto"/>
              <w:bottom w:val="single" w:sz="8" w:color="auto"/>
            </w:tcBorders>
            <w:gridSpan w:val="2"/>
          </w:tcPr>
          <w:p>
            <w:pPr>
              <w:jc w:val="center"/>
              <w:ind w:right="830"/>
              <w:spacing w:after="0"/>
              <w:rPr>
                <w:sz w:val="20"/>
                <w:szCs w:val="20"/>
                <w:color w:val="auto"/>
              </w:rPr>
            </w:pPr>
            <w:r>
              <w:rPr>
                <w:rFonts w:ascii="Times New Roman" w:cs="Times New Roman" w:eastAsia="Times New Roman" w:hAnsi="Times New Roman"/>
                <w:sz w:val="18"/>
                <w:szCs w:val="18"/>
                <w:color w:val="auto"/>
                <w:w w:val="88"/>
              </w:rPr>
              <w:t>9</w:t>
            </w:r>
          </w:p>
        </w:tc>
        <w:tc>
          <w:tcPr>
            <w:tcW w:w="1220" w:type="dxa"/>
            <w:vAlign w:val="bottom"/>
            <w:tcBorders>
              <w:top w:val="single" w:sz="8" w:color="auto"/>
              <w:bottom w:val="single" w:sz="8" w:color="auto"/>
              <w:right w:val="single" w:sz="8" w:color="auto"/>
            </w:tcBorders>
          </w:tcPr>
          <w:p>
            <w:pPr>
              <w:spacing w:after="0"/>
              <w:rPr>
                <w:sz w:val="23"/>
                <w:szCs w:val="23"/>
                <w:color w:val="auto"/>
              </w:rPr>
            </w:pPr>
          </w:p>
        </w:tc>
      </w:tr>
      <w:tr>
        <w:trPr>
          <w:trHeight w:val="207"/>
        </w:trPr>
        <w:tc>
          <w:tcPr>
            <w:tcW w:w="60" w:type="dxa"/>
            <w:vAlign w:val="bottom"/>
            <w:tcBorders>
              <w:right w:val="single" w:sz="8" w:color="auto"/>
            </w:tcBorders>
          </w:tcPr>
          <w:p>
            <w:pPr>
              <w:spacing w:after="0"/>
              <w:rPr>
                <w:sz w:val="18"/>
                <w:szCs w:val="18"/>
                <w:color w:val="auto"/>
              </w:rPr>
            </w:pPr>
          </w:p>
        </w:tc>
        <w:tc>
          <w:tcPr>
            <w:tcW w:w="2520" w:type="dxa"/>
            <w:vAlign w:val="bottom"/>
            <w:shd w:val="clear" w:color="auto" w:fill="D9D9D9"/>
          </w:tcPr>
          <w:p>
            <w:pPr>
              <w:spacing w:after="0"/>
              <w:rPr>
                <w:sz w:val="18"/>
                <w:szCs w:val="18"/>
                <w:color w:val="auto"/>
              </w:rPr>
            </w:pPr>
          </w:p>
        </w:tc>
        <w:tc>
          <w:tcPr>
            <w:tcW w:w="2320" w:type="dxa"/>
            <w:vAlign w:val="bottom"/>
            <w:tcBorders>
              <w:right w:val="single" w:sz="8" w:color="auto"/>
            </w:tcBorders>
            <w:shd w:val="clear" w:color="auto" w:fill="D9D9D9"/>
          </w:tcPr>
          <w:p>
            <w:pPr>
              <w:spacing w:after="0"/>
              <w:rPr>
                <w:sz w:val="18"/>
                <w:szCs w:val="18"/>
                <w:color w:val="auto"/>
              </w:rPr>
            </w:pPr>
          </w:p>
        </w:tc>
        <w:tc>
          <w:tcPr>
            <w:tcW w:w="1120" w:type="dxa"/>
            <w:vAlign w:val="bottom"/>
            <w:tcBorders>
              <w:right w:val="single" w:sz="8" w:color="auto"/>
            </w:tcBorders>
            <w:shd w:val="clear" w:color="auto" w:fill="D9D9D9"/>
          </w:tcPr>
          <w:p>
            <w:pPr>
              <w:ind w:left="260"/>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980" w:type="dxa"/>
            <w:vAlign w:val="bottom"/>
            <w:shd w:val="clear" w:color="auto" w:fill="D9D9D9"/>
          </w:tcPr>
          <w:p>
            <w:pPr>
              <w:ind w:left="400"/>
              <w:spacing w:after="0"/>
              <w:rPr>
                <w:sz w:val="20"/>
                <w:szCs w:val="20"/>
                <w:color w:val="auto"/>
              </w:rPr>
            </w:pPr>
            <w:r>
              <w:rPr>
                <w:rFonts w:ascii="Times New Roman" w:cs="Times New Roman" w:eastAsia="Times New Roman" w:hAnsi="Times New Roman"/>
                <w:sz w:val="18"/>
                <w:szCs w:val="18"/>
                <w:b w:val="1"/>
                <w:bCs w:val="1"/>
                <w:color w:val="auto"/>
              </w:rPr>
              <w:t>Male</w:t>
            </w:r>
          </w:p>
        </w:tc>
        <w:tc>
          <w:tcPr>
            <w:tcW w:w="240" w:type="dxa"/>
            <w:vAlign w:val="bottom"/>
            <w:tcBorders>
              <w:right w:val="single" w:sz="8" w:color="auto"/>
            </w:tcBorders>
            <w:shd w:val="clear" w:color="auto" w:fill="D9D9D9"/>
          </w:tcPr>
          <w:p>
            <w:pPr>
              <w:spacing w:after="0"/>
              <w:rPr>
                <w:sz w:val="18"/>
                <w:szCs w:val="18"/>
                <w:color w:val="auto"/>
              </w:rPr>
            </w:pPr>
          </w:p>
        </w:tc>
        <w:tc>
          <w:tcPr>
            <w:tcW w:w="124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2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Did Not</w:t>
            </w:r>
          </w:p>
        </w:tc>
      </w:tr>
      <w:tr>
        <w:trPr>
          <w:trHeight w:val="216"/>
        </w:trPr>
        <w:tc>
          <w:tcPr>
            <w:tcW w:w="60" w:type="dxa"/>
            <w:vAlign w:val="bottom"/>
            <w:tcBorders>
              <w:right w:val="single" w:sz="8" w:color="auto"/>
            </w:tcBorders>
          </w:tcPr>
          <w:p>
            <w:pPr>
              <w:spacing w:after="0"/>
              <w:rPr>
                <w:sz w:val="18"/>
                <w:szCs w:val="18"/>
                <w:color w:val="auto"/>
              </w:rPr>
            </w:pPr>
          </w:p>
        </w:tc>
        <w:tc>
          <w:tcPr>
            <w:tcW w:w="2520" w:type="dxa"/>
            <w:vAlign w:val="bottom"/>
            <w:shd w:val="clear" w:color="auto" w:fill="D9D9D9"/>
          </w:tcPr>
          <w:p>
            <w:pPr>
              <w:spacing w:after="0"/>
              <w:rPr>
                <w:sz w:val="18"/>
                <w:szCs w:val="18"/>
                <w:color w:val="auto"/>
              </w:rPr>
            </w:pPr>
          </w:p>
        </w:tc>
        <w:tc>
          <w:tcPr>
            <w:tcW w:w="2320" w:type="dxa"/>
            <w:vAlign w:val="bottom"/>
            <w:tcBorders>
              <w:right w:val="single" w:sz="8" w:color="auto"/>
            </w:tcBorders>
            <w:shd w:val="clear" w:color="auto" w:fill="D9D9D9"/>
          </w:tcPr>
          <w:p>
            <w:pPr>
              <w:spacing w:after="0"/>
              <w:rPr>
                <w:sz w:val="18"/>
                <w:szCs w:val="18"/>
                <w:color w:val="auto"/>
              </w:rPr>
            </w:pPr>
          </w:p>
        </w:tc>
        <w:tc>
          <w:tcPr>
            <w:tcW w:w="1120" w:type="dxa"/>
            <w:vAlign w:val="bottom"/>
            <w:tcBorders>
              <w:right w:val="single" w:sz="8" w:color="auto"/>
            </w:tcBorders>
            <w:shd w:val="clear" w:color="auto" w:fill="D9D9D9"/>
          </w:tcPr>
          <w:p>
            <w:pPr>
              <w:spacing w:after="0"/>
              <w:rPr>
                <w:sz w:val="18"/>
                <w:szCs w:val="18"/>
                <w:color w:val="auto"/>
              </w:rPr>
            </w:pPr>
          </w:p>
        </w:tc>
        <w:tc>
          <w:tcPr>
            <w:tcW w:w="980" w:type="dxa"/>
            <w:vAlign w:val="bottom"/>
            <w:shd w:val="clear" w:color="auto" w:fill="D9D9D9"/>
          </w:tcPr>
          <w:p>
            <w:pPr>
              <w:spacing w:after="0"/>
              <w:rPr>
                <w:sz w:val="18"/>
                <w:szCs w:val="18"/>
                <w:color w:val="auto"/>
              </w:rPr>
            </w:pPr>
          </w:p>
        </w:tc>
        <w:tc>
          <w:tcPr>
            <w:tcW w:w="240" w:type="dxa"/>
            <w:vAlign w:val="bottom"/>
            <w:tcBorders>
              <w:right w:val="single" w:sz="8" w:color="auto"/>
            </w:tcBorders>
            <w:shd w:val="clear" w:color="auto" w:fill="D9D9D9"/>
          </w:tcPr>
          <w:p>
            <w:pPr>
              <w:spacing w:after="0"/>
              <w:rPr>
                <w:sz w:val="18"/>
                <w:szCs w:val="18"/>
                <w:color w:val="auto"/>
              </w:rPr>
            </w:pPr>
          </w:p>
        </w:tc>
        <w:tc>
          <w:tcPr>
            <w:tcW w:w="124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Binary</w:t>
            </w:r>
          </w:p>
        </w:tc>
        <w:tc>
          <w:tcPr>
            <w:tcW w:w="1220" w:type="dxa"/>
            <w:vAlign w:val="bottom"/>
            <w:tcBorders>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Disclose</w:t>
            </w:r>
          </w:p>
        </w:tc>
      </w:tr>
      <w:tr>
        <w:trPr>
          <w:trHeight w:val="245"/>
        </w:trPr>
        <w:tc>
          <w:tcPr>
            <w:tcW w:w="60" w:type="dxa"/>
            <w:vAlign w:val="bottom"/>
            <w:tcBorders>
              <w:right w:val="single" w:sz="8" w:color="auto"/>
            </w:tcBorders>
          </w:tcPr>
          <w:p>
            <w:pPr>
              <w:spacing w:after="0"/>
              <w:rPr>
                <w:sz w:val="21"/>
                <w:szCs w:val="21"/>
                <w:color w:val="auto"/>
              </w:rPr>
            </w:pPr>
          </w:p>
        </w:tc>
        <w:tc>
          <w:tcPr>
            <w:tcW w:w="2520" w:type="dxa"/>
            <w:vAlign w:val="bottom"/>
            <w:tcBorders>
              <w:bottom w:val="single" w:sz="8" w:color="auto"/>
            </w:tcBorders>
            <w:shd w:val="clear" w:color="auto" w:fill="D9D9D9"/>
          </w:tcPr>
          <w:p>
            <w:pPr>
              <w:spacing w:after="0"/>
              <w:rPr>
                <w:sz w:val="21"/>
                <w:szCs w:val="21"/>
                <w:color w:val="auto"/>
              </w:rPr>
            </w:pPr>
          </w:p>
        </w:tc>
        <w:tc>
          <w:tcPr>
            <w:tcW w:w="2320" w:type="dxa"/>
            <w:vAlign w:val="bottom"/>
            <w:tcBorders>
              <w:bottom w:val="single" w:sz="8" w:color="auto"/>
              <w:right w:val="single" w:sz="8" w:color="auto"/>
            </w:tcBorders>
            <w:shd w:val="clear" w:color="auto" w:fill="D9D9D9"/>
          </w:tcPr>
          <w:p>
            <w:pPr>
              <w:spacing w:after="0"/>
              <w:rPr>
                <w:sz w:val="21"/>
                <w:szCs w:val="21"/>
                <w:color w:val="auto"/>
              </w:rPr>
            </w:pPr>
          </w:p>
        </w:tc>
        <w:tc>
          <w:tcPr>
            <w:tcW w:w="1120" w:type="dxa"/>
            <w:vAlign w:val="bottom"/>
            <w:tcBorders>
              <w:bottom w:val="single" w:sz="8" w:color="auto"/>
              <w:right w:val="single" w:sz="8" w:color="auto"/>
            </w:tcBorders>
            <w:shd w:val="clear" w:color="auto" w:fill="D9D9D9"/>
          </w:tcPr>
          <w:p>
            <w:pPr>
              <w:spacing w:after="0"/>
              <w:rPr>
                <w:sz w:val="21"/>
                <w:szCs w:val="21"/>
                <w:color w:val="auto"/>
              </w:rPr>
            </w:pPr>
          </w:p>
        </w:tc>
        <w:tc>
          <w:tcPr>
            <w:tcW w:w="980" w:type="dxa"/>
            <w:vAlign w:val="bottom"/>
            <w:tcBorders>
              <w:bottom w:val="single" w:sz="8" w:color="auto"/>
            </w:tcBorders>
            <w:shd w:val="clear" w:color="auto" w:fill="D9D9D9"/>
          </w:tcPr>
          <w:p>
            <w:pPr>
              <w:spacing w:after="0"/>
              <w:rPr>
                <w:sz w:val="21"/>
                <w:szCs w:val="21"/>
                <w:color w:val="auto"/>
              </w:rPr>
            </w:pPr>
          </w:p>
        </w:tc>
        <w:tc>
          <w:tcPr>
            <w:tcW w:w="240" w:type="dxa"/>
            <w:vAlign w:val="bottom"/>
            <w:tcBorders>
              <w:bottom w:val="single" w:sz="8" w:color="auto"/>
              <w:right w:val="single" w:sz="8" w:color="auto"/>
            </w:tcBorders>
            <w:shd w:val="clear" w:color="auto" w:fill="D9D9D9"/>
          </w:tcPr>
          <w:p>
            <w:pPr>
              <w:spacing w:after="0"/>
              <w:rPr>
                <w:sz w:val="21"/>
                <w:szCs w:val="21"/>
                <w:color w:val="auto"/>
              </w:rPr>
            </w:pPr>
          </w:p>
        </w:tc>
        <w:tc>
          <w:tcPr>
            <w:tcW w:w="1240" w:type="dxa"/>
            <w:vAlign w:val="bottom"/>
            <w:tcBorders>
              <w:bottom w:val="single" w:sz="8" w:color="auto"/>
              <w:right w:val="single" w:sz="8" w:color="auto"/>
            </w:tcBorders>
            <w:shd w:val="clear" w:color="auto" w:fill="D9D9D9"/>
          </w:tcPr>
          <w:p>
            <w:pPr>
              <w:spacing w:after="0"/>
              <w:rPr>
                <w:sz w:val="21"/>
                <w:szCs w:val="21"/>
                <w:color w:val="auto"/>
              </w:rPr>
            </w:pPr>
          </w:p>
        </w:tc>
        <w:tc>
          <w:tcPr>
            <w:tcW w:w="12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Gender</w:t>
            </w:r>
          </w:p>
        </w:tc>
      </w:tr>
      <w:tr>
        <w:trPr>
          <w:trHeight w:val="250"/>
        </w:trPr>
        <w:tc>
          <w:tcPr>
            <w:tcW w:w="60" w:type="dxa"/>
            <w:vAlign w:val="bottom"/>
            <w:tcBorders>
              <w:right w:val="single" w:sz="8" w:color="auto"/>
            </w:tcBorders>
          </w:tcPr>
          <w:p>
            <w:pPr>
              <w:spacing w:after="0"/>
              <w:rPr>
                <w:sz w:val="21"/>
                <w:szCs w:val="21"/>
                <w:color w:val="auto"/>
              </w:rPr>
            </w:pPr>
          </w:p>
        </w:tc>
        <w:tc>
          <w:tcPr>
            <w:tcW w:w="4840" w:type="dxa"/>
            <w:vAlign w:val="bottom"/>
            <w:tcBorders>
              <w:bottom w:val="single" w:sz="8" w:color="auto"/>
              <w:right w:val="single" w:sz="8" w:color="auto"/>
            </w:tcBorders>
            <w:gridSpan w:val="2"/>
            <w:shd w:val="clear" w:color="auto" w:fill="D9D9D9"/>
          </w:tcPr>
          <w:p>
            <w:pPr>
              <w:ind w:left="28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120" w:type="dxa"/>
            <w:vAlign w:val="bottom"/>
            <w:tcBorders>
              <w:bottom w:val="single" w:sz="8" w:color="auto"/>
              <w:right w:val="single" w:sz="8" w:color="auto"/>
            </w:tcBorders>
            <w:shd w:val="clear" w:color="auto" w:fill="D9D9D9"/>
          </w:tcPr>
          <w:p>
            <w:pPr>
              <w:spacing w:after="0"/>
              <w:rPr>
                <w:sz w:val="21"/>
                <w:szCs w:val="21"/>
                <w:color w:val="auto"/>
              </w:rPr>
            </w:pPr>
          </w:p>
        </w:tc>
        <w:tc>
          <w:tcPr>
            <w:tcW w:w="980" w:type="dxa"/>
            <w:vAlign w:val="bottom"/>
            <w:tcBorders>
              <w:bottom w:val="single" w:sz="8" w:color="auto"/>
            </w:tcBorders>
            <w:shd w:val="clear" w:color="auto" w:fill="D9D9D9"/>
          </w:tcPr>
          <w:p>
            <w:pPr>
              <w:spacing w:after="0"/>
              <w:rPr>
                <w:sz w:val="21"/>
                <w:szCs w:val="21"/>
                <w:color w:val="auto"/>
              </w:rPr>
            </w:pPr>
          </w:p>
        </w:tc>
        <w:tc>
          <w:tcPr>
            <w:tcW w:w="240" w:type="dxa"/>
            <w:vAlign w:val="bottom"/>
            <w:tcBorders>
              <w:bottom w:val="single" w:sz="8" w:color="auto"/>
              <w:right w:val="single" w:sz="8" w:color="auto"/>
            </w:tcBorders>
            <w:shd w:val="clear" w:color="auto" w:fill="D9D9D9"/>
          </w:tcPr>
          <w:p>
            <w:pPr>
              <w:spacing w:after="0"/>
              <w:rPr>
                <w:sz w:val="21"/>
                <w:szCs w:val="21"/>
                <w:color w:val="auto"/>
              </w:rPr>
            </w:pPr>
          </w:p>
        </w:tc>
        <w:tc>
          <w:tcPr>
            <w:tcW w:w="1240" w:type="dxa"/>
            <w:vAlign w:val="bottom"/>
            <w:tcBorders>
              <w:bottom w:val="single" w:sz="8" w:color="auto"/>
              <w:right w:val="single" w:sz="8" w:color="auto"/>
            </w:tcBorders>
            <w:shd w:val="clear" w:color="auto" w:fill="D9D9D9"/>
          </w:tcPr>
          <w:p>
            <w:pPr>
              <w:spacing w:after="0"/>
              <w:rPr>
                <w:sz w:val="21"/>
                <w:szCs w:val="21"/>
                <w:color w:val="auto"/>
              </w:rPr>
            </w:pPr>
          </w:p>
        </w:tc>
        <w:tc>
          <w:tcPr>
            <w:tcW w:w="1220" w:type="dxa"/>
            <w:vAlign w:val="bottom"/>
            <w:tcBorders>
              <w:bottom w:val="single" w:sz="8" w:color="auto"/>
              <w:right w:val="single" w:sz="8" w:color="auto"/>
            </w:tcBorders>
            <w:shd w:val="clear" w:color="auto" w:fill="D9D9D9"/>
          </w:tcPr>
          <w:p>
            <w:pPr>
              <w:spacing w:after="0"/>
              <w:rPr>
                <w:sz w:val="21"/>
                <w:szCs w:val="21"/>
                <w:color w:val="auto"/>
              </w:rPr>
            </w:pPr>
          </w:p>
        </w:tc>
      </w:tr>
      <w:tr>
        <w:trPr>
          <w:trHeight w:val="250"/>
        </w:trPr>
        <w:tc>
          <w:tcPr>
            <w:tcW w:w="60" w:type="dxa"/>
            <w:vAlign w:val="bottom"/>
            <w:tcBorders>
              <w:right w:val="single" w:sz="8" w:color="auto"/>
            </w:tcBorders>
          </w:tcPr>
          <w:p>
            <w:pPr>
              <w:spacing w:after="0"/>
              <w:rPr>
                <w:sz w:val="21"/>
                <w:szCs w:val="21"/>
                <w:color w:val="auto"/>
              </w:rPr>
            </w:pPr>
          </w:p>
        </w:tc>
        <w:tc>
          <w:tcPr>
            <w:tcW w:w="484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Directors</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9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Borders>
              <w:bottom w:val="single" w:sz="8" w:color="auto"/>
              <w:right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50"/>
        </w:trPr>
        <w:tc>
          <w:tcPr>
            <w:tcW w:w="60" w:type="dxa"/>
            <w:vAlign w:val="bottom"/>
            <w:tcBorders>
              <w:right w:val="single" w:sz="8" w:color="auto"/>
            </w:tcBorders>
          </w:tcPr>
          <w:p>
            <w:pPr>
              <w:spacing w:after="0"/>
              <w:rPr>
                <w:sz w:val="21"/>
                <w:szCs w:val="21"/>
                <w:color w:val="auto"/>
              </w:rPr>
            </w:pPr>
          </w:p>
        </w:tc>
        <w:tc>
          <w:tcPr>
            <w:tcW w:w="4840" w:type="dxa"/>
            <w:vAlign w:val="bottom"/>
            <w:tcBorders>
              <w:bottom w:val="single" w:sz="8" w:color="auto"/>
              <w:right w:val="single" w:sz="8" w:color="auto"/>
            </w:tcBorders>
            <w:gridSpan w:val="2"/>
            <w:shd w:val="clear" w:color="auto" w:fill="D9D9D9"/>
          </w:tcPr>
          <w:p>
            <w:pPr>
              <w:ind w:left="280"/>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1120" w:type="dxa"/>
            <w:vAlign w:val="bottom"/>
            <w:tcBorders>
              <w:bottom w:val="single" w:sz="8" w:color="auto"/>
              <w:right w:val="single" w:sz="8" w:color="auto"/>
            </w:tcBorders>
            <w:shd w:val="clear" w:color="auto" w:fill="D9D9D9"/>
          </w:tcPr>
          <w:p>
            <w:pPr>
              <w:spacing w:after="0"/>
              <w:rPr>
                <w:sz w:val="21"/>
                <w:szCs w:val="21"/>
                <w:color w:val="auto"/>
              </w:rPr>
            </w:pPr>
          </w:p>
        </w:tc>
        <w:tc>
          <w:tcPr>
            <w:tcW w:w="980" w:type="dxa"/>
            <w:vAlign w:val="bottom"/>
            <w:tcBorders>
              <w:bottom w:val="single" w:sz="8" w:color="auto"/>
            </w:tcBorders>
            <w:shd w:val="clear" w:color="auto" w:fill="D9D9D9"/>
          </w:tcPr>
          <w:p>
            <w:pPr>
              <w:spacing w:after="0"/>
              <w:rPr>
                <w:sz w:val="21"/>
                <w:szCs w:val="21"/>
                <w:color w:val="auto"/>
              </w:rPr>
            </w:pPr>
          </w:p>
        </w:tc>
        <w:tc>
          <w:tcPr>
            <w:tcW w:w="240" w:type="dxa"/>
            <w:vAlign w:val="bottom"/>
            <w:tcBorders>
              <w:bottom w:val="single" w:sz="8" w:color="auto"/>
              <w:right w:val="single" w:sz="8" w:color="auto"/>
            </w:tcBorders>
            <w:shd w:val="clear" w:color="auto" w:fill="D9D9D9"/>
          </w:tcPr>
          <w:p>
            <w:pPr>
              <w:spacing w:after="0"/>
              <w:rPr>
                <w:sz w:val="21"/>
                <w:szCs w:val="21"/>
                <w:color w:val="auto"/>
              </w:rPr>
            </w:pPr>
          </w:p>
        </w:tc>
        <w:tc>
          <w:tcPr>
            <w:tcW w:w="1240" w:type="dxa"/>
            <w:vAlign w:val="bottom"/>
            <w:tcBorders>
              <w:bottom w:val="single" w:sz="8" w:color="auto"/>
              <w:right w:val="single" w:sz="8" w:color="auto"/>
            </w:tcBorders>
            <w:shd w:val="clear" w:color="auto" w:fill="D9D9D9"/>
          </w:tcPr>
          <w:p>
            <w:pPr>
              <w:spacing w:after="0"/>
              <w:rPr>
                <w:sz w:val="21"/>
                <w:szCs w:val="21"/>
                <w:color w:val="auto"/>
              </w:rPr>
            </w:pPr>
          </w:p>
        </w:tc>
        <w:tc>
          <w:tcPr>
            <w:tcW w:w="1220" w:type="dxa"/>
            <w:vAlign w:val="bottom"/>
            <w:tcBorders>
              <w:bottom w:val="single" w:sz="8" w:color="auto"/>
              <w:right w:val="single" w:sz="8" w:color="auto"/>
            </w:tcBorders>
            <w:shd w:val="clear" w:color="auto" w:fill="D9D9D9"/>
          </w:tcPr>
          <w:p>
            <w:pPr>
              <w:spacing w:after="0"/>
              <w:rPr>
                <w:sz w:val="21"/>
                <w:szCs w:val="21"/>
                <w:color w:val="auto"/>
              </w:rPr>
            </w:pPr>
          </w:p>
        </w:tc>
      </w:tr>
      <w:tr>
        <w:trPr>
          <w:trHeight w:val="239"/>
        </w:trPr>
        <w:tc>
          <w:tcPr>
            <w:tcW w:w="60" w:type="dxa"/>
            <w:vAlign w:val="bottom"/>
            <w:tcBorders>
              <w:right w:val="single" w:sz="8" w:color="auto"/>
            </w:tcBorders>
          </w:tcPr>
          <w:p>
            <w:pPr>
              <w:spacing w:after="0"/>
              <w:rPr>
                <w:sz w:val="20"/>
                <w:szCs w:val="20"/>
                <w:color w:val="auto"/>
              </w:rPr>
            </w:pPr>
          </w:p>
        </w:tc>
        <w:tc>
          <w:tcPr>
            <w:tcW w:w="484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African American or Black</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60" w:type="dxa"/>
            <w:vAlign w:val="bottom"/>
            <w:tcBorders>
              <w:right w:val="single" w:sz="8" w:color="auto"/>
            </w:tcBorders>
          </w:tcPr>
          <w:p>
            <w:pPr>
              <w:spacing w:after="0"/>
              <w:rPr>
                <w:sz w:val="20"/>
                <w:szCs w:val="20"/>
                <w:color w:val="auto"/>
              </w:rPr>
            </w:pPr>
          </w:p>
        </w:tc>
        <w:tc>
          <w:tcPr>
            <w:tcW w:w="484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60" w:type="dxa"/>
            <w:vAlign w:val="bottom"/>
            <w:tcBorders>
              <w:right w:val="single" w:sz="8" w:color="auto"/>
            </w:tcBorders>
          </w:tcPr>
          <w:p>
            <w:pPr>
              <w:spacing w:after="0"/>
              <w:rPr>
                <w:sz w:val="20"/>
                <w:szCs w:val="20"/>
                <w:color w:val="auto"/>
              </w:rPr>
            </w:pPr>
          </w:p>
        </w:tc>
        <w:tc>
          <w:tcPr>
            <w:tcW w:w="484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Asian</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9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60" w:type="dxa"/>
            <w:vAlign w:val="bottom"/>
            <w:tcBorders>
              <w:right w:val="single" w:sz="8" w:color="auto"/>
            </w:tcBorders>
          </w:tcPr>
          <w:p>
            <w:pPr>
              <w:spacing w:after="0"/>
              <w:rPr>
                <w:sz w:val="20"/>
                <w:szCs w:val="20"/>
                <w:color w:val="auto"/>
              </w:rPr>
            </w:pPr>
          </w:p>
        </w:tc>
        <w:tc>
          <w:tcPr>
            <w:tcW w:w="484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Hispanic or Latinx</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6"/>
        </w:trPr>
        <w:tc>
          <w:tcPr>
            <w:tcW w:w="60" w:type="dxa"/>
            <w:vAlign w:val="bottom"/>
            <w:tcBorders>
              <w:right w:val="single" w:sz="8" w:color="auto"/>
            </w:tcBorders>
          </w:tcPr>
          <w:p>
            <w:pPr>
              <w:spacing w:after="0"/>
              <w:rPr>
                <w:sz w:val="20"/>
                <w:szCs w:val="20"/>
                <w:color w:val="auto"/>
              </w:rPr>
            </w:pPr>
          </w:p>
        </w:tc>
        <w:tc>
          <w:tcPr>
            <w:tcW w:w="484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60" w:type="dxa"/>
            <w:vAlign w:val="bottom"/>
            <w:tcBorders>
              <w:right w:val="single" w:sz="8" w:color="auto"/>
            </w:tcBorders>
          </w:tcPr>
          <w:p>
            <w:pPr>
              <w:spacing w:after="0"/>
              <w:rPr>
                <w:sz w:val="20"/>
                <w:szCs w:val="20"/>
                <w:color w:val="auto"/>
              </w:rPr>
            </w:pPr>
          </w:p>
        </w:tc>
        <w:tc>
          <w:tcPr>
            <w:tcW w:w="484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White</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9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60" w:type="dxa"/>
            <w:vAlign w:val="bottom"/>
            <w:tcBorders>
              <w:right w:val="single" w:sz="8" w:color="auto"/>
            </w:tcBorders>
          </w:tcPr>
          <w:p>
            <w:pPr>
              <w:spacing w:after="0"/>
              <w:rPr>
                <w:sz w:val="20"/>
                <w:szCs w:val="20"/>
                <w:color w:val="auto"/>
              </w:rPr>
            </w:pPr>
          </w:p>
        </w:tc>
        <w:tc>
          <w:tcPr>
            <w:tcW w:w="484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Borders>
              <w:bottom w:val="single" w:sz="8" w:color="auto"/>
            </w:tcBorders>
          </w:tcPr>
          <w:p>
            <w:pPr>
              <w:jc w:val="center"/>
              <w:ind w:left="110"/>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37"/>
        </w:trPr>
        <w:tc>
          <w:tcPr>
            <w:tcW w:w="60" w:type="dxa"/>
            <w:vAlign w:val="bottom"/>
            <w:tcBorders>
              <w:right w:val="single" w:sz="8" w:color="auto"/>
            </w:tcBorders>
          </w:tcPr>
          <w:p>
            <w:pPr>
              <w:spacing w:after="0"/>
              <w:rPr>
                <w:sz w:val="20"/>
                <w:szCs w:val="20"/>
                <w:color w:val="auto"/>
              </w:rPr>
            </w:pPr>
          </w:p>
        </w:tc>
        <w:tc>
          <w:tcPr>
            <w:tcW w:w="484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LGBTQ+</w:t>
            </w:r>
          </w:p>
        </w:tc>
        <w:tc>
          <w:tcPr>
            <w:tcW w:w="1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jc w:val="center"/>
              <w:ind w:right="850"/>
              <w:spacing w:after="0"/>
              <w:rPr>
                <w:sz w:val="20"/>
                <w:szCs w:val="20"/>
                <w:color w:val="auto"/>
              </w:rPr>
            </w:pPr>
            <w:r>
              <w:rPr>
                <w:rFonts w:ascii="Times New Roman" w:cs="Times New Roman" w:eastAsia="Times New Roman" w:hAnsi="Times New Roman"/>
                <w:sz w:val="18"/>
                <w:szCs w:val="18"/>
                <w:color w:val="auto"/>
                <w:w w:val="99"/>
              </w:rPr>
              <w:t>—</w:t>
            </w:r>
          </w:p>
        </w:tc>
        <w:tc>
          <w:tcPr>
            <w:tcW w:w="1220" w:type="dxa"/>
            <w:vAlign w:val="bottom"/>
            <w:tcBorders>
              <w:bottom w:val="single" w:sz="8" w:color="auto"/>
              <w:right w:val="single" w:sz="8" w:color="auto"/>
            </w:tcBorders>
          </w:tcPr>
          <w:p>
            <w:pPr>
              <w:spacing w:after="0"/>
              <w:rPr>
                <w:sz w:val="20"/>
                <w:szCs w:val="20"/>
                <w:color w:val="auto"/>
              </w:rPr>
            </w:pPr>
          </w:p>
        </w:tc>
      </w:tr>
      <w:tr>
        <w:trPr>
          <w:trHeight w:val="248"/>
        </w:trPr>
        <w:tc>
          <w:tcPr>
            <w:tcW w:w="60" w:type="dxa"/>
            <w:vAlign w:val="bottom"/>
            <w:tcBorders>
              <w:right w:val="single" w:sz="8" w:color="auto"/>
            </w:tcBorders>
          </w:tcPr>
          <w:p>
            <w:pPr>
              <w:spacing w:after="0"/>
              <w:rPr>
                <w:sz w:val="21"/>
                <w:szCs w:val="21"/>
                <w:color w:val="auto"/>
              </w:rPr>
            </w:pPr>
          </w:p>
        </w:tc>
        <w:tc>
          <w:tcPr>
            <w:tcW w:w="4840" w:type="dxa"/>
            <w:vAlign w:val="bottom"/>
            <w:tcBorders>
              <w:bottom w:val="single" w:sz="8" w:color="auto"/>
              <w:right w:val="single" w:sz="8" w:color="auto"/>
            </w:tcBorders>
            <w:gridSpan w:val="2"/>
          </w:tcPr>
          <w:p>
            <w:pPr>
              <w:ind w:left="28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2"/>
          </w:tcPr>
          <w:p>
            <w:pPr>
              <w:jc w:val="center"/>
              <w:ind w:right="830"/>
              <w:spacing w:after="0"/>
              <w:rPr>
                <w:sz w:val="20"/>
                <w:szCs w:val="20"/>
                <w:color w:val="auto"/>
              </w:rPr>
            </w:pPr>
            <w:r>
              <w:rPr>
                <w:rFonts w:ascii="Times New Roman" w:cs="Times New Roman" w:eastAsia="Times New Roman" w:hAnsi="Times New Roman"/>
                <w:sz w:val="18"/>
                <w:szCs w:val="18"/>
                <w:color w:val="auto"/>
                <w:w w:val="88"/>
              </w:rPr>
              <w:t>1</w:t>
            </w:r>
          </w:p>
        </w:tc>
        <w:tc>
          <w:tcPr>
            <w:tcW w:w="1220" w:type="dxa"/>
            <w:vAlign w:val="bottom"/>
            <w:tcBorders>
              <w:bottom w:val="single" w:sz="8" w:color="auto"/>
              <w:right w:val="single" w:sz="8" w:color="auto"/>
            </w:tcBorders>
          </w:tcPr>
          <w:p>
            <w:pPr>
              <w:spacing w:after="0"/>
              <w:rPr>
                <w:sz w:val="21"/>
                <w:szCs w:val="21"/>
                <w:color w:val="auto"/>
              </w:rPr>
            </w:pPr>
          </w:p>
        </w:tc>
      </w:tr>
      <w:tr>
        <w:trPr>
          <w:trHeight w:val="135"/>
        </w:trPr>
        <w:tc>
          <w:tcPr>
            <w:tcW w:w="6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tcPr>
          <w:p>
            <w:pPr>
              <w:spacing w:after="0"/>
              <w:rPr>
                <w:sz w:val="11"/>
                <w:szCs w:val="11"/>
                <w:color w:val="auto"/>
              </w:rPr>
            </w:pPr>
          </w:p>
        </w:tc>
        <w:tc>
          <w:tcPr>
            <w:tcW w:w="2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20" w:type="dxa"/>
            <w:vAlign w:val="bottom"/>
          </w:tcPr>
          <w:p>
            <w:pPr>
              <w:spacing w:after="0"/>
              <w:rPr>
                <w:sz w:val="11"/>
                <w:szCs w:val="11"/>
                <w:color w:val="auto"/>
              </w:rPr>
            </w:pP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121" w:lineRule="exact"/>
        <w:rPr>
          <w:sz w:val="20"/>
          <w:szCs w:val="20"/>
          <w:color w:val="auto"/>
        </w:rPr>
      </w:pPr>
    </w:p>
    <w:p>
      <w:pPr>
        <w:ind w:right="60" w:firstLine="419"/>
        <w:spacing w:after="0" w:line="261" w:lineRule="auto"/>
        <w:rPr>
          <w:sz w:val="20"/>
          <w:szCs w:val="20"/>
          <w:color w:val="auto"/>
        </w:rPr>
      </w:pPr>
      <w:r>
        <w:rPr>
          <w:rFonts w:ascii="Times New Roman" w:cs="Times New Roman" w:eastAsia="Times New Roman" w:hAnsi="Times New Roman"/>
          <w:sz w:val="18"/>
          <w:szCs w:val="18"/>
          <w:color w:val="auto"/>
        </w:rPr>
        <w:t>As required under the Nasdaq Stock Market (“Nasdaq”) listing standards, a majority of the members of a listed company’s board of directors must qualify as “independent,” as affirmatively determined by the board of directors. Our Board consults with the Company’s counsel to ensure that the Board’s determinations are consistent with all relevant securities and other laws and regulations regarding the definition of “independent,” including those set forth in pertinent listing standards of Nasdaq, as in effect time to time.</w:t>
      </w:r>
    </w:p>
    <w:p>
      <w:pPr>
        <w:spacing w:after="0" w:line="180" w:lineRule="exact"/>
        <w:rPr>
          <w:sz w:val="20"/>
          <w:szCs w:val="20"/>
          <w:color w:val="auto"/>
        </w:rPr>
      </w:pPr>
    </w:p>
    <w:p>
      <w:pPr>
        <w:ind w:right="100" w:firstLine="419"/>
        <w:spacing w:after="0" w:line="258"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transactions or relationships between each director or any of his or her family members and the Company, its senior management and its independent auditors, the Board affirmatively has determined that all of the Company’s directors, other than Mr. Castagna, are independent within the meaning of the applicable Nasdaq listing standards. Mr. Castagna was determined not to be independent under applicable Nasdaq listing standards due to his position as an executive officer of our company. In making this determination, the Board found that none of the directors has a material or other disqualifying relationship with the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the Board of Directors and its Committees</w:t>
      </w:r>
    </w:p>
    <w:p>
      <w:pPr>
        <w:spacing w:after="0" w:line="121"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 xml:space="preserve">We are committed to maintaining the highest standards of business conduct and ethics. Our Board has adopted a Code of Business Conduct and Ethics and adheres to corporate governance guidelines to assure that the Board will have the necessary authority and practices in place to review and evaluate our business operations as needed and to make decisions that are independent of our management. The guidelines are also intended to align the interests of directors and management with those of our stockholders. The charters for various Board committees set forth the practices the Board will follow with respect to board composition and selection, board meetings and involvement of senior management, Chief Executive Officer performance evaluation and succession planning, and board committees and compensation. Our Board adopted these measures to, among other things, reflect changes to the Nasdaq listing standards and SEC rules adopted to implement provisions of the Sarbanes-Oxley Act of 2002, as amended. Our Code of Business Conduct and Ethics, as well as the charters for each committee of the Board, may be viewed on our website at </w:t>
      </w:r>
      <w:r>
        <w:rPr>
          <w:rFonts w:ascii="Times New Roman" w:cs="Times New Roman" w:eastAsia="Times New Roman" w:hAnsi="Times New Roman"/>
          <w:sz w:val="18"/>
          <w:szCs w:val="18"/>
          <w:i w:val="1"/>
          <w:iCs w:val="1"/>
          <w:color w:val="auto"/>
        </w:rPr>
        <w:t>mannkindcorp.com/corporate-governance/.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right="620" w:firstLine="416"/>
        <w:spacing w:after="0" w:line="266" w:lineRule="auto"/>
        <w:rPr>
          <w:sz w:val="20"/>
          <w:szCs w:val="20"/>
          <w:color w:val="auto"/>
        </w:rPr>
      </w:pPr>
      <w:r>
        <w:rPr>
          <w:rFonts w:ascii="Times New Roman" w:cs="Times New Roman" w:eastAsia="Times New Roman" w:hAnsi="Times New Roman"/>
          <w:sz w:val="18"/>
          <w:szCs w:val="18"/>
          <w:color w:val="auto"/>
        </w:rPr>
        <w:t>Our Board is chaired by Dr. Shannon. As a general policy, our Board of Directors believes that separation of the positions of Chair and Chief Executive Officer reinforces the independence of the Board from management, creates an environment that encourages objective oversight of management’s performance and enhances the effectiveness of the Board as a whole. As such, Mr.</w:t>
      </w:r>
    </w:p>
    <w:p>
      <w:pPr>
        <w:spacing w:after="0" w:line="1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5" w:right="379" w:bottom="1440" w:gutter="0" w:footer="0" w:header="0"/>
        </w:sectPr>
      </w:pPr>
    </w:p>
    <w:bookmarkStart w:id="19" w:name="page20"/>
    <w:bookmarkEnd w:id="19"/>
    <w:p>
      <w:pPr>
        <w:ind w:right="20"/>
        <w:spacing w:after="0" w:line="261" w:lineRule="auto"/>
        <w:rPr>
          <w:sz w:val="20"/>
          <w:szCs w:val="20"/>
          <w:color w:val="auto"/>
        </w:rPr>
      </w:pPr>
      <w:r>
        <w:rPr>
          <w:rFonts w:ascii="Times New Roman" w:cs="Times New Roman" w:eastAsia="Times New Roman" w:hAnsi="Times New Roman"/>
          <w:sz w:val="18"/>
          <w:szCs w:val="18"/>
          <w:color w:val="auto"/>
        </w:rPr>
        <w:t>Castagna serves as our Chief Executive Officer while Dr. Shannon serves as our Chair of the Board but is not an officer. We expect and intend the positions of Chair of the Board and Chief Executive Officer to continue to be held by separate individuals in the future. If in the future we conclude there is a compelling reason for the positions of Chair of the Board and Chief Executive Officer to be occupied by the same individual, we would expect to appoint one of our other directors to the position of lead independent director to help reinforce the independence of the Board from management.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135" w:lineRule="exact"/>
        <w:rPr>
          <w:sz w:val="20"/>
          <w:szCs w:val="20"/>
          <w:color w:val="auto"/>
        </w:rPr>
      </w:pPr>
    </w:p>
    <w:p>
      <w:pPr>
        <w:ind w:right="40" w:firstLine="416"/>
        <w:spacing w:after="0" w:line="253"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the Company’s risk management process. The Board does not have a standing risk management committee, but rather administers this oversight function directly through the Board as a whole, as well as through various standing committees that address risks inherent in their respective areas of oversight. In particular, our Board is responsible for monitoring and assessing strategic risk exposure, including a determination of the nature and level of risk appropriate for the Company. Our Audit Committee has the responsibility to review our enterprise risk management process, to consider and discuss our major financial risk exposures and the steps our management has taken to monitor and control these exposures, including an annual review of specific risks and mitigating plans identified by management and guidelines and policies to govern the process by which risk assessment and management is undertaken. The Audit Committee also reviews and receives regular briefings concerning information security and technology risks (including cybersecurity) from management, including our Executive Director of Information Technology. Our Compensation Committee reviews and approves individual and corporate performance goals, advises the Board regarding the adoption, modification, or termination of compensation plans and policies and assesses and monitors whether any of our compensation policies and programs has the potential to encourage excessive risk-taking.</w:t>
      </w: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w:t>
      </w:r>
    </w:p>
    <w:p>
      <w:pPr>
        <w:spacing w:after="0" w:line="121" w:lineRule="exact"/>
        <w:rPr>
          <w:sz w:val="20"/>
          <w:szCs w:val="20"/>
          <w:color w:val="auto"/>
        </w:rPr>
      </w:pPr>
    </w:p>
    <w:p>
      <w:pPr>
        <w:ind w:right="780" w:firstLine="419"/>
        <w:spacing w:after="0" w:line="266" w:lineRule="auto"/>
        <w:rPr>
          <w:sz w:val="20"/>
          <w:szCs w:val="20"/>
          <w:color w:val="auto"/>
        </w:rPr>
      </w:pPr>
      <w:r>
        <w:rPr>
          <w:rFonts w:ascii="Times New Roman" w:cs="Times New Roman" w:eastAsia="Times New Roman" w:hAnsi="Times New Roman"/>
          <w:sz w:val="18"/>
          <w:szCs w:val="18"/>
          <w:color w:val="auto"/>
        </w:rPr>
        <w:t xml:space="preserve">The Board has three standing committees: an Audit Committee, a Compensation Committee, and a Nominating and Corporate Governance Committee. All three committees operate under written charters adopted by our Board, all of which are available on our website at </w:t>
      </w:r>
      <w:r>
        <w:rPr>
          <w:rFonts w:ascii="Times New Roman" w:cs="Times New Roman" w:eastAsia="Times New Roman" w:hAnsi="Times New Roman"/>
          <w:sz w:val="18"/>
          <w:szCs w:val="18"/>
          <w:i w:val="1"/>
          <w:iCs w:val="1"/>
          <w:color w:val="auto"/>
        </w:rPr>
        <w:t>mannkindcorp.com/corporate-governance/.</w:t>
      </w:r>
    </w:p>
    <w:p>
      <w:pPr>
        <w:spacing w:after="0" w:line="176" w:lineRule="exact"/>
        <w:rPr>
          <w:sz w:val="20"/>
          <w:szCs w:val="20"/>
          <w:color w:val="auto"/>
        </w:rPr>
      </w:pPr>
    </w:p>
    <w:p>
      <w:pPr>
        <w:ind w:firstLine="419"/>
        <w:spacing w:after="0" w:line="261" w:lineRule="auto"/>
        <w:rPr>
          <w:sz w:val="20"/>
          <w:szCs w:val="20"/>
          <w:color w:val="auto"/>
        </w:rPr>
      </w:pPr>
      <w:r>
        <w:rPr>
          <w:rFonts w:ascii="Times New Roman" w:cs="Times New Roman" w:eastAsia="Times New Roman" w:hAnsi="Times New Roman"/>
          <w:sz w:val="18"/>
          <w:szCs w:val="18"/>
          <w:color w:val="auto"/>
        </w:rPr>
        <w:t>Each of the committees has authority to engage legal counsel or other experts or consultants, as it deems appropriate to carry out its responsibilities. The Board has determined that each member of each committee meets the applicable rules and regulations regarding “independence” and that each member is free of any relationship that would interfere with his or her individual exercise of independent judgment with regard to the Company. Below is a description of each committee.</w:t>
      </w: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right="60" w:firstLine="416"/>
        <w:spacing w:after="0" w:line="258" w:lineRule="auto"/>
        <w:rPr>
          <w:sz w:val="20"/>
          <w:szCs w:val="20"/>
          <w:color w:val="auto"/>
        </w:rPr>
      </w:pPr>
      <w:r>
        <w:rPr>
          <w:rFonts w:ascii="Times New Roman" w:cs="Times New Roman" w:eastAsia="Times New Roman" w:hAnsi="Times New Roman"/>
          <w:sz w:val="18"/>
          <w:szCs w:val="18"/>
          <w:color w:val="auto"/>
        </w:rPr>
        <w:t>Our Audit Committee consists of Mr. Consiglio (Chair), Ms. Grancio, Mr. Hooper, Ms. Kay and Ms. Mundkur, each of whom is an independent member of our Board (as determined by our Board based on its annual review of the independence requirement of Audit Committee members provided in Rule 5605(c)(2)(A)(i) and (ii) of the Nasdaq listing standards). Our Audit Committee was established by the Board in accordance with Section 3(a)(58)(A) of the Exchange Act, to oversee the Company’s corporate accounting and financial reporting processes and audits of its financial statements. The functions of this committee include, among others:</w:t>
      </w:r>
    </w:p>
    <w:p>
      <w:pPr>
        <w:spacing w:after="0" w:line="75" w:lineRule="exact"/>
        <w:rPr>
          <w:sz w:val="20"/>
          <w:szCs w:val="20"/>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independent registered public accounting firm’s qualifications, independence and performance;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engagement of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the retention of the independent registered public accounting firm to perform any proposed permissible non- audit services;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rotation of partners of the independent registered public accounting firm on our engagement team as required by law;</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financial statements;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critical accounting policies and estimates;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internal controls over financial reporting;</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discussing with management and the independent registered public accounting firm the results of the annual audit and the review of our quarterly financial statements;</w:t>
      </w:r>
    </w:p>
    <w:p>
      <w:pPr>
        <w:spacing w:after="0" w:line="53" w:lineRule="exact"/>
        <w:rPr>
          <w:rFonts w:ascii="Times New Roman" w:cs="Times New Roman" w:eastAsia="Times New Roman" w:hAnsi="Times New Roman"/>
          <w:sz w:val="18"/>
          <w:szCs w:val="18"/>
          <w:color w:val="auto"/>
        </w:rPr>
      </w:pPr>
    </w:p>
    <w:p>
      <w:pPr>
        <w:ind w:left="760" w:right="200" w:hanging="378"/>
        <w:spacing w:after="0" w:line="282" w:lineRule="auto"/>
        <w:tabs>
          <w:tab w:leader="none" w:pos="7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discussing with management and, as appropriate, our independent registered public accounting firm, our guidelines and policies with respect to risk assessment and risk management, including enterprise risk management,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45" w:right="359" w:bottom="1440" w:gutter="0" w:footer="0" w:header="0"/>
        </w:sectPr>
      </w:pPr>
    </w:p>
    <w:bookmarkStart w:id="20" w:name="page21"/>
    <w:bookmarkEnd w:id="20"/>
    <w:p>
      <w:pPr>
        <w:ind w:left="760" w:right="120"/>
        <w:spacing w:after="0" w:line="282" w:lineRule="auto"/>
        <w:rPr>
          <w:sz w:val="20"/>
          <w:szCs w:val="20"/>
          <w:color w:val="auto"/>
        </w:rPr>
      </w:pPr>
      <w:r>
        <w:rPr>
          <w:rFonts w:ascii="Times New Roman" w:cs="Times New Roman" w:eastAsia="Times New Roman" w:hAnsi="Times New Roman"/>
          <w:sz w:val="18"/>
          <w:szCs w:val="18"/>
          <w:color w:val="auto"/>
        </w:rPr>
        <w:t>information security and technology risks (including cybersecurity), and our major financial risk exposures and the steps taken by management to monitor and control these risks and exposures;</w:t>
      </w:r>
    </w:p>
    <w:p>
      <w:pPr>
        <w:spacing w:after="0" w:line="54" w:lineRule="exact"/>
        <w:rPr>
          <w:sz w:val="20"/>
          <w:szCs w:val="20"/>
          <w:color w:val="auto"/>
        </w:rPr>
      </w:pPr>
    </w:p>
    <w:p>
      <w:pPr>
        <w:ind w:left="760" w:right="40" w:hanging="378"/>
        <w:spacing w:after="0" w:line="266"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results of management’s efforts to monitor compliance with our programs and policies designed to ensure adherence to applicable laws and rules as well as to our Code of Business Conduct and Ethics, including review and approval of every transaction with a related person that must be disclosed pursuant to the applicable SEC rules;</w:t>
      </w:r>
    </w:p>
    <w:p>
      <w:pPr>
        <w:spacing w:after="0" w:line="67"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on a quarterly basis, the investment portfolio for adherence to our Investment Policy and associated financial returns; and</w:t>
      </w:r>
    </w:p>
    <w:p>
      <w:pPr>
        <w:spacing w:after="0" w:line="53" w:lineRule="exact"/>
        <w:rPr>
          <w:rFonts w:ascii="Times New Roman" w:cs="Times New Roman" w:eastAsia="Times New Roman" w:hAnsi="Times New Roman"/>
          <w:sz w:val="18"/>
          <w:szCs w:val="18"/>
          <w:color w:val="auto"/>
        </w:rPr>
      </w:pPr>
    </w:p>
    <w:p>
      <w:pPr>
        <w:ind w:left="760" w:right="560" w:hanging="378"/>
        <w:spacing w:after="0" w:line="282"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at least annually, the performance of the Audit Committee and its members, including compliance of the Audit Committee with its charter.</w:t>
      </w:r>
    </w:p>
    <w:p>
      <w:pPr>
        <w:spacing w:after="0" w:line="162"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 xml:space="preserve">The Board has determined that Mr. Consiglio qualifies as an “audit committee financial expert,” as that term is defined in applicable SEC rules. In making such determinations, the Board made a qualitative assessment of Mr. Consiglio’s level of knowledge and experience based on a number of factors, including his formal education and experience. Both our independent registered public accounting firm and internal financial personnel regularly meet privately with our Audit Committee and have unrestricted access to this committee. Our Audit Committee charter can be found on our corporate website at </w:t>
      </w:r>
      <w:r>
        <w:rPr>
          <w:rFonts w:ascii="Times New Roman" w:cs="Times New Roman" w:eastAsia="Times New Roman" w:hAnsi="Times New Roman"/>
          <w:sz w:val="18"/>
          <w:szCs w:val="18"/>
          <w:i w:val="1"/>
          <w:iCs w:val="1"/>
          <w:color w:val="auto"/>
        </w:rPr>
        <w:t xml:space="preserve">mannkindcorp.com/corporate-governance/. </w:t>
      </w:r>
      <w:r>
        <w:rPr>
          <w:rFonts w:ascii="Times New Roman" w:cs="Times New Roman" w:eastAsia="Times New Roman" w:hAnsi="Times New Roman"/>
          <w:sz w:val="18"/>
          <w:szCs w:val="18"/>
          <w:color w:val="auto"/>
        </w:rPr>
        <w:t>The Audit Committee met seven times during 2022. The report of the Audit Committee is included herein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page 48.</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right="140" w:firstLine="416"/>
        <w:spacing w:after="0" w:line="266" w:lineRule="auto"/>
        <w:rPr>
          <w:sz w:val="20"/>
          <w:szCs w:val="20"/>
          <w:color w:val="auto"/>
        </w:rPr>
      </w:pPr>
      <w:r>
        <w:rPr>
          <w:rFonts w:ascii="Times New Roman" w:cs="Times New Roman" w:eastAsia="Times New Roman" w:hAnsi="Times New Roman"/>
          <w:sz w:val="18"/>
          <w:szCs w:val="18"/>
          <w:color w:val="auto"/>
        </w:rPr>
        <w:t>Our Compensation Committee consists of Mr. Kresa (Chair), Dr. Friedman, Mr. Hooper and Dr. Shannon, each of whom is an independent member of our Board (as independence is currently defined in Rule 5605(a)(2) of the Nasdaq listing standards). The functions of this committee include, among others:</w:t>
      </w:r>
    </w:p>
    <w:p>
      <w:pPr>
        <w:spacing w:after="0" w:line="68" w:lineRule="exact"/>
        <w:rPr>
          <w:sz w:val="20"/>
          <w:szCs w:val="20"/>
          <w:color w:val="auto"/>
        </w:rPr>
      </w:pPr>
    </w:p>
    <w:p>
      <w:pPr>
        <w:ind w:left="760" w:right="20" w:hanging="378"/>
        <w:spacing w:after="0" w:line="258"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or approving (or with respect to our Chief Executive Officer, recommending to the full Board for approval) policy relating to compensation and benefits of our officers and employees, including reviewing and approving corporate goals and objectives relevant to compensation of our executive and other senior officers, evaluating the performance of these officers in light of those goals and objectives, and recommending or approving (or with respect to our Chief Executive Officer, recommending to the full Board for approval) compensation of these officers based on such evaluations;</w:t>
      </w:r>
    </w:p>
    <w:p>
      <w:pPr>
        <w:spacing w:after="0" w:line="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administering our benefit plans and the issuance of stock options and other awards under our stock plans;</w:t>
      </w:r>
    </w:p>
    <w:p>
      <w:pPr>
        <w:spacing w:after="0" w:line="117" w:lineRule="exact"/>
        <w:rPr>
          <w:rFonts w:ascii="Times New Roman" w:cs="Times New Roman" w:eastAsia="Times New Roman" w:hAnsi="Times New Roman"/>
          <w:sz w:val="18"/>
          <w:szCs w:val="18"/>
          <w:color w:val="auto"/>
        </w:rPr>
      </w:pPr>
    </w:p>
    <w:p>
      <w:pPr>
        <w:ind w:left="760" w:right="38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the type and amount of compensation to be paid or awarded to non-employee members of our Board of Directors, including consulting, retainer, meeting, committee and committee chair fees and restricted stock awards;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planning for succession with respect to the position of Chief Executive Officer and other senior officers;</w:t>
      </w:r>
    </w:p>
    <w:p>
      <w:pPr>
        <w:spacing w:after="0" w:line="117" w:lineRule="exact"/>
        <w:rPr>
          <w:rFonts w:ascii="Times New Roman" w:cs="Times New Roman" w:eastAsia="Times New Roman" w:hAnsi="Times New Roman"/>
          <w:sz w:val="18"/>
          <w:szCs w:val="18"/>
          <w:color w:val="auto"/>
        </w:rPr>
      </w:pPr>
    </w:p>
    <w:p>
      <w:pPr>
        <w:ind w:left="760" w:right="260" w:hanging="378"/>
        <w:spacing w:after="0" w:line="266"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(or with respect to our Chief Executive Officer, recommending to the full Board for approval) the terms of any employment agreements, severance arrangements, change-of-control protections and any other compensatory arrangements for our executive officers; and</w:t>
      </w:r>
    </w:p>
    <w:p>
      <w:pPr>
        <w:spacing w:after="0" w:line="67" w:lineRule="exact"/>
        <w:rPr>
          <w:rFonts w:ascii="Times New Roman" w:cs="Times New Roman" w:eastAsia="Times New Roman" w:hAnsi="Times New Roman"/>
          <w:sz w:val="18"/>
          <w:szCs w:val="18"/>
          <w:color w:val="auto"/>
        </w:rPr>
      </w:pPr>
    </w:p>
    <w:p>
      <w:pPr>
        <w:ind w:left="760" w:right="380" w:hanging="378"/>
        <w:spacing w:after="0" w:line="282" w:lineRule="auto"/>
        <w:tabs>
          <w:tab w:leader="none" w:pos="7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at least annually, the performance of the Compensation Committee and its members, including compliance of the Compensation Committee with its charter.</w:t>
      </w:r>
    </w:p>
    <w:p>
      <w:pPr>
        <w:spacing w:after="0" w:line="162" w:lineRule="exact"/>
        <w:rPr>
          <w:sz w:val="20"/>
          <w:szCs w:val="20"/>
          <w:color w:val="auto"/>
        </w:rPr>
      </w:pPr>
    </w:p>
    <w:p>
      <w:pPr>
        <w:ind w:right="160" w:firstLine="416"/>
        <w:spacing w:after="0" w:line="266" w:lineRule="auto"/>
        <w:rPr>
          <w:sz w:val="20"/>
          <w:szCs w:val="20"/>
          <w:color w:val="auto"/>
        </w:rPr>
      </w:pPr>
      <w:r>
        <w:rPr>
          <w:rFonts w:ascii="Times New Roman" w:cs="Times New Roman" w:eastAsia="Times New Roman" w:hAnsi="Times New Roman"/>
          <w:sz w:val="18"/>
          <w:szCs w:val="18"/>
          <w:color w:val="auto"/>
        </w:rPr>
        <w:t>None of the members of the Compensation Committee has ever been one of our officers or employees. During 2022, none of our executive officers served as a member of the board of directors or compensation committee of any other entity that had one or more executive officers who served on our Board of Directors or Compensation Committee.</w:t>
      </w:r>
    </w:p>
    <w:p>
      <w:pPr>
        <w:spacing w:after="0" w:line="176" w:lineRule="exact"/>
        <w:rPr>
          <w:sz w:val="20"/>
          <w:szCs w:val="20"/>
          <w:color w:val="auto"/>
        </w:rPr>
      </w:pPr>
    </w:p>
    <w:p>
      <w:pPr>
        <w:ind w:right="320" w:firstLine="416"/>
        <w:spacing w:after="0" w:line="282" w:lineRule="auto"/>
        <w:rPr>
          <w:sz w:val="20"/>
          <w:szCs w:val="20"/>
          <w:color w:val="auto"/>
        </w:rPr>
      </w:pPr>
      <w:r>
        <w:rPr>
          <w:rFonts w:ascii="Times New Roman" w:cs="Times New Roman" w:eastAsia="Times New Roman" w:hAnsi="Times New Roman"/>
          <w:sz w:val="18"/>
          <w:szCs w:val="18"/>
          <w:color w:val="auto"/>
        </w:rPr>
        <w:t>Typically, the Compensation Committee meets at least quarterly and with greater frequency if necessary. The Compensation Committee met four times during 2022.</w:t>
      </w:r>
    </w:p>
    <w:p>
      <w:pPr>
        <w:spacing w:after="0" w:line="162" w:lineRule="exact"/>
        <w:rPr>
          <w:sz w:val="20"/>
          <w:szCs w:val="20"/>
          <w:color w:val="auto"/>
        </w:rPr>
      </w:pPr>
    </w:p>
    <w:p>
      <w:pPr>
        <w:ind w:right="80" w:firstLine="416"/>
        <w:spacing w:after="0" w:line="266" w:lineRule="auto"/>
        <w:rPr>
          <w:sz w:val="20"/>
          <w:szCs w:val="20"/>
          <w:color w:val="auto"/>
        </w:rPr>
      </w:pPr>
      <w:r>
        <w:rPr>
          <w:rFonts w:ascii="Times New Roman" w:cs="Times New Roman" w:eastAsia="Times New Roman" w:hAnsi="Times New Roman"/>
          <w:sz w:val="18"/>
          <w:szCs w:val="18"/>
          <w:color w:val="auto"/>
        </w:rPr>
        <w:t xml:space="preserve">The processes and procedures of the Compensation Committee with respect to executive compensation are described in greater detail in the “Compensation Discussion and Analysis” section of this proxy statement. Our Compensation Committee charter can be found on our corporate website at </w:t>
      </w:r>
      <w:r>
        <w:rPr>
          <w:rFonts w:ascii="Times New Roman" w:cs="Times New Roman" w:eastAsia="Times New Roman" w:hAnsi="Times New Roman"/>
          <w:sz w:val="18"/>
          <w:szCs w:val="18"/>
          <w:i w:val="1"/>
          <w:iCs w:val="1"/>
          <w:color w:val="auto"/>
        </w:rPr>
        <w:t xml:space="preserve">mannkindcorp.com/corporate-governance/. </w:t>
      </w:r>
      <w:r>
        <w:rPr>
          <w:rFonts w:ascii="Times New Roman" w:cs="Times New Roman" w:eastAsia="Times New Roman" w:hAnsi="Times New Roman"/>
          <w:sz w:val="18"/>
          <w:szCs w:val="18"/>
          <w:color w:val="auto"/>
        </w:rPr>
        <w:t>The report of the Compensation Committee is included herein on page 74.</w:t>
      </w:r>
    </w:p>
    <w:p>
      <w:pPr>
        <w:spacing w:after="0" w:line="13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right="80" w:firstLine="416"/>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Dr. Friedman (Chair), Mr. Consiglio, Mr. Kresa and Ms. Mundkur, each of whom is an independent member of our Board (as independence is currently defined in Rule 5605(a)(2) of the Nasdaq listing standards). The functions of this committee include, among others:</w:t>
      </w:r>
    </w:p>
    <w:p>
      <w:pPr>
        <w:spacing w:after="0" w:line="68" w:lineRule="exact"/>
        <w:rPr>
          <w:sz w:val="20"/>
          <w:szCs w:val="20"/>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recommending nominees for election as directors;</w:t>
      </w:r>
    </w:p>
    <w:p>
      <w:pPr>
        <w:spacing w:after="0" w:line="117" w:lineRule="exact"/>
        <w:rPr>
          <w:rFonts w:ascii="Times New Roman" w:cs="Times New Roman" w:eastAsia="Times New Roman" w:hAnsi="Times New Roman"/>
          <w:sz w:val="18"/>
          <w:szCs w:val="18"/>
          <w:color w:val="auto"/>
        </w:rPr>
      </w:pPr>
    </w:p>
    <w:p>
      <w:pPr>
        <w:ind w:left="760" w:right="22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composition of Board committees and making recommendations to the Board regarding directors qualified to serve on and chair such committees;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maintaining a current list of the functional needs and qualifications of members of the Board;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assessing the performance of the Board and monitoring committee evaluations;</w:t>
      </w:r>
    </w:p>
    <w:p>
      <w:pPr>
        <w:spacing w:after="0" w:line="117" w:lineRule="exact"/>
        <w:rPr>
          <w:rFonts w:ascii="Times New Roman" w:cs="Times New Roman" w:eastAsia="Times New Roman" w:hAnsi="Times New Roman"/>
          <w:sz w:val="18"/>
          <w:szCs w:val="18"/>
          <w:color w:val="auto"/>
        </w:rPr>
      </w:pPr>
    </w:p>
    <w:p>
      <w:pPr>
        <w:ind w:left="760" w:right="40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providing oversight with respect to, our strategy, initiatives and policies concerning corporate social responsibility, including environmental, social and governance matters;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the members of the Compensation Committee, as requested, in determining the compensation for non-employee directors; and</w:t>
      </w:r>
    </w:p>
    <w:p>
      <w:pPr>
        <w:spacing w:after="0" w:line="117" w:lineRule="exact"/>
        <w:rPr>
          <w:rFonts w:ascii="Times New Roman" w:cs="Times New Roman" w:eastAsia="Times New Roman" w:hAnsi="Times New Roman"/>
          <w:sz w:val="18"/>
          <w:szCs w:val="18"/>
          <w:color w:val="auto"/>
        </w:rPr>
      </w:pPr>
    </w:p>
    <w:p>
      <w:pPr>
        <w:ind w:left="760" w:right="700" w:hanging="378"/>
        <w:spacing w:after="0" w:line="282" w:lineRule="auto"/>
        <w:tabs>
          <w:tab w:leader="none" w:pos="7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evaluating, at least annually, the performance of the Nominating and Corporate Governance Committee and its members, including compliance of the Nominating and Corporate Governance Committee with its charter.</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Our Nominating and Corporate Governance Committee charter can be found on our corporate website at </w:t>
      </w:r>
      <w:r>
        <w:rPr>
          <w:rFonts w:ascii="Times New Roman" w:cs="Times New Roman" w:eastAsia="Times New Roman" w:hAnsi="Times New Roman"/>
          <w:sz w:val="18"/>
          <w:szCs w:val="18"/>
          <w:i w:val="1"/>
          <w:iCs w:val="1"/>
          <w:color w:val="auto"/>
        </w:rPr>
        <w:t>mannkindcorp.com/corporate-governance/.</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Nominating and Corporate Governance Committee met three times during 2022.</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Consideration of Director Nominees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Qualifications</w:t>
      </w:r>
    </w:p>
    <w:p>
      <w:pPr>
        <w:spacing w:after="0" w:line="121" w:lineRule="exact"/>
        <w:rPr>
          <w:sz w:val="20"/>
          <w:szCs w:val="20"/>
          <w:color w:val="auto"/>
        </w:rPr>
      </w:pPr>
    </w:p>
    <w:p>
      <w:pPr>
        <w:ind w:right="60" w:firstLine="416"/>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believes that candidates for director should have certain minimum qualifications, including being able to read and understand basic financial statements, being over 21 years of age and having the highest personal integrity and ethics. The Nominating and Corporate Governance Committee also considers such factors as possessing relevant expertise upon which to be able to offer advice and guidance to management, having sufficient time to devote to the affairs of the Company, demonstrated excellence in his or her field, having the ability to exercise sound business judgment and having the commitment to rigorously represent the long-term interests of the Company’s stockholders. However, the Nominating and Corporate Governance Committee retains the discretion to modify these qualifications from time to time.</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Evaluating Nominees for Director</w:t>
      </w:r>
    </w:p>
    <w:p>
      <w:pPr>
        <w:spacing w:after="0" w:line="121"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reviews candidates for director nominees in the context of the current composition of the Board of Directors, the operating requirements of the Company and the long-term interests of the Company’s stockholders. In conducting this assessment, the Nominating and Corporate Governance Committee considers age, skills, and such other factors as it deems appropriate given the current needs of the Board and the Company, to maintain a balance of knowledge, experience and capability. In the case of incumbent directors, the Nominating and Corporate Governance Committee reviews such directors’ overall service to the Company during their term, including the number of meetings attended, level of participation, quality of performance, and any other relationships and transactions that might impair such directors’ independence. In the case of new director candidates, the Nominating and Corporate Governance Committee also determines whether the nominee would be independent, which determination is based upon applicable Nasdaq listing standards, applicable SEC rules and regulations and the advice of counsel, if necessary. The Nominating and Corporate Governance Committee also considers diversity of gender, race, national origin, other self-identified diversity characteristics such as LGBTQ+, education, professional experience and differences in viewpoints and skills. The Nominating and Corporate Governance Committee does not have a formal policy with respect to diversity; however, the Board and the Nominating and Corporate Governance Committee believe that it is important that directors represent diverse viewpoints. To this end, the Nominating and Corporate Governance Committee assesses diversity, including self-identified diversity characteristics, in connection with the annual nomination process as well as in new director searches.</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98" w:right="339" w:bottom="1440" w:gutter="0" w:footer="0" w:header="0"/>
        </w:sectPr>
      </w:pPr>
    </w:p>
    <w:bookmarkStart w:id="22" w:name="page23"/>
    <w:bookmarkEnd w:id="22"/>
    <w:p>
      <w:pPr>
        <w:ind w:right="120" w:firstLine="416"/>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such candidates’ qualifications and then selects one or more nominees for recommendation to the Board by majority vote. To date, the Nominating and Corporate Governance Committee has not paid a fee to any third party to assist in the process of identifying or evaluating director candidates.</w:t>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Stockholder Nominations</w:t>
      </w:r>
    </w:p>
    <w:p>
      <w:pPr>
        <w:spacing w:after="0" w:line="121" w:lineRule="exact"/>
        <w:rPr>
          <w:sz w:val="20"/>
          <w:szCs w:val="20"/>
          <w:color w:val="auto"/>
        </w:rPr>
      </w:pPr>
    </w:p>
    <w:p>
      <w:pPr>
        <w:ind w:right="280" w:firstLine="416"/>
        <w:spacing w:after="0" w:line="255" w:lineRule="auto"/>
        <w:rPr>
          <w:sz w:val="20"/>
          <w:szCs w:val="20"/>
          <w:color w:val="auto"/>
        </w:rPr>
      </w:pPr>
      <w:r>
        <w:rPr>
          <w:rFonts w:ascii="Times New Roman" w:cs="Times New Roman" w:eastAsia="Times New Roman" w:hAnsi="Times New Roman"/>
          <w:sz w:val="18"/>
          <w:szCs w:val="18"/>
          <w:color w:val="auto"/>
        </w:rPr>
        <w:t>The Nominating and Corporate Governance Committee will consider director candidates recommended by stockholders. The Nominating and Corporate Governance Committee does not intend to alter the manner in which it evaluates candidates, including the minimum criteria set forth above, based on whether a candidate was recommended by a stockholder or not. Stockholders who wish to recommend individuals for consideration by the Nominating and Corporate Governance Committee to become nominees for election to the Board must do so by delivering at least 120 days prior to the anniversary date of the mailing of MannKind’s proxy statement for its last annual meeting of stockholders a written recommendation to the Nominating and Corporate Governance Committee, c/o MannKind Corporation, 1 Casper Street, Danbury, Connecticut 06810, Attn: Corporate Secretary. Each submission must set forth:</w:t>
      </w:r>
    </w:p>
    <w:p>
      <w:pPr>
        <w:spacing w:after="0" w:line="81" w:lineRule="exact"/>
        <w:rPr>
          <w:sz w:val="20"/>
          <w:szCs w:val="20"/>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MannKind stockholder on whose behalf the submission is made;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MannKind shares that are owned beneficially by such stockholder as of the date of the submission;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full name of the proposed candidate;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proposed candidate’s business experience for at least the previous five years;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biographical information for the proposed candidate;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proposed candidate’s qualifications as a director.</w:t>
      </w:r>
    </w:p>
    <w:p>
      <w:pPr>
        <w:spacing w:after="0" w:line="225" w:lineRule="exact"/>
        <w:rPr>
          <w:sz w:val="20"/>
          <w:szCs w:val="20"/>
          <w:color w:val="auto"/>
        </w:rPr>
      </w:pPr>
    </w:p>
    <w:p>
      <w:pPr>
        <w:ind w:right="540" w:firstLine="416"/>
        <w:spacing w:after="0" w:line="282" w:lineRule="auto"/>
        <w:rPr>
          <w:sz w:val="20"/>
          <w:szCs w:val="20"/>
          <w:color w:val="auto"/>
        </w:rPr>
      </w:pPr>
      <w:r>
        <w:rPr>
          <w:rFonts w:ascii="Times New Roman" w:cs="Times New Roman" w:eastAsia="Times New Roman" w:hAnsi="Times New Roman"/>
          <w:sz w:val="18"/>
          <w:szCs w:val="18"/>
          <w:color w:val="auto"/>
        </w:rPr>
        <w:t>Each submission must be accompanied by the written consent of the proposed candidate to be named as a nominee and to serve as a director if elected.</w:t>
      </w:r>
    </w:p>
    <w:p>
      <w:pPr>
        <w:spacing w:after="0" w:line="160" w:lineRule="exact"/>
        <w:rPr>
          <w:sz w:val="20"/>
          <w:szCs w:val="20"/>
          <w:color w:val="auto"/>
        </w:rPr>
      </w:pPr>
    </w:p>
    <w:p>
      <w:pPr>
        <w:ind w:right="320" w:firstLine="416"/>
        <w:spacing w:after="0" w:line="284" w:lineRule="auto"/>
        <w:rPr>
          <w:sz w:val="20"/>
          <w:szCs w:val="20"/>
          <w:color w:val="auto"/>
        </w:rPr>
      </w:pPr>
      <w:r>
        <w:rPr>
          <w:rFonts w:ascii="Times New Roman" w:cs="Times New Roman" w:eastAsia="Times New Roman" w:hAnsi="Times New Roman"/>
          <w:sz w:val="18"/>
          <w:szCs w:val="18"/>
          <w:color w:val="auto"/>
        </w:rPr>
        <w:t xml:space="preserve">Our policy regarding stockholder recommendations of director nominees can be found on our corporate website at </w:t>
      </w:r>
      <w:r>
        <w:rPr>
          <w:rFonts w:ascii="Times New Roman" w:cs="Times New Roman" w:eastAsia="Times New Roman" w:hAnsi="Times New Roman"/>
          <w:sz w:val="18"/>
          <w:szCs w:val="18"/>
          <w:i w:val="1"/>
          <w:iCs w:val="1"/>
          <w:color w:val="auto"/>
        </w:rPr>
        <w:t>mannkindcorp.com/corporate-governance/.</w:t>
      </w:r>
    </w:p>
    <w:p>
      <w:pPr>
        <w:spacing w:after="0" w:line="160" w:lineRule="exact"/>
        <w:rPr>
          <w:sz w:val="20"/>
          <w:szCs w:val="20"/>
          <w:color w:val="auto"/>
        </w:rPr>
      </w:pPr>
    </w:p>
    <w:p>
      <w:pPr>
        <w:ind w:right="180" w:firstLine="416"/>
        <w:spacing w:after="0" w:line="282" w:lineRule="auto"/>
        <w:rPr>
          <w:sz w:val="20"/>
          <w:szCs w:val="20"/>
          <w:color w:val="auto"/>
        </w:rPr>
      </w:pPr>
      <w:r>
        <w:rPr>
          <w:rFonts w:ascii="Times New Roman" w:cs="Times New Roman" w:eastAsia="Times New Roman" w:hAnsi="Times New Roman"/>
          <w:sz w:val="18"/>
          <w:szCs w:val="18"/>
          <w:color w:val="auto"/>
        </w:rPr>
        <w:t>To date, the Nominating and Corporate Governance Committee has not received a timely nomination of a candidate for election as a director at any annual meeting from a stockholder or group of stockholders holding more than 5% of our voting stock.</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 of Directors</w:t>
      </w:r>
    </w:p>
    <w:p>
      <w:pPr>
        <w:spacing w:after="0" w:line="121" w:lineRule="exact"/>
        <w:rPr>
          <w:sz w:val="20"/>
          <w:szCs w:val="20"/>
          <w:color w:val="auto"/>
        </w:rPr>
      </w:pPr>
    </w:p>
    <w:p>
      <w:pPr>
        <w:ind w:right="60" w:firstLine="416"/>
        <w:spacing w:after="0" w:line="282" w:lineRule="auto"/>
        <w:rPr>
          <w:sz w:val="20"/>
          <w:szCs w:val="20"/>
          <w:color w:val="auto"/>
        </w:rPr>
      </w:pPr>
      <w:r>
        <w:rPr>
          <w:rFonts w:ascii="Times New Roman" w:cs="Times New Roman" w:eastAsia="Times New Roman" w:hAnsi="Times New Roman"/>
          <w:sz w:val="18"/>
          <w:szCs w:val="18"/>
          <w:color w:val="auto"/>
        </w:rPr>
        <w:t>The Board met 13 times during the last fiscal year. Each director attended 75% or more of the aggregate number of the meetings of the Board, and of the committees on which he or she served, held during the period for which he or she was a director or committee member.</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Sessions</w:t>
      </w:r>
    </w:p>
    <w:p>
      <w:pPr>
        <w:spacing w:after="0" w:line="121" w:lineRule="exact"/>
        <w:rPr>
          <w:sz w:val="20"/>
          <w:szCs w:val="20"/>
          <w:color w:val="auto"/>
        </w:rPr>
      </w:pPr>
    </w:p>
    <w:p>
      <w:pPr>
        <w:ind w:right="540" w:firstLine="416"/>
        <w:spacing w:after="0" w:line="282" w:lineRule="auto"/>
        <w:rPr>
          <w:sz w:val="20"/>
          <w:szCs w:val="20"/>
          <w:color w:val="auto"/>
        </w:rPr>
      </w:pPr>
      <w:r>
        <w:rPr>
          <w:rFonts w:ascii="Times New Roman" w:cs="Times New Roman" w:eastAsia="Times New Roman" w:hAnsi="Times New Roman"/>
          <w:sz w:val="18"/>
          <w:szCs w:val="18"/>
          <w:color w:val="auto"/>
        </w:rPr>
        <w:t>As required under applicable Nasdaq listing standards, our independent directors meet in regularly scheduled executive sessions at which only independent directors are present.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 of Directors</w:t>
      </w:r>
    </w:p>
    <w:p>
      <w:pPr>
        <w:spacing w:after="0" w:line="121"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The Company’s Board has adopted a formal process by which stockholders may communicate with the Board or any of its directors. Stockholders who wish to communicate with the Board or an individual director may send a written communication to the Board or such director c/o MannKind Corporation, 1 Casper Street, Danbury, Connecticut 06810, Attn: Corporate Secretary. Communications also may be sent by e-mail to the following address: board@mannkindcorp.com. Each communication must set forth the name and address of the MannKind stockholder on whose behalf the communication is sent. Each communication will be screened by MannKind’s Corporate Secretary to determine whether it is appropriate for presentation to the Board or such director. Examples of inappropriate communications include junk mail, mass mailings, product complaints, product inquiries, new product suggestions, resumes, job inquiries, surveys, business solicitations and advertisements, as well as unduly hostile, threatening, illegal, unsuitable, frivolous, patently offensive or otherwise inappropriate material. Communications determined by the Corporate Secretary to be appropriate for presentation to the Board of Directors or such director will be submitted to the Board or such director on a periodic basis.</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3" w:name="page24"/>
    <w:bookmarkEnd w:id="23"/>
    <w:p>
      <w:pPr>
        <w:ind w:firstLine="416"/>
        <w:spacing w:after="0" w:line="266" w:lineRule="auto"/>
        <w:rPr>
          <w:sz w:val="20"/>
          <w:szCs w:val="20"/>
          <w:color w:val="auto"/>
        </w:rPr>
      </w:pPr>
      <w:r>
        <w:rPr>
          <w:rFonts w:ascii="Times New Roman" w:cs="Times New Roman" w:eastAsia="Times New Roman" w:hAnsi="Times New Roman"/>
          <w:sz w:val="18"/>
          <w:szCs w:val="18"/>
          <w:color w:val="auto"/>
        </w:rPr>
        <w:t>The screening procedures have been approved by a majority of the independent directors of the Board. All communications directed to the Audit Committee in accordance with the Company’s Code of Business Conduct and Ethics that relate to questionable accounting or auditing matters involving the Company will be promptly and directly forwarded to the Audit Committee.</w:t>
      </w:r>
    </w:p>
    <w:p>
      <w:pPr>
        <w:spacing w:after="0" w:line="17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Our process for security holder communications with the Board can be found on our corporate website at </w:t>
      </w:r>
      <w:r>
        <w:rPr>
          <w:rFonts w:ascii="Times New Roman" w:cs="Times New Roman" w:eastAsia="Times New Roman" w:hAnsi="Times New Roman"/>
          <w:sz w:val="18"/>
          <w:szCs w:val="18"/>
          <w:i w:val="1"/>
          <w:iCs w:val="1"/>
          <w:color w:val="auto"/>
        </w:rPr>
        <w:t>mannkindcorp.com/corporate-governance/.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Related-Party Transactions, Policy and Procedures</w:t>
      </w:r>
    </w:p>
    <w:p>
      <w:pPr>
        <w:spacing w:after="0" w:line="121" w:lineRule="exact"/>
        <w:rPr>
          <w:sz w:val="20"/>
          <w:szCs w:val="20"/>
          <w:color w:val="auto"/>
        </w:rPr>
      </w:pPr>
    </w:p>
    <w:p>
      <w:pPr>
        <w:ind w:right="180" w:firstLine="416"/>
        <w:spacing w:after="0" w:line="261" w:lineRule="auto"/>
        <w:rPr>
          <w:sz w:val="20"/>
          <w:szCs w:val="20"/>
          <w:color w:val="auto"/>
        </w:rPr>
      </w:pPr>
      <w:r>
        <w:rPr>
          <w:rFonts w:ascii="Times New Roman" w:cs="Times New Roman" w:eastAsia="Times New Roman" w:hAnsi="Times New Roman"/>
          <w:sz w:val="18"/>
          <w:szCs w:val="18"/>
          <w:color w:val="auto"/>
        </w:rPr>
        <w:t>We have adopted a Related-Person Transactions Policy that sets forth the policies and procedures regarding the identification, review, consideration and approval or ratification of “related-person transactions.” For purposes of the Company’s policy only, a “related-person transaction” is a transaction, arrangement or relationship (or any series of similar transactions, arrangements or relationships) in which the Company (including any of its subsidiaries) and any “related person” are, were or will be participants involving an amount that exceeds $120,000.</w:t>
      </w:r>
    </w:p>
    <w:p>
      <w:pPr>
        <w:spacing w:after="0" w:line="180" w:lineRule="exact"/>
        <w:rPr>
          <w:sz w:val="20"/>
          <w:szCs w:val="20"/>
          <w:color w:val="auto"/>
        </w:rPr>
      </w:pPr>
    </w:p>
    <w:p>
      <w:pPr>
        <w:ind w:right="200" w:firstLine="416"/>
        <w:spacing w:after="0" w:line="266" w:lineRule="auto"/>
        <w:rPr>
          <w:sz w:val="20"/>
          <w:szCs w:val="20"/>
          <w:color w:val="auto"/>
        </w:rPr>
      </w:pPr>
      <w:r>
        <w:rPr>
          <w:rFonts w:ascii="Times New Roman" w:cs="Times New Roman" w:eastAsia="Times New Roman" w:hAnsi="Times New Roman"/>
          <w:sz w:val="18"/>
          <w:szCs w:val="18"/>
          <w:color w:val="auto"/>
        </w:rPr>
        <w:t>Transactions involving compensation for services provided to the Company as an employee, consultant or director are not covered by this policy. A related person is any executive officer, director, nominee for director or more than 5% beneficial stockholder of the Company, including any of their immediate family members, and any entity owned or controlled by such persons.</w:t>
      </w:r>
    </w:p>
    <w:p>
      <w:pPr>
        <w:spacing w:after="0" w:line="176" w:lineRule="exact"/>
        <w:rPr>
          <w:sz w:val="20"/>
          <w:szCs w:val="20"/>
          <w:color w:val="auto"/>
        </w:rPr>
      </w:pPr>
    </w:p>
    <w:p>
      <w:pPr>
        <w:ind w:right="100" w:firstLine="416"/>
        <w:spacing w:after="0" w:line="253" w:lineRule="auto"/>
        <w:rPr>
          <w:sz w:val="20"/>
          <w:szCs w:val="20"/>
          <w:color w:val="auto"/>
        </w:rPr>
      </w:pPr>
      <w:r>
        <w:rPr>
          <w:rFonts w:ascii="Times New Roman" w:cs="Times New Roman" w:eastAsia="Times New Roman" w:hAnsi="Times New Roman"/>
          <w:sz w:val="18"/>
          <w:szCs w:val="18"/>
          <w:color w:val="auto"/>
        </w:rPr>
        <w:t>Under the policy, where a transaction has been identified as a related-person transaction, management must present information regarding the proposed related-person transaction to the Audit Committee (or, where Audit Committee approval would be inappropriate, to another independent body of the Board) for consideration and approval or ratification. The presentation must include a description of, among other things, the material facts, the interests, direct and indirect, of the related persons, the benefits to the Company of the transaction and whether any alternative transactions were available. To identify related-person transactions in advance, the Company relies on information supplied by its executive officers, directors and significant stockholders. In considering related-person transactions, the Audit Committee takes into account the relevant available facts and circumstances including, but not limited to (a) the risks, costs and benefits to the Company, (b) the impact on a director’s independence in the event the related person is a director, immediate family member of a director or an entity with which a director is affiliated, (c) the terms of the transaction, (d) the availability of other sources for comparable services or products and (e) the terms available to or from, as the case may be, unrelated third parties or to or from employees generally. In the event a director has an interest in the proposed transaction, the director must recuse himself or herself form the deliberations and approval. The policy requires that, in determining whether to approve, ratify or reject a related-person transaction, the Audit Committee consider, in light of known circumstances, whether the transaction is in, or is not inconsistent with, the best interests of the Company and its stockholders, as the Audit Committee determines in the good faith exercise of its discretion.</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Since January 1, 2022, we had no related-persons transactions.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Business Conduct and Ethics; Anti-Corruption</w:t>
      </w:r>
    </w:p>
    <w:p>
      <w:pPr>
        <w:spacing w:after="0" w:line="121"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that applies to our directors and employees (including our principal executive officer, principal financial officer, principal accounting officer and controller), and have posted the text of the code on our website at </w:t>
      </w:r>
      <w:r>
        <w:rPr>
          <w:rFonts w:ascii="Times New Roman" w:cs="Times New Roman" w:eastAsia="Times New Roman" w:hAnsi="Times New Roman"/>
          <w:sz w:val="18"/>
          <w:szCs w:val="18"/>
          <w:i w:val="1"/>
          <w:iCs w:val="1"/>
          <w:color w:val="auto"/>
        </w:rPr>
        <w:t>mannkindcorp.com/corporate-governance/</w:t>
      </w:r>
      <w:r>
        <w:rPr>
          <w:rFonts w:ascii="Times New Roman" w:cs="Times New Roman" w:eastAsia="Times New Roman" w:hAnsi="Times New Roman"/>
          <w:sz w:val="18"/>
          <w:szCs w:val="18"/>
          <w:color w:val="auto"/>
        </w:rPr>
        <w:t>. In addition, we intend to promptly disclose on our website (i) the nature of any amendment to the policy that applies to our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 principal financial officer, principal accounting officer or controller, or persons performing similar functions and (ii) the nature of any waiver, including an implicit waiver, from a provision of the policy that is granted to one of these specified individuals, the name of such person who is granted the waiver and the date of the waiver.</w:t>
      </w:r>
    </w:p>
    <w:p>
      <w:pPr>
        <w:spacing w:after="0" w:line="185" w:lineRule="exact"/>
        <w:rPr>
          <w:sz w:val="20"/>
          <w:szCs w:val="20"/>
          <w:color w:val="auto"/>
        </w:rPr>
      </w:pPr>
    </w:p>
    <w:p>
      <w:pPr>
        <w:ind w:right="20" w:firstLine="416"/>
        <w:spacing w:after="0" w:line="258" w:lineRule="auto"/>
        <w:rPr>
          <w:sz w:val="20"/>
          <w:szCs w:val="20"/>
          <w:color w:val="auto"/>
        </w:rPr>
      </w:pPr>
      <w:r>
        <w:rPr>
          <w:rFonts w:ascii="Times New Roman" w:cs="Times New Roman" w:eastAsia="Times New Roman" w:hAnsi="Times New Roman"/>
          <w:sz w:val="18"/>
          <w:szCs w:val="18"/>
          <w:color w:val="auto"/>
        </w:rPr>
        <w:t xml:space="preserve">We have also adopted an Anti-Corruption Policy and have posted the text of the policy on our website at </w:t>
      </w:r>
      <w:r>
        <w:rPr>
          <w:rFonts w:ascii="Times New Roman" w:cs="Times New Roman" w:eastAsia="Times New Roman" w:hAnsi="Times New Roman"/>
          <w:sz w:val="18"/>
          <w:szCs w:val="18"/>
          <w:i w:val="1"/>
          <w:iCs w:val="1"/>
          <w:color w:val="auto"/>
        </w:rPr>
        <w:t>www.mannkindcorp.com/corporate-governance/</w:t>
      </w:r>
      <w:r>
        <w:rPr>
          <w:rFonts w:ascii="Times New Roman" w:cs="Times New Roman" w:eastAsia="Times New Roman" w:hAnsi="Times New Roman"/>
          <w:sz w:val="18"/>
          <w:szCs w:val="18"/>
          <w:color w:val="auto"/>
        </w:rPr>
        <w:t>. This policy strictly prohibits our directors and employees from (i) promising, offering, providing, or authorizing cash payments (such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bribes or kickbacks) or anything else of value directly or indirectly to any person to achieve an improper purpose related to the Company’s business and (ii) requesting, agreeing to receive, or accepting money or anything else of value from any person to achieve an improper purpose related to the Company’s business.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Hedging Policy</w:t>
      </w:r>
    </w:p>
    <w:p>
      <w:pPr>
        <w:spacing w:after="0" w:line="121" w:lineRule="exact"/>
        <w:rPr>
          <w:sz w:val="20"/>
          <w:szCs w:val="20"/>
          <w:color w:val="auto"/>
        </w:rPr>
      </w:pPr>
    </w:p>
    <w:p>
      <w:pPr>
        <w:ind w:right="740" w:firstLine="416"/>
        <w:spacing w:after="0" w:line="282" w:lineRule="auto"/>
        <w:rPr>
          <w:sz w:val="20"/>
          <w:szCs w:val="20"/>
          <w:color w:val="auto"/>
        </w:rPr>
      </w:pPr>
      <w:r>
        <w:rPr>
          <w:rFonts w:ascii="Times New Roman" w:cs="Times New Roman" w:eastAsia="Times New Roman" w:hAnsi="Times New Roman"/>
          <w:sz w:val="18"/>
          <w:szCs w:val="18"/>
          <w:color w:val="auto"/>
        </w:rPr>
        <w:t>As part of our Insider Trading Policy, we prohibit speculation based on fluctuations in the market. As a result, the following transactions are prohibited, whether or not the director, employee, officer or consultant is in possession of inside information:</w:t>
      </w:r>
    </w:p>
    <w:p>
      <w:pPr>
        <w:spacing w:after="0" w:line="54" w:lineRule="exact"/>
        <w:rPr>
          <w:sz w:val="20"/>
          <w:szCs w:val="20"/>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or sales of any derivative security of the Company, including without limitation, puts and calls;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of the Company’s stock on margin;</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24" w:name="page25"/>
    <w:bookmarkEnd w:id="24"/>
    <w:p>
      <w:pPr>
        <w:ind w:left="760" w:right="14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 sales of the Company’s stock (i.e., where a person borrows shares of the Company’s stock, sells them and then purchases stock at a later date to replace the borrowed stock);</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loaning shares of the Company’s stock through a brokerage or otherwise in order to facilitate the short sales of other persons;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writing, buying or selling options for the Company’s stock;</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pledging the Company’s stock as security or collateral for a loan or any other obligation; and</w:t>
      </w:r>
    </w:p>
    <w:p>
      <w:pPr>
        <w:spacing w:after="0" w:line="117" w:lineRule="exact"/>
        <w:rPr>
          <w:rFonts w:ascii="Times New Roman" w:cs="Times New Roman" w:eastAsia="Times New Roman" w:hAnsi="Times New Roman"/>
          <w:sz w:val="18"/>
          <w:szCs w:val="18"/>
          <w:color w:val="auto"/>
        </w:rPr>
      </w:pPr>
    </w:p>
    <w:p>
      <w:pPr>
        <w:ind w:left="760" w:right="300" w:hanging="378"/>
        <w:spacing w:after="0" w:line="282" w:lineRule="auto"/>
        <w:tabs>
          <w:tab w:leader="none" w:pos="7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otherwise referenced above, any other hedging transaction involving the Company’s stock or any derivative security of the Company, or any other inherently speculative transaction involving the Company’s stock.</w:t>
      </w:r>
    </w:p>
    <w:p>
      <w:pPr>
        <w:spacing w:after="0" w:line="162" w:lineRule="exact"/>
        <w:rPr>
          <w:sz w:val="20"/>
          <w:szCs w:val="20"/>
          <w:color w:val="auto"/>
        </w:rPr>
      </w:pPr>
    </w:p>
    <w:p>
      <w:pPr>
        <w:ind w:firstLine="416"/>
        <w:spacing w:after="0" w:line="282" w:lineRule="auto"/>
        <w:rPr>
          <w:sz w:val="20"/>
          <w:szCs w:val="20"/>
          <w:color w:val="auto"/>
        </w:rPr>
      </w:pPr>
      <w:r>
        <w:rPr>
          <w:rFonts w:ascii="Times New Roman" w:cs="Times New Roman" w:eastAsia="Times New Roman" w:hAnsi="Times New Roman"/>
          <w:sz w:val="18"/>
          <w:szCs w:val="18"/>
          <w:color w:val="auto"/>
        </w:rPr>
        <w:t>The prohibition on these transactions also applies to members of the households of directors, officers, employees and consultants of the Company or its subsidiaries.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445" w:right="47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67" w:lineRule="exact"/>
        <w:rPr>
          <w:sz w:val="20"/>
          <w:szCs w:val="20"/>
          <w:color w:val="auto"/>
        </w:rPr>
      </w:pPr>
    </w:p>
    <w:p>
      <w:pPr>
        <w:ind w:right="200" w:firstLine="416"/>
        <w:spacing w:after="0" w:line="282" w:lineRule="auto"/>
        <w:rPr>
          <w:sz w:val="20"/>
          <w:szCs w:val="20"/>
          <w:color w:val="auto"/>
        </w:rPr>
      </w:pPr>
      <w:r>
        <w:rPr>
          <w:rFonts w:ascii="Times New Roman" w:cs="Times New Roman" w:eastAsia="Times New Roman" w:hAnsi="Times New Roman"/>
          <w:sz w:val="18"/>
          <w:szCs w:val="18"/>
          <w:color w:val="auto"/>
        </w:rPr>
        <w:t>Pursuant to our non-employee director compensation program (the “director compensation program”), each of our non-employee directors receives an annual retainer and fees for their service on our standing board committees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Element</w:t>
            </w:r>
          </w:p>
        </w:tc>
        <w:tc>
          <w:tcPr>
            <w:tcW w:w="220" w:type="dxa"/>
            <w:vAlign w:val="bottom"/>
          </w:tcPr>
          <w:p>
            <w:pPr>
              <w:spacing w:after="0"/>
              <w:rPr>
                <w:sz w:val="16"/>
                <w:szCs w:val="16"/>
                <w:color w:val="auto"/>
              </w:rPr>
            </w:pPr>
          </w:p>
        </w:tc>
        <w:tc>
          <w:tcPr>
            <w:tcW w:w="2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r>
      <w:tr>
        <w:trPr>
          <w:trHeight w:val="223"/>
        </w:trPr>
        <w:tc>
          <w:tcPr>
            <w:tcW w:w="8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Annual Retainer</w:t>
            </w:r>
          </w:p>
        </w:tc>
        <w:tc>
          <w:tcPr>
            <w:tcW w:w="220" w:type="dxa"/>
            <w:vAlign w:val="bottom"/>
            <w:shd w:val="clear" w:color="auto" w:fill="CFF0FC"/>
          </w:tcPr>
          <w:p>
            <w:pPr>
              <w:spacing w:after="0"/>
              <w:rPr>
                <w:sz w:val="19"/>
                <w:szCs w:val="19"/>
                <w:color w:val="auto"/>
              </w:rPr>
            </w:pPr>
          </w:p>
        </w:tc>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$ 50,000</w:t>
            </w:r>
          </w:p>
        </w:tc>
        <w:tc>
          <w:tcPr>
            <w:tcW w:w="100" w:type="dxa"/>
            <w:vAlign w:val="bottom"/>
            <w:shd w:val="clear" w:color="auto" w:fill="CFF0FC"/>
          </w:tcPr>
          <w:p>
            <w:pPr>
              <w:spacing w:after="0"/>
              <w:rPr>
                <w:sz w:val="19"/>
                <w:szCs w:val="19"/>
                <w:color w:val="auto"/>
              </w:rPr>
            </w:pPr>
          </w:p>
        </w:tc>
      </w:tr>
      <w:tr>
        <w:trPr>
          <w:trHeight w:val="229"/>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Independent Chair Premium</w:t>
            </w:r>
          </w:p>
        </w:tc>
        <w:tc>
          <w:tcPr>
            <w:tcW w:w="2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$ 32,500</w:t>
            </w:r>
          </w:p>
        </w:tc>
        <w:tc>
          <w:tcPr>
            <w:tcW w:w="100" w:type="dxa"/>
            <w:vAlign w:val="bottom"/>
          </w:tcPr>
          <w:p>
            <w:pPr>
              <w:spacing w:after="0"/>
              <w:rPr>
                <w:sz w:val="19"/>
                <w:szCs w:val="19"/>
                <w:color w:val="auto"/>
              </w:rPr>
            </w:pPr>
          </w:p>
        </w:tc>
      </w:tr>
      <w:tr>
        <w:trPr>
          <w:trHeight w:val="229"/>
        </w:trPr>
        <w:tc>
          <w:tcPr>
            <w:tcW w:w="8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Audit Committee</w:t>
            </w:r>
          </w:p>
        </w:tc>
        <w:tc>
          <w:tcPr>
            <w:tcW w:w="220" w:type="dxa"/>
            <w:vAlign w:val="bottom"/>
            <w:shd w:val="clear" w:color="auto" w:fill="CFF0FC"/>
          </w:tcPr>
          <w:p>
            <w:pPr>
              <w:spacing w:after="0"/>
              <w:rPr>
                <w:sz w:val="19"/>
                <w:szCs w:val="19"/>
                <w:color w:val="auto"/>
              </w:rPr>
            </w:pPr>
          </w:p>
        </w:tc>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Chair: $25,000</w:t>
            </w:r>
          </w:p>
        </w:tc>
        <w:tc>
          <w:tcPr>
            <w:tcW w:w="100" w:type="dxa"/>
            <w:vAlign w:val="bottom"/>
            <w:shd w:val="clear" w:color="auto" w:fill="CFF0FC"/>
          </w:tcPr>
          <w:p>
            <w:pPr>
              <w:spacing w:after="0"/>
              <w:rPr>
                <w:sz w:val="19"/>
                <w:szCs w:val="19"/>
                <w:color w:val="auto"/>
              </w:rPr>
            </w:pPr>
          </w:p>
        </w:tc>
      </w:tr>
      <w:tr>
        <w:trPr>
          <w:trHeight w:val="230"/>
        </w:trPr>
        <w:tc>
          <w:tcPr>
            <w:tcW w:w="8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Other members: $10,000</w:t>
            </w:r>
          </w:p>
        </w:tc>
        <w:tc>
          <w:tcPr>
            <w:tcW w:w="100" w:type="dxa"/>
            <w:vAlign w:val="bottom"/>
          </w:tcPr>
          <w:p>
            <w:pPr>
              <w:spacing w:after="0"/>
              <w:rPr>
                <w:sz w:val="19"/>
                <w:szCs w:val="19"/>
                <w:color w:val="auto"/>
              </w:rPr>
            </w:pPr>
          </w:p>
        </w:tc>
      </w:tr>
      <w:tr>
        <w:trPr>
          <w:trHeight w:val="229"/>
        </w:trPr>
        <w:tc>
          <w:tcPr>
            <w:tcW w:w="8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Committee</w:t>
            </w:r>
          </w:p>
        </w:tc>
        <w:tc>
          <w:tcPr>
            <w:tcW w:w="220" w:type="dxa"/>
            <w:vAlign w:val="bottom"/>
            <w:shd w:val="clear" w:color="auto" w:fill="CFF0FC"/>
          </w:tcPr>
          <w:p>
            <w:pPr>
              <w:spacing w:after="0"/>
              <w:rPr>
                <w:sz w:val="19"/>
                <w:szCs w:val="19"/>
                <w:color w:val="auto"/>
              </w:rPr>
            </w:pPr>
          </w:p>
        </w:tc>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Chair: $20,000</w:t>
            </w:r>
          </w:p>
        </w:tc>
        <w:tc>
          <w:tcPr>
            <w:tcW w:w="100" w:type="dxa"/>
            <w:vAlign w:val="bottom"/>
            <w:shd w:val="clear" w:color="auto" w:fill="CFF0FC"/>
          </w:tcPr>
          <w:p>
            <w:pPr>
              <w:spacing w:after="0"/>
              <w:rPr>
                <w:sz w:val="19"/>
                <w:szCs w:val="19"/>
                <w:color w:val="auto"/>
              </w:rPr>
            </w:pPr>
          </w:p>
        </w:tc>
      </w:tr>
      <w:tr>
        <w:trPr>
          <w:trHeight w:val="230"/>
        </w:trPr>
        <w:tc>
          <w:tcPr>
            <w:tcW w:w="8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Other members: $7,500</w:t>
            </w:r>
          </w:p>
        </w:tc>
        <w:tc>
          <w:tcPr>
            <w:tcW w:w="100" w:type="dxa"/>
            <w:vAlign w:val="bottom"/>
          </w:tcPr>
          <w:p>
            <w:pPr>
              <w:spacing w:after="0"/>
              <w:rPr>
                <w:sz w:val="19"/>
                <w:szCs w:val="19"/>
                <w:color w:val="auto"/>
              </w:rPr>
            </w:pPr>
          </w:p>
        </w:tc>
      </w:tr>
      <w:tr>
        <w:trPr>
          <w:trHeight w:val="229"/>
        </w:trPr>
        <w:tc>
          <w:tcPr>
            <w:tcW w:w="8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Nominating and Corporate Governance Committee</w:t>
            </w:r>
          </w:p>
        </w:tc>
        <w:tc>
          <w:tcPr>
            <w:tcW w:w="220" w:type="dxa"/>
            <w:vAlign w:val="bottom"/>
            <w:shd w:val="clear" w:color="auto" w:fill="CFF0FC"/>
          </w:tcPr>
          <w:p>
            <w:pPr>
              <w:spacing w:after="0"/>
              <w:rPr>
                <w:sz w:val="19"/>
                <w:szCs w:val="19"/>
                <w:color w:val="auto"/>
              </w:rPr>
            </w:pPr>
          </w:p>
        </w:tc>
        <w:tc>
          <w:tcPr>
            <w:tcW w:w="2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Chair: $10,000</w:t>
            </w:r>
          </w:p>
        </w:tc>
        <w:tc>
          <w:tcPr>
            <w:tcW w:w="100" w:type="dxa"/>
            <w:vAlign w:val="bottom"/>
            <w:shd w:val="clear" w:color="auto" w:fill="CFF0FC"/>
          </w:tcPr>
          <w:p>
            <w:pPr>
              <w:spacing w:after="0"/>
              <w:rPr>
                <w:sz w:val="19"/>
                <w:szCs w:val="19"/>
                <w:color w:val="auto"/>
              </w:rPr>
            </w:pPr>
          </w:p>
        </w:tc>
      </w:tr>
      <w:tr>
        <w:trPr>
          <w:trHeight w:val="234"/>
        </w:trPr>
        <w:tc>
          <w:tcPr>
            <w:tcW w:w="8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Other members: $5,000</w:t>
            </w:r>
          </w:p>
        </w:tc>
        <w:tc>
          <w:tcPr>
            <w:tcW w:w="100" w:type="dxa"/>
            <w:vAlign w:val="bottom"/>
          </w:tcPr>
          <w:p>
            <w:pPr>
              <w:spacing w:after="0"/>
              <w:rPr>
                <w:sz w:val="20"/>
                <w:szCs w:val="20"/>
                <w:color w:val="auto"/>
              </w:rPr>
            </w:pPr>
          </w:p>
        </w:tc>
      </w:tr>
    </w:tbl>
    <w:p>
      <w:pPr>
        <w:spacing w:after="0" w:line="193" w:lineRule="exact"/>
        <w:rPr>
          <w:sz w:val="20"/>
          <w:szCs w:val="20"/>
          <w:color w:val="auto"/>
        </w:rPr>
      </w:pPr>
    </w:p>
    <w:p>
      <w:pPr>
        <w:ind w:right="120" w:firstLine="416"/>
        <w:spacing w:after="0" w:line="266" w:lineRule="auto"/>
        <w:rPr>
          <w:sz w:val="20"/>
          <w:szCs w:val="20"/>
          <w:color w:val="auto"/>
        </w:rPr>
      </w:pPr>
      <w:r>
        <w:rPr>
          <w:rFonts w:ascii="Times New Roman" w:cs="Times New Roman" w:eastAsia="Times New Roman" w:hAnsi="Times New Roman"/>
          <w:sz w:val="18"/>
          <w:szCs w:val="18"/>
          <w:color w:val="auto"/>
        </w:rPr>
        <w:t>The members of the Board are also eligible for reimbursement for their expenses incurred in attending Board meetings in accordance with Company policy. Other than the annual fees described above, our non-employee directors do not receive meeting fees or other compensation for their attendance at specific Board or committee meetings.</w:t>
      </w:r>
    </w:p>
    <w:p>
      <w:pPr>
        <w:spacing w:after="0" w:line="176" w:lineRule="exact"/>
        <w:rPr>
          <w:sz w:val="20"/>
          <w:szCs w:val="20"/>
          <w:color w:val="auto"/>
        </w:rPr>
      </w:pPr>
    </w:p>
    <w:p>
      <w:pPr>
        <w:ind w:right="120" w:firstLine="416"/>
        <w:spacing w:after="0" w:line="258" w:lineRule="auto"/>
        <w:rPr>
          <w:sz w:val="20"/>
          <w:szCs w:val="20"/>
          <w:color w:val="auto"/>
        </w:rPr>
      </w:pPr>
      <w:r>
        <w:rPr>
          <w:rFonts w:ascii="Times New Roman" w:cs="Times New Roman" w:eastAsia="Times New Roman" w:hAnsi="Times New Roman"/>
          <w:sz w:val="18"/>
          <w:szCs w:val="18"/>
          <w:color w:val="auto"/>
        </w:rPr>
        <w:t>Our director compensation program specifies that each non-employee director of the Company is also eligible to receive annual equity awards under the EIP. Specifically, on the date of each of our annual stockholder meetings, each of our non-employee directors receives a restricted stock unit (RSU) award determined by dividing $150,000 by the then-current stock price used for valuing employee equity awards, which in no event is less than the last reported closing price of the Company’s common stock. Each such annual RSU award vests immediately, but shares are not distributed until the director separates from service to the Board (i.e. retires, is removed or dies).</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 non-employee director who joins the Board between annual stockholders meetings is entitled to a pro-rata compensation package.</w:t>
      </w:r>
    </w:p>
    <w:p>
      <w:pPr>
        <w:spacing w:after="0" w:line="225" w:lineRule="exact"/>
        <w:rPr>
          <w:sz w:val="20"/>
          <w:szCs w:val="20"/>
          <w:color w:val="auto"/>
        </w:rPr>
      </w:pPr>
    </w:p>
    <w:p>
      <w:pPr>
        <w:ind w:right="40" w:firstLine="416"/>
        <w:spacing w:after="0" w:line="256" w:lineRule="auto"/>
        <w:rPr>
          <w:sz w:val="20"/>
          <w:szCs w:val="20"/>
          <w:color w:val="auto"/>
        </w:rPr>
      </w:pPr>
      <w:r>
        <w:rPr>
          <w:rFonts w:ascii="Times New Roman" w:cs="Times New Roman" w:eastAsia="Times New Roman" w:hAnsi="Times New Roman"/>
          <w:sz w:val="18"/>
          <w:szCs w:val="18"/>
          <w:color w:val="auto"/>
        </w:rPr>
        <w:t>Non-employee directors have an option to receive their annual $50,000 retainer in cash or common stock of the Company. If a non-employee director elects to receive his or her annual retainer in common stock, such director will be granted an RSU award consisting of that number of shares that equals 100% of the annual retainer, based on the 20-day trailing average closing price as of the trading day immediately preceding the date of the annual stockholder meeting. This award vests immediately, but shares are not distributed until the director separates from service to the Board (i.e. retires, is removed or dies). Non-employee directors who do not elect this option receive the full annual retainer in cash shortly after the date of the stockholder meeting.</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Director Compensation Table</w:t>
      </w:r>
    </w:p>
    <w:p>
      <w:pPr>
        <w:spacing w:after="0" w:line="229" w:lineRule="exact"/>
        <w:rPr>
          <w:sz w:val="20"/>
          <w:szCs w:val="20"/>
          <w:color w:val="auto"/>
        </w:rPr>
      </w:pPr>
    </w:p>
    <w:p>
      <w:pPr>
        <w:ind w:right="500" w:firstLine="41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concerning director compensation received for the fiscal year ended December 31, 2022 by our non-employee directors.</w:t>
      </w:r>
    </w:p>
    <w:p>
      <w:pPr>
        <w:spacing w:after="0" w:line="59" w:lineRule="exact"/>
        <w:rPr>
          <w:sz w:val="20"/>
          <w:szCs w:val="20"/>
          <w:color w:val="auto"/>
        </w:rPr>
      </w:pPr>
    </w:p>
    <w:tbl>
      <w:tblPr>
        <w:tblLayout w:type="fixed"/>
        <w:tblInd w:w="142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174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Fees Earned or</w:t>
            </w:r>
          </w:p>
        </w:tc>
        <w:tc>
          <w:tcPr>
            <w:tcW w:w="240" w:type="dxa"/>
            <w:vAlign w:val="bottom"/>
          </w:tcPr>
          <w:p>
            <w:pPr>
              <w:spacing w:after="0"/>
              <w:rPr>
                <w:sz w:val="13"/>
                <w:szCs w:val="13"/>
                <w:color w:val="auto"/>
              </w:rPr>
            </w:pPr>
          </w:p>
        </w:tc>
        <w:tc>
          <w:tcPr>
            <w:tcW w:w="1720" w:type="dxa"/>
            <w:vAlign w:val="bottom"/>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220" w:type="dxa"/>
            <w:vAlign w:val="bottom"/>
          </w:tcPr>
          <w:p>
            <w:pPr>
              <w:spacing w:after="0"/>
              <w:rPr>
                <w:sz w:val="13"/>
                <w:szCs w:val="13"/>
                <w:color w:val="auto"/>
              </w:rPr>
            </w:pPr>
          </w:p>
        </w:tc>
        <w:tc>
          <w:tcPr>
            <w:tcW w:w="1720" w:type="dxa"/>
            <w:vAlign w:val="bottom"/>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3"/>
                <w:szCs w:val="13"/>
                <w:color w:val="auto"/>
              </w:rPr>
            </w:pPr>
          </w:p>
        </w:tc>
      </w:tr>
      <w:tr>
        <w:trPr>
          <w:trHeight w:val="189"/>
        </w:trPr>
        <w:tc>
          <w:tcPr>
            <w:tcW w:w="2700" w:type="dxa"/>
            <w:vAlign w:val="bottom"/>
          </w:tcPr>
          <w:p>
            <w:pPr>
              <w:spacing w:after="0"/>
              <w:rPr>
                <w:sz w:val="16"/>
                <w:szCs w:val="16"/>
                <w:color w:val="auto"/>
              </w:rPr>
            </w:pPr>
          </w:p>
        </w:tc>
        <w:tc>
          <w:tcPr>
            <w:tcW w:w="17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Paid in Cash ($)</w:t>
            </w:r>
          </w:p>
        </w:tc>
        <w:tc>
          <w:tcPr>
            <w:tcW w:w="1960" w:type="dxa"/>
            <w:vAlign w:val="bottom"/>
            <w:gridSpan w:val="2"/>
          </w:tcPr>
          <w:p>
            <w:pPr>
              <w:jc w:val="right"/>
              <w:ind w:right="599"/>
              <w:spacing w:after="0" w:line="189" w:lineRule="exact"/>
              <w:rPr>
                <w:sz w:val="20"/>
                <w:szCs w:val="20"/>
                <w:color w:val="auto"/>
              </w:rPr>
            </w:pPr>
            <w:r>
              <w:rPr>
                <w:rFonts w:ascii="Times New Roman" w:cs="Times New Roman" w:eastAsia="Times New Roman" w:hAnsi="Times New Roman"/>
                <w:sz w:val="21"/>
                <w:szCs w:val="21"/>
                <w:b w:val="1"/>
                <w:bCs w:val="1"/>
                <w:color w:val="auto"/>
                <w:vertAlign w:val="subscript"/>
              </w:rPr>
              <w:t>($)</w:t>
            </w:r>
            <w:r>
              <w:rPr>
                <w:rFonts w:ascii="Times New Roman" w:cs="Times New Roman" w:eastAsia="Times New Roman" w:hAnsi="Times New Roman"/>
                <w:sz w:val="8"/>
                <w:szCs w:val="8"/>
                <w:b w:val="1"/>
                <w:bCs w:val="1"/>
                <w:color w:val="auto"/>
              </w:rPr>
              <w:t>(1)(2)</w:t>
            </w:r>
          </w:p>
        </w:tc>
        <w:tc>
          <w:tcPr>
            <w:tcW w:w="1940" w:type="dxa"/>
            <w:vAlign w:val="bottom"/>
            <w:gridSpan w:val="2"/>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6"/>
                <w:szCs w:val="16"/>
                <w:color w:val="auto"/>
              </w:rPr>
            </w:pPr>
          </w:p>
        </w:tc>
      </w:tr>
      <w:tr>
        <w:trPr>
          <w:trHeight w:val="236"/>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Ronald J. Consiglio</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40" w:type="dxa"/>
            <w:vAlign w:val="bottom"/>
            <w:shd w:val="clear" w:color="auto" w:fill="CFF0FC"/>
          </w:tcPr>
          <w:p>
            <w:pPr>
              <w:spacing w:after="0"/>
              <w:rPr>
                <w:sz w:val="20"/>
                <w:szCs w:val="20"/>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132,883</w:t>
            </w:r>
          </w:p>
        </w:tc>
        <w:tc>
          <w:tcPr>
            <w:tcW w:w="220" w:type="dxa"/>
            <w:vAlign w:val="bottom"/>
            <w:shd w:val="clear" w:color="auto" w:fill="CFF0FC"/>
          </w:tcPr>
          <w:p>
            <w:pPr>
              <w:spacing w:after="0"/>
              <w:rPr>
                <w:sz w:val="20"/>
                <w:szCs w:val="20"/>
                <w:color w:val="auto"/>
              </w:rPr>
            </w:pPr>
          </w:p>
        </w:tc>
        <w:tc>
          <w:tcPr>
            <w:tcW w:w="1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212,883</w:t>
            </w:r>
          </w:p>
        </w:tc>
        <w:tc>
          <w:tcPr>
            <w:tcW w:w="80" w:type="dxa"/>
            <w:vAlign w:val="bottom"/>
            <w:shd w:val="clear" w:color="auto" w:fill="CFF0FC"/>
          </w:tcPr>
          <w:p>
            <w:pPr>
              <w:spacing w:after="0"/>
              <w:rPr>
                <w:sz w:val="20"/>
                <w:szCs w:val="20"/>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Michael A. Friedman</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67,500</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132,883</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200,383</w:t>
            </w:r>
          </w:p>
        </w:tc>
        <w:tc>
          <w:tcPr>
            <w:tcW w:w="80" w:type="dxa"/>
            <w:vAlign w:val="bottom"/>
          </w:tcPr>
          <w:p>
            <w:pPr>
              <w:spacing w:after="0"/>
              <w:rPr>
                <w:sz w:val="20"/>
                <w:szCs w:val="20"/>
                <w:color w:val="auto"/>
              </w:rPr>
            </w:pPr>
          </w:p>
        </w:tc>
      </w:tr>
      <w:tr>
        <w:trPr>
          <w:trHeight w:val="247"/>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Jennifer Grancio</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132,883</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192,883</w:t>
            </w:r>
          </w:p>
        </w:tc>
        <w:tc>
          <w:tcPr>
            <w:tcW w:w="80" w:type="dxa"/>
            <w:vAlign w:val="bottom"/>
            <w:shd w:val="clear" w:color="auto" w:fill="CFF0FC"/>
          </w:tcPr>
          <w:p>
            <w:pPr>
              <w:spacing w:after="0"/>
              <w:rPr>
                <w:sz w:val="21"/>
                <w:szCs w:val="2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Anthony Hooper</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67,500</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132,883</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200,383</w:t>
            </w:r>
          </w:p>
        </w:tc>
        <w:tc>
          <w:tcPr>
            <w:tcW w:w="80" w:type="dxa"/>
            <w:vAlign w:val="bottom"/>
          </w:tcPr>
          <w:p>
            <w:pPr>
              <w:spacing w:after="0"/>
              <w:rPr>
                <w:sz w:val="20"/>
                <w:szCs w:val="20"/>
                <w:color w:val="auto"/>
              </w:rPr>
            </w:pPr>
          </w:p>
        </w:tc>
      </w:tr>
      <w:tr>
        <w:trPr>
          <w:trHeight w:val="247"/>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Sabrina Kay</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132,883</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192,883</w:t>
            </w:r>
          </w:p>
        </w:tc>
        <w:tc>
          <w:tcPr>
            <w:tcW w:w="80" w:type="dxa"/>
            <w:vAlign w:val="bottom"/>
            <w:shd w:val="clear" w:color="auto" w:fill="CFF0FC"/>
          </w:tcPr>
          <w:p>
            <w:pPr>
              <w:spacing w:after="0"/>
              <w:rPr>
                <w:sz w:val="21"/>
                <w:szCs w:val="21"/>
                <w:color w:val="auto"/>
              </w:rPr>
            </w:pPr>
          </w:p>
        </w:tc>
      </w:tr>
      <w:tr>
        <w:trPr>
          <w:trHeight w:val="239"/>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Kent Kresa</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132,883</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207,883</w:t>
            </w:r>
          </w:p>
        </w:tc>
        <w:tc>
          <w:tcPr>
            <w:tcW w:w="80" w:type="dxa"/>
            <w:vAlign w:val="bottom"/>
          </w:tcPr>
          <w:p>
            <w:pPr>
              <w:spacing w:after="0"/>
              <w:rPr>
                <w:sz w:val="20"/>
                <w:szCs w:val="20"/>
                <w:color w:val="auto"/>
              </w:rPr>
            </w:pPr>
          </w:p>
        </w:tc>
      </w:tr>
      <w:tr>
        <w:trPr>
          <w:trHeight w:val="247"/>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Christine Mundkur</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1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132,883</w:t>
            </w:r>
          </w:p>
        </w:tc>
        <w:tc>
          <w:tcPr>
            <w:tcW w:w="19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197,883</w:t>
            </w:r>
          </w:p>
        </w:tc>
        <w:tc>
          <w:tcPr>
            <w:tcW w:w="80" w:type="dxa"/>
            <w:vAlign w:val="bottom"/>
            <w:shd w:val="clear" w:color="auto" w:fill="CFF0FC"/>
          </w:tcPr>
          <w:p>
            <w:pPr>
              <w:spacing w:after="0"/>
              <w:rPr>
                <w:sz w:val="21"/>
                <w:szCs w:val="21"/>
                <w:color w:val="auto"/>
              </w:rPr>
            </w:pP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James S. Shannon</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132,883</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222,883</w:t>
            </w:r>
          </w:p>
        </w:tc>
        <w:tc>
          <w:tcPr>
            <w:tcW w:w="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82550</wp:posOffset>
            </wp:positionV>
            <wp:extent cx="1165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36" w:lineRule="exact"/>
        <w:rPr>
          <w:sz w:val="20"/>
          <w:szCs w:val="20"/>
          <w:color w:val="auto"/>
        </w:rPr>
      </w:pPr>
    </w:p>
    <w:p>
      <w:pPr>
        <w:ind w:left="460" w:right="20" w:hanging="452"/>
        <w:spacing w:after="0" w:line="236" w:lineRule="auto"/>
        <w:tabs>
          <w:tab w:leader="none" w:pos="4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There were no option grants to non-employee directors in 2022. We have no consulting agreements with any of our directors pursuant to which stock awards were issued. As of December 31, 2022, our non-employee directors had option grants outstanding to purchase 203,286 shares of our common stock as follows: Ronald J. Consiglio, 49,141 shares; Michael A. Friedman, M.D., 62,660 shares; Kent Kresa, 46,980 shares; and James Shannon, 44,505 shares. Jennifer Grancio, Anthony Hooper, Sabrina Kay and Christine Mundkur had no option grants outstanding as of December 31, 2022.</w:t>
      </w:r>
    </w:p>
    <w:p>
      <w:pPr>
        <w:spacing w:after="0" w:line="68" w:lineRule="exact"/>
        <w:rPr>
          <w:rFonts w:ascii="Times New Roman" w:cs="Times New Roman" w:eastAsia="Times New Roman" w:hAnsi="Times New Roman"/>
          <w:sz w:val="14"/>
          <w:szCs w:val="14"/>
          <w:color w:val="auto"/>
        </w:rPr>
      </w:pPr>
    </w:p>
    <w:p>
      <w:pPr>
        <w:ind w:left="460" w:hanging="452"/>
        <w:spacing w:after="0" w:line="229" w:lineRule="auto"/>
        <w:tabs>
          <w:tab w:leader="none" w:pos="46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reflect the grant date fair value of all restricted stock awards to non-employee directors in 2022. Restricted stock units are valued based on the market price on the grant date. Reference Note 15 “Stock Award Plans” in the notes to our financial statements for the period ended December 31, 2022, included in Part IV of our Annual Report on Form 10-K for the fiscal year ended December 31, 2022 filed with the SEC on February 23, 2023, which identifies the assumptions made in the valuation of restricted stock awards. Restricted stock awards granted to non-employee directors in 2022 vested immediately, but the shares will not be delivered until there is a separation of service, such as through resignation or retirement from the Board or his or her death. As of December 31, 2022, our non-employee directors had no unvested restricted stock units outstanding and had vested restricted stock units to receive 1,902,005 shares of our common stock as follows: Ronald J. Consiglio, 388,110 shares; Michael A. Friedman, M.D., 304,455 shares; Jennifer Grancio, 179,159 shares; Anthony Hooper, 247,286 shares; Sabrina Kay, 123,022 shares; Kent Kresa, 388,110 shares; Christine Mundkur, 271,863 shares and James S. Shannon, 388,110 shares.</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121" w:lineRule="exact"/>
        <w:rPr>
          <w:sz w:val="20"/>
          <w:szCs w:val="20"/>
          <w:color w:val="auto"/>
        </w:rPr>
      </w:pPr>
    </w:p>
    <w:p>
      <w:pPr>
        <w:ind w:right="20" w:firstLine="416"/>
        <w:spacing w:after="0" w:line="282" w:lineRule="auto"/>
        <w:rPr>
          <w:sz w:val="20"/>
          <w:szCs w:val="20"/>
          <w:color w:val="auto"/>
        </w:rPr>
      </w:pPr>
      <w:r>
        <w:rPr>
          <w:rFonts w:ascii="Times New Roman" w:cs="Times New Roman" w:eastAsia="Times New Roman" w:hAnsi="Times New Roman"/>
          <w:sz w:val="18"/>
          <w:szCs w:val="18"/>
          <w:color w:val="auto"/>
        </w:rPr>
        <w:t>Our non-employee directors are subject to our stock ownership guidelines, which require each such individual to hold a specified number of shares of our common stock calculated by dividing three times the annual retainer by the current stock price.</w:t>
      </w:r>
    </w:p>
    <w:p>
      <w:pPr>
        <w:spacing w:after="0" w:line="162" w:lineRule="exact"/>
        <w:rPr>
          <w:sz w:val="20"/>
          <w:szCs w:val="20"/>
          <w:color w:val="auto"/>
        </w:rPr>
      </w:pPr>
    </w:p>
    <w:p>
      <w:pPr>
        <w:ind w:right="120" w:firstLine="416"/>
        <w:spacing w:after="0" w:line="256" w:lineRule="auto"/>
        <w:rPr>
          <w:sz w:val="20"/>
          <w:szCs w:val="20"/>
          <w:color w:val="auto"/>
        </w:rPr>
      </w:pPr>
      <w:r>
        <w:rPr>
          <w:rFonts w:ascii="Times New Roman" w:cs="Times New Roman" w:eastAsia="Times New Roman" w:hAnsi="Times New Roman"/>
          <w:sz w:val="18"/>
          <w:szCs w:val="18"/>
          <w:color w:val="auto"/>
        </w:rPr>
        <w:t>For purposes of determining stock ownership, all common stock, shares held in retirement accounts, restricted stock units, restricted shares, options (regardless as to whether they are “underwater” or “in the money”) and performance awards are considered eligible. Both vested and unvested equity awards count as eligible. Each non-employee director has five years to reach the applicable guideline, beginning January 1, 2020 or when the individual was first appointed or elected to the Board, whichever is later. Upon completion of the grace period, for anyone out of compliance with the guidelines, the Board may restrict their sale of shares or may choose to deliver the annual retainer in stock rather than cash until the guidelines are satisfied. As of December 31, 2022, all non-employee directors were in compliance with our stock ownership guidelines.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27" w:name="page28"/>
    <w:bookmarkEnd w:id="27"/>
    <w:p>
      <w:pPr>
        <w:ind w:left="120"/>
        <w:spacing w:after="0"/>
        <w:rPr>
          <w:sz w:val="20"/>
          <w:szCs w:val="20"/>
          <w:color w:val="auto"/>
        </w:rPr>
      </w:pPr>
      <w:r>
        <w:rPr>
          <w:rFonts w:ascii="Times New Roman" w:cs="Times New Roman" w:eastAsia="Times New Roman" w:hAnsi="Times New Roman"/>
          <w:sz w:val="57"/>
          <w:szCs w:val="57"/>
          <w:b w:val="1"/>
          <w:bCs w:val="1"/>
          <w:color w:val="FFFFFF"/>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6261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626110"/>
                    </a:xfrm>
                    <a:prstGeom prst="rect">
                      <a:avLst/>
                    </a:prstGeom>
                    <a:noFill/>
                  </pic:spPr>
                </pic:pic>
              </a:graphicData>
            </a:graphic>
          </wp:anchor>
        </w:drawing>
        <w:t>Proposal 2</w:t>
      </w:r>
    </w:p>
    <w:p>
      <w:pPr>
        <w:sectPr>
          <w:pgSz w:w="11900" w:h="16838" w:orient="portrait"/>
          <w:cols w:equalWidth="0" w:num="1">
            <w:col w:w="11220"/>
          </w:cols>
          <w:pgMar w:left="320" w:top="887"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APPROVAL OF INCREASE IN NUMBER OF AUTHORIZED SHARES OF COMMON STOCK</w:t>
      </w:r>
    </w:p>
    <w:p>
      <w:pPr>
        <w:spacing w:after="0" w:line="236" w:lineRule="exact"/>
        <w:rPr>
          <w:sz w:val="20"/>
          <w:szCs w:val="20"/>
          <w:color w:val="auto"/>
        </w:rPr>
      </w:pPr>
    </w:p>
    <w:p>
      <w:pPr>
        <w:ind w:right="480" w:firstLine="419"/>
        <w:spacing w:after="0" w:line="266" w:lineRule="auto"/>
        <w:rPr>
          <w:sz w:val="20"/>
          <w:szCs w:val="20"/>
          <w:color w:val="auto"/>
        </w:rPr>
      </w:pPr>
      <w:r>
        <w:rPr>
          <w:rFonts w:ascii="Times New Roman" w:cs="Times New Roman" w:eastAsia="Times New Roman" w:hAnsi="Times New Roman"/>
          <w:sz w:val="18"/>
          <w:szCs w:val="18"/>
          <w:color w:val="auto"/>
        </w:rPr>
        <w:t>MannKind’s Board of Directors is requesting stockholder approval of an amendment to the Company’s Amended and Restated Certificate of Incorporation to increase the Company’s authorized number of shares of common stock from 400,000,000 shares to 800,000,000 shares. The form of amendment is attached to this proxy statement as Appendix A.</w:t>
      </w:r>
    </w:p>
    <w:p>
      <w:pPr>
        <w:spacing w:after="0" w:line="176"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auto"/>
        </w:rPr>
        <w:t>The additional common stock to be authorized by adoption of the amendment would have rights identical to the currently outstanding common stock of the Company. Although at present the Board of Directors has not approved any plans or proposals to issue any of the additional shares of the Company’s common stock that would become authorized for issuance if this proposal is approved, the Board of Directors desires to have the shares available to provide additional flexibility to use the Company’s common stock for financing and business purposes in the future. Adoption of the proposed amendment and issuance of the common stock would not affect the rights of the holders of currently outstanding common stock of the Company, except for, with respect to the issuance of additional shares, effects incidental to increasing the number of shares of the Company’s common stock outstanding, such as dilution of the earnings per share and voting rights of current holders of common stock. If the amendment is adopted, it will become effective upon filing of a Certificate of Amendment of the Company’s Amended and Restated Certificate of Incorporation with the Secretary of State of the State of Delaware.</w:t>
      </w:r>
    </w:p>
    <w:p>
      <w:pPr>
        <w:spacing w:after="0" w:line="192" w:lineRule="exact"/>
        <w:rPr>
          <w:sz w:val="20"/>
          <w:szCs w:val="20"/>
          <w:color w:val="auto"/>
        </w:rPr>
      </w:pPr>
    </w:p>
    <w:p>
      <w:pPr>
        <w:ind w:right="100" w:firstLine="419"/>
        <w:spacing w:after="0" w:line="261" w:lineRule="auto"/>
        <w:rPr>
          <w:sz w:val="20"/>
          <w:szCs w:val="20"/>
          <w:color w:val="auto"/>
        </w:rPr>
      </w:pPr>
      <w:r>
        <w:rPr>
          <w:rFonts w:ascii="Times New Roman" w:cs="Times New Roman" w:eastAsia="Times New Roman" w:hAnsi="Times New Roman"/>
          <w:sz w:val="18"/>
          <w:szCs w:val="18"/>
          <w:color w:val="auto"/>
        </w:rPr>
        <w:t>As of March 23, 2023, in addition to the 264,248,864 shares of common stock outstanding, the Board had reserved 83,954,732 of the remaining authorized and unissued shares of the Company for issuances under the Company’s equity compensation plans, upon the exercise of outstanding warrants, or upon the conversion of the Mann Group convertible note or 2024 convertible notes. Thus, as of March 23, 2023, the Company had only 51,796,404 unissued and unreserved authorized shares of common stock.</w:t>
      </w:r>
    </w:p>
    <w:p>
      <w:pPr>
        <w:spacing w:after="0" w:line="180" w:lineRule="exact"/>
        <w:rPr>
          <w:sz w:val="20"/>
          <w:szCs w:val="20"/>
          <w:color w:val="auto"/>
        </w:rPr>
      </w:pPr>
    </w:p>
    <w:p>
      <w:pPr>
        <w:ind w:right="400" w:firstLine="419"/>
        <w:spacing w:after="0" w:line="261" w:lineRule="auto"/>
        <w:rPr>
          <w:sz w:val="20"/>
          <w:szCs w:val="20"/>
          <w:color w:val="auto"/>
        </w:rPr>
      </w:pPr>
      <w:r>
        <w:rPr>
          <w:rFonts w:ascii="Times New Roman" w:cs="Times New Roman" w:eastAsia="Times New Roman" w:hAnsi="Times New Roman"/>
          <w:sz w:val="18"/>
          <w:szCs w:val="18"/>
          <w:color w:val="auto"/>
        </w:rPr>
        <w:t>Unless further stockholder approval is required for a proposed issuance of additional shares by the rules of Nasdaq or other applicable laws or regulations, the additional shares may be used for various purposes without further stockholder approval. These purposes may include: raising capital; providing equity incentives to employees, officers and directors; establishing strategic relationships with other companies; expanding the Company’s business or product lines through the acquisition of other businesses or products; and other purposes.</w:t>
      </w:r>
    </w:p>
    <w:p>
      <w:pPr>
        <w:spacing w:after="0" w:line="180" w:lineRule="exact"/>
        <w:rPr>
          <w:sz w:val="20"/>
          <w:szCs w:val="20"/>
          <w:color w:val="auto"/>
        </w:rPr>
      </w:pPr>
    </w:p>
    <w:p>
      <w:pPr>
        <w:ind w:right="20" w:firstLine="419"/>
        <w:spacing w:after="0" w:line="255" w:lineRule="auto"/>
        <w:rPr>
          <w:sz w:val="20"/>
          <w:szCs w:val="20"/>
          <w:color w:val="auto"/>
        </w:rPr>
      </w:pPr>
      <w:r>
        <w:rPr>
          <w:rFonts w:ascii="Times New Roman" w:cs="Times New Roman" w:eastAsia="Times New Roman" w:hAnsi="Times New Roman"/>
          <w:sz w:val="18"/>
          <w:szCs w:val="18"/>
          <w:color w:val="auto"/>
        </w:rPr>
        <w:t>The additional shares of common stock that would become available for issuance if the proposal is adopted could also be used by the Company to oppose a hostile takeover attempt or to delay or prevent changes in control or management of the Company. For example, without further stockholder approval, the Board could strategically sell shares of common stock in a private transaction to purchasers who would oppose a takeover or favor the current Board. Although this proposal to increase the authorized common stock has been prompted by business and financial considerations and not by the threat of any hostile takeover attempt (nor is the Board currently aware of any such attempts directed at the Company), stockholders should be aware that approval of the proposal could facilitate future efforts by the Company to deter or prevent changes in control of the Company, including transactions in which the stockholders might otherwise receive a premium for their shares over then current market prices.</w:t>
      </w:r>
    </w:p>
    <w:p>
      <w:pPr>
        <w:spacing w:after="0" w:line="189" w:lineRule="exact"/>
        <w:rPr>
          <w:sz w:val="20"/>
          <w:szCs w:val="20"/>
          <w:color w:val="auto"/>
        </w:rPr>
      </w:pPr>
    </w:p>
    <w:p>
      <w:pPr>
        <w:ind w:firstLine="419"/>
        <w:spacing w:after="0" w:line="255" w:lineRule="auto"/>
        <w:rPr>
          <w:sz w:val="20"/>
          <w:szCs w:val="20"/>
          <w:color w:val="auto"/>
        </w:rPr>
      </w:pPr>
      <w:r>
        <w:rPr>
          <w:rFonts w:ascii="Times New Roman" w:cs="Times New Roman" w:eastAsia="Times New Roman" w:hAnsi="Times New Roman"/>
          <w:sz w:val="18"/>
          <w:szCs w:val="18"/>
          <w:color w:val="auto"/>
        </w:rPr>
        <w:t>If this proposal is not approved by our stockholders, our financing alternatives will likely be limited by the lack of sufficient unissued and unreserved authorized shares of common stock, and stockholder value may be harmed by this limitation. In addition, our future success depends upon our ability to attract, retain and motivate highly-skilled scientific, commercial and managerial employees, and if this proposal is not approved by our stockholders, the lack of sufficient unissued and unreserved authorized shares of common stock to provide future equity incentive opportunities as the Board or the Compensation Committee thereof deems appropriate could adversely impact our ability to achieve these goals. In short, if our stockholders do not approve this proposal, we may not be able to access the capital markets, complete corporate collaborations, partnerships or other strategic transactions, attract, retain and motivate employees, and pursue other business opportunities integral to our growth and success.</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87" w:right="35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REQUIRED VOTE AND BOARD OF DIRECTORS RECOMMENDATION</w:t>
      </w:r>
    </w:p>
    <w:p>
      <w:pPr>
        <w:spacing w:after="0" w:line="148" w:lineRule="exact"/>
        <w:rPr>
          <w:sz w:val="20"/>
          <w:szCs w:val="20"/>
          <w:color w:val="auto"/>
        </w:rPr>
      </w:pPr>
    </w:p>
    <w:p>
      <w:pPr>
        <w:ind w:firstLine="419"/>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a majority of the outstanding shares of our common stock on the record date will be required to approve the amendment of the Company’s Amended and Restated Certificate of Incorporation to effect the authorized shares increase. As a result, abstentions and broker non-votes, if any, will have the same effect as “against” votes.</w:t>
      </w:r>
    </w:p>
    <w:p>
      <w:pPr>
        <w:spacing w:after="0" w:line="131"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w:t>
      </w:r>
    </w:p>
    <w:p>
      <w:pPr>
        <w:spacing w:after="0" w:line="31" w:lineRule="exact"/>
        <w:rPr>
          <w:sz w:val="20"/>
          <w:szCs w:val="20"/>
          <w:color w:val="auto"/>
        </w:rPr>
      </w:pP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A VOTE “FOR” PROPOSAL 2.</w:t>
      </w:r>
    </w:p>
    <w:p>
      <w:pPr>
        <w:spacing w:after="0" w:line="16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320" w:top="333" w:right="659" w:bottom="1440" w:gutter="0" w:footer="0" w:header="0"/>
        </w:sectPr>
      </w:pPr>
    </w:p>
    <w:bookmarkStart w:id="29" w:name="page30"/>
    <w:bookmarkEnd w:id="29"/>
    <w:p>
      <w:pPr>
        <w:ind w:left="120"/>
        <w:spacing w:after="0"/>
        <w:rPr>
          <w:sz w:val="20"/>
          <w:szCs w:val="20"/>
          <w:color w:val="auto"/>
        </w:rPr>
      </w:pPr>
      <w:r>
        <w:rPr>
          <w:rFonts w:ascii="Times New Roman" w:cs="Times New Roman" w:eastAsia="Times New Roman" w:hAnsi="Times New Roman"/>
          <w:sz w:val="57"/>
          <w:szCs w:val="57"/>
          <w:b w:val="1"/>
          <w:bCs w:val="1"/>
          <w:color w:val="FFFFFF"/>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6261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626110"/>
                    </a:xfrm>
                    <a:prstGeom prst="rect">
                      <a:avLst/>
                    </a:prstGeom>
                    <a:noFill/>
                  </pic:spPr>
                </pic:pic>
              </a:graphicData>
            </a:graphic>
          </wp:anchor>
        </w:drawing>
        <w:t>Proposal 3</w:t>
      </w:r>
    </w:p>
    <w:p>
      <w:pPr>
        <w:sectPr>
          <w:pgSz w:w="11900" w:h="16838" w:orient="portrait"/>
          <w:cols w:equalWidth="0" w:num="1">
            <w:col w:w="11200"/>
          </w:cols>
          <w:pgMar w:left="320" w:top="671" w:right="37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APPROVAL OF AUTHORIZATION TO ADJOURN THE ANNUAL MEETING</w:t>
      </w:r>
    </w:p>
    <w:p>
      <w:pPr>
        <w:spacing w:after="0" w:line="344" w:lineRule="exact"/>
        <w:rPr>
          <w:sz w:val="20"/>
          <w:szCs w:val="20"/>
          <w:color w:val="auto"/>
        </w:rPr>
      </w:pPr>
    </w:p>
    <w:p>
      <w:pPr>
        <w:ind w:right="120" w:firstLine="419"/>
        <w:spacing w:after="0" w:line="282" w:lineRule="auto"/>
        <w:rPr>
          <w:sz w:val="20"/>
          <w:szCs w:val="20"/>
          <w:color w:val="auto"/>
        </w:rPr>
      </w:pPr>
      <w:r>
        <w:rPr>
          <w:rFonts w:ascii="Times New Roman" w:cs="Times New Roman" w:eastAsia="Times New Roman" w:hAnsi="Times New Roman"/>
          <w:sz w:val="18"/>
          <w:szCs w:val="18"/>
          <w:color w:val="auto"/>
        </w:rPr>
        <w:t>If the Annual Meeting is convened and a quorum is present, but there are not sufficient votes to approve Proposal 2, our proxy holders may move to adjourn the Annual Meeting at that time in order to enable us to solicit additional proxies.</w:t>
      </w:r>
    </w:p>
    <w:p>
      <w:pPr>
        <w:spacing w:after="0" w:line="162" w:lineRule="exact"/>
        <w:rPr>
          <w:sz w:val="20"/>
          <w:szCs w:val="20"/>
          <w:color w:val="auto"/>
        </w:rPr>
      </w:pPr>
    </w:p>
    <w:p>
      <w:pPr>
        <w:ind w:firstLine="419"/>
        <w:spacing w:after="0" w:line="255" w:lineRule="auto"/>
        <w:rPr>
          <w:sz w:val="20"/>
          <w:szCs w:val="20"/>
          <w:color w:val="auto"/>
        </w:rPr>
      </w:pPr>
      <w:r>
        <w:rPr>
          <w:rFonts w:ascii="Times New Roman" w:cs="Times New Roman" w:eastAsia="Times New Roman" w:hAnsi="Times New Roman"/>
          <w:sz w:val="18"/>
          <w:szCs w:val="18"/>
          <w:color w:val="auto"/>
        </w:rPr>
        <w:t>In this proposal, we are asking our stockholders to authorize the holder of any proxy solicited by the Board to vote in favor of granting discretionary authority to the proxy holders, and each of them individually, to adjourn the Annual Meeting to another time and place, if necessary, to solicit additional proxies in the event that there are not sufficient votes to approve Proposal 2. If our stockholders approve this proposal, we could adjourn the Annual Meeting and any adjourned session of the Annual Meeting and use the additional time to solicit additional proxies, including the solicitation of proxies from our stockholders that have previously voted. Among other things, approval of this proposal could mean that, even if we had received proxies representing a sufficient number of votes to defeat Proposal 2, we could adjourn the Annual Meeting without a vote on Proposal 2 and seek to convince our stockholders to change their votes in favor of Proposal 2.</w:t>
      </w:r>
    </w:p>
    <w:p>
      <w:pPr>
        <w:spacing w:after="0" w:line="189" w:lineRule="exact"/>
        <w:rPr>
          <w:sz w:val="20"/>
          <w:szCs w:val="20"/>
          <w:color w:val="auto"/>
        </w:rPr>
      </w:pPr>
    </w:p>
    <w:p>
      <w:pPr>
        <w:ind w:right="80" w:firstLine="419"/>
        <w:spacing w:after="0" w:line="261" w:lineRule="auto"/>
        <w:rPr>
          <w:sz w:val="20"/>
          <w:szCs w:val="20"/>
          <w:color w:val="auto"/>
        </w:rPr>
      </w:pPr>
      <w:r>
        <w:rPr>
          <w:rFonts w:ascii="Times New Roman" w:cs="Times New Roman" w:eastAsia="Times New Roman" w:hAnsi="Times New Roman"/>
          <w:sz w:val="18"/>
          <w:szCs w:val="18"/>
          <w:color w:val="auto"/>
        </w:rPr>
        <w:t>If it is necessary to adjourn the Annual Meeting, no notice of the adjourned meeting is required to be given to our stockholders, other than an announcement at the Annual Meeting of the time and place to which the Annual Meeting is adjourned, so long as the meeting is adjourned for 30 days or less and no new record date is fixed for the adjourned meeting. At the adjourned meeting, we may transact any business which might have been transacted at the original meeting.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w:t>
      </w:r>
    </w:p>
    <w:p>
      <w:pPr>
        <w:spacing w:after="0" w:line="121" w:lineRule="exact"/>
        <w:rPr>
          <w:sz w:val="20"/>
          <w:szCs w:val="20"/>
          <w:color w:val="auto"/>
        </w:rPr>
      </w:pPr>
    </w:p>
    <w:p>
      <w:pPr>
        <w:ind w:right="260" w:firstLine="419"/>
        <w:spacing w:after="0" w:line="266" w:lineRule="auto"/>
        <w:rPr>
          <w:sz w:val="20"/>
          <w:szCs w:val="20"/>
          <w:color w:val="auto"/>
        </w:rPr>
      </w:pPr>
      <w:r>
        <w:rPr>
          <w:rFonts w:ascii="Times New Roman" w:cs="Times New Roman" w:eastAsia="Times New Roman" w:hAnsi="Times New Roman"/>
          <w:sz w:val="18"/>
          <w:szCs w:val="18"/>
          <w:color w:val="auto"/>
        </w:rPr>
        <w:t>Approval of this proposal requires the affirmative vote of holders of a majority of shares of common stock present virtually at the meeting or represented by proxy and entitled to vote on the matter. Abstentions will have the same effect as “Against” votes. Broker non-votes, if any, will have no effect, but we do not expect there to be any broker non-votes for this proposal.</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 VOTE “FOR” PROPOSAL 3</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71" w:right="379" w:bottom="1440" w:gutter="0" w:footer="0" w:header="0"/>
          <w:type w:val="continuous"/>
        </w:sectPr>
      </w:pPr>
    </w:p>
    <w:bookmarkStart w:id="30" w:name="page31"/>
    <w:bookmarkEnd w:id="30"/>
    <w:p>
      <w:pPr>
        <w:ind w:left="120"/>
        <w:spacing w:after="0"/>
        <w:rPr>
          <w:sz w:val="20"/>
          <w:szCs w:val="20"/>
          <w:color w:val="auto"/>
        </w:rPr>
      </w:pPr>
      <w:r>
        <w:rPr>
          <w:rFonts w:ascii="Times New Roman" w:cs="Times New Roman" w:eastAsia="Times New Roman" w:hAnsi="Times New Roman"/>
          <w:sz w:val="57"/>
          <w:szCs w:val="57"/>
          <w:b w:val="1"/>
          <w:bCs w:val="1"/>
          <w:color w:val="FFFFFF"/>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6261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626110"/>
                    </a:xfrm>
                    <a:prstGeom prst="rect">
                      <a:avLst/>
                    </a:prstGeom>
                    <a:noFill/>
                  </pic:spPr>
                </pic:pic>
              </a:graphicData>
            </a:graphic>
          </wp:anchor>
        </w:drawing>
        <w:t>Proposal 4</w:t>
      </w:r>
    </w:p>
    <w:p>
      <w:pPr>
        <w:sectPr>
          <w:pgSz w:w="11900" w:h="16838" w:orient="portrait"/>
          <w:cols w:equalWidth="0" w:num="1">
            <w:col w:w="11240"/>
          </w:cols>
          <w:pgMar w:left="320" w:top="6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APPROVAL OF AN AMENDMENT TO THE 2018 EQUITY INCENTIVE PLAN</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81" w:lineRule="exact"/>
        <w:rPr>
          <w:sz w:val="20"/>
          <w:szCs w:val="20"/>
          <w:color w:val="auto"/>
        </w:rPr>
      </w:pPr>
    </w:p>
    <w:p>
      <w:pPr>
        <w:ind w:right="260" w:firstLine="419"/>
        <w:spacing w:after="0" w:line="266" w:lineRule="auto"/>
        <w:rPr>
          <w:sz w:val="20"/>
          <w:szCs w:val="20"/>
          <w:color w:val="auto"/>
        </w:rPr>
      </w:pPr>
      <w:r>
        <w:rPr>
          <w:rFonts w:ascii="Times New Roman" w:cs="Times New Roman" w:eastAsia="Times New Roman" w:hAnsi="Times New Roman"/>
          <w:sz w:val="18"/>
          <w:szCs w:val="18"/>
          <w:color w:val="auto"/>
        </w:rPr>
        <w:t>On May 16, 2018, our stockholders approved the MannKind Corporation 2018 Equity Incentive Plan (the “EIP”). In March 2020, our Board approved an amendment to the 2018 Plan to increase the number of shares of common stock authorized for issuance under the 2018 Plan by 12,500,000, and in May 2020, our stockholders approved that amendment.</w:t>
      </w:r>
    </w:p>
    <w:p>
      <w:pPr>
        <w:spacing w:after="0" w:line="41" w:lineRule="exact"/>
        <w:rPr>
          <w:sz w:val="20"/>
          <w:szCs w:val="20"/>
          <w:color w:val="auto"/>
        </w:rPr>
      </w:pPr>
    </w:p>
    <w:p>
      <w:pPr>
        <w:ind w:right="240" w:firstLine="419"/>
        <w:spacing w:after="0" w:line="266" w:lineRule="auto"/>
        <w:rPr>
          <w:sz w:val="20"/>
          <w:szCs w:val="20"/>
          <w:color w:val="auto"/>
        </w:rPr>
      </w:pPr>
      <w:r>
        <w:rPr>
          <w:rFonts w:ascii="Times New Roman" w:cs="Times New Roman" w:eastAsia="Times New Roman" w:hAnsi="Times New Roman"/>
          <w:sz w:val="18"/>
          <w:szCs w:val="18"/>
          <w:color w:val="auto"/>
        </w:rPr>
        <w:t>Subject to stockholder approval, our Board approved an amendment to the EIP in March 2023 (the EIP, as amended, the “Amended EIP”) to increase the number of shares of common stock authorized for issuance under the EIP by 25,000,000 shares. The material terms of the Amended EIP are summarized below.</w:t>
      </w:r>
    </w:p>
    <w:p>
      <w:pPr>
        <w:spacing w:after="0" w:line="176" w:lineRule="exact"/>
        <w:rPr>
          <w:sz w:val="20"/>
          <w:szCs w:val="20"/>
          <w:color w:val="auto"/>
        </w:rPr>
      </w:pPr>
    </w:p>
    <w:p>
      <w:pPr>
        <w:ind w:right="660" w:firstLine="419"/>
        <w:spacing w:after="0" w:line="282" w:lineRule="auto"/>
        <w:rPr>
          <w:sz w:val="20"/>
          <w:szCs w:val="20"/>
          <w:color w:val="auto"/>
        </w:rPr>
      </w:pPr>
      <w:r>
        <w:rPr>
          <w:rFonts w:ascii="Times New Roman" w:cs="Times New Roman" w:eastAsia="Times New Roman" w:hAnsi="Times New Roman"/>
          <w:sz w:val="18"/>
          <w:szCs w:val="18"/>
          <w:color w:val="auto"/>
        </w:rPr>
        <w:t>Our Board believes that the Amended EIP is an integral part of our long-term compensation policy and that the Amended EIP is necessary to continue providing the appropriate levels and types of equity compensation to our employees.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We are Asking our Stockholders to Approve the Amended EIP</w:t>
      </w:r>
    </w:p>
    <w:p>
      <w:pPr>
        <w:spacing w:after="0" w:line="229" w:lineRule="exact"/>
        <w:rPr>
          <w:sz w:val="20"/>
          <w:szCs w:val="20"/>
          <w:color w:val="auto"/>
        </w:rPr>
      </w:pPr>
    </w:p>
    <w:p>
      <w:pPr>
        <w:ind w:right="160" w:firstLine="419"/>
        <w:spacing w:after="0" w:line="256" w:lineRule="auto"/>
        <w:rPr>
          <w:sz w:val="20"/>
          <w:szCs w:val="20"/>
          <w:color w:val="auto"/>
        </w:rPr>
      </w:pPr>
      <w:r>
        <w:rPr>
          <w:rFonts w:ascii="Times New Roman" w:cs="Times New Roman" w:eastAsia="Times New Roman" w:hAnsi="Times New Roman"/>
          <w:sz w:val="18"/>
          <w:szCs w:val="18"/>
          <w:color w:val="auto"/>
        </w:rPr>
        <w:t>Our Board believes it is in the best interests of the Company and our stockholders to approve the Amended EIP to increase the number of shares available for issuance by an additional 25,000,000 shares. If the Amended EIP is not approved, we will not have a sufficient amount of authorized shares for future issuance under the EIP. Prior to the Board approving the Amended EIP, 25,729,678 shares of common stock were authorized for issuance under the EIP. As of March 23, 2023, 2,636,874 shares of common stock remained available for future grant under the EIP. If this Proposal 4 is approved, an additional 25,000,000 shares will become available for future grant under the Amended EIP, which, as discussed below, will enable us to make anticipated grants of equity awards through the second quarter of 2026.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You Should Vote to Approve the Amended EIP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Awards Are an Integral Component of Our Compensation Program</w:t>
      </w:r>
    </w:p>
    <w:p>
      <w:pPr>
        <w:spacing w:after="0" w:line="229" w:lineRule="exact"/>
        <w:rPr>
          <w:sz w:val="20"/>
          <w:szCs w:val="20"/>
          <w:color w:val="auto"/>
        </w:rPr>
      </w:pPr>
    </w:p>
    <w:p>
      <w:pPr>
        <w:ind w:firstLine="419"/>
        <w:spacing w:after="0" w:line="256" w:lineRule="auto"/>
        <w:rPr>
          <w:sz w:val="20"/>
          <w:szCs w:val="20"/>
          <w:color w:val="auto"/>
        </w:rPr>
      </w:pPr>
      <w:r>
        <w:rPr>
          <w:rFonts w:ascii="Times New Roman" w:cs="Times New Roman" w:eastAsia="Times New Roman" w:hAnsi="Times New Roman"/>
          <w:sz w:val="18"/>
          <w:szCs w:val="18"/>
          <w:color w:val="auto"/>
        </w:rPr>
        <w:t>Equity awards have been historically and, we believe, will continue to be an integral component of our overall compensation program for our employees and directors. Approval of the increase to the EIP will allow us to continue to grant stock options and other equity awards at levels we determine to be appropriate in order to attract new employees and directors, retain our existing employees and to provide incentives for such persons to exert maximum efforts for the Company’s success and ultimately increase stockholder value. The EIP allows us to utilize a broad array of equity incentives with flexibility in designing such incentives, including traditional option grants, stock appreciation rights, restricted stock awards, restricted stock unit awards and performance stock awards.</w:t>
      </w:r>
    </w:p>
    <w:p>
      <w:pPr>
        <w:spacing w:after="0" w:line="187" w:lineRule="exact"/>
        <w:rPr>
          <w:sz w:val="20"/>
          <w:szCs w:val="20"/>
          <w:color w:val="auto"/>
        </w:rPr>
      </w:pPr>
    </w:p>
    <w:p>
      <w:pPr>
        <w:ind w:right="60" w:firstLine="419"/>
        <w:spacing w:after="0" w:line="258" w:lineRule="auto"/>
        <w:rPr>
          <w:sz w:val="20"/>
          <w:szCs w:val="20"/>
          <w:color w:val="auto"/>
        </w:rPr>
      </w:pPr>
      <w:r>
        <w:rPr>
          <w:rFonts w:ascii="Times New Roman" w:cs="Times New Roman" w:eastAsia="Times New Roman" w:hAnsi="Times New Roman"/>
          <w:sz w:val="18"/>
          <w:szCs w:val="18"/>
          <w:color w:val="auto"/>
        </w:rPr>
        <w:t>Our Compensation Committee and Board carefully monitor our annual burn rate, total dilution and equity compensation expense in an effort to maximize stockholder value by granting only the appropriate number and type of equity awards necessary to attract, reward and retain key employees and directors. In addition, we use industry benchmarks to monitor and evaluate the reasonableness of the equity compensation we offer to our employees and prospective employees with the goal of attracting and retaining our most valuable human assets while staying within reasonable bounds of what the market requires in a competitive environment.</w:t>
      </w:r>
    </w:p>
    <w:p>
      <w:pPr>
        <w:spacing w:after="0" w:line="183" w:lineRule="exact"/>
        <w:rPr>
          <w:sz w:val="20"/>
          <w:szCs w:val="20"/>
          <w:color w:val="auto"/>
        </w:rPr>
      </w:pPr>
    </w:p>
    <w:p>
      <w:pPr>
        <w:ind w:right="100" w:firstLine="419"/>
        <w:spacing w:after="0" w:line="261" w:lineRule="auto"/>
        <w:rPr>
          <w:sz w:val="20"/>
          <w:szCs w:val="20"/>
          <w:color w:val="auto"/>
        </w:rPr>
      </w:pPr>
      <w:r>
        <w:rPr>
          <w:rFonts w:ascii="Times New Roman" w:cs="Times New Roman" w:eastAsia="Times New Roman" w:hAnsi="Times New Roman"/>
          <w:sz w:val="18"/>
          <w:szCs w:val="18"/>
          <w:color w:val="auto"/>
        </w:rPr>
        <w:t>In considering the appropriate increase for the EIP, the Compensation Committee reviewed estimates from management that projected stock awards to cover approximately eight million shares per year. As such, the increase of 25,000,000 shares was approved in order to provide a runway for future grants under the Amended EIP, which, absent a material company acquisition or similar event, is intended to last approximately three years, or through the 2026 annual meeting.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Key Plan Features</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EIP includes provisions that are designed to protect our stockholders’ interests and to reflect corporate governance best practices including:</w:t>
      </w:r>
    </w:p>
    <w:p>
      <w:pPr>
        <w:spacing w:after="0" w:line="115" w:lineRule="exact"/>
        <w:rPr>
          <w:sz w:val="20"/>
          <w:szCs w:val="20"/>
          <w:color w:val="auto"/>
        </w:rPr>
      </w:pPr>
    </w:p>
    <w:p>
      <w:pPr>
        <w:ind w:left="760" w:right="200" w:hanging="378"/>
        <w:spacing w:after="0" w:line="284"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single trigger accelerated vesting upon change in control</w:t>
      </w:r>
      <w:r>
        <w:rPr>
          <w:rFonts w:ascii="Times New Roman" w:cs="Times New Roman" w:eastAsia="Times New Roman" w:hAnsi="Times New Roman"/>
          <w:sz w:val="18"/>
          <w:szCs w:val="18"/>
          <w:color w:val="auto"/>
        </w:rPr>
        <w:t>. The EIP does not provide for any automatic mandatory vesting of awards upon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 in control.</w:t>
      </w:r>
    </w:p>
    <w:p>
      <w:pPr>
        <w:spacing w:after="0" w:line="50"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liberal share counting or recycling of appreciation awards</w:t>
      </w:r>
      <w:r>
        <w:rPr>
          <w:rFonts w:ascii="Times New Roman" w:cs="Times New Roman" w:eastAsia="Times New Roman" w:hAnsi="Times New Roman"/>
          <w:sz w:val="18"/>
          <w:szCs w:val="18"/>
          <w:color w:val="auto"/>
        </w:rPr>
        <w:t>. The following shares will not become available again for issuance under the EIP:</w:t>
      </w:r>
    </w:p>
    <w:p>
      <w:pPr>
        <w:spacing w:after="0" w:line="29" w:lineRule="exact"/>
        <w:rPr>
          <w:rFonts w:ascii="Times New Roman" w:cs="Times New Roman" w:eastAsia="Times New Roman" w:hAnsi="Times New Roman"/>
          <w:sz w:val="18"/>
          <w:szCs w:val="18"/>
          <w:color w:val="auto"/>
        </w:rPr>
      </w:pPr>
    </w:p>
    <w:p>
      <w:pPr>
        <w:ind w:left="7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shares underlying stock options or stock appreciation rights that are reacquired or withheld (or not issued) by us to satisfy the exercise or purchase price of a stock award; (ii) shares underlying stock options or stock appreciation rights that are reacquired or withheld (or not issued) by us to satisfy a tax withholding obligation in connection with a stock award; and (iii) any shares repurchased by us on the open market with the proceeds of the exercise or purchase price of a stock option or a stock appreciation right.</w:t>
      </w:r>
    </w:p>
    <w:p>
      <w:pPr>
        <w:spacing w:after="0" w:line="78" w:lineRule="exact"/>
        <w:rPr>
          <w:rFonts w:ascii="Times New Roman" w:cs="Times New Roman" w:eastAsia="Times New Roman" w:hAnsi="Times New Roman"/>
          <w:sz w:val="18"/>
          <w:szCs w:val="18"/>
          <w:color w:val="auto"/>
        </w:rPr>
      </w:pPr>
    </w:p>
    <w:p>
      <w:pPr>
        <w:ind w:left="760" w:right="100" w:hanging="378"/>
        <w:spacing w:after="0" w:line="273" w:lineRule="auto"/>
        <w:tabs>
          <w:tab w:leader="none" w:pos="76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Fungible share counting. </w:t>
      </w:r>
      <w:r>
        <w:rPr>
          <w:rFonts w:ascii="Times New Roman" w:cs="Times New Roman" w:eastAsia="Times New Roman" w:hAnsi="Times New Roman"/>
          <w:sz w:val="17"/>
          <w:szCs w:val="17"/>
          <w:color w:val="auto"/>
        </w:rPr>
        <w:t>The EIP contains a “fungible share counting” structure, whereby the number of shares of our common stock available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issuance under the EIP will be reduced by (i) one share for each share issued pursuant to a stock option or stock appreciation right with an exercise price that is at least 100% of the fair market value of our common stock on the date of grant (an “Appreciation Award”) granted under the EIP and (ii) 1.1 shares for each share issued pursuant to a stock award that is not an Appreciation Award (a “Full Value Award”) granted under the EIP. As part of such fungible share counting structure, the number of shares of our common stock available for issuance under the EIP will be increased by (i) one share for each share that becomes available again for issuance under the terms of the EIP subject to an Appreciation Award and (ii) 1.1 shares for each share that becomes available again for issuance under the terms of the EIP subject to a Full Value Award.</w:t>
      </w:r>
    </w:p>
    <w:p>
      <w:pPr>
        <w:spacing w:after="0" w:line="63" w:lineRule="exact"/>
        <w:rPr>
          <w:rFonts w:ascii="Times New Roman" w:cs="Times New Roman" w:eastAsia="Times New Roman" w:hAnsi="Times New Roman"/>
          <w:sz w:val="17"/>
          <w:szCs w:val="17"/>
          <w:color w:val="auto"/>
        </w:rPr>
      </w:pPr>
    </w:p>
    <w:p>
      <w:pPr>
        <w:ind w:left="760" w:right="60" w:hanging="378"/>
        <w:spacing w:after="0" w:line="258"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Awards subject to forfeiture/clawback</w:t>
      </w:r>
      <w:r>
        <w:rPr>
          <w:rFonts w:ascii="Times New Roman" w:cs="Times New Roman" w:eastAsia="Times New Roman" w:hAnsi="Times New Roman"/>
          <w:sz w:val="18"/>
          <w:szCs w:val="18"/>
          <w:color w:val="auto"/>
        </w:rPr>
        <w:t>. Awards granted under the EIP are subject to recoupment in accordance with any clawback policy that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required to adopt pursuant to the listing standards of any national securities exchange or association on which our securities are listed or as is otherwise required by the Dodd-Frank Wall Street Reform and Consumer Protection Act (the “Dodd-Frank Act”) or other applicable law. In addition, we may impose other clawback, recovery or recoupment provisions in an award agreement, including a reacquisition right in respect of previously acquired shares or other cash or property upon the occurrence of cause.</w:t>
      </w:r>
    </w:p>
    <w:p>
      <w:pPr>
        <w:spacing w:after="0" w:line="75" w:lineRule="exact"/>
        <w:rPr>
          <w:rFonts w:ascii="Times New Roman" w:cs="Times New Roman" w:eastAsia="Times New Roman" w:hAnsi="Times New Roman"/>
          <w:sz w:val="18"/>
          <w:szCs w:val="18"/>
          <w:color w:val="auto"/>
        </w:rPr>
      </w:pPr>
    </w:p>
    <w:p>
      <w:pPr>
        <w:jc w:val="both"/>
        <w:ind w:left="760" w:right="200" w:hanging="378"/>
        <w:spacing w:after="0" w:line="267"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Repricing is not allowed</w:t>
      </w:r>
      <w:r>
        <w:rPr>
          <w:rFonts w:ascii="Times New Roman" w:cs="Times New Roman" w:eastAsia="Times New Roman" w:hAnsi="Times New Roman"/>
          <w:sz w:val="18"/>
          <w:szCs w:val="18"/>
          <w:color w:val="auto"/>
        </w:rPr>
        <w:t>. The EIP prohibits the repricing of outstanding stock options and stock appreciation rights and the cancellation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stock options or stock appreciation rights that have an exercise or strike price greater than the then-current fair market value of our common stock in exchange for cash or other stock awards under the EIP without prior stockholder approval.</w:t>
      </w:r>
    </w:p>
    <w:p>
      <w:pPr>
        <w:spacing w:after="0" w:line="65" w:lineRule="exact"/>
        <w:rPr>
          <w:rFonts w:ascii="Times New Roman" w:cs="Times New Roman" w:eastAsia="Times New Roman" w:hAnsi="Times New Roman"/>
          <w:sz w:val="18"/>
          <w:szCs w:val="18"/>
          <w:color w:val="auto"/>
        </w:rPr>
      </w:pPr>
    </w:p>
    <w:p>
      <w:pPr>
        <w:jc w:val="both"/>
        <w:ind w:left="760" w:right="240" w:hanging="378"/>
        <w:spacing w:after="0" w:line="267"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Stockholder approval is required for additional shares</w:t>
      </w:r>
      <w:r>
        <w:rPr>
          <w:rFonts w:ascii="Times New Roman" w:cs="Times New Roman" w:eastAsia="Times New Roman" w:hAnsi="Times New Roman"/>
          <w:sz w:val="18"/>
          <w:szCs w:val="18"/>
          <w:color w:val="auto"/>
        </w:rPr>
        <w:t>. The EIP does not contain an annual “evergreen” provision. The EIP authorizes a fixed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number of shares, so that stockholder approval is required to issue any additional shares, allowing our stockholders to have direct input on our equity compensation programs.</w:t>
      </w:r>
    </w:p>
    <w:p>
      <w:pPr>
        <w:spacing w:after="0" w:line="65" w:lineRule="exact"/>
        <w:rPr>
          <w:rFonts w:ascii="Times New Roman" w:cs="Times New Roman" w:eastAsia="Times New Roman" w:hAnsi="Times New Roman"/>
          <w:sz w:val="18"/>
          <w:szCs w:val="18"/>
          <w:color w:val="auto"/>
        </w:rPr>
      </w:pPr>
    </w:p>
    <w:p>
      <w:pPr>
        <w:ind w:left="760" w:right="220" w:hanging="378"/>
        <w:spacing w:after="0" w:line="284"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liberal change in control definition</w:t>
      </w:r>
      <w:r>
        <w:rPr>
          <w:rFonts w:ascii="Times New Roman" w:cs="Times New Roman" w:eastAsia="Times New Roman" w:hAnsi="Times New Roman"/>
          <w:sz w:val="18"/>
          <w:szCs w:val="18"/>
          <w:color w:val="auto"/>
        </w:rPr>
        <w:t>. The change in control definition in the EIP is not a “liberal” definition. A change in control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must actually occur in order for the change in control provisions in the EIP to be triggered.</w:t>
      </w:r>
    </w:p>
    <w:p>
      <w:pPr>
        <w:spacing w:after="0" w:line="50" w:lineRule="exact"/>
        <w:rPr>
          <w:rFonts w:ascii="Times New Roman" w:cs="Times New Roman" w:eastAsia="Times New Roman" w:hAnsi="Times New Roman"/>
          <w:sz w:val="18"/>
          <w:szCs w:val="18"/>
          <w:color w:val="auto"/>
        </w:rPr>
      </w:pPr>
    </w:p>
    <w:p>
      <w:pPr>
        <w:ind w:left="760" w:right="60" w:hanging="378"/>
        <w:spacing w:after="0" w:line="267"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discounted stock options or stock appreciation rights</w:t>
      </w:r>
      <w:r>
        <w:rPr>
          <w:rFonts w:ascii="Times New Roman" w:cs="Times New Roman" w:eastAsia="Times New Roman" w:hAnsi="Times New Roman"/>
          <w:sz w:val="18"/>
          <w:szCs w:val="18"/>
          <w:color w:val="auto"/>
        </w:rPr>
        <w:t>. All stock options and stock appreciation rights granted under the EIP must have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exercise or strike price equal to or greater than the fair market value of our common stock on the date the stock option or stock appreciation right is granted.</w:t>
      </w:r>
    </w:p>
    <w:p>
      <w:pPr>
        <w:spacing w:after="0" w:line="65" w:lineRule="exact"/>
        <w:rPr>
          <w:rFonts w:ascii="Times New Roman" w:cs="Times New Roman" w:eastAsia="Times New Roman" w:hAnsi="Times New Roman"/>
          <w:sz w:val="18"/>
          <w:szCs w:val="18"/>
          <w:color w:val="auto"/>
        </w:rPr>
      </w:pPr>
    </w:p>
    <w:p>
      <w:pPr>
        <w:jc w:val="both"/>
        <w:ind w:left="760" w:right="380" w:hanging="378"/>
        <w:spacing w:after="0" w:line="267"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Administration by independent committee</w:t>
      </w:r>
      <w:r>
        <w:rPr>
          <w:rFonts w:ascii="Times New Roman" w:cs="Times New Roman" w:eastAsia="Times New Roman" w:hAnsi="Times New Roman"/>
          <w:sz w:val="18"/>
          <w:szCs w:val="18"/>
          <w:color w:val="auto"/>
        </w:rPr>
        <w:t>. The EIP is administered by the members of our Compensation Committee, all of whom are “non-employee directors” within the meaning of Rule 16b-3 under the Exchange Act and “independent” within the meaning of the Nasdaq listing standards.</w:t>
      </w:r>
    </w:p>
    <w:p>
      <w:pPr>
        <w:spacing w:after="0" w:line="65" w:lineRule="exact"/>
        <w:rPr>
          <w:rFonts w:ascii="Times New Roman" w:cs="Times New Roman" w:eastAsia="Times New Roman" w:hAnsi="Times New Roman"/>
          <w:sz w:val="18"/>
          <w:szCs w:val="18"/>
          <w:color w:val="auto"/>
        </w:rPr>
      </w:pPr>
    </w:p>
    <w:p>
      <w:pPr>
        <w:ind w:left="760" w:right="640" w:hanging="378"/>
        <w:spacing w:after="0" w:line="284"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Material amendments require stockholder approval</w:t>
      </w:r>
      <w:r>
        <w:rPr>
          <w:rFonts w:ascii="Times New Roman" w:cs="Times New Roman" w:eastAsia="Times New Roman" w:hAnsi="Times New Roman"/>
          <w:sz w:val="18"/>
          <w:szCs w:val="18"/>
          <w:color w:val="auto"/>
        </w:rPr>
        <w:t>. Consistent with Nasdaq rules, the EIP requires stockholder approval of any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revisions to the EIP. In addition, certain other amendments to the EIP require stockholder approval.</w:t>
      </w:r>
    </w:p>
    <w:p>
      <w:pPr>
        <w:spacing w:after="0" w:line="50" w:lineRule="exact"/>
        <w:rPr>
          <w:rFonts w:ascii="Times New Roman" w:cs="Times New Roman" w:eastAsia="Times New Roman" w:hAnsi="Times New Roman"/>
          <w:sz w:val="18"/>
          <w:szCs w:val="18"/>
          <w:color w:val="auto"/>
        </w:rPr>
      </w:pPr>
    </w:p>
    <w:p>
      <w:pPr>
        <w:ind w:left="760" w:right="120" w:hanging="378"/>
        <w:spacing w:after="0" w:line="261"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Limit on non-employee director awards and other awards</w:t>
      </w:r>
      <w:r>
        <w:rPr>
          <w:rFonts w:ascii="Times New Roman" w:cs="Times New Roman" w:eastAsia="Times New Roman" w:hAnsi="Times New Roman"/>
          <w:sz w:val="18"/>
          <w:szCs w:val="18"/>
          <w:color w:val="auto"/>
        </w:rPr>
        <w:t>. The maximum number of shares subject to stock awards granted during any calendar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to any of our non-employee directors, taken together with any cash fees paid by the Company to such non-employee director during such calendar year, may not exceed $500,000 in total value (calculating the value of any such stock awards based on the grant date fair value of the stock awards for financial reporting purposes).</w:t>
      </w:r>
    </w:p>
    <w:p>
      <w:pPr>
        <w:spacing w:after="0" w:line="71" w:lineRule="exact"/>
        <w:rPr>
          <w:rFonts w:ascii="Times New Roman" w:cs="Times New Roman" w:eastAsia="Times New Roman" w:hAnsi="Times New Roman"/>
          <w:sz w:val="18"/>
          <w:szCs w:val="18"/>
          <w:color w:val="auto"/>
        </w:rPr>
      </w:pPr>
    </w:p>
    <w:p>
      <w:pPr>
        <w:ind w:left="760" w:right="80" w:hanging="378"/>
        <w:spacing w:after="0" w:line="258" w:lineRule="auto"/>
        <w:tabs>
          <w:tab w:leader="none" w:pos="7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Restrictions on dividends</w:t>
      </w:r>
      <w:r>
        <w:rPr>
          <w:rFonts w:ascii="Times New Roman" w:cs="Times New Roman" w:eastAsia="Times New Roman" w:hAnsi="Times New Roman"/>
          <w:sz w:val="18"/>
          <w:szCs w:val="18"/>
          <w:color w:val="auto"/>
        </w:rPr>
        <w:t>. The EIP provides that (i) no dividends or dividend equivalents may be paid with respect to any shares of our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subject to an award before the date such shares have vested, (ii) any dividends or dividend equivalents that are credited with respect to any such shares will be subject to all of the terms and conditions applicable to such shares under the terms of the applicable award agreement (including any vesting conditions), and (iii) any dividends or dividend equivalents that are credited with respect to any such shares will be forfeited to us on the date such shares are</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t>forfeited to or repurchased by us due to a failure to vest.</w:t>
      </w:r>
    </w:p>
    <w:p>
      <w:pPr>
        <w:spacing w:after="0" w:line="200" w:lineRule="exact"/>
        <w:rPr>
          <w:sz w:val="20"/>
          <w:szCs w:val="20"/>
          <w:color w:val="auto"/>
        </w:rPr>
      </w:pPr>
    </w:p>
    <w:p>
      <w:pPr>
        <w:spacing w:after="0" w:line="21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379"/>
          </w:cols>
          <w:pgMar w:left="1080" w:top="445"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Overhang</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certain additional information regarding our equity incentive program.</w:t>
      </w:r>
    </w:p>
    <w:p>
      <w:pPr>
        <w:spacing w:after="0" w:line="220" w:lineRule="exact"/>
        <w:rPr>
          <w:sz w:val="20"/>
          <w:szCs w:val="20"/>
          <w:color w:val="auto"/>
        </w:rPr>
      </w:pPr>
    </w:p>
    <w:tbl>
      <w:tblPr>
        <w:tblLayout w:type="fixed"/>
        <w:tblInd w:w="130" w:type="dxa"/>
        <w:tblCellMar>
          <w:top w:w="0" w:type="dxa"/>
          <w:left w:w="0" w:type="dxa"/>
          <w:bottom w:w="0" w:type="dxa"/>
          <w:right w:w="0" w:type="dxa"/>
        </w:tblCellMar>
      </w:tblPr>
      <w:tr>
        <w:trPr>
          <w:trHeight w:val="300"/>
        </w:trPr>
        <w:tc>
          <w:tcPr>
            <w:tcW w:w="7440" w:type="dxa"/>
            <w:vAlign w:val="bottom"/>
            <w:tcBorders>
              <w:top w:val="single" w:sz="8" w:color="auto"/>
              <w:left w:val="single" w:sz="8" w:color="auto"/>
              <w:right w:val="single" w:sz="8" w:color="auto"/>
            </w:tcBorders>
          </w:tcPr>
          <w:p>
            <w:pPr>
              <w:spacing w:after="0"/>
              <w:rPr>
                <w:sz w:val="24"/>
                <w:szCs w:val="24"/>
                <w:color w:val="auto"/>
              </w:rPr>
            </w:pPr>
          </w:p>
        </w:tc>
        <w:tc>
          <w:tcPr>
            <w:tcW w:w="23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March 23, 2023</w:t>
            </w:r>
          </w:p>
        </w:tc>
        <w:tc>
          <w:tcPr>
            <w:tcW w:w="0" w:type="dxa"/>
            <w:vAlign w:val="bottom"/>
          </w:tcPr>
          <w:p>
            <w:pPr>
              <w:spacing w:after="0"/>
              <w:rPr>
                <w:sz w:val="1"/>
                <w:szCs w:val="1"/>
                <w:color w:val="auto"/>
              </w:rPr>
            </w:pPr>
          </w:p>
        </w:tc>
      </w:tr>
      <w:tr>
        <w:trPr>
          <w:trHeight w:val="64"/>
        </w:trPr>
        <w:tc>
          <w:tcPr>
            <w:tcW w:w="7440" w:type="dxa"/>
            <w:vAlign w:val="bottom"/>
            <w:tcBorders>
              <w:left w:val="single" w:sz="8" w:color="auto"/>
              <w:bottom w:val="single" w:sz="8" w:color="auto"/>
              <w:right w:val="single" w:sz="8" w:color="auto"/>
            </w:tcBorders>
          </w:tcPr>
          <w:p>
            <w:pPr>
              <w:spacing w:after="0"/>
              <w:rPr>
                <w:sz w:val="5"/>
                <w:szCs w:val="5"/>
                <w:color w:val="auto"/>
              </w:rPr>
            </w:pPr>
          </w:p>
        </w:tc>
        <w:tc>
          <w:tcPr>
            <w:tcW w:w="2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7440" w:type="dxa"/>
            <w:vAlign w:val="bottom"/>
            <w:tcBorders>
              <w:left w:val="single" w:sz="8" w:color="auto"/>
              <w:right w:val="single" w:sz="8" w:color="auto"/>
            </w:tcBorders>
            <w:vMerge w:val="restart"/>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number of shares of common stock subject to outstanding stock options (including the 2004</w:t>
            </w:r>
          </w:p>
        </w:tc>
        <w:tc>
          <w:tcPr>
            <w:tcW w:w="232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8,943,899</w:t>
            </w:r>
          </w:p>
        </w:tc>
        <w:tc>
          <w:tcPr>
            <w:tcW w:w="0" w:type="dxa"/>
            <w:vAlign w:val="bottom"/>
          </w:tcPr>
          <w:p>
            <w:pPr>
              <w:spacing w:after="0" w:line="20" w:lineRule="exact"/>
              <w:rPr>
                <w:sz w:val="1"/>
                <w:szCs w:val="1"/>
                <w:color w:val="auto"/>
              </w:rPr>
            </w:pPr>
          </w:p>
        </w:tc>
      </w:tr>
      <w:tr>
        <w:trPr>
          <w:trHeight w:val="242"/>
        </w:trPr>
        <w:tc>
          <w:tcPr>
            <w:tcW w:w="7440" w:type="dxa"/>
            <w:vAlign w:val="bottom"/>
            <w:tcBorders>
              <w:left w:val="single" w:sz="8" w:color="auto"/>
              <w:right w:val="single" w:sz="8" w:color="auto"/>
            </w:tcBorders>
            <w:vMerge w:val="continue"/>
            <w:shd w:val="clear" w:color="auto" w:fill="CFF0FC"/>
          </w:tcPr>
          <w:p>
            <w:pPr>
              <w:spacing w:after="0"/>
              <w:rPr>
                <w:sz w:val="21"/>
                <w:szCs w:val="21"/>
                <w:color w:val="auto"/>
              </w:rPr>
            </w:pPr>
          </w:p>
        </w:tc>
        <w:tc>
          <w:tcPr>
            <w:tcW w:w="2320" w:type="dxa"/>
            <w:vAlign w:val="bottom"/>
            <w:tcBorders>
              <w:right w:val="single" w:sz="8" w:color="auto"/>
            </w:tcBorders>
            <w:vMerge w:val="continue"/>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440" w:type="dxa"/>
            <w:vAlign w:val="bottom"/>
            <w:tcBorders>
              <w:left w:val="single" w:sz="8" w:color="auto"/>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equity incentive plan, the 2013 equity incentive plan and the EIP)</w:t>
            </w:r>
          </w:p>
        </w:tc>
        <w:tc>
          <w:tcPr>
            <w:tcW w:w="2320" w:type="dxa"/>
            <w:vAlign w:val="bottom"/>
            <w:tcBorders>
              <w:right w:val="single" w:sz="8" w:color="auto"/>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7440" w:type="dxa"/>
            <w:vAlign w:val="bottom"/>
            <w:tcBorders>
              <w:left w:val="single" w:sz="8" w:color="auto"/>
              <w:bottom w:val="single" w:sz="8" w:color="auto"/>
              <w:right w:val="single" w:sz="8" w:color="auto"/>
            </w:tcBorders>
            <w:shd w:val="clear" w:color="auto" w:fill="CFF0FC"/>
          </w:tcPr>
          <w:p>
            <w:pPr>
              <w:spacing w:after="0"/>
              <w:rPr>
                <w:sz w:val="5"/>
                <w:szCs w:val="5"/>
                <w:color w:val="auto"/>
              </w:rPr>
            </w:pPr>
          </w:p>
        </w:tc>
        <w:tc>
          <w:tcPr>
            <w:tcW w:w="2320" w:type="dxa"/>
            <w:vAlign w:val="bottom"/>
            <w:tcBorders>
              <w:bottom w:val="single" w:sz="8" w:color="auto"/>
              <w:right w:val="single" w:sz="8" w:color="auto"/>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7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Weighted-average exercise price of outstanding stock options</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$3.08</w:t>
            </w:r>
          </w:p>
        </w:tc>
        <w:tc>
          <w:tcPr>
            <w:tcW w:w="0" w:type="dxa"/>
            <w:vAlign w:val="bottom"/>
          </w:tcPr>
          <w:p>
            <w:pPr>
              <w:spacing w:after="0"/>
              <w:rPr>
                <w:sz w:val="1"/>
                <w:szCs w:val="1"/>
                <w:color w:val="auto"/>
              </w:rPr>
            </w:pPr>
          </w:p>
        </w:tc>
      </w:tr>
      <w:tr>
        <w:trPr>
          <w:trHeight w:val="68"/>
        </w:trPr>
        <w:tc>
          <w:tcPr>
            <w:tcW w:w="7440" w:type="dxa"/>
            <w:vAlign w:val="bottom"/>
            <w:tcBorders>
              <w:left w:val="single" w:sz="8" w:color="auto"/>
              <w:bottom w:val="single" w:sz="8" w:color="auto"/>
              <w:right w:val="single" w:sz="8" w:color="auto"/>
            </w:tcBorders>
          </w:tcPr>
          <w:p>
            <w:pPr>
              <w:spacing w:after="0"/>
              <w:rPr>
                <w:sz w:val="5"/>
                <w:szCs w:val="5"/>
                <w:color w:val="auto"/>
              </w:rPr>
            </w:pPr>
          </w:p>
        </w:tc>
        <w:tc>
          <w:tcPr>
            <w:tcW w:w="2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7440" w:type="dxa"/>
            <w:vAlign w:val="bottom"/>
            <w:tcBorders>
              <w:left w:val="single" w:sz="8" w:color="auto"/>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Weighted-average remaining term of outstanding stock options</w:t>
            </w:r>
          </w:p>
        </w:tc>
        <w:tc>
          <w:tcPr>
            <w:tcW w:w="232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4.88</w:t>
            </w:r>
          </w:p>
        </w:tc>
        <w:tc>
          <w:tcPr>
            <w:tcW w:w="0" w:type="dxa"/>
            <w:vAlign w:val="bottom"/>
          </w:tcPr>
          <w:p>
            <w:pPr>
              <w:spacing w:after="0"/>
              <w:rPr>
                <w:sz w:val="1"/>
                <w:szCs w:val="1"/>
                <w:color w:val="auto"/>
              </w:rPr>
            </w:pPr>
          </w:p>
        </w:tc>
      </w:tr>
      <w:tr>
        <w:trPr>
          <w:trHeight w:val="68"/>
        </w:trPr>
        <w:tc>
          <w:tcPr>
            <w:tcW w:w="7440" w:type="dxa"/>
            <w:vAlign w:val="bottom"/>
            <w:tcBorders>
              <w:left w:val="single" w:sz="8" w:color="auto"/>
              <w:bottom w:val="single" w:sz="8" w:color="auto"/>
              <w:right w:val="single" w:sz="8" w:color="auto"/>
            </w:tcBorders>
            <w:shd w:val="clear" w:color="auto" w:fill="CFF0FC"/>
          </w:tcPr>
          <w:p>
            <w:pPr>
              <w:spacing w:after="0"/>
              <w:rPr>
                <w:sz w:val="5"/>
                <w:szCs w:val="5"/>
                <w:color w:val="auto"/>
              </w:rPr>
            </w:pPr>
          </w:p>
        </w:tc>
        <w:tc>
          <w:tcPr>
            <w:tcW w:w="2320" w:type="dxa"/>
            <w:vAlign w:val="bottom"/>
            <w:tcBorders>
              <w:bottom w:val="single" w:sz="8" w:color="auto"/>
              <w:right w:val="single" w:sz="8" w:color="auto"/>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7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number of shares of common stock subject to outstanding full value awards</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18,588,705</w:t>
            </w:r>
          </w:p>
        </w:tc>
        <w:tc>
          <w:tcPr>
            <w:tcW w:w="0" w:type="dxa"/>
            <w:vAlign w:val="bottom"/>
          </w:tcPr>
          <w:p>
            <w:pPr>
              <w:spacing w:after="0"/>
              <w:rPr>
                <w:sz w:val="1"/>
                <w:szCs w:val="1"/>
                <w:color w:val="auto"/>
              </w:rPr>
            </w:pPr>
          </w:p>
        </w:tc>
      </w:tr>
      <w:tr>
        <w:trPr>
          <w:trHeight w:val="68"/>
        </w:trPr>
        <w:tc>
          <w:tcPr>
            <w:tcW w:w="7440" w:type="dxa"/>
            <w:vAlign w:val="bottom"/>
            <w:tcBorders>
              <w:left w:val="single" w:sz="8" w:color="auto"/>
              <w:bottom w:val="single" w:sz="8" w:color="auto"/>
              <w:right w:val="single" w:sz="8" w:color="auto"/>
            </w:tcBorders>
          </w:tcPr>
          <w:p>
            <w:pPr>
              <w:spacing w:after="0"/>
              <w:rPr>
                <w:sz w:val="5"/>
                <w:szCs w:val="5"/>
                <w:color w:val="auto"/>
              </w:rPr>
            </w:pPr>
          </w:p>
        </w:tc>
        <w:tc>
          <w:tcPr>
            <w:tcW w:w="2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7440" w:type="dxa"/>
            <w:vAlign w:val="bottom"/>
            <w:tcBorders>
              <w:left w:val="single" w:sz="8" w:color="auto"/>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number of shares of common stock available for grant under the EIP</w:t>
            </w:r>
          </w:p>
        </w:tc>
        <w:tc>
          <w:tcPr>
            <w:tcW w:w="232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2,636,874</w:t>
            </w:r>
          </w:p>
        </w:tc>
        <w:tc>
          <w:tcPr>
            <w:tcW w:w="0" w:type="dxa"/>
            <w:vAlign w:val="bottom"/>
          </w:tcPr>
          <w:p>
            <w:pPr>
              <w:spacing w:after="0"/>
              <w:rPr>
                <w:sz w:val="1"/>
                <w:szCs w:val="1"/>
                <w:color w:val="auto"/>
              </w:rPr>
            </w:pPr>
          </w:p>
        </w:tc>
      </w:tr>
      <w:tr>
        <w:trPr>
          <w:trHeight w:val="68"/>
        </w:trPr>
        <w:tc>
          <w:tcPr>
            <w:tcW w:w="7440" w:type="dxa"/>
            <w:vAlign w:val="bottom"/>
            <w:tcBorders>
              <w:left w:val="single" w:sz="8" w:color="auto"/>
              <w:bottom w:val="single" w:sz="8" w:color="auto"/>
              <w:right w:val="single" w:sz="8" w:color="auto"/>
            </w:tcBorders>
            <w:shd w:val="clear" w:color="auto" w:fill="CFF0FC"/>
          </w:tcPr>
          <w:p>
            <w:pPr>
              <w:spacing w:after="0"/>
              <w:rPr>
                <w:sz w:val="5"/>
                <w:szCs w:val="5"/>
                <w:color w:val="auto"/>
              </w:rPr>
            </w:pPr>
          </w:p>
        </w:tc>
        <w:tc>
          <w:tcPr>
            <w:tcW w:w="2320" w:type="dxa"/>
            <w:vAlign w:val="bottom"/>
            <w:tcBorders>
              <w:bottom w:val="single" w:sz="8" w:color="auto"/>
              <w:right w:val="single" w:sz="8" w:color="auto"/>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7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number of shares of common stock available for grant under other equity incentive plans</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68"/>
        </w:trPr>
        <w:tc>
          <w:tcPr>
            <w:tcW w:w="7440" w:type="dxa"/>
            <w:vAlign w:val="bottom"/>
            <w:tcBorders>
              <w:left w:val="single" w:sz="8" w:color="auto"/>
              <w:bottom w:val="single" w:sz="8" w:color="auto"/>
              <w:right w:val="single" w:sz="8" w:color="auto"/>
            </w:tcBorders>
          </w:tcPr>
          <w:p>
            <w:pPr>
              <w:spacing w:after="0"/>
              <w:rPr>
                <w:sz w:val="5"/>
                <w:szCs w:val="5"/>
                <w:color w:val="auto"/>
              </w:rPr>
            </w:pPr>
          </w:p>
        </w:tc>
        <w:tc>
          <w:tcPr>
            <w:tcW w:w="2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7440" w:type="dxa"/>
            <w:vAlign w:val="bottom"/>
            <w:tcBorders>
              <w:left w:val="single" w:sz="8" w:color="auto"/>
              <w:right w:val="single" w:sz="8" w:color="auto"/>
            </w:tcBorders>
          </w:tcPr>
          <w:p>
            <w:pPr>
              <w:spacing w:after="0"/>
              <w:rPr>
                <w:sz w:val="24"/>
                <w:szCs w:val="24"/>
                <w:color w:val="auto"/>
              </w:rPr>
            </w:pP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As of Record Date</w:t>
            </w:r>
          </w:p>
        </w:tc>
        <w:tc>
          <w:tcPr>
            <w:tcW w:w="0" w:type="dxa"/>
            <w:vAlign w:val="bottom"/>
          </w:tcPr>
          <w:p>
            <w:pPr>
              <w:spacing w:after="0"/>
              <w:rPr>
                <w:sz w:val="1"/>
                <w:szCs w:val="1"/>
                <w:color w:val="auto"/>
              </w:rPr>
            </w:pPr>
          </w:p>
        </w:tc>
      </w:tr>
      <w:tr>
        <w:trPr>
          <w:trHeight w:val="67"/>
        </w:trPr>
        <w:tc>
          <w:tcPr>
            <w:tcW w:w="7440" w:type="dxa"/>
            <w:vAlign w:val="bottom"/>
            <w:tcBorders>
              <w:left w:val="single" w:sz="8" w:color="auto"/>
              <w:bottom w:val="single" w:sz="8" w:color="auto"/>
              <w:right w:val="single" w:sz="8" w:color="auto"/>
            </w:tcBorders>
          </w:tcPr>
          <w:p>
            <w:pPr>
              <w:spacing w:after="0"/>
              <w:rPr>
                <w:sz w:val="5"/>
                <w:szCs w:val="5"/>
                <w:color w:val="auto"/>
              </w:rPr>
            </w:pPr>
          </w:p>
        </w:tc>
        <w:tc>
          <w:tcPr>
            <w:tcW w:w="2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7440" w:type="dxa"/>
            <w:vAlign w:val="bottom"/>
            <w:tcBorders>
              <w:left w:val="single" w:sz="8" w:color="auto"/>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number of shares of common stock outstanding</w:t>
            </w:r>
          </w:p>
        </w:tc>
        <w:tc>
          <w:tcPr>
            <w:tcW w:w="232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264,248,864</w:t>
            </w:r>
          </w:p>
        </w:tc>
        <w:tc>
          <w:tcPr>
            <w:tcW w:w="0" w:type="dxa"/>
            <w:vAlign w:val="bottom"/>
          </w:tcPr>
          <w:p>
            <w:pPr>
              <w:spacing w:after="0"/>
              <w:rPr>
                <w:sz w:val="1"/>
                <w:szCs w:val="1"/>
                <w:color w:val="auto"/>
              </w:rPr>
            </w:pPr>
          </w:p>
        </w:tc>
      </w:tr>
      <w:tr>
        <w:trPr>
          <w:trHeight w:val="68"/>
        </w:trPr>
        <w:tc>
          <w:tcPr>
            <w:tcW w:w="7440" w:type="dxa"/>
            <w:vAlign w:val="bottom"/>
            <w:tcBorders>
              <w:left w:val="single" w:sz="8" w:color="auto"/>
              <w:bottom w:val="single" w:sz="8" w:color="auto"/>
              <w:right w:val="single" w:sz="8" w:color="auto"/>
            </w:tcBorders>
            <w:shd w:val="clear" w:color="auto" w:fill="CFF0FC"/>
          </w:tcPr>
          <w:p>
            <w:pPr>
              <w:spacing w:after="0"/>
              <w:rPr>
                <w:sz w:val="5"/>
                <w:szCs w:val="5"/>
                <w:color w:val="auto"/>
              </w:rPr>
            </w:pPr>
          </w:p>
        </w:tc>
        <w:tc>
          <w:tcPr>
            <w:tcW w:w="2320" w:type="dxa"/>
            <w:vAlign w:val="bottom"/>
            <w:tcBorders>
              <w:bottom w:val="single" w:sz="8" w:color="auto"/>
              <w:right w:val="single" w:sz="8" w:color="auto"/>
            </w:tcBorders>
            <w:shd w:val="clear" w:color="auto" w:fill="CFF0FC"/>
          </w:tcPr>
          <w:p>
            <w:pPr>
              <w:spacing w:after="0"/>
              <w:rPr>
                <w:sz w:val="5"/>
                <w:szCs w:val="5"/>
                <w:color w:val="auto"/>
              </w:rPr>
            </w:pPr>
          </w:p>
        </w:tc>
        <w:tc>
          <w:tcPr>
            <w:tcW w:w="0" w:type="dxa"/>
            <w:vAlign w:val="bottom"/>
          </w:tcPr>
          <w:p>
            <w:pPr>
              <w:spacing w:after="0"/>
              <w:rPr>
                <w:sz w:val="1"/>
                <w:szCs w:val="1"/>
                <w:color w:val="auto"/>
              </w:rPr>
            </w:pPr>
          </w:p>
        </w:tc>
      </w:tr>
      <w:tr>
        <w:trPr>
          <w:trHeight w:val="277"/>
        </w:trPr>
        <w:tc>
          <w:tcPr>
            <w:tcW w:w="7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Per-share closing price of common stock as reported on Nasdaq Global Market</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$4.03</w:t>
            </w:r>
          </w:p>
        </w:tc>
        <w:tc>
          <w:tcPr>
            <w:tcW w:w="0" w:type="dxa"/>
            <w:vAlign w:val="bottom"/>
          </w:tcPr>
          <w:p>
            <w:pPr>
              <w:spacing w:after="0"/>
              <w:rPr>
                <w:sz w:val="1"/>
                <w:szCs w:val="1"/>
                <w:color w:val="auto"/>
              </w:rPr>
            </w:pPr>
          </w:p>
        </w:tc>
      </w:tr>
      <w:tr>
        <w:trPr>
          <w:trHeight w:val="68"/>
        </w:trPr>
        <w:tc>
          <w:tcPr>
            <w:tcW w:w="7440" w:type="dxa"/>
            <w:vAlign w:val="bottom"/>
            <w:tcBorders>
              <w:left w:val="single" w:sz="8" w:color="auto"/>
              <w:bottom w:val="single" w:sz="8" w:color="auto"/>
              <w:right w:val="single" w:sz="8" w:color="auto"/>
            </w:tcBorders>
          </w:tcPr>
          <w:p>
            <w:pPr>
              <w:spacing w:after="0"/>
              <w:rPr>
                <w:sz w:val="5"/>
                <w:szCs w:val="5"/>
                <w:color w:val="auto"/>
              </w:rPr>
            </w:pPr>
          </w:p>
        </w:tc>
        <w:tc>
          <w:tcPr>
            <w:tcW w:w="23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Burn Rate</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detailed information regarding the activity related to our equity incentive plans for fiscal year 2022.</w:t>
      </w:r>
    </w:p>
    <w:p>
      <w:pPr>
        <w:spacing w:after="0" w:line="220" w:lineRule="exact"/>
        <w:rPr>
          <w:sz w:val="20"/>
          <w:szCs w:val="20"/>
          <w:color w:val="auto"/>
        </w:rPr>
      </w:pPr>
    </w:p>
    <w:tbl>
      <w:tblPr>
        <w:tblLayout w:type="fixed"/>
        <w:tblInd w:w="130" w:type="dxa"/>
        <w:tblCellMar>
          <w:top w:w="0" w:type="dxa"/>
          <w:left w:w="0" w:type="dxa"/>
          <w:bottom w:w="0" w:type="dxa"/>
          <w:right w:w="0" w:type="dxa"/>
        </w:tblCellMar>
      </w:tblPr>
      <w:tr>
        <w:trPr>
          <w:trHeight w:val="300"/>
        </w:trPr>
        <w:tc>
          <w:tcPr>
            <w:tcW w:w="7440" w:type="dxa"/>
            <w:vAlign w:val="bottom"/>
            <w:tcBorders>
              <w:top w:val="single" w:sz="8" w:color="auto"/>
              <w:left w:val="single" w:sz="8" w:color="auto"/>
              <w:right w:val="single" w:sz="8" w:color="auto"/>
            </w:tcBorders>
          </w:tcPr>
          <w:p>
            <w:pPr>
              <w:spacing w:after="0"/>
              <w:rPr>
                <w:sz w:val="24"/>
                <w:szCs w:val="24"/>
                <w:color w:val="auto"/>
              </w:rPr>
            </w:pPr>
          </w:p>
        </w:tc>
        <w:tc>
          <w:tcPr>
            <w:tcW w:w="2320" w:type="dxa"/>
            <w:vAlign w:val="bottom"/>
            <w:tcBorders>
              <w:top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8"/>
                <w:szCs w:val="18"/>
                <w:b w:val="1"/>
                <w:bCs w:val="1"/>
                <w:color w:val="auto"/>
              </w:rPr>
              <w:t>Fiscal Year 2022</w:t>
            </w:r>
          </w:p>
        </w:tc>
      </w:tr>
      <w:tr>
        <w:trPr>
          <w:trHeight w:val="89"/>
        </w:trPr>
        <w:tc>
          <w:tcPr>
            <w:tcW w:w="7440" w:type="dxa"/>
            <w:vAlign w:val="bottom"/>
            <w:tcBorders>
              <w:left w:val="single" w:sz="8" w:color="auto"/>
              <w:bottom w:val="single" w:sz="8" w:color="auto"/>
              <w:right w:val="single" w:sz="8" w:color="auto"/>
            </w:tcBorders>
          </w:tcPr>
          <w:p>
            <w:pPr>
              <w:spacing w:after="0"/>
              <w:rPr>
                <w:sz w:val="7"/>
                <w:szCs w:val="7"/>
                <w:color w:val="auto"/>
              </w:rPr>
            </w:pPr>
          </w:p>
        </w:tc>
        <w:tc>
          <w:tcPr>
            <w:tcW w:w="2320" w:type="dxa"/>
            <w:vAlign w:val="bottom"/>
            <w:tcBorders>
              <w:bottom w:val="single" w:sz="8" w:color="auto"/>
              <w:right w:val="single" w:sz="8" w:color="auto"/>
            </w:tcBorders>
          </w:tcPr>
          <w:p>
            <w:pPr>
              <w:spacing w:after="0"/>
              <w:rPr>
                <w:sz w:val="7"/>
                <w:szCs w:val="7"/>
                <w:color w:val="auto"/>
              </w:rPr>
            </w:pPr>
          </w:p>
        </w:tc>
      </w:tr>
      <w:tr>
        <w:trPr>
          <w:trHeight w:val="260"/>
        </w:trPr>
        <w:tc>
          <w:tcPr>
            <w:tcW w:w="7440" w:type="dxa"/>
            <w:vAlign w:val="bottom"/>
            <w:tcBorders>
              <w:top w:val="single" w:sz="8" w:color="CFF0FC"/>
              <w:left w:val="single" w:sz="8" w:color="auto"/>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number of shares of common stock subject to stock options granted</w:t>
            </w:r>
          </w:p>
        </w:tc>
        <w:tc>
          <w:tcPr>
            <w:tcW w:w="2320" w:type="dxa"/>
            <w:vAlign w:val="bottom"/>
            <w:tcBorders>
              <w:top w:val="single" w:sz="8" w:color="CFF0FC"/>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68"/>
        </w:trPr>
        <w:tc>
          <w:tcPr>
            <w:tcW w:w="7440" w:type="dxa"/>
            <w:vAlign w:val="bottom"/>
            <w:tcBorders>
              <w:left w:val="single" w:sz="8" w:color="auto"/>
              <w:bottom w:val="single" w:sz="8" w:color="auto"/>
              <w:right w:val="single" w:sz="8" w:color="auto"/>
            </w:tcBorders>
            <w:shd w:val="clear" w:color="auto" w:fill="CFF0FC"/>
          </w:tcPr>
          <w:p>
            <w:pPr>
              <w:spacing w:after="0"/>
              <w:rPr>
                <w:sz w:val="5"/>
                <w:szCs w:val="5"/>
                <w:color w:val="auto"/>
              </w:rPr>
            </w:pPr>
          </w:p>
        </w:tc>
        <w:tc>
          <w:tcPr>
            <w:tcW w:w="2320" w:type="dxa"/>
            <w:vAlign w:val="bottom"/>
            <w:tcBorders>
              <w:bottom w:val="single" w:sz="8" w:color="auto"/>
              <w:right w:val="single" w:sz="8" w:color="auto"/>
            </w:tcBorders>
            <w:shd w:val="clear" w:color="auto" w:fill="CFF0FC"/>
          </w:tcPr>
          <w:p>
            <w:pPr>
              <w:spacing w:after="0"/>
              <w:rPr>
                <w:sz w:val="5"/>
                <w:szCs w:val="5"/>
                <w:color w:val="auto"/>
              </w:rPr>
            </w:pPr>
          </w:p>
        </w:tc>
      </w:tr>
      <w:tr>
        <w:trPr>
          <w:trHeight w:val="277"/>
        </w:trPr>
        <w:tc>
          <w:tcPr>
            <w:tcW w:w="7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Total number of shares of common stock subject to full value awards granted</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5,120,682</w:t>
            </w:r>
          </w:p>
        </w:tc>
      </w:tr>
      <w:tr>
        <w:trPr>
          <w:trHeight w:val="68"/>
        </w:trPr>
        <w:tc>
          <w:tcPr>
            <w:tcW w:w="7440" w:type="dxa"/>
            <w:vAlign w:val="bottom"/>
            <w:tcBorders>
              <w:left w:val="single" w:sz="8" w:color="auto"/>
              <w:bottom w:val="single" w:sz="8" w:color="auto"/>
              <w:right w:val="single" w:sz="8" w:color="auto"/>
            </w:tcBorders>
          </w:tcPr>
          <w:p>
            <w:pPr>
              <w:spacing w:after="0"/>
              <w:rPr>
                <w:sz w:val="5"/>
                <w:szCs w:val="5"/>
                <w:color w:val="auto"/>
              </w:rPr>
            </w:pPr>
          </w:p>
        </w:tc>
        <w:tc>
          <w:tcPr>
            <w:tcW w:w="2320" w:type="dxa"/>
            <w:vAlign w:val="bottom"/>
            <w:tcBorders>
              <w:bottom w:val="single" w:sz="8" w:color="auto"/>
              <w:right w:val="single" w:sz="8" w:color="auto"/>
            </w:tcBorders>
          </w:tcPr>
          <w:p>
            <w:pPr>
              <w:spacing w:after="0"/>
              <w:rPr>
                <w:sz w:val="5"/>
                <w:szCs w:val="5"/>
                <w:color w:val="auto"/>
              </w:rPr>
            </w:pPr>
          </w:p>
        </w:tc>
      </w:tr>
      <w:tr>
        <w:trPr>
          <w:trHeight w:val="277"/>
        </w:trPr>
        <w:tc>
          <w:tcPr>
            <w:tcW w:w="7440" w:type="dxa"/>
            <w:vAlign w:val="bottom"/>
            <w:tcBorders>
              <w:left w:val="single" w:sz="8" w:color="auto"/>
              <w:right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Weighted-average number of shares of common stock outstanding</w:t>
            </w:r>
          </w:p>
        </w:tc>
        <w:tc>
          <w:tcPr>
            <w:tcW w:w="2320" w:type="dxa"/>
            <w:vAlign w:val="bottom"/>
            <w:tcBorders>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257,092,469</w:t>
            </w:r>
          </w:p>
        </w:tc>
      </w:tr>
      <w:tr>
        <w:trPr>
          <w:trHeight w:val="67"/>
        </w:trPr>
        <w:tc>
          <w:tcPr>
            <w:tcW w:w="7440" w:type="dxa"/>
            <w:vAlign w:val="bottom"/>
            <w:tcBorders>
              <w:left w:val="single" w:sz="8" w:color="auto"/>
              <w:bottom w:val="single" w:sz="8" w:color="auto"/>
              <w:right w:val="single" w:sz="8" w:color="auto"/>
            </w:tcBorders>
            <w:shd w:val="clear" w:color="auto" w:fill="CFF0FC"/>
          </w:tcPr>
          <w:p>
            <w:pPr>
              <w:spacing w:after="0"/>
              <w:rPr>
                <w:sz w:val="5"/>
                <w:szCs w:val="5"/>
                <w:color w:val="auto"/>
              </w:rPr>
            </w:pPr>
          </w:p>
        </w:tc>
        <w:tc>
          <w:tcPr>
            <w:tcW w:w="2320" w:type="dxa"/>
            <w:vAlign w:val="bottom"/>
            <w:tcBorders>
              <w:bottom w:val="single" w:sz="8" w:color="auto"/>
              <w:right w:val="single" w:sz="8" w:color="auto"/>
            </w:tcBorders>
            <w:shd w:val="clear" w:color="auto" w:fill="CFF0FC"/>
          </w:tcPr>
          <w:p>
            <w:pPr>
              <w:spacing w:after="0"/>
              <w:rPr>
                <w:sz w:val="5"/>
                <w:szCs w:val="5"/>
                <w:color w:val="auto"/>
              </w:rPr>
            </w:pPr>
          </w:p>
        </w:tc>
      </w:tr>
      <w:tr>
        <w:trPr>
          <w:trHeight w:val="277"/>
        </w:trPr>
        <w:tc>
          <w:tcPr>
            <w:tcW w:w="74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Burn Rate</w:t>
            </w:r>
          </w:p>
        </w:tc>
        <w:tc>
          <w:tcPr>
            <w:tcW w:w="2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w:t>
            </w:r>
          </w:p>
        </w:tc>
      </w:tr>
      <w:tr>
        <w:trPr>
          <w:trHeight w:val="68"/>
        </w:trPr>
        <w:tc>
          <w:tcPr>
            <w:tcW w:w="7440" w:type="dxa"/>
            <w:vAlign w:val="bottom"/>
            <w:tcBorders>
              <w:left w:val="single" w:sz="8" w:color="auto"/>
              <w:bottom w:val="single" w:sz="8" w:color="auto"/>
              <w:right w:val="single" w:sz="8" w:color="auto"/>
            </w:tcBorders>
          </w:tcPr>
          <w:p>
            <w:pPr>
              <w:spacing w:after="0"/>
              <w:rPr>
                <w:sz w:val="5"/>
                <w:szCs w:val="5"/>
                <w:color w:val="auto"/>
              </w:rPr>
            </w:pPr>
          </w:p>
        </w:tc>
        <w:tc>
          <w:tcPr>
            <w:tcW w:w="2320" w:type="dxa"/>
            <w:vAlign w:val="bottom"/>
            <w:tcBorders>
              <w:bottom w:val="single" w:sz="8" w:color="auto"/>
              <w:right w:val="single" w:sz="8" w:color="auto"/>
            </w:tcBorders>
          </w:tcPr>
          <w:p>
            <w:pPr>
              <w:spacing w:after="0"/>
              <w:rPr>
                <w:sz w:val="5"/>
                <w:szCs w:val="5"/>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Amended EIP</w:t>
      </w:r>
    </w:p>
    <w:p>
      <w:pPr>
        <w:spacing w:after="0" w:line="229"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The material features of the Amended EIP are described below. The following description of the Amended EIP is a summary only and is qualified in its entirety by reference to the complete text of the Amended EIP. Stockholders are urged to read the actual text of the Amended EIP in its entirety, which is attached to this proxy statement as Appendix B.</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Purpose</w:t>
      </w:r>
    </w:p>
    <w:p>
      <w:pPr>
        <w:spacing w:after="0" w:line="227" w:lineRule="exact"/>
        <w:rPr>
          <w:sz w:val="20"/>
          <w:szCs w:val="20"/>
          <w:color w:val="auto"/>
        </w:rPr>
      </w:pPr>
    </w:p>
    <w:p>
      <w:pPr>
        <w:ind w:right="280" w:firstLine="419"/>
        <w:spacing w:after="0" w:line="266" w:lineRule="auto"/>
        <w:rPr>
          <w:sz w:val="20"/>
          <w:szCs w:val="20"/>
          <w:color w:val="auto"/>
        </w:rPr>
      </w:pPr>
      <w:r>
        <w:rPr>
          <w:rFonts w:ascii="Times New Roman" w:cs="Times New Roman" w:eastAsia="Times New Roman" w:hAnsi="Times New Roman"/>
          <w:sz w:val="18"/>
          <w:szCs w:val="18"/>
          <w:color w:val="auto"/>
        </w:rPr>
        <w:t>The Amended EIP is designed to secure and retain the services of our employees, directors and consultants, provide incentives for our employees, directors and consultants to exert maximum efforts for the success of our company and our affiliates, and provide a means by which our employees, directors and consultants may be given an opportunity to benefit from increases in the value of our common stock.</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Types of Awards</w:t>
      </w:r>
    </w:p>
    <w:p>
      <w:pPr>
        <w:spacing w:after="0" w:line="227" w:lineRule="exact"/>
        <w:rPr>
          <w:sz w:val="20"/>
          <w:szCs w:val="20"/>
          <w:color w:val="auto"/>
        </w:rPr>
      </w:pPr>
    </w:p>
    <w:p>
      <w:pPr>
        <w:ind w:right="80" w:firstLine="419"/>
        <w:spacing w:after="0" w:line="282" w:lineRule="auto"/>
        <w:rPr>
          <w:sz w:val="20"/>
          <w:szCs w:val="20"/>
          <w:color w:val="auto"/>
        </w:rPr>
      </w:pPr>
      <w:r>
        <w:rPr>
          <w:rFonts w:ascii="Times New Roman" w:cs="Times New Roman" w:eastAsia="Times New Roman" w:hAnsi="Times New Roman"/>
          <w:sz w:val="18"/>
          <w:szCs w:val="18"/>
          <w:color w:val="auto"/>
        </w:rPr>
        <w:t>The terms of the Amended EIP provide for the grant of incentive stock options, nonstatutory stock options, stock appreciation rights, restricted stock awards, restricted stock unit awards, other stock awards, and performance awards that may be settled in cash, stock, or other property.</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Shares Available for Awards</w:t>
      </w:r>
    </w:p>
    <w:p>
      <w:pPr>
        <w:spacing w:after="0" w:line="227" w:lineRule="exact"/>
        <w:rPr>
          <w:sz w:val="20"/>
          <w:szCs w:val="20"/>
          <w:color w:val="auto"/>
        </w:rPr>
      </w:pPr>
    </w:p>
    <w:p>
      <w:pPr>
        <w:ind w:right="320" w:firstLine="419"/>
        <w:spacing w:after="0" w:line="282" w:lineRule="auto"/>
        <w:rPr>
          <w:sz w:val="20"/>
          <w:szCs w:val="20"/>
          <w:color w:val="auto"/>
        </w:rPr>
      </w:pPr>
      <w:r>
        <w:rPr>
          <w:rFonts w:ascii="Times New Roman" w:cs="Times New Roman" w:eastAsia="Times New Roman" w:hAnsi="Times New Roman"/>
          <w:sz w:val="18"/>
          <w:szCs w:val="18"/>
          <w:color w:val="auto"/>
        </w:rPr>
        <w:t>Subject to adjustment for certain changes in our capitalization, the aggregate number of shares of our common stock that may be issued under the Amended EIP, or the Share Reserve, will not exceed 50,888,179 shares (which number is the sum of (i) 13,388,179</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9" w:right="359" w:bottom="1440" w:gutter="0" w:footer="0" w:header="0"/>
        </w:sectPr>
      </w:pPr>
    </w:p>
    <w:bookmarkStart w:id="34" w:name="page35"/>
    <w:bookmarkEnd w:id="34"/>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shares originally added to the Share Reserve in connection with the Company’s adoption of the EIP, (ii) 12,500,000 shares added to the Share Reserve in 2020, and (iii) 25,000,000 shares that are subject to approval by our stockholders under this Proposal 4) and (iv) and the Prior Plan’s Returning Shares (as defined below), as such shares become available from time to time.</w:t>
      </w:r>
    </w:p>
    <w:p>
      <w:pPr>
        <w:spacing w:after="0" w:line="176" w:lineRule="exact"/>
        <w:rPr>
          <w:sz w:val="20"/>
          <w:szCs w:val="20"/>
          <w:color w:val="auto"/>
        </w:rPr>
      </w:pPr>
    </w:p>
    <w:p>
      <w:pPr>
        <w:ind w:right="40" w:firstLine="419"/>
        <w:spacing w:after="0" w:line="256" w:lineRule="auto"/>
        <w:rPr>
          <w:sz w:val="20"/>
          <w:szCs w:val="20"/>
          <w:color w:val="auto"/>
        </w:rPr>
      </w:pPr>
      <w:r>
        <w:rPr>
          <w:rFonts w:ascii="Times New Roman" w:cs="Times New Roman" w:eastAsia="Times New Roman" w:hAnsi="Times New Roman"/>
          <w:sz w:val="18"/>
          <w:szCs w:val="18"/>
          <w:color w:val="auto"/>
        </w:rPr>
        <w:t>The “Prior Plans’ Returning Shares” are shares subject to outstanding stock awards granted under the Prior Plans that, from and after the effective date of the Amended EIP, (i) expire or terminate for any reason prior to exercise or settlement, (ii) are forfeited, cancelled or otherwise returned to us because of the failure to meet a contingency or condition required for the vesting of such shares, or (iii) other than with respect to outstanding stock options and stock appreciation rights granted under the Prior Plans with an exercise or strike price of at least 100% of the fair market value of the underlying common stock on the date of grant (“Prior Plans’ Appreciation Awards”), are reacquired or withheld (or not issued) by us to satisfy a tax withholding obligation in connection with a stock award.</w:t>
      </w:r>
    </w:p>
    <w:p>
      <w:pPr>
        <w:spacing w:after="0" w:line="187" w:lineRule="exact"/>
        <w:rPr>
          <w:sz w:val="20"/>
          <w:szCs w:val="20"/>
          <w:color w:val="auto"/>
        </w:rPr>
      </w:pPr>
    </w:p>
    <w:p>
      <w:pPr>
        <w:ind w:right="20" w:firstLine="419"/>
        <w:spacing w:after="0" w:line="258" w:lineRule="auto"/>
        <w:rPr>
          <w:sz w:val="20"/>
          <w:szCs w:val="20"/>
          <w:color w:val="auto"/>
        </w:rPr>
      </w:pPr>
      <w:r>
        <w:rPr>
          <w:rFonts w:ascii="Times New Roman" w:cs="Times New Roman" w:eastAsia="Times New Roman" w:hAnsi="Times New Roman"/>
          <w:sz w:val="18"/>
          <w:szCs w:val="18"/>
          <w:color w:val="auto"/>
        </w:rPr>
        <w:t>The number of shares of our common stock available for issuance under the Amended EIP will be reduced by (i) one share for each share of common stock issued pursuant to a stock option or stock appreciation right with an exercise or strike price of at least 100% of the fair market value of the underlying common stock on the date of grant, and (ii) 1.1 shares for each share of common stock issued pursuant to a full value award (i.e., any stock award that is not a stock option or stock appreciation right with an exercise or strike price of at least 100% of the fair market value of the underlying common stock on the date of grant).</w:t>
      </w:r>
    </w:p>
    <w:p>
      <w:pPr>
        <w:spacing w:after="0" w:line="183" w:lineRule="exact"/>
        <w:rPr>
          <w:sz w:val="20"/>
          <w:szCs w:val="20"/>
          <w:color w:val="auto"/>
        </w:rPr>
      </w:pPr>
    </w:p>
    <w:p>
      <w:pPr>
        <w:ind w:firstLine="419"/>
        <w:spacing w:after="0" w:line="255" w:lineRule="auto"/>
        <w:rPr>
          <w:sz w:val="20"/>
          <w:szCs w:val="20"/>
          <w:color w:val="auto"/>
        </w:rPr>
      </w:pPr>
      <w:r>
        <w:rPr>
          <w:rFonts w:ascii="Times New Roman" w:cs="Times New Roman" w:eastAsia="Times New Roman" w:hAnsi="Times New Roman"/>
          <w:sz w:val="18"/>
          <w:szCs w:val="18"/>
          <w:color w:val="auto"/>
        </w:rPr>
        <w:t>If (i) any shares of common stock subject to a stock award are not issued because the stock award expires or otherwise terminates without all of the shares covered by the stock award having been issued or is settled in cash, (ii) any shares of common stock issued pursuant to a stock award are forfeited back to or repurchased by us because of the failure to meet a contingency or condition required for the vesting of such shares, or (iii) with respect to a full value award, any shares of common stock are reacquired or withheld (or not issued) by us to satisfy a tax withholding obligation in connection with the award, then such shares will again become available for issuance under the Amended EIP (collectively, the “Amended EIP Returning Shares”). For each Amended EIP Returning Share subject to a full value award, or Prior Plans’ Returning Share subject to a stock award other than a Prior Plans’ Appreciation Award, the number of shares of common stock available for issuance under the Amended EIP will increase by 1.1 shares.</w:t>
      </w:r>
    </w:p>
    <w:p>
      <w:pPr>
        <w:spacing w:after="0" w:line="189" w:lineRule="exact"/>
        <w:rPr>
          <w:sz w:val="20"/>
          <w:szCs w:val="20"/>
          <w:color w:val="auto"/>
        </w:rPr>
      </w:pPr>
    </w:p>
    <w:p>
      <w:pPr>
        <w:ind w:right="80" w:firstLine="419"/>
        <w:spacing w:after="0" w:line="256" w:lineRule="auto"/>
        <w:rPr>
          <w:sz w:val="20"/>
          <w:szCs w:val="20"/>
          <w:color w:val="auto"/>
        </w:rPr>
      </w:pPr>
      <w:r>
        <w:rPr>
          <w:rFonts w:ascii="Times New Roman" w:cs="Times New Roman" w:eastAsia="Times New Roman" w:hAnsi="Times New Roman"/>
          <w:sz w:val="18"/>
          <w:szCs w:val="18"/>
          <w:color w:val="auto"/>
        </w:rPr>
        <w:t>Any shares of common stock reacquired or withheld (or not issued) by us to satisfy the exercise or purchase price of a stock award will no longer be available for issuance under the Amended EIP, including any shares subject to a stock award that are not delivered to a participant because the stock award is exercised through a reduction of shares subject to the stock award. In addition, any shares reacquired or withheld (or not issued) by us to satisfy a tax withholding obligation in connection with a stock option or stock appreciation right granted under the Amended EIP or a Prior Plans’ Appreciation Award, or any shares repurchased by us on the open market with the proceeds of the exercise or strike price of a stock option or stock appreciation right granted under the Amended EIP or a Prior Plans’ Appreciation Award will no longer be available for issuance under the Amended EIP.</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227" w:lineRule="exact"/>
        <w:rPr>
          <w:sz w:val="20"/>
          <w:szCs w:val="20"/>
          <w:color w:val="auto"/>
        </w:rPr>
      </w:pPr>
    </w:p>
    <w:p>
      <w:pPr>
        <w:ind w:right="40" w:firstLine="419"/>
        <w:spacing w:after="0" w:line="266" w:lineRule="auto"/>
        <w:rPr>
          <w:sz w:val="20"/>
          <w:szCs w:val="20"/>
          <w:color w:val="auto"/>
        </w:rPr>
      </w:pPr>
      <w:r>
        <w:rPr>
          <w:rFonts w:ascii="Times New Roman" w:cs="Times New Roman" w:eastAsia="Times New Roman" w:hAnsi="Times New Roman"/>
          <w:sz w:val="18"/>
          <w:szCs w:val="18"/>
          <w:color w:val="auto"/>
        </w:rPr>
        <w:t>All of our (including our affiliates’) approximately 408 employees, non-employee directors and consultants are eligible to participate in the Amended EIP and may receive all types of awards other than incentive stock options. Incentive stock options may be granted under the Amended EIP only to our employees (including officers) and employees of our affiliates.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Non-Employee Director Compensation Limit</w:t>
      </w:r>
    </w:p>
    <w:p>
      <w:pPr>
        <w:spacing w:after="0" w:line="227" w:lineRule="exact"/>
        <w:rPr>
          <w:sz w:val="20"/>
          <w:szCs w:val="20"/>
          <w:color w:val="auto"/>
        </w:rPr>
      </w:pPr>
    </w:p>
    <w:p>
      <w:pPr>
        <w:ind w:right="180" w:firstLine="419"/>
        <w:spacing w:after="0" w:line="261" w:lineRule="auto"/>
        <w:rPr>
          <w:sz w:val="20"/>
          <w:szCs w:val="20"/>
          <w:color w:val="auto"/>
        </w:rPr>
      </w:pPr>
      <w:r>
        <w:rPr>
          <w:rFonts w:ascii="Times New Roman" w:cs="Times New Roman" w:eastAsia="Times New Roman" w:hAnsi="Times New Roman"/>
          <w:sz w:val="18"/>
          <w:szCs w:val="18"/>
          <w:color w:val="auto"/>
        </w:rPr>
        <w:t>Under the Amended EIP, the maximum number of shares of our common stock subject to stock awards granted during any one calendar year to any of our non-employee directors, taken together with any cash fees paid by the Company to such non-employee director during such calendar year, will not exceed $500,000 in total value (calculating the value of any such stock awards based on the grant date fair value of such stock awards for financial reporting purposes).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227" w:lineRule="exact"/>
        <w:rPr>
          <w:sz w:val="20"/>
          <w:szCs w:val="20"/>
          <w:color w:val="auto"/>
        </w:rPr>
      </w:pPr>
    </w:p>
    <w:p>
      <w:pPr>
        <w:ind w:right="40" w:firstLine="419"/>
        <w:spacing w:after="0" w:line="254" w:lineRule="auto"/>
        <w:rPr>
          <w:sz w:val="20"/>
          <w:szCs w:val="20"/>
          <w:color w:val="auto"/>
        </w:rPr>
      </w:pPr>
      <w:r>
        <w:rPr>
          <w:rFonts w:ascii="Times New Roman" w:cs="Times New Roman" w:eastAsia="Times New Roman" w:hAnsi="Times New Roman"/>
          <w:sz w:val="18"/>
          <w:szCs w:val="18"/>
          <w:color w:val="auto"/>
        </w:rPr>
        <w:t>The Amended EIP will be administered by our Board, which may in turn delegate authority to administer the Amended EIP to a committee. Our Board has delegated concurrent authority to administer the Amended EIP to our Compensation Committee, but may, at any time, revest in itself some or all of the power delegated to our Compensation Committee. The Board and the Compensation Committee are each considered to be a Plan Administrator for purposes of this Proposal 4. Subject to the terms of the Amended EIP, the Plan Administrator may determine the recipients, the types of awards to be granted, the number of shares of our common stock subject to or the cash value of awards, and the terms and conditions of awards granted under the Amended EIP, including the period of their exercisability and vesting. The Plan Administrator also has the authority to provide for accelerated exercisability and vesting of awards. Subject to the limitations set forth below, the Plan Administrator also determines the fair market value applicable to a stock award and the exercise or strike price of stock options and stock appreciation rights granted under the Amended EIP.</w:t>
      </w:r>
    </w:p>
    <w:p>
      <w:pPr>
        <w:spacing w:after="0" w:line="1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The Plan Administrator may also delegate to one or more officers the authority to designate employees who are not officers to be recipients of certain stock awards and the number of shares of our common stock subject to such stock awards. Under any such delegation, the Plan Administrator will specify the total number of shares of our common stock that may be subject to the stock awards granted by such officer over a specified period of time. The officer may not grant a stock award to himself or herself.</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Repricing; Cancellation and Re-Grant of Stock Awards</w:t>
      </w:r>
    </w:p>
    <w:p>
      <w:pPr>
        <w:spacing w:after="0" w:line="227" w:lineRule="exact"/>
        <w:rPr>
          <w:sz w:val="20"/>
          <w:szCs w:val="20"/>
          <w:color w:val="auto"/>
        </w:rPr>
      </w:pPr>
    </w:p>
    <w:p>
      <w:pPr>
        <w:ind w:right="40" w:firstLine="419"/>
        <w:spacing w:after="0" w:line="261" w:lineRule="auto"/>
        <w:rPr>
          <w:sz w:val="20"/>
          <w:szCs w:val="20"/>
          <w:color w:val="auto"/>
        </w:rPr>
      </w:pPr>
      <w:r>
        <w:rPr>
          <w:rFonts w:ascii="Times New Roman" w:cs="Times New Roman" w:eastAsia="Times New Roman" w:hAnsi="Times New Roman"/>
          <w:sz w:val="18"/>
          <w:szCs w:val="18"/>
          <w:color w:val="auto"/>
        </w:rPr>
        <w:t>Under the Amended EIP, the Plan Administrator does not have the authority to reprice any outstanding stock option or stock appreciation right by reducing the exercise or strike price of the stock option or stock appreciation right or to cancel any outstanding stock option or stock appreciation right that has an exercise or strike price greater than the then-current fair market value of our common stock in exchange for cash or other stock awards without obtaining the approval of our stockholders. Such approval must be obtained within 12 months prior to such an event.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227" w:lineRule="exact"/>
        <w:rPr>
          <w:sz w:val="20"/>
          <w:szCs w:val="20"/>
          <w:color w:val="auto"/>
        </w:rPr>
      </w:pPr>
    </w:p>
    <w:p>
      <w:pPr>
        <w:ind w:firstLine="419"/>
        <w:spacing w:after="0" w:line="282" w:lineRule="auto"/>
        <w:rPr>
          <w:sz w:val="20"/>
          <w:szCs w:val="20"/>
          <w:color w:val="auto"/>
        </w:rPr>
      </w:pPr>
      <w:r>
        <w:rPr>
          <w:rFonts w:ascii="Times New Roman" w:cs="Times New Roman" w:eastAsia="Times New Roman" w:hAnsi="Times New Roman"/>
          <w:sz w:val="18"/>
          <w:szCs w:val="18"/>
          <w:color w:val="auto"/>
        </w:rPr>
        <w:t>Stock options may be granted under the Amended EIP pursuant to stock option agreements. The Amended EIP permits the grant of stock options that are intended to qualify as incentive stock options, or ISOs, and nonstatutory stock options, or NSOs.</w:t>
      </w:r>
    </w:p>
    <w:p>
      <w:pPr>
        <w:spacing w:after="0" w:line="162" w:lineRule="exact"/>
        <w:rPr>
          <w:sz w:val="20"/>
          <w:szCs w:val="20"/>
          <w:color w:val="auto"/>
        </w:rPr>
      </w:pPr>
    </w:p>
    <w:p>
      <w:pPr>
        <w:ind w:right="20" w:firstLine="419"/>
        <w:spacing w:after="0" w:line="266" w:lineRule="auto"/>
        <w:rPr>
          <w:sz w:val="20"/>
          <w:szCs w:val="20"/>
          <w:color w:val="auto"/>
        </w:rPr>
      </w:pPr>
      <w:r>
        <w:rPr>
          <w:rFonts w:ascii="Times New Roman" w:cs="Times New Roman" w:eastAsia="Times New Roman" w:hAnsi="Times New Roman"/>
          <w:sz w:val="18"/>
          <w:szCs w:val="18"/>
          <w:color w:val="auto"/>
        </w:rPr>
        <w:t>The exercise price of a stock option granted under the Amended EIP may not be less than 100% of the fair market value of the common stock subject to the stock option on the date of grant and, in some cases (see “Limitations on Incentive Stock Options” below), may not be less than 110% of such fair market value.</w:t>
      </w:r>
    </w:p>
    <w:p>
      <w:pPr>
        <w:spacing w:after="0" w:line="176" w:lineRule="exact"/>
        <w:rPr>
          <w:sz w:val="20"/>
          <w:szCs w:val="20"/>
          <w:color w:val="auto"/>
        </w:rPr>
      </w:pPr>
    </w:p>
    <w:p>
      <w:pPr>
        <w:ind w:right="60" w:firstLine="419"/>
        <w:spacing w:after="0" w:line="252" w:lineRule="auto"/>
        <w:rPr>
          <w:sz w:val="20"/>
          <w:szCs w:val="20"/>
          <w:color w:val="auto"/>
        </w:rPr>
      </w:pPr>
      <w:r>
        <w:rPr>
          <w:rFonts w:ascii="Times New Roman" w:cs="Times New Roman" w:eastAsia="Times New Roman" w:hAnsi="Times New Roman"/>
          <w:sz w:val="18"/>
          <w:szCs w:val="18"/>
          <w:color w:val="auto"/>
        </w:rPr>
        <w:t>The term of stock options granted under the Amended EIP may not exceed ten years and, in some cases (see “Limitations on Incentive Stock Options” below), may not exceed five years. Except as otherwise provided in a participant’s stock option agreement or other written agreement with us or one of our affiliates, if a participant’s service relationship with us or any of our affiliates (referred to in this Proposal 4 as “continuous service”) terminates (other than for cause and other than upon the participant’s death or disability), the participant may exercise any vested stock options for up to three months following the participant’s termination of continuous service. Except as otherwise provided in a participant’s stock option agreement or other written agreement with us or one of our affiliates, if a participant’s continuous service terminates due to the participant’s disability or death (or the participant dies within a specified period, if any, following termination of continuous service), the participant, or his or her beneficiary, as applicable, may exercise any vested stock options for up to 12 months following the participant’s termination due to the participant’s disability or for up to 18 months following the participant’s death. Except as explicitly provided otherwise in a participant’s stock option agreement or other written agreement with us or one of our affiliates, if a participant’s continuous service is terminated as a result of the participant’s retirement (as defined in the Amended EIP), then the participant may exercise his or her vested option, but only within such period of time ending on the earlier of (i) the date twenty-four months following such termination of continuous service, and (ii) the expiration of the term of the option, and if a participant’s continuous service is terminated for cause (as defined in the Amended EIP), all stock options held by the participant will terminate upon the participant’s termination of continuous service and the participant will be prohibited from exercising any stock option from and after such termination date. Except as otherwise provided in a participant’s stock option agreement or other written agreement with us or one of our affiliates, the term of a stock option may be extended if the exercise of the stock option following the participant’s termination of continuous service (other than for cause and other than upon the participant’s death or disability) would be prohibited by applicable securities laws or if the sale of any common stock received upon exercise of the stock option following the participant’s termination of continuous service (other than for cause) would violate our insider trading policy. In no event, however, may a stock option be exercised after its original expiration date.</w:t>
      </w:r>
    </w:p>
    <w:p>
      <w:pPr>
        <w:spacing w:after="0" w:line="191" w:lineRule="exact"/>
        <w:rPr>
          <w:sz w:val="20"/>
          <w:szCs w:val="20"/>
          <w:color w:val="auto"/>
        </w:rPr>
      </w:pPr>
    </w:p>
    <w:p>
      <w:pPr>
        <w:ind w:right="180" w:firstLine="419"/>
        <w:spacing w:after="0" w:line="261" w:lineRule="auto"/>
        <w:rPr>
          <w:sz w:val="20"/>
          <w:szCs w:val="20"/>
          <w:color w:val="auto"/>
        </w:rPr>
      </w:pPr>
      <w:r>
        <w:rPr>
          <w:rFonts w:ascii="Times New Roman" w:cs="Times New Roman" w:eastAsia="Times New Roman" w:hAnsi="Times New Roman"/>
          <w:sz w:val="18"/>
          <w:szCs w:val="18"/>
          <w:color w:val="auto"/>
        </w:rPr>
        <w:t>Acceptable forms of consideration for the purchase of our common stock pursuant to the exercise of a stock option under the Amended EIP will be determined by the Plan Administrator and may include payment: (i) by cash, check, bank draft or money order payable to us; (ii) pursuant to a program developed under Regulation T as promulgated by the Federal Reserve Board; (iii) by delivery to us of shares of our common stock (either by actual delivery or attestation); (iv) by a net exercise arrangement (for NSOs only); or (v) in other legal consideration approved by the Plan Administrator.</w:t>
      </w:r>
    </w:p>
    <w:p>
      <w:pPr>
        <w:spacing w:after="0" w:line="180" w:lineRule="exact"/>
        <w:rPr>
          <w:sz w:val="20"/>
          <w:szCs w:val="20"/>
          <w:color w:val="auto"/>
        </w:rPr>
      </w:pPr>
    </w:p>
    <w:p>
      <w:pPr>
        <w:ind w:right="20" w:firstLine="419"/>
        <w:spacing w:after="0" w:line="266" w:lineRule="auto"/>
        <w:rPr>
          <w:sz w:val="20"/>
          <w:szCs w:val="20"/>
          <w:color w:val="auto"/>
        </w:rPr>
      </w:pPr>
      <w:r>
        <w:rPr>
          <w:rFonts w:ascii="Times New Roman" w:cs="Times New Roman" w:eastAsia="Times New Roman" w:hAnsi="Times New Roman"/>
          <w:sz w:val="18"/>
          <w:szCs w:val="18"/>
          <w:color w:val="auto"/>
        </w:rPr>
        <w:t>Stock options granted under the Amended EIP may become exercisable in cumulative increments, or “vest,” as determined by the Plan Administrator at the rate specified in the stock option agreement. Shares covered by different stock options granted under the Amended EIP may be subject to different vesting schedules as the Plan Administrator may determine.</w:t>
      </w:r>
    </w:p>
    <w:p>
      <w:pPr>
        <w:spacing w:after="0" w:line="176" w:lineRule="exact"/>
        <w:rPr>
          <w:sz w:val="20"/>
          <w:szCs w:val="20"/>
          <w:color w:val="auto"/>
        </w:rPr>
      </w:pPr>
    </w:p>
    <w:p>
      <w:pPr>
        <w:ind w:right="20" w:firstLine="419"/>
        <w:spacing w:after="0" w:line="261" w:lineRule="auto"/>
        <w:rPr>
          <w:sz w:val="20"/>
          <w:szCs w:val="20"/>
          <w:color w:val="auto"/>
        </w:rPr>
      </w:pPr>
      <w:r>
        <w:rPr>
          <w:rFonts w:ascii="Times New Roman" w:cs="Times New Roman" w:eastAsia="Times New Roman" w:hAnsi="Times New Roman"/>
          <w:sz w:val="18"/>
          <w:szCs w:val="18"/>
          <w:color w:val="auto"/>
        </w:rPr>
        <w:t>The Plan Administrator may impose limitations on the transferability of stock options granted under the Amended EIP in its discretion. Generally, a participant may not transfer a stock option granted under the Amended EIP other than by will or the laws of descent and distribution or, subject to approval by the Plan Administrator, pursuant to a domestic relations order or an official marital settlement agreement. However, the Plan Administrator may permit transfer of a stock option in a manner that is not prohibited by</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53" w:right="379" w:bottom="1440" w:gutter="0" w:footer="0" w:header="0"/>
        </w:sectPr>
      </w:pPr>
    </w:p>
    <w:bookmarkStart w:id="36" w:name="page37"/>
    <w:bookmarkEnd w:id="36"/>
    <w:p>
      <w:pPr>
        <w:ind w:right="140"/>
        <w:spacing w:after="0" w:line="282" w:lineRule="auto"/>
        <w:rPr>
          <w:sz w:val="20"/>
          <w:szCs w:val="20"/>
          <w:color w:val="auto"/>
        </w:rPr>
      </w:pPr>
      <w:r>
        <w:rPr>
          <w:rFonts w:ascii="Times New Roman" w:cs="Times New Roman" w:eastAsia="Times New Roman" w:hAnsi="Times New Roman"/>
          <w:sz w:val="18"/>
          <w:szCs w:val="18"/>
          <w:color w:val="auto"/>
        </w:rPr>
        <w:t>applicable tax and securities laws. In addition, subject to approval by the Plan Administrator, a participant may designate a beneficiary who may exercise the stock option following the participant’s death.</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Limitations on Incentive Stock Options</w:t>
      </w:r>
    </w:p>
    <w:p>
      <w:pPr>
        <w:spacing w:after="0" w:line="227" w:lineRule="exact"/>
        <w:rPr>
          <w:sz w:val="20"/>
          <w:szCs w:val="20"/>
          <w:color w:val="auto"/>
        </w:rPr>
      </w:pPr>
    </w:p>
    <w:p>
      <w:pPr>
        <w:ind w:right="40" w:firstLine="419"/>
        <w:spacing w:after="0" w:line="261" w:lineRule="auto"/>
        <w:rPr>
          <w:sz w:val="20"/>
          <w:szCs w:val="20"/>
          <w:color w:val="auto"/>
        </w:rPr>
      </w:pPr>
      <w:r>
        <w:rPr>
          <w:rFonts w:ascii="Times New Roman" w:cs="Times New Roman" w:eastAsia="Times New Roman" w:hAnsi="Times New Roman"/>
          <w:sz w:val="18"/>
          <w:szCs w:val="18"/>
          <w:color w:val="auto"/>
        </w:rPr>
        <w:t>The aggregate fair market value, determined at the time of grant, of shares of our common stock with respect to ISOs that are exercisable for the first time by a participant during any calendar year under all of our stock plans may not exceed $100,000. The stock options or portions of stock options that exceed this limit or otherwise fail to qualify as ISOs are treated as NSOs. No ISO may be granted to any person who, at the time of grant, owns or is deemed to own stock possessing more than 10% of our total combined voting power or that of any affiliate unless the following conditions are satisfied:</w:t>
      </w:r>
    </w:p>
    <w:p>
      <w:pPr>
        <w:spacing w:after="0" w:line="180" w:lineRule="exact"/>
        <w:rPr>
          <w:sz w:val="20"/>
          <w:szCs w:val="20"/>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the ISO must be at least 110% of the fair market value of the common stock subject to the ISO on the date of grant;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ISO must not exceed five years from the date of grant.</w:t>
      </w:r>
    </w:p>
    <w:p>
      <w:pPr>
        <w:spacing w:after="0" w:line="225" w:lineRule="exact"/>
        <w:rPr>
          <w:sz w:val="20"/>
          <w:szCs w:val="20"/>
          <w:color w:val="auto"/>
        </w:rPr>
      </w:pPr>
    </w:p>
    <w:p>
      <w:pPr>
        <w:ind w:right="220" w:firstLine="419"/>
        <w:spacing w:after="0" w:line="282" w:lineRule="auto"/>
        <w:rPr>
          <w:sz w:val="20"/>
          <w:szCs w:val="20"/>
          <w:color w:val="auto"/>
        </w:rPr>
      </w:pPr>
      <w:r>
        <w:rPr>
          <w:rFonts w:ascii="Times New Roman" w:cs="Times New Roman" w:eastAsia="Times New Roman" w:hAnsi="Times New Roman"/>
          <w:sz w:val="18"/>
          <w:szCs w:val="18"/>
          <w:color w:val="auto"/>
        </w:rPr>
        <w:t>Subject to adjustment for certain changes in our capitalization, the aggregate maximum number of shares of our common stock that may be issued pursuant to the exercise of ISOs under the Amended EIP is 9,000,000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227" w:lineRule="exact"/>
        <w:rPr>
          <w:sz w:val="20"/>
          <w:szCs w:val="20"/>
          <w:color w:val="auto"/>
        </w:rPr>
      </w:pPr>
    </w:p>
    <w:p>
      <w:pPr>
        <w:ind w:right="20" w:firstLine="419"/>
        <w:spacing w:after="0" w:line="255" w:lineRule="auto"/>
        <w:rPr>
          <w:sz w:val="20"/>
          <w:szCs w:val="20"/>
          <w:color w:val="auto"/>
        </w:rPr>
      </w:pPr>
      <w:r>
        <w:rPr>
          <w:rFonts w:ascii="Times New Roman" w:cs="Times New Roman" w:eastAsia="Times New Roman" w:hAnsi="Times New Roman"/>
          <w:sz w:val="18"/>
          <w:szCs w:val="18"/>
          <w:color w:val="auto"/>
        </w:rPr>
        <w:t>Stock appreciation rights may be granted under the Amended EIP pursuant to stock appreciation right agreements. Each stock appreciation right is denominated in common stock share equivalents. The strike price of each stock appreciation right will be determined by the Plan Administrator, but will in no event be less than 100% of the fair market value of the common stock subject to the stock appreciation right on the date of grant. The Plan Administrator may also impose restrictions or conditions upon the vesting of stock appreciation rights that it deems appropriate. The appreciation distribution payable upon exercise of a stock appreciation right may be paid in shares of our common stock, in cash, in a combination of cash and stock, or in any other form of consideration determined by the Plan Administrator and set forth in the stock appreciation right agreement. Stock appreciation rights will be subject to the same conditions upon termination of continuous service and restrictions on transfer as stock options under the Amended EIP.</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227"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auto"/>
        </w:rPr>
        <w:t>Restricted stock awards may be granted under the Amended EIP pursuant to restricted stock award agreements. A restricted stock award may be granted in consideration for cash, check, bank draft or money order payable to us, the participant’s services performed for us or any of our affiliates, or any other form of legal consideration acceptable to the Plan Administrator. Shares of our common stock acquired under a restricted stock award may be subject to forfeiture to or repurchase by us in accordance with a vesting schedule to be determined by the Plan Administrator. Rights to acquire shares of our common stock under a restricted stock award may be transferred only upon such terms and conditions as are set forth in the restricted stock award agreement. A restricted stock award agreement may provide that any dividends paid on restricted stock will be subject to the same vesting conditions as apply to the shares subject to the restricted stock award. Upon a participant’s termination of continuous service for any reason, any shares subject to restricted stock awards held by the participant that have not vested as of such termination date may be forfeited to or repurchased by us.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 Awards</w:t>
      </w:r>
    </w:p>
    <w:p>
      <w:pPr>
        <w:spacing w:after="0" w:line="227" w:lineRule="exact"/>
        <w:rPr>
          <w:sz w:val="20"/>
          <w:szCs w:val="20"/>
          <w:color w:val="auto"/>
        </w:rPr>
      </w:pPr>
    </w:p>
    <w:p>
      <w:pPr>
        <w:ind w:right="80" w:firstLine="419"/>
        <w:spacing w:after="0" w:line="254" w:lineRule="auto"/>
        <w:rPr>
          <w:sz w:val="20"/>
          <w:szCs w:val="20"/>
          <w:color w:val="auto"/>
        </w:rPr>
      </w:pPr>
      <w:r>
        <w:rPr>
          <w:rFonts w:ascii="Times New Roman" w:cs="Times New Roman" w:eastAsia="Times New Roman" w:hAnsi="Times New Roman"/>
          <w:sz w:val="18"/>
          <w:szCs w:val="18"/>
          <w:color w:val="auto"/>
        </w:rPr>
        <w:t>Restricted stock unit awards may be granted under the Amended EIP pursuant to restricted stock unit award agreements. Payment of any purchase price may be made in any form of legal consideration acceptable to the Plan Administrator. A restricted stock unit award may be settled by the delivery of shares of our common stock, in cash, in a combination of cash and stock, or in any other form of consideration determined by the Plan Administrator and set forth in the restricted stock unit award agreement. Restricted stock unit awards may be subject to vesting in accordance with a vesting schedule to be determined by the Plan Administrator. Dividend equivalents may be credited in respect of shares of our common stock covered by a restricted stock unit award, provided that any additional shares credited by reason of such dividend equivalents will be subject to all of the same terms and conditions of the underlying restricted stock unit award. Except as otherwise provided in a participant’s restricted stock unit award agreement or other written agreement with us or one of our affiliates, restricted stock units that have not vested will be forfeited upon the participant’s termination of continuous service for any reason.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Awards</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Amended EIP allows us to grant performance stock awards.</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37" w:right="399" w:bottom="1440" w:gutter="0" w:footer="0" w:header="0"/>
        </w:sectPr>
      </w:pPr>
    </w:p>
    <w:bookmarkStart w:id="37" w:name="page38"/>
    <w:bookmarkEnd w:id="37"/>
    <w:p>
      <w:pPr>
        <w:ind w:firstLine="419"/>
        <w:spacing w:after="0" w:line="256" w:lineRule="auto"/>
        <w:rPr>
          <w:sz w:val="20"/>
          <w:szCs w:val="20"/>
          <w:color w:val="auto"/>
        </w:rPr>
      </w:pPr>
      <w:r>
        <w:rPr>
          <w:rFonts w:ascii="Times New Roman" w:cs="Times New Roman" w:eastAsia="Times New Roman" w:hAnsi="Times New Roman"/>
          <w:sz w:val="18"/>
          <w:szCs w:val="18"/>
          <w:color w:val="auto"/>
        </w:rPr>
        <w:t>A performance stock award is a stock award that is payable (including that may be granted, may vest, or may be exercised) contingent upon the attainment of pre-determined performance goals during a performance period. A performance stock award may require the completion of a specified period of continuous service. The length of any performance period, the performance goals to be achieved during the performance period, and the measure of whether and to what degree such performance goals have been attained will be determined by the Plan Administrator in its discretion. In addition, to the extent permitted by applicable law and the performance stock award agreement, the Plan Administrator may determine that cash may be used in payment of performance stock awards.</w:t>
      </w:r>
    </w:p>
    <w:p>
      <w:pPr>
        <w:spacing w:after="0" w:line="187" w:lineRule="exact"/>
        <w:rPr>
          <w:sz w:val="20"/>
          <w:szCs w:val="20"/>
          <w:color w:val="auto"/>
        </w:rPr>
      </w:pPr>
    </w:p>
    <w:p>
      <w:pPr>
        <w:ind w:right="20" w:firstLine="419"/>
        <w:spacing w:after="0" w:line="254" w:lineRule="auto"/>
        <w:rPr>
          <w:sz w:val="20"/>
          <w:szCs w:val="20"/>
          <w:color w:val="auto"/>
        </w:rPr>
      </w:pPr>
      <w:r>
        <w:rPr>
          <w:rFonts w:ascii="Times New Roman" w:cs="Times New Roman" w:eastAsia="Times New Roman" w:hAnsi="Times New Roman"/>
          <w:sz w:val="18"/>
          <w:szCs w:val="18"/>
          <w:color w:val="auto"/>
        </w:rPr>
        <w:t>Performance goals under the Amended EIP will be based on any one or more of the following performance criteria: (i) earnings (including earnings per share and net earnings); (ii) earnings before interest, taxes and depreciation; (iii) earnings before interest, taxes, depreciation and amortization; (iv) total stockholder return; (v) return on equity or average stockholder’s equity; (vi) return on assets, investment, or capital employed; (vii) stock price; (viii) margin (including gross margin); (ix) income (before or after taxes); (x) operating income; (xi) operating income after taxes; (xii) pre-tax profit; (xiii) operating cash flow; (xiv) sales or revenue targets; (xv) increases in revenue or product revenue; (xvi) expenses and cost reduction goals; (xvii) improvement in or attainment of working capital levels; (xiii) economic value added (or an equivalent metric); (xix) market share; (xx) cash flow; (xxi) cash flow per share; (xxii) share price performance; (xxiii) debt reduction; (xxiv) implementation or completion of projects or processes; (xxv) customer satisfaction; (xxvi) stockholders’ equity; (xxvii) capital expenditures; (xxviii) debt levels; (xxix) operating profit or net operating profit; (xxx) workforce diversity; (xxxi) growth of net income or operating income; (xxxii) billings; and (xxxiii) other measures of performance selected by the Plan Administrator.</w:t>
      </w:r>
    </w:p>
    <w:p>
      <w:pPr>
        <w:spacing w:after="0" w:line="188" w:lineRule="exact"/>
        <w:rPr>
          <w:sz w:val="20"/>
          <w:szCs w:val="20"/>
          <w:color w:val="auto"/>
        </w:rPr>
      </w:pPr>
    </w:p>
    <w:p>
      <w:pPr>
        <w:ind w:right="60" w:firstLine="419"/>
        <w:spacing w:after="0" w:line="254" w:lineRule="auto"/>
        <w:rPr>
          <w:sz w:val="20"/>
          <w:szCs w:val="20"/>
          <w:color w:val="auto"/>
        </w:rPr>
      </w:pPr>
      <w:r>
        <w:rPr>
          <w:rFonts w:ascii="Times New Roman" w:cs="Times New Roman" w:eastAsia="Times New Roman" w:hAnsi="Times New Roman"/>
          <w:sz w:val="18"/>
          <w:szCs w:val="18"/>
          <w:color w:val="auto"/>
        </w:rPr>
        <w:t>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The Plan Administrator is authorized to make appropriate adjustments in the method of calculating the attainment of performance goals for a performance period as follows: (i) to exclude restructuring and/or other nonrecurring charges; (ii) to exclude exchange rate effects, as applicable, for non-U.S. dollar denominated net sales and operating earnings; (iii) to exclude the effects of changes to generally accepted accounting standards required by the Financial Accounting Standards Board; (iv) to exclude the effects of any items that are “unusual” in nature or occur “infrequently” as determined under generally accepted accounting principles; (v) to exclude the effects to any statutory adjustments to corporate tax rates; and (vi) to make other appropriate adjustments selected by the Plan Administrator.</w:t>
      </w:r>
    </w:p>
    <w:p>
      <w:pPr>
        <w:spacing w:after="0" w:line="192" w:lineRule="exact"/>
        <w:rPr>
          <w:sz w:val="20"/>
          <w:szCs w:val="20"/>
          <w:color w:val="auto"/>
        </w:rPr>
      </w:pPr>
    </w:p>
    <w:p>
      <w:pPr>
        <w:ind w:right="60" w:firstLine="419"/>
        <w:spacing w:after="0" w:line="282" w:lineRule="auto"/>
        <w:rPr>
          <w:sz w:val="20"/>
          <w:szCs w:val="20"/>
          <w:color w:val="auto"/>
        </w:rPr>
      </w:pPr>
      <w:r>
        <w:rPr>
          <w:rFonts w:ascii="Times New Roman" w:cs="Times New Roman" w:eastAsia="Times New Roman" w:hAnsi="Times New Roman"/>
          <w:sz w:val="18"/>
          <w:szCs w:val="18"/>
          <w:color w:val="auto"/>
        </w:rPr>
        <w:t>In addition, the Plan Administrator retains the discretion to reduce or eliminate the compensation or economic benefit due upon the attainment of any performance goals and to define the manner of calculating the performance criteria it selects to use for a performance period.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Stock Awards</w:t>
      </w:r>
    </w:p>
    <w:p>
      <w:pPr>
        <w:spacing w:after="0" w:line="227" w:lineRule="exact"/>
        <w:rPr>
          <w:sz w:val="20"/>
          <w:szCs w:val="20"/>
          <w:color w:val="auto"/>
        </w:rPr>
      </w:pPr>
    </w:p>
    <w:p>
      <w:pPr>
        <w:ind w:right="220" w:firstLine="419"/>
        <w:spacing w:after="0" w:line="261" w:lineRule="auto"/>
        <w:rPr>
          <w:sz w:val="20"/>
          <w:szCs w:val="20"/>
          <w:color w:val="auto"/>
        </w:rPr>
      </w:pPr>
      <w:r>
        <w:rPr>
          <w:rFonts w:ascii="Times New Roman" w:cs="Times New Roman" w:eastAsia="Times New Roman" w:hAnsi="Times New Roman"/>
          <w:sz w:val="18"/>
          <w:szCs w:val="18"/>
          <w:color w:val="auto"/>
        </w:rPr>
        <w:t>Other forms of stock awards valued in whole or in part by reference to, or otherwise based on, our common stock may be granted either alone or in addition to other stock awards under the Amended EIP. Subject to the terms of the Amended EIP, the Plan Administrator will have sole and complete authority to determine the persons to whom and the time or times at which such other stock awards will be granted, the number of shares of our common stock to be granted and all other terms and conditions of such other stock awards.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Clawback Policy</w:t>
      </w:r>
    </w:p>
    <w:p>
      <w:pPr>
        <w:spacing w:after="0" w:line="227" w:lineRule="exact"/>
        <w:rPr>
          <w:sz w:val="20"/>
          <w:szCs w:val="20"/>
          <w:color w:val="auto"/>
        </w:rPr>
      </w:pPr>
    </w:p>
    <w:p>
      <w:pPr>
        <w:ind w:right="40" w:firstLine="419"/>
        <w:spacing w:after="0" w:line="258" w:lineRule="auto"/>
        <w:rPr>
          <w:sz w:val="20"/>
          <w:szCs w:val="20"/>
          <w:color w:val="auto"/>
        </w:rPr>
      </w:pPr>
      <w:r>
        <w:rPr>
          <w:rFonts w:ascii="Times New Roman" w:cs="Times New Roman" w:eastAsia="Times New Roman" w:hAnsi="Times New Roman"/>
          <w:sz w:val="18"/>
          <w:szCs w:val="18"/>
          <w:color w:val="auto"/>
        </w:rPr>
        <w:t>Awards granted under the Amended EIP will be subject to recoupment in accordance with any clawback policy that we are required to adopt pursuant to the listing standards of any national securities exchange or association on which our securities are listed or as is otherwise required by the Dodd-Frank Wall Street Reform and Consumer Protection Act or other applicable law. In addition, the Plan Administrator may impose other clawback, recovery or recoupment provisions in an award agreement as the Plan Administrator determines necessary or appropriate, including a reacquisition right in respect of previously acquired shares of our common stock or other cash or property upon the occurrence of cause.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to Capital Structure</w:t>
      </w:r>
    </w:p>
    <w:p>
      <w:pPr>
        <w:spacing w:after="0" w:line="227" w:lineRule="exact"/>
        <w:rPr>
          <w:sz w:val="20"/>
          <w:szCs w:val="20"/>
          <w:color w:val="auto"/>
        </w:rPr>
      </w:pPr>
    </w:p>
    <w:p>
      <w:pPr>
        <w:ind w:right="260" w:firstLine="419"/>
        <w:spacing w:after="0" w:line="266" w:lineRule="auto"/>
        <w:rPr>
          <w:sz w:val="20"/>
          <w:szCs w:val="20"/>
          <w:color w:val="auto"/>
        </w:rPr>
      </w:pPr>
      <w:r>
        <w:rPr>
          <w:rFonts w:ascii="Times New Roman" w:cs="Times New Roman" w:eastAsia="Times New Roman" w:hAnsi="Times New Roman"/>
          <w:sz w:val="18"/>
          <w:szCs w:val="18"/>
          <w:color w:val="auto"/>
        </w:rPr>
        <w:t>In the event of certain capitalization adjustments, the Plan Administrator will appropriately adjust: (i) the class(es) and maximum number of securities subject to the Amended EIP; (ii) the class(es) and maximum number of securities that may be issued pursuant to the exercise of ISOs; and (iii) the class(es) and number of securities and price per share of stock subject to outstanding stock awards.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Transactions</w:t>
      </w:r>
    </w:p>
    <w:p>
      <w:pPr>
        <w:spacing w:after="0" w:line="92" w:lineRule="exact"/>
        <w:rPr>
          <w:sz w:val="20"/>
          <w:szCs w:val="20"/>
          <w:color w:val="auto"/>
        </w:rPr>
      </w:pPr>
    </w:p>
    <w:p>
      <w:pPr>
        <w:ind w:firstLine="419"/>
        <w:spacing w:after="0" w:line="261" w:lineRule="auto"/>
        <w:rPr>
          <w:sz w:val="20"/>
          <w:szCs w:val="20"/>
          <w:color w:val="auto"/>
        </w:rPr>
      </w:pPr>
      <w:r>
        <w:rPr>
          <w:rFonts w:ascii="Times New Roman" w:cs="Times New Roman" w:eastAsia="Times New Roman" w:hAnsi="Times New Roman"/>
          <w:sz w:val="18"/>
          <w:szCs w:val="18"/>
          <w:color w:val="auto"/>
        </w:rPr>
        <w:t>In the event of a transaction (as defined in the Amended EIP and described below), the Board of Directors will have the discretion to take one or more of the following actions with respect to outstanding stock awards (contingent upon the closing or completion of such transaction), unless otherwise provided in the stock award agreement or other written agreement with the participant or unless otherwise provided by the Board of Directors at the time of grant:</w:t>
      </w:r>
    </w:p>
    <w:p>
      <w:pPr>
        <w:spacing w:after="0" w:line="72" w:lineRule="exact"/>
        <w:rPr>
          <w:sz w:val="20"/>
          <w:szCs w:val="20"/>
          <w:color w:val="auto"/>
        </w:rPr>
      </w:pPr>
    </w:p>
    <w:p>
      <w:pPr>
        <w:ind w:left="760" w:right="12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for the surviving or acquiring corporation (or its parent company) to assume or continue the award or to substitute a similar stock award for the award (including an award to acquire the same consideration paid to our stockholders pursuant to the transaction);</w:t>
      </w:r>
    </w:p>
    <w:p>
      <w:pPr>
        <w:spacing w:after="0" w:line="53" w:lineRule="exact"/>
        <w:rPr>
          <w:rFonts w:ascii="Times New Roman" w:cs="Times New Roman" w:eastAsia="Times New Roman" w:hAnsi="Times New Roman"/>
          <w:sz w:val="18"/>
          <w:szCs w:val="18"/>
          <w:color w:val="auto"/>
        </w:rPr>
      </w:pPr>
    </w:p>
    <w:p>
      <w:pPr>
        <w:ind w:left="760" w:right="4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for the assignment of any reacquisition or repurchase rights held by us with respect to the stock award to the surviving or acquiring corporation (or its parent company);</w:t>
      </w:r>
    </w:p>
    <w:p>
      <w:pPr>
        <w:spacing w:after="0" w:line="53" w:lineRule="exact"/>
        <w:rPr>
          <w:rFonts w:ascii="Times New Roman" w:cs="Times New Roman" w:eastAsia="Times New Roman" w:hAnsi="Times New Roman"/>
          <w:sz w:val="18"/>
          <w:szCs w:val="18"/>
          <w:color w:val="auto"/>
        </w:rPr>
      </w:pPr>
    </w:p>
    <w:p>
      <w:pPr>
        <w:ind w:left="760" w:right="24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 the vesting (and, if applicable, the exercisability) of the stock award and provide for its termination prior to the effective time of the transaction;</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 for the lapse, in whole or in part, of any reacquisition or repurchase rights held by us with respect to the award;</w:t>
      </w:r>
    </w:p>
    <w:p>
      <w:pPr>
        <w:spacing w:after="0" w:line="117" w:lineRule="exact"/>
        <w:rPr>
          <w:rFonts w:ascii="Times New Roman" w:cs="Times New Roman" w:eastAsia="Times New Roman" w:hAnsi="Times New Roman"/>
          <w:sz w:val="18"/>
          <w:szCs w:val="18"/>
          <w:color w:val="auto"/>
        </w:rPr>
      </w:pPr>
    </w:p>
    <w:p>
      <w:pPr>
        <w:ind w:left="760" w:right="360" w:hanging="378"/>
        <w:spacing w:after="0" w:line="282"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 or arrange for the cancellation of the stock award, to the extent not vested or exercised prior to the effective time of the transaction, in exchange for such cash consideration, if any, as the Board of Directors may consider appropriate; and</w:t>
      </w:r>
    </w:p>
    <w:p>
      <w:pPr>
        <w:spacing w:after="0" w:line="53" w:lineRule="exact"/>
        <w:rPr>
          <w:rFonts w:ascii="Times New Roman" w:cs="Times New Roman" w:eastAsia="Times New Roman" w:hAnsi="Times New Roman"/>
          <w:sz w:val="18"/>
          <w:szCs w:val="18"/>
          <w:color w:val="auto"/>
        </w:rPr>
      </w:pPr>
    </w:p>
    <w:p>
      <w:pPr>
        <w:ind w:left="760" w:right="340" w:hanging="378"/>
        <w:spacing w:after="0" w:line="266" w:lineRule="auto"/>
        <w:tabs>
          <w:tab w:leader="none" w:pos="7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 payment, in such form as may be determined by the Board of Directors, equal to the excess, if any, of (i) the value of the property the participant would have received upon the exercise of the stock award immediately prior to the effective time of the transaction, over (ii) any exercise price payable in connection with such exercise.</w:t>
      </w:r>
    </w:p>
    <w:p>
      <w:pPr>
        <w:spacing w:after="0" w:line="176" w:lineRule="exact"/>
        <w:rPr>
          <w:sz w:val="20"/>
          <w:szCs w:val="20"/>
          <w:color w:val="auto"/>
        </w:rPr>
      </w:pPr>
    </w:p>
    <w:p>
      <w:pPr>
        <w:ind w:right="320" w:firstLine="419"/>
        <w:spacing w:after="0" w:line="282" w:lineRule="auto"/>
        <w:rPr>
          <w:sz w:val="20"/>
          <w:szCs w:val="20"/>
          <w:color w:val="auto"/>
        </w:rPr>
      </w:pPr>
      <w:r>
        <w:rPr>
          <w:rFonts w:ascii="Times New Roman" w:cs="Times New Roman" w:eastAsia="Times New Roman" w:hAnsi="Times New Roman"/>
          <w:sz w:val="18"/>
          <w:szCs w:val="18"/>
          <w:color w:val="auto"/>
        </w:rPr>
        <w:t>The Board of Directors is not obligated to treat all stock awards or portions of stock awards in the same manner. The Board of Directors may take different actions with respect to the vested and unvested portions of a stock award.</w:t>
      </w:r>
    </w:p>
    <w:p>
      <w:pPr>
        <w:spacing w:after="0" w:line="108" w:lineRule="exact"/>
        <w:rPr>
          <w:sz w:val="20"/>
          <w:szCs w:val="20"/>
          <w:color w:val="auto"/>
        </w:rPr>
      </w:pPr>
    </w:p>
    <w:p>
      <w:pPr>
        <w:ind w:right="280" w:firstLine="419"/>
        <w:spacing w:after="0" w:line="258" w:lineRule="auto"/>
        <w:rPr>
          <w:sz w:val="20"/>
          <w:szCs w:val="20"/>
          <w:color w:val="auto"/>
        </w:rPr>
      </w:pPr>
      <w:r>
        <w:rPr>
          <w:rFonts w:ascii="Times New Roman" w:cs="Times New Roman" w:eastAsia="Times New Roman" w:hAnsi="Times New Roman"/>
          <w:sz w:val="18"/>
          <w:szCs w:val="18"/>
          <w:color w:val="auto"/>
        </w:rPr>
        <w:t>For purposes of the Amended EIP, a transaction will be deemed to occur in the event of a corporate transaction or a change in control. A corporate transaction generally means the consummation of (i) a sale or other disposition of all or substantially all of our consolidated assets, (ii) a sale or other disposition of at least 90% of our outstanding securities, (iii) a merger, consolidation or similar transaction following which we are not the surviving corporation, or (iv) a merger, consolidation or similar transaction following which we are the surviving corporation but the shares of our common stock outstanding immediately prior to such transaction are converted or exchanged into other property by virtue of the transaction.</w:t>
      </w:r>
    </w:p>
    <w:p>
      <w:pPr>
        <w:spacing w:after="0" w:line="129" w:lineRule="exact"/>
        <w:rPr>
          <w:sz w:val="20"/>
          <w:szCs w:val="20"/>
          <w:color w:val="auto"/>
        </w:rPr>
      </w:pPr>
    </w:p>
    <w:p>
      <w:pPr>
        <w:ind w:firstLine="419"/>
        <w:spacing w:after="0" w:line="256" w:lineRule="auto"/>
        <w:rPr>
          <w:sz w:val="20"/>
          <w:szCs w:val="20"/>
          <w:color w:val="auto"/>
        </w:rPr>
      </w:pPr>
      <w:r>
        <w:rPr>
          <w:rFonts w:ascii="Times New Roman" w:cs="Times New Roman" w:eastAsia="Times New Roman" w:hAnsi="Times New Roman"/>
          <w:sz w:val="18"/>
          <w:szCs w:val="18"/>
          <w:color w:val="auto"/>
        </w:rPr>
        <w:t>A change of control generally means (i) the acquisition by a person or entity of more than 50% of our combined voting power other than by merger, consolidation or similar transaction; (ii) a consummated merger, consolidation or similar transaction immediately after which our stockholders cease to own more than 50% of the combined voting power of the surviving entity; (iii) a consummated sale, lease or exclusive license or other disposition of all or substantially of our consolidated assets; (iv) the complete dissolution or liquidation of the Company; or (v) when a majority of the board of directors becomes comprised of individuals whose nomination, appointment, or election was not approved by a majority of the board members or their approved successors.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Control</w:t>
      </w:r>
    </w:p>
    <w:p>
      <w:pPr>
        <w:spacing w:after="0" w:line="227" w:lineRule="exact"/>
        <w:rPr>
          <w:sz w:val="20"/>
          <w:szCs w:val="20"/>
          <w:color w:val="auto"/>
        </w:rPr>
      </w:pPr>
    </w:p>
    <w:p>
      <w:pPr>
        <w:ind w:firstLine="419"/>
        <w:spacing w:after="0" w:line="258" w:lineRule="auto"/>
        <w:rPr>
          <w:sz w:val="20"/>
          <w:szCs w:val="20"/>
          <w:color w:val="auto"/>
        </w:rPr>
      </w:pPr>
      <w:r>
        <w:rPr>
          <w:rFonts w:ascii="Times New Roman" w:cs="Times New Roman" w:eastAsia="Times New Roman" w:hAnsi="Times New Roman"/>
          <w:sz w:val="18"/>
          <w:szCs w:val="18"/>
          <w:color w:val="auto"/>
        </w:rPr>
        <w:t>Under the Amended EIP, a stock award may be subject to additional acceleration of vesting and exercisability upon or after a change in control (as defined in the Amended EIP and described below) as may be provided in the participant’s stock award agreement, in any other written agreement with us or one of our affiliates or in our director compensation policy, but in the absence of such provision, no such acceleration will occur. The acceleration of vesting of an award in the event of a corporate transaction or a change in control event under the Amended EIP may be viewed as an anti-takeover provision, which may have the effect of discouraging a proposal to acquire or otherwise obtain control of us.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Amendments and Termination</w:t>
      </w:r>
    </w:p>
    <w:p>
      <w:pPr>
        <w:spacing w:after="0" w:line="227" w:lineRule="exact"/>
        <w:rPr>
          <w:sz w:val="20"/>
          <w:szCs w:val="20"/>
          <w:color w:val="auto"/>
        </w:rPr>
      </w:pPr>
    </w:p>
    <w:p>
      <w:pPr>
        <w:ind w:firstLine="419"/>
        <w:spacing w:after="0" w:line="258" w:lineRule="auto"/>
        <w:rPr>
          <w:sz w:val="20"/>
          <w:szCs w:val="20"/>
          <w:color w:val="auto"/>
        </w:rPr>
      </w:pPr>
      <w:r>
        <w:rPr>
          <w:rFonts w:ascii="Times New Roman" w:cs="Times New Roman" w:eastAsia="Times New Roman" w:hAnsi="Times New Roman"/>
          <w:sz w:val="18"/>
          <w:szCs w:val="18"/>
          <w:color w:val="auto"/>
        </w:rPr>
        <w:t>The Plan Administrator will have the authority to amend or terminate the Amended EIP at any time. However, except as otherwise provided in the Amended EIP or an award agreement, no amendment or termination of the Amended EIP may materially impair a participant’s rights under his or her outstanding awards without the participant’s consent. We will obtain stockholder approval of any amendment to the Amended EIP as required by applicable law and listing requirements. No incentive stock options may be granted under the Amended EIP after the tenth anniversary of the date the Amended EIP was adopted by our Board.</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color w:val="auto"/>
        </w:rPr>
        <w:t>U.S. Federal Income Tax Consequences</w:t>
      </w:r>
    </w:p>
    <w:p>
      <w:pPr>
        <w:spacing w:after="0" w:line="229" w:lineRule="exact"/>
        <w:rPr>
          <w:sz w:val="20"/>
          <w:szCs w:val="20"/>
          <w:color w:val="auto"/>
        </w:rPr>
      </w:pPr>
    </w:p>
    <w:p>
      <w:pPr>
        <w:ind w:right="60" w:firstLine="419"/>
        <w:spacing w:after="0" w:line="254" w:lineRule="auto"/>
        <w:rPr>
          <w:sz w:val="20"/>
          <w:szCs w:val="20"/>
          <w:color w:val="auto"/>
        </w:rPr>
      </w:pPr>
      <w:r>
        <w:rPr>
          <w:rFonts w:ascii="Times New Roman" w:cs="Times New Roman" w:eastAsia="Times New Roman" w:hAnsi="Times New Roman"/>
          <w:sz w:val="18"/>
          <w:szCs w:val="18"/>
          <w:color w:val="auto"/>
        </w:rPr>
        <w:t>The following is a summary of the principal United States federal income tax consequences to participants and us with respect to participation in the Amended EIP. This summary is not intended to be exhaustive and does not discuss the income tax laws of any local, state or foreign jurisdiction in which a participant may reside. The information is based upon current federal income tax rules and therefore is subject to change when those rules change. Because the tax consequences to any participant may depend on his or her particular situation, each participant should consult the participant’s tax adviser regarding the federal, state, local and other tax consequences of the grant or exercise of an award or the disposition of stock acquired the Amended EIP. The Amended EIP is not qualified under the provisions of Section 401(a) of the Code and is not subject to any of the provisions of the Employee Retirement Income Security Act of 1974. Our ability to realize the benefit of any tax deductions described below depends on our generation of taxable income as well as the requirement of reasonableness, the provisions of Section 162(m) of the Code and the satisfaction of our tax reporting obligations.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Nonstatutory Stock Options</w:t>
      </w:r>
    </w:p>
    <w:p>
      <w:pPr>
        <w:spacing w:after="0" w:line="227" w:lineRule="exact"/>
        <w:rPr>
          <w:sz w:val="20"/>
          <w:szCs w:val="20"/>
          <w:color w:val="auto"/>
        </w:rPr>
      </w:pPr>
    </w:p>
    <w:p>
      <w:pPr>
        <w:ind w:right="80" w:firstLine="419"/>
        <w:spacing w:after="0" w:line="258" w:lineRule="auto"/>
        <w:rPr>
          <w:sz w:val="20"/>
          <w:szCs w:val="20"/>
          <w:color w:val="auto"/>
        </w:rPr>
      </w:pPr>
      <w:r>
        <w:rPr>
          <w:rFonts w:ascii="Times New Roman" w:cs="Times New Roman" w:eastAsia="Times New Roman" w:hAnsi="Times New Roman"/>
          <w:sz w:val="18"/>
          <w:szCs w:val="18"/>
          <w:color w:val="auto"/>
        </w:rPr>
        <w:t>Generally, there is no taxation upon the grant of an NSO if the stock option is granted with an exercise price equal to the fair market value of the underlying stock on the grant date. Upon exercise, a participant will recognize ordinary income equal to the excess, if any, of the fair market value of the underlying stock on the date of exercise of the stock option over the exercise price. If the participant is employed by us or one of our affiliates, that income will be subject to withholding taxes. The participant’s tax basis in those shares will be equal to his or her fair market value on the date of exercise of the stock option, and the participant’s capital gain holding period for those shares will begin on that date.</w:t>
      </w:r>
    </w:p>
    <w:p>
      <w:pPr>
        <w:spacing w:after="0" w:line="183" w:lineRule="exact"/>
        <w:rPr>
          <w:sz w:val="20"/>
          <w:szCs w:val="20"/>
          <w:color w:val="auto"/>
        </w:rPr>
      </w:pPr>
    </w:p>
    <w:p>
      <w:pPr>
        <w:ind w:right="80" w:firstLine="419"/>
        <w:spacing w:after="0" w:line="282" w:lineRule="auto"/>
        <w:rPr>
          <w:sz w:val="20"/>
          <w:szCs w:val="20"/>
          <w:color w:val="auto"/>
        </w:rPr>
      </w:pPr>
      <w:r>
        <w:rPr>
          <w:rFonts w:ascii="Times New Roman" w:cs="Times New Roman" w:eastAsia="Times New Roman" w:hAnsi="Times New Roman"/>
          <w:sz w:val="18"/>
          <w:szCs w:val="18"/>
          <w:color w:val="auto"/>
        </w:rPr>
        <w:t>Subject to the requirement of reasonableness, the provisions of Section 162(m) of the Code, and the satisfaction of a tax reporting obligation, we will generally be entitled to a tax deduction equal to the taxable ordinary income realized by the participant.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Incentive Stock Options</w:t>
      </w:r>
    </w:p>
    <w:p>
      <w:pPr>
        <w:spacing w:after="0" w:line="227" w:lineRule="exact"/>
        <w:rPr>
          <w:sz w:val="20"/>
          <w:szCs w:val="20"/>
          <w:color w:val="auto"/>
        </w:rPr>
      </w:pPr>
    </w:p>
    <w:p>
      <w:pPr>
        <w:ind w:right="40" w:firstLine="419"/>
        <w:spacing w:after="0" w:line="258" w:lineRule="auto"/>
        <w:rPr>
          <w:sz w:val="20"/>
          <w:szCs w:val="20"/>
          <w:color w:val="auto"/>
        </w:rPr>
      </w:pPr>
      <w:r>
        <w:rPr>
          <w:rFonts w:ascii="Times New Roman" w:cs="Times New Roman" w:eastAsia="Times New Roman" w:hAnsi="Times New Roman"/>
          <w:sz w:val="18"/>
          <w:szCs w:val="18"/>
          <w:color w:val="auto"/>
        </w:rPr>
        <w:t>The Amended EIP provides for the grant of stock options that are intended to qualify as “incentive stock options,” as defined in Section 422 of the Code. Under the Code, a participant generally is not subject to ordinary income tax upon the grant or exercise of an ISO. If the participant holds a share received upon exercise of an ISO for more than two years from the date the stock option was granted and more than one year from the date the stock option was exercised, which is referred to as the required holding period, the difference, if any, between the amount realized on a sale or other taxable disposition of that share and the participant’s tax basis in that share will be long-term capital gain or loss.</w:t>
      </w:r>
    </w:p>
    <w:p>
      <w:pPr>
        <w:spacing w:after="0" w:line="183" w:lineRule="exact"/>
        <w:rPr>
          <w:sz w:val="20"/>
          <w:szCs w:val="20"/>
          <w:color w:val="auto"/>
        </w:rPr>
      </w:pPr>
    </w:p>
    <w:p>
      <w:pPr>
        <w:ind w:right="60" w:firstLine="419"/>
        <w:spacing w:after="0" w:line="256" w:lineRule="auto"/>
        <w:rPr>
          <w:sz w:val="20"/>
          <w:szCs w:val="20"/>
          <w:color w:val="auto"/>
        </w:rPr>
      </w:pPr>
      <w:r>
        <w:rPr>
          <w:rFonts w:ascii="Times New Roman" w:cs="Times New Roman" w:eastAsia="Times New Roman" w:hAnsi="Times New Roman"/>
          <w:sz w:val="18"/>
          <w:szCs w:val="18"/>
          <w:color w:val="auto"/>
        </w:rPr>
        <w:t>If, however, a participant disposes of a share acquired upon exercise of an ISO before the end of the required holding period, which is referred to as a disqualifying disposition, the participant generally will recognize ordinary income in the year of the disqualifying disposition equal to the excess, if any, of the fair market value of the share on the date of exercise of the stock option over the exercise price. However, if the sales proceeds are less than the fair market value of the share on the date of exercise of the stock option, the amount of ordinary income recognized by the participant will not exceed the gain, if any, realized on the sale. If the amount realized on a disqualifying disposition exceeds the fair market value of the share on the date of exercise of the stock option, that excess will be short-term or long-term capital gain, depending on whether the holding period for the share exceeds one year.</w:t>
      </w:r>
    </w:p>
    <w:p>
      <w:pPr>
        <w:spacing w:after="0" w:line="187" w:lineRule="exact"/>
        <w:rPr>
          <w:sz w:val="20"/>
          <w:szCs w:val="20"/>
          <w:color w:val="auto"/>
        </w:rPr>
      </w:pPr>
    </w:p>
    <w:p>
      <w:pPr>
        <w:ind w:firstLine="419"/>
        <w:spacing w:after="0" w:line="256" w:lineRule="auto"/>
        <w:rPr>
          <w:sz w:val="20"/>
          <w:szCs w:val="20"/>
          <w:color w:val="auto"/>
        </w:rPr>
      </w:pPr>
      <w:r>
        <w:rPr>
          <w:rFonts w:ascii="Times New Roman" w:cs="Times New Roman" w:eastAsia="Times New Roman" w:hAnsi="Times New Roman"/>
          <w:sz w:val="18"/>
          <w:szCs w:val="18"/>
          <w:color w:val="auto"/>
        </w:rPr>
        <w:t>For purposes of the alternative minimum tax, the amount by which the fair market value of a share of stock acquired upon exercise of an ISO exceeds the exercise price of the stock option generally will be an adjustment included in the participant’s alternative minimum taxable income for the year in which the stock option is exercised. If, however, there is a disqualifying disposition of the share in the year in which the stock option is exercised, there will be no adjustment for alternative minimum tax purposes with respect to that share. In computing alternative minimum taxable income, the tax basis of a share acquired upon exercise of an ISO is increased by the amount of the adjustment taken into account with respect to that share for alternative minimum tax purposes in the year the stock option is exercised.</w:t>
      </w:r>
    </w:p>
    <w:p>
      <w:pPr>
        <w:spacing w:after="0" w:line="187" w:lineRule="exact"/>
        <w:rPr>
          <w:sz w:val="20"/>
          <w:szCs w:val="20"/>
          <w:color w:val="auto"/>
        </w:rPr>
      </w:pPr>
    </w:p>
    <w:p>
      <w:pPr>
        <w:ind w:right="60" w:firstLine="419"/>
        <w:spacing w:after="0" w:line="261" w:lineRule="auto"/>
        <w:rPr>
          <w:sz w:val="20"/>
          <w:szCs w:val="20"/>
          <w:color w:val="auto"/>
        </w:rPr>
      </w:pPr>
      <w:r>
        <w:rPr>
          <w:rFonts w:ascii="Times New Roman" w:cs="Times New Roman" w:eastAsia="Times New Roman" w:hAnsi="Times New Roman"/>
          <w:sz w:val="18"/>
          <w:szCs w:val="18"/>
          <w:color w:val="auto"/>
        </w:rPr>
        <w:t>We are not allowed a tax deduction with respect to the grant or exercise of an ISO or the disposition of a share acquired upon exercise of an ISO after the required holding period. If there is a disqualifying disposition of a share, however, we will generally be entitled to a tax deduction equal to the taxable ordinary income realized by the participant, subject to the requirement of reasonableness, the provisions of Section 162(m) of the Code, and provided that either the employee includes that amount in income or we timely satisfy our reporting requirements with respect to that amount.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Awards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ind w:right="60" w:firstLine="419"/>
        <w:spacing w:after="0" w:line="254" w:lineRule="auto"/>
        <w:rPr>
          <w:sz w:val="20"/>
          <w:szCs w:val="20"/>
          <w:color w:val="auto"/>
        </w:rPr>
      </w:pPr>
      <w:r>
        <w:rPr>
          <w:rFonts w:ascii="Times New Roman" w:cs="Times New Roman" w:eastAsia="Times New Roman" w:hAnsi="Times New Roman"/>
          <w:sz w:val="18"/>
          <w:szCs w:val="18"/>
          <w:color w:val="auto"/>
        </w:rPr>
        <w:t>Generally, the recipient of a restricted stock award will recognize ordinary income at the time the stock is received equal to the excess, if any, of the fair market value of the stock received over any amount paid by the recipient in exchange for the stock. If, however, the stock is not vested when it is received (for example, if the employee is required to work for a period of time in order to have the right to sell the stock), the recipient generally will not recognize income until the stock becomes vested, at which time the recipient will recognize ordinary income equal to the excess, if any, of the fair market value of the stock on the date it becomes vested over any amount paid by the recipient in exchange for the stock. A recipient may, however, file an election with the Internal Revenue Service, within 30 days following his or her receipt of the stock award, to recognize ordinary income, as of the date the recipient receives the award, equal to the excess, if any, of the fair market value of the stock on the date the award is granted over any amount paid by the recipient for the stock.</w:t>
      </w:r>
    </w:p>
    <w:p>
      <w:pPr>
        <w:spacing w:after="0" w:line="192" w:lineRule="exact"/>
        <w:rPr>
          <w:sz w:val="20"/>
          <w:szCs w:val="20"/>
          <w:color w:val="auto"/>
        </w:rPr>
      </w:pPr>
    </w:p>
    <w:p>
      <w:pPr>
        <w:ind w:right="20" w:firstLine="419"/>
        <w:spacing w:after="0" w:line="282" w:lineRule="auto"/>
        <w:rPr>
          <w:sz w:val="20"/>
          <w:szCs w:val="20"/>
          <w:color w:val="auto"/>
        </w:rPr>
      </w:pPr>
      <w:r>
        <w:rPr>
          <w:rFonts w:ascii="Times New Roman" w:cs="Times New Roman" w:eastAsia="Times New Roman" w:hAnsi="Times New Roman"/>
          <w:sz w:val="18"/>
          <w:szCs w:val="18"/>
          <w:color w:val="auto"/>
        </w:rPr>
        <w:t>The recipient’s basis for the determination of gain or loss upon the subsequent disposition of shares acquired from a restricted stock award will be the amount paid for such shares plus any ordinary income recognized either when the stock is received or when the stock becomes vested.</w:t>
      </w:r>
    </w:p>
    <w:p>
      <w:pPr>
        <w:spacing w:after="0" w:line="162" w:lineRule="exact"/>
        <w:rPr>
          <w:sz w:val="20"/>
          <w:szCs w:val="20"/>
          <w:color w:val="auto"/>
        </w:rPr>
      </w:pPr>
    </w:p>
    <w:p>
      <w:pPr>
        <w:ind w:right="60" w:firstLine="419"/>
        <w:spacing w:after="0" w:line="282" w:lineRule="auto"/>
        <w:rPr>
          <w:sz w:val="20"/>
          <w:szCs w:val="20"/>
          <w:color w:val="auto"/>
        </w:rPr>
      </w:pPr>
      <w:r>
        <w:rPr>
          <w:rFonts w:ascii="Times New Roman" w:cs="Times New Roman" w:eastAsia="Times New Roman" w:hAnsi="Times New Roman"/>
          <w:sz w:val="18"/>
          <w:szCs w:val="18"/>
          <w:color w:val="auto"/>
        </w:rPr>
        <w:t>Subject to the requirement of reasonableness, the provisions of Section 162(m) of the Code, and the satisfaction of a tax reporting obligation, we will generally be entitled to a tax deduction equal to the taxable ordinary income realized by the recipient of the restricted stock award.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 Awards</w:t>
      </w:r>
    </w:p>
    <w:p>
      <w:pPr>
        <w:spacing w:after="0" w:line="227" w:lineRule="exact"/>
        <w:rPr>
          <w:sz w:val="20"/>
          <w:szCs w:val="20"/>
          <w:color w:val="auto"/>
        </w:rPr>
      </w:pPr>
    </w:p>
    <w:p>
      <w:pPr>
        <w:ind w:right="40" w:firstLine="419"/>
        <w:spacing w:after="0" w:line="255" w:lineRule="auto"/>
        <w:rPr>
          <w:sz w:val="20"/>
          <w:szCs w:val="20"/>
          <w:color w:val="auto"/>
        </w:rPr>
      </w:pPr>
      <w:r>
        <w:rPr>
          <w:rFonts w:ascii="Times New Roman" w:cs="Times New Roman" w:eastAsia="Times New Roman" w:hAnsi="Times New Roman"/>
          <w:sz w:val="18"/>
          <w:szCs w:val="18"/>
          <w:color w:val="auto"/>
        </w:rPr>
        <w:t>Generally, the recipient of a restricted stock unit award structured to comply with the requirements of Section 409A of the Code or an exception to Section 409A of the Code will recognize ordinary income at the time the stock is delivered equal to the excess, if any, of the fair market value of the stock received over any amount paid by the recipient in exchange for the stock. To comply with the requirements of Section 409A of the Code, the stock subject to a restricted stock unit award may generally only be delivered upon one of the following events: a fixed calendar date (or dates), separation from service, death, disability or a change in control. If delivery occurs on another date, unless the restricted stock unit award otherwise complies with or qualifies for an exception to the requirements of Section 409A of the Code (including delivery upon achievement of a performance goal), in addition to the tax treatment described above, the recipient will owe an additional 20% federal tax and interest on any taxes owed.</w:t>
      </w:r>
    </w:p>
    <w:p>
      <w:pPr>
        <w:spacing w:after="0" w:line="189" w:lineRule="exact"/>
        <w:rPr>
          <w:sz w:val="20"/>
          <w:szCs w:val="20"/>
          <w:color w:val="auto"/>
        </w:rPr>
      </w:pPr>
    </w:p>
    <w:p>
      <w:pPr>
        <w:ind w:right="180" w:firstLine="419"/>
        <w:spacing w:after="0" w:line="282" w:lineRule="auto"/>
        <w:rPr>
          <w:sz w:val="20"/>
          <w:szCs w:val="20"/>
          <w:color w:val="auto"/>
        </w:rPr>
      </w:pPr>
      <w:r>
        <w:rPr>
          <w:rFonts w:ascii="Times New Roman" w:cs="Times New Roman" w:eastAsia="Times New Roman" w:hAnsi="Times New Roman"/>
          <w:sz w:val="18"/>
          <w:szCs w:val="18"/>
          <w:color w:val="auto"/>
        </w:rPr>
        <w:t>The recipient’s basis for the determination of gain or loss upon the subsequent disposition of shares acquired from a restricted stock unit award will be the amount paid for such shares plus any ordinary income recognized when the stock is delivered.</w:t>
      </w:r>
    </w:p>
    <w:p>
      <w:pPr>
        <w:spacing w:after="0" w:line="162" w:lineRule="exact"/>
        <w:rPr>
          <w:sz w:val="20"/>
          <w:szCs w:val="20"/>
          <w:color w:val="auto"/>
        </w:rPr>
      </w:pPr>
    </w:p>
    <w:p>
      <w:pPr>
        <w:ind w:right="60" w:firstLine="419"/>
        <w:spacing w:after="0" w:line="282" w:lineRule="auto"/>
        <w:rPr>
          <w:sz w:val="20"/>
          <w:szCs w:val="20"/>
          <w:color w:val="auto"/>
        </w:rPr>
      </w:pPr>
      <w:r>
        <w:rPr>
          <w:rFonts w:ascii="Times New Roman" w:cs="Times New Roman" w:eastAsia="Times New Roman" w:hAnsi="Times New Roman"/>
          <w:sz w:val="18"/>
          <w:szCs w:val="18"/>
          <w:color w:val="auto"/>
        </w:rPr>
        <w:t>Subject to the requirement of reasonableness, the provisions of Section 162(m) of the Code, and the satisfaction of a tax reporting obligation, we will generally be entitled to a tax deduction equal to the taxable ordinary income realized by the recipient of the restricted stock unit award.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Appreciation Rights</w:t>
      </w:r>
    </w:p>
    <w:p>
      <w:pPr>
        <w:spacing w:after="0" w:line="227" w:lineRule="exact"/>
        <w:rPr>
          <w:sz w:val="20"/>
          <w:szCs w:val="20"/>
          <w:color w:val="auto"/>
        </w:rPr>
      </w:pPr>
    </w:p>
    <w:p>
      <w:pPr>
        <w:ind w:right="240" w:firstLine="419"/>
        <w:spacing w:after="0" w:line="261" w:lineRule="auto"/>
        <w:rPr>
          <w:sz w:val="20"/>
          <w:szCs w:val="20"/>
          <w:color w:val="auto"/>
        </w:rPr>
      </w:pPr>
      <w:r>
        <w:rPr>
          <w:rFonts w:ascii="Times New Roman" w:cs="Times New Roman" w:eastAsia="Times New Roman" w:hAnsi="Times New Roman"/>
          <w:sz w:val="18"/>
          <w:szCs w:val="18"/>
          <w:color w:val="auto"/>
        </w:rPr>
        <w:t>Generally, if a stock appreciation right is granted with an exercise price equal to the fair market value of the underlying stock on the grant date, the recipient will recognize ordinary income equal to the fair market value of the stock or cash received upon such exercise. Subject to the requirement of reasonableness, the provisions of Section 162(m) of the Code, and the satisfaction of a tax reporting obligation, we will generally be entitled to a tax deduction equal to the taxable ordinary income realized by the recipient of the stock appreciation right.</w:t>
      </w:r>
    </w:p>
    <w:p>
      <w:pPr>
        <w:spacing w:after="0" w:line="17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i w:val="1"/>
          <w:iCs w:val="1"/>
          <w:color w:val="auto"/>
        </w:rPr>
        <w:t>Section 162(m) Limitations</w:t>
      </w:r>
    </w:p>
    <w:p>
      <w:pPr>
        <w:spacing w:after="0" w:line="227" w:lineRule="exact"/>
        <w:rPr>
          <w:sz w:val="20"/>
          <w:szCs w:val="20"/>
          <w:color w:val="auto"/>
        </w:rPr>
      </w:pPr>
    </w:p>
    <w:p>
      <w:pPr>
        <w:ind w:right="180" w:firstLine="419"/>
        <w:spacing w:after="0" w:line="261" w:lineRule="auto"/>
        <w:rPr>
          <w:sz w:val="20"/>
          <w:szCs w:val="20"/>
          <w:color w:val="auto"/>
        </w:rPr>
      </w:pPr>
      <w:r>
        <w:rPr>
          <w:rFonts w:ascii="Times New Roman" w:cs="Times New Roman" w:eastAsia="Times New Roman" w:hAnsi="Times New Roman"/>
          <w:sz w:val="18"/>
          <w:szCs w:val="18"/>
          <w:color w:val="auto"/>
        </w:rPr>
        <w:t>Compensation of persons who are “covered employees” of the Company is subject to the tax deduction limits of Section 162(m) of the Code. The exemption from Section 162(m)’s deduction limit for performance-based compensation has been repealed, effective for taxable years beginning after December 31, 2017, such that compensation paid to our covered employees in excess of $1 million will not be deductible unless it qualifies for transition relief applicable to certain arrangements in place as of November 2, 2017.</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229" w:lineRule="exact"/>
        <w:rPr>
          <w:sz w:val="20"/>
          <w:szCs w:val="20"/>
          <w:color w:val="auto"/>
        </w:rPr>
      </w:pPr>
    </w:p>
    <w:p>
      <w:pPr>
        <w:ind w:right="500" w:firstLine="419"/>
        <w:spacing w:after="0" w:line="282" w:lineRule="auto"/>
        <w:rPr>
          <w:sz w:val="20"/>
          <w:szCs w:val="20"/>
          <w:color w:val="auto"/>
        </w:rPr>
      </w:pPr>
      <w:r>
        <w:rPr>
          <w:rFonts w:ascii="Times New Roman" w:cs="Times New Roman" w:eastAsia="Times New Roman" w:hAnsi="Times New Roman"/>
          <w:sz w:val="18"/>
          <w:szCs w:val="18"/>
          <w:color w:val="auto"/>
        </w:rPr>
        <w:t>Future benefits under the EIP are discretionary for our employees, including executive officers, and consultants, and therefore are not currently determinable.</w:t>
      </w:r>
    </w:p>
    <w:p>
      <w:pPr>
        <w:spacing w:after="0" w:line="162" w:lineRule="exact"/>
        <w:rPr>
          <w:sz w:val="20"/>
          <w:szCs w:val="20"/>
          <w:color w:val="auto"/>
        </w:rPr>
      </w:pPr>
    </w:p>
    <w:p>
      <w:pPr>
        <w:ind w:firstLine="419"/>
        <w:spacing w:after="0" w:line="266" w:lineRule="auto"/>
        <w:rPr>
          <w:sz w:val="20"/>
          <w:szCs w:val="20"/>
          <w:color w:val="auto"/>
        </w:rPr>
      </w:pPr>
      <w:r>
        <w:rPr>
          <w:rFonts w:ascii="Times New Roman" w:cs="Times New Roman" w:eastAsia="Times New Roman" w:hAnsi="Times New Roman"/>
          <w:sz w:val="18"/>
          <w:szCs w:val="18"/>
          <w:color w:val="auto"/>
        </w:rPr>
        <w:t>Equity awards for our non-employee directors would be made under the EIP, if approved by stockholders, pursuant to the Director Compensation Policy. Under the Director Compensation Policy, on the date of each annual meeting, each person who continues to serve as a non-employee member of the Board of Directors following such annual meeting will be granted an equity</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1" w:name="page42"/>
    <w:bookmarkEnd w:id="41"/>
    <w:p>
      <w:pPr>
        <w:ind w:right="360"/>
        <w:spacing w:after="0" w:line="282" w:lineRule="auto"/>
        <w:rPr>
          <w:sz w:val="20"/>
          <w:szCs w:val="20"/>
          <w:color w:val="auto"/>
        </w:rPr>
      </w:pPr>
      <w:r>
        <w:rPr>
          <w:rFonts w:ascii="Times New Roman" w:cs="Times New Roman" w:eastAsia="Times New Roman" w:hAnsi="Times New Roman"/>
          <w:sz w:val="18"/>
          <w:szCs w:val="18"/>
          <w:color w:val="auto"/>
        </w:rPr>
        <w:t>award with the intended equity value of $150,000. All option grants will have an exercise price per share equal to the fair market value of our common stock on the date of grant.</w:t>
      </w:r>
    </w:p>
    <w:p>
      <w:pPr>
        <w:spacing w:after="0" w:line="162" w:lineRule="exact"/>
        <w:rPr>
          <w:sz w:val="20"/>
          <w:szCs w:val="20"/>
          <w:color w:val="auto"/>
        </w:rPr>
      </w:pPr>
    </w:p>
    <w:p>
      <w:pPr>
        <w:ind w:right="20" w:firstLine="419"/>
        <w:spacing w:after="0" w:line="256" w:lineRule="auto"/>
        <w:rPr>
          <w:sz w:val="20"/>
          <w:szCs w:val="20"/>
          <w:color w:val="auto"/>
        </w:rPr>
      </w:pPr>
      <w:r>
        <w:rPr>
          <w:rFonts w:ascii="Times New Roman" w:cs="Times New Roman" w:eastAsia="Times New Roman" w:hAnsi="Times New Roman"/>
          <w:sz w:val="18"/>
          <w:szCs w:val="18"/>
          <w:color w:val="auto"/>
        </w:rPr>
        <w:t>Under the Director Compensation Policy, annual non-employee director cash compensation is paid each year in arrears in cash, or at each director’s election, in fully vested restricted stock units of our Common Stock that would be issued under the Amended EIP, if approved by stockholders. The number of shares subject to each such stock award is determined by dividing the value of the cash which would otherwise have been paid to a non-employee director under the Director Compensation Policy by our closing stock price on the date of payment. Because our closing stock price typically changes on a daily basis, it is therefore, not possible to determine the number of shares subject to each such stock award at this time. For additional information regarding our compensation policy for non-employee directors, see the section entitled, “Compensation of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Benefits</w:t>
      </w:r>
    </w:p>
    <w:p>
      <w:pPr>
        <w:spacing w:after="0" w:line="229" w:lineRule="exact"/>
        <w:rPr>
          <w:sz w:val="20"/>
          <w:szCs w:val="20"/>
          <w:color w:val="auto"/>
        </w:rPr>
      </w:pPr>
    </w:p>
    <w:p>
      <w:pPr>
        <w:ind w:firstLine="419"/>
        <w:spacing w:after="0" w:line="282" w:lineRule="auto"/>
        <w:rPr>
          <w:sz w:val="20"/>
          <w:szCs w:val="20"/>
          <w:color w:val="auto"/>
        </w:rPr>
      </w:pPr>
      <w:r>
        <w:rPr>
          <w:rFonts w:ascii="Times New Roman" w:cs="Times New Roman" w:eastAsia="Times New Roman" w:hAnsi="Times New Roman"/>
          <w:sz w:val="18"/>
          <w:szCs w:val="18"/>
          <w:color w:val="auto"/>
        </w:rPr>
        <w:t>The following table shows, for each of the individuals and the various groups indicated, the number of shares of our common stock underlying awards that have been granted (even if not currently outstanding) under the EIP since its approval by our stockholders in 2018 and through March 23, 2023.</w:t>
      </w:r>
    </w:p>
    <w:p>
      <w:pPr>
        <w:spacing w:after="0" w:line="16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7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and principal position</w:t>
            </w:r>
          </w:p>
        </w:tc>
        <w:tc>
          <w:tcPr>
            <w:tcW w:w="1340" w:type="dxa"/>
            <w:vAlign w:val="bottom"/>
          </w:tcPr>
          <w:p>
            <w:pPr>
              <w:spacing w:after="0"/>
              <w:rPr>
                <w:sz w:val="17"/>
                <w:szCs w:val="17"/>
                <w:color w:val="auto"/>
              </w:rPr>
            </w:pPr>
          </w:p>
        </w:tc>
        <w:tc>
          <w:tcPr>
            <w:tcW w:w="15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Number of awards</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80" w:type="dxa"/>
            <w:vAlign w:val="bottom"/>
            <w:gridSpan w:val="2"/>
            <w:vMerge w:val="continue"/>
          </w:tcPr>
          <w:p>
            <w:pPr>
              <w:spacing w:after="0"/>
              <w:rPr>
                <w:sz w:val="17"/>
                <w:szCs w:val="17"/>
                <w:color w:val="auto"/>
              </w:rPr>
            </w:pPr>
          </w:p>
        </w:tc>
        <w:tc>
          <w:tcPr>
            <w:tcW w:w="1340" w:type="dxa"/>
            <w:vAlign w:val="bottom"/>
          </w:tcPr>
          <w:p>
            <w:pPr>
              <w:spacing w:after="0"/>
              <w:rPr>
                <w:sz w:val="17"/>
                <w:szCs w:val="17"/>
                <w:color w:val="auto"/>
              </w:rPr>
            </w:pPr>
          </w:p>
        </w:tc>
        <w:tc>
          <w:tcPr>
            <w:tcW w:w="1800" w:type="dxa"/>
            <w:vAlign w:val="bottom"/>
            <w:gridSpan w:val="4"/>
          </w:tcPr>
          <w:p>
            <w:pPr>
              <w:ind w:left="320"/>
              <w:spacing w:after="0" w:line="196" w:lineRule="exact"/>
              <w:rPr>
                <w:sz w:val="20"/>
                <w:szCs w:val="20"/>
                <w:color w:val="auto"/>
              </w:rPr>
            </w:pPr>
            <w:r>
              <w:rPr>
                <w:rFonts w:ascii="Times New Roman" w:cs="Times New Roman" w:eastAsia="Times New Roman" w:hAnsi="Times New Roman"/>
                <w:sz w:val="18"/>
                <w:szCs w:val="18"/>
                <w:b w:val="1"/>
                <w:bCs w:val="1"/>
                <w:color w:val="auto"/>
              </w:rPr>
              <w:t>granted (#)</w:t>
            </w:r>
          </w:p>
        </w:tc>
        <w:tc>
          <w:tcPr>
            <w:tcW w:w="0" w:type="dxa"/>
            <w:vAlign w:val="bottom"/>
          </w:tcPr>
          <w:p>
            <w:pPr>
              <w:spacing w:after="0"/>
              <w:rPr>
                <w:sz w:val="1"/>
                <w:szCs w:val="1"/>
                <w:color w:val="auto"/>
              </w:rPr>
            </w:pPr>
          </w:p>
        </w:tc>
      </w:tr>
      <w:tr>
        <w:trPr>
          <w:trHeight w:val="34"/>
        </w:trPr>
        <w:tc>
          <w:tcPr>
            <w:tcW w:w="2180" w:type="dxa"/>
            <w:vAlign w:val="bottom"/>
            <w:tcBorders>
              <w:top w:val="single" w:sz="8" w:color="auto"/>
            </w:tcBorders>
          </w:tcPr>
          <w:p>
            <w:pPr>
              <w:spacing w:after="0"/>
              <w:rPr>
                <w:sz w:val="2"/>
                <w:szCs w:val="2"/>
                <w:color w:val="auto"/>
              </w:rPr>
            </w:pPr>
          </w:p>
        </w:tc>
        <w:tc>
          <w:tcPr>
            <w:tcW w:w="5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1"/>
        </w:trPr>
        <w:tc>
          <w:tcPr>
            <w:tcW w:w="7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Michael E. Castagna, Pharm. D.</w:t>
            </w:r>
          </w:p>
        </w:tc>
        <w:tc>
          <w:tcPr>
            <w:tcW w:w="2520" w:type="dxa"/>
            <w:vAlign w:val="bottom"/>
            <w:gridSpan w:val="3"/>
            <w:shd w:val="clear" w:color="auto" w:fill="CFF0FC"/>
          </w:tcPr>
          <w:p>
            <w:pPr>
              <w:jc w:val="center"/>
              <w:ind w:left="1550"/>
              <w:spacing w:after="0"/>
              <w:rPr>
                <w:sz w:val="20"/>
                <w:szCs w:val="20"/>
                <w:color w:val="auto"/>
              </w:rPr>
            </w:pPr>
            <w:r>
              <w:rPr>
                <w:rFonts w:ascii="Times New Roman" w:cs="Times New Roman" w:eastAsia="Times New Roman" w:hAnsi="Times New Roman"/>
                <w:sz w:val="18"/>
                <w:szCs w:val="18"/>
                <w:color w:val="auto"/>
                <w:w w:val="99"/>
              </w:rPr>
              <w:t>3,068,495</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1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Steven B. Binder</w:t>
            </w:r>
          </w:p>
        </w:tc>
        <w:tc>
          <w:tcPr>
            <w:tcW w:w="252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99"/>
              </w:rPr>
              <w:t>1,200,342</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Sanjay Singh</w:t>
            </w:r>
          </w:p>
        </w:tc>
        <w:tc>
          <w:tcPr>
            <w:tcW w:w="2520" w:type="dxa"/>
            <w:vAlign w:val="bottom"/>
            <w:gridSpan w:val="3"/>
            <w:shd w:val="clear" w:color="auto" w:fill="CFF0FC"/>
          </w:tcPr>
          <w:p>
            <w:pPr>
              <w:jc w:val="center"/>
              <w:ind w:left="1570"/>
              <w:spacing w:after="0"/>
              <w:rPr>
                <w:sz w:val="20"/>
                <w:szCs w:val="20"/>
                <w:color w:val="auto"/>
              </w:rPr>
            </w:pPr>
            <w:r>
              <w:rPr>
                <w:rFonts w:ascii="Times New Roman" w:cs="Times New Roman" w:eastAsia="Times New Roman" w:hAnsi="Times New Roman"/>
                <w:sz w:val="18"/>
                <w:szCs w:val="18"/>
                <w:color w:val="auto"/>
                <w:w w:val="99"/>
              </w:rPr>
              <w:t>218,500</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2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Executive Vice President, Technical Operations</w:t>
            </w:r>
          </w:p>
        </w:tc>
        <w:tc>
          <w:tcPr>
            <w:tcW w:w="1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David B. Thomson, Ph.D., J. D.</w:t>
            </w:r>
          </w:p>
        </w:tc>
        <w:tc>
          <w:tcPr>
            <w:tcW w:w="252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99"/>
              </w:rPr>
              <w:t>1,204,028</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Stuart Tross, Ph.D.</w:t>
            </w:r>
          </w:p>
        </w:tc>
        <w:tc>
          <w:tcPr>
            <w:tcW w:w="2520" w:type="dxa"/>
            <w:vAlign w:val="bottom"/>
            <w:gridSpan w:val="3"/>
            <w:shd w:val="clear" w:color="auto" w:fill="CFF0FC"/>
          </w:tcPr>
          <w:p>
            <w:pPr>
              <w:jc w:val="center"/>
              <w:ind w:left="1550"/>
              <w:spacing w:after="0"/>
              <w:rPr>
                <w:sz w:val="20"/>
                <w:szCs w:val="20"/>
                <w:color w:val="auto"/>
              </w:rPr>
            </w:pPr>
            <w:r>
              <w:rPr>
                <w:rFonts w:ascii="Times New Roman" w:cs="Times New Roman" w:eastAsia="Times New Roman" w:hAnsi="Times New Roman"/>
                <w:sz w:val="18"/>
                <w:szCs w:val="18"/>
                <w:color w:val="auto"/>
                <w:w w:val="99"/>
              </w:rPr>
              <w:t>1,196,462</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28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Executive Vice President, Chief People and Workplace Officer</w:t>
            </w:r>
          </w:p>
        </w:tc>
        <w:tc>
          <w:tcPr>
            <w:tcW w:w="1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Alejandro Galindo</w:t>
            </w:r>
          </w:p>
        </w:tc>
        <w:tc>
          <w:tcPr>
            <w:tcW w:w="2520" w:type="dxa"/>
            <w:vAlign w:val="bottom"/>
            <w:gridSpan w:val="3"/>
          </w:tcPr>
          <w:p>
            <w:pPr>
              <w:jc w:val="center"/>
              <w:ind w:left="1570"/>
              <w:spacing w:after="0"/>
              <w:rPr>
                <w:sz w:val="20"/>
                <w:szCs w:val="20"/>
                <w:color w:val="auto"/>
              </w:rPr>
            </w:pPr>
            <w:r>
              <w:rPr>
                <w:rFonts w:ascii="Times New Roman" w:cs="Times New Roman" w:eastAsia="Times New Roman" w:hAnsi="Times New Roman"/>
                <w:sz w:val="18"/>
                <w:szCs w:val="18"/>
                <w:color w:val="auto"/>
                <w:w w:val="99"/>
              </w:rPr>
              <w:t>708,000</w:t>
            </w: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Former Executive Vice President, Endocrine Business Unit</w:t>
            </w: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7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Joseph Kocinsky</w:t>
            </w:r>
          </w:p>
        </w:tc>
        <w:tc>
          <w:tcPr>
            <w:tcW w:w="2520" w:type="dxa"/>
            <w:vAlign w:val="bottom"/>
            <w:gridSpan w:val="3"/>
            <w:shd w:val="clear" w:color="auto" w:fill="CFF0FC"/>
          </w:tcPr>
          <w:p>
            <w:pPr>
              <w:jc w:val="center"/>
              <w:ind w:left="1550"/>
              <w:spacing w:after="0"/>
              <w:rPr>
                <w:sz w:val="20"/>
                <w:szCs w:val="20"/>
                <w:color w:val="auto"/>
              </w:rPr>
            </w:pPr>
            <w:r>
              <w:rPr>
                <w:rFonts w:ascii="Times New Roman" w:cs="Times New Roman" w:eastAsia="Times New Roman" w:hAnsi="Times New Roman"/>
                <w:sz w:val="18"/>
                <w:szCs w:val="18"/>
                <w:color w:val="auto"/>
                <w:w w:val="99"/>
              </w:rPr>
              <w:t>1,198,402</w:t>
            </w: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7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Former Chief Technology Officer</w:t>
            </w:r>
          </w:p>
        </w:tc>
        <w:tc>
          <w:tcPr>
            <w:tcW w:w="1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current executive officers as a group (5 persons)</w:t>
            </w:r>
          </w:p>
        </w:tc>
        <w:tc>
          <w:tcPr>
            <w:tcW w:w="252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99"/>
              </w:rPr>
              <w:t>6,887,827</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All current non-executive directors as a group (8 persons)</w:t>
            </w:r>
          </w:p>
        </w:tc>
        <w:tc>
          <w:tcPr>
            <w:tcW w:w="2520" w:type="dxa"/>
            <w:vAlign w:val="bottom"/>
            <w:gridSpan w:val="3"/>
            <w:shd w:val="clear" w:color="auto" w:fill="CFF0FC"/>
          </w:tcPr>
          <w:p>
            <w:pPr>
              <w:jc w:val="center"/>
              <w:ind w:left="1570"/>
              <w:spacing w:after="0"/>
              <w:rPr>
                <w:sz w:val="20"/>
                <w:szCs w:val="20"/>
                <w:color w:val="auto"/>
              </w:rPr>
            </w:pPr>
            <w:r>
              <w:rPr>
                <w:rFonts w:ascii="Times New Roman" w:cs="Times New Roman" w:eastAsia="Times New Roman" w:hAnsi="Times New Roman"/>
                <w:sz w:val="18"/>
                <w:szCs w:val="18"/>
                <w:color w:val="auto"/>
                <w:w w:val="97"/>
              </w:rPr>
              <w:t>2,290,115</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Each nominee for director (9 persons):</w:t>
            </w: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2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Michael E. Castagna, Pharm.D.</w:t>
            </w:r>
          </w:p>
        </w:tc>
        <w:tc>
          <w:tcPr>
            <w:tcW w:w="2520" w:type="dxa"/>
            <w:vAlign w:val="bottom"/>
            <w:gridSpan w:val="3"/>
            <w:shd w:val="clear" w:color="auto" w:fill="CFF0FC"/>
          </w:tcPr>
          <w:p>
            <w:pPr>
              <w:jc w:val="center"/>
              <w:ind w:left="1550"/>
              <w:spacing w:after="0"/>
              <w:rPr>
                <w:sz w:val="20"/>
                <w:szCs w:val="20"/>
                <w:color w:val="auto"/>
              </w:rPr>
            </w:pPr>
            <w:r>
              <w:rPr>
                <w:rFonts w:ascii="Times New Roman" w:cs="Times New Roman" w:eastAsia="Times New Roman" w:hAnsi="Times New Roman"/>
                <w:sz w:val="18"/>
                <w:szCs w:val="18"/>
                <w:color w:val="auto"/>
                <w:w w:val="99"/>
              </w:rPr>
              <w:t>3,068,495</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Ronald J. Consiglio</w:t>
            </w:r>
          </w:p>
        </w:tc>
        <w:tc>
          <w:tcPr>
            <w:tcW w:w="2520" w:type="dxa"/>
            <w:vAlign w:val="bottom"/>
            <w:gridSpan w:val="3"/>
          </w:tcPr>
          <w:p>
            <w:pPr>
              <w:jc w:val="center"/>
              <w:ind w:left="1570"/>
              <w:spacing w:after="0"/>
              <w:rPr>
                <w:sz w:val="20"/>
                <w:szCs w:val="20"/>
                <w:color w:val="auto"/>
              </w:rPr>
            </w:pPr>
            <w:r>
              <w:rPr>
                <w:rFonts w:ascii="Times New Roman" w:cs="Times New Roman" w:eastAsia="Times New Roman" w:hAnsi="Times New Roman"/>
                <w:sz w:val="18"/>
                <w:szCs w:val="18"/>
                <w:color w:val="auto"/>
                <w:w w:val="99"/>
              </w:rPr>
              <w:t>388,110</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2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Michael A. Friedman, M.D.</w:t>
            </w:r>
          </w:p>
        </w:tc>
        <w:tc>
          <w:tcPr>
            <w:tcW w:w="2520" w:type="dxa"/>
            <w:vAlign w:val="bottom"/>
            <w:gridSpan w:val="3"/>
            <w:shd w:val="clear" w:color="auto" w:fill="CFF0FC"/>
          </w:tcPr>
          <w:p>
            <w:pPr>
              <w:jc w:val="center"/>
              <w:ind w:left="1570"/>
              <w:spacing w:after="0"/>
              <w:rPr>
                <w:sz w:val="20"/>
                <w:szCs w:val="20"/>
                <w:color w:val="auto"/>
              </w:rPr>
            </w:pPr>
            <w:r>
              <w:rPr>
                <w:rFonts w:ascii="Times New Roman" w:cs="Times New Roman" w:eastAsia="Times New Roman" w:hAnsi="Times New Roman"/>
                <w:sz w:val="18"/>
                <w:szCs w:val="18"/>
                <w:color w:val="auto"/>
                <w:w w:val="99"/>
              </w:rPr>
              <w:t>304,455</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Jennifer Grancio</w:t>
            </w:r>
          </w:p>
        </w:tc>
        <w:tc>
          <w:tcPr>
            <w:tcW w:w="2520" w:type="dxa"/>
            <w:vAlign w:val="bottom"/>
            <w:gridSpan w:val="3"/>
          </w:tcPr>
          <w:p>
            <w:pPr>
              <w:jc w:val="center"/>
              <w:ind w:left="1570"/>
              <w:spacing w:after="0"/>
              <w:rPr>
                <w:sz w:val="20"/>
                <w:szCs w:val="20"/>
                <w:color w:val="auto"/>
              </w:rPr>
            </w:pPr>
            <w:r>
              <w:rPr>
                <w:rFonts w:ascii="Times New Roman" w:cs="Times New Roman" w:eastAsia="Times New Roman" w:hAnsi="Times New Roman"/>
                <w:sz w:val="18"/>
                <w:szCs w:val="18"/>
                <w:color w:val="auto"/>
                <w:w w:val="99"/>
              </w:rPr>
              <w:t>179,159</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28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Anthony Hooper</w:t>
            </w:r>
          </w:p>
        </w:tc>
        <w:tc>
          <w:tcPr>
            <w:tcW w:w="2520" w:type="dxa"/>
            <w:vAlign w:val="bottom"/>
            <w:gridSpan w:val="3"/>
            <w:shd w:val="clear" w:color="auto" w:fill="CFF0FC"/>
          </w:tcPr>
          <w:p>
            <w:pPr>
              <w:jc w:val="center"/>
              <w:ind w:left="1570"/>
              <w:spacing w:after="0"/>
              <w:rPr>
                <w:sz w:val="20"/>
                <w:szCs w:val="20"/>
                <w:color w:val="auto"/>
              </w:rPr>
            </w:pPr>
            <w:r>
              <w:rPr>
                <w:rFonts w:ascii="Times New Roman" w:cs="Times New Roman" w:eastAsia="Times New Roman" w:hAnsi="Times New Roman"/>
                <w:sz w:val="18"/>
                <w:szCs w:val="18"/>
                <w:color w:val="auto"/>
                <w:w w:val="99"/>
              </w:rPr>
              <w:t>247,286</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Sabrina Kay</w:t>
            </w:r>
          </w:p>
        </w:tc>
        <w:tc>
          <w:tcPr>
            <w:tcW w:w="2520" w:type="dxa"/>
            <w:vAlign w:val="bottom"/>
            <w:gridSpan w:val="3"/>
          </w:tcPr>
          <w:p>
            <w:pPr>
              <w:jc w:val="center"/>
              <w:ind w:left="1570"/>
              <w:spacing w:after="0"/>
              <w:rPr>
                <w:sz w:val="20"/>
                <w:szCs w:val="20"/>
                <w:color w:val="auto"/>
              </w:rPr>
            </w:pPr>
            <w:r>
              <w:rPr>
                <w:rFonts w:ascii="Times New Roman" w:cs="Times New Roman" w:eastAsia="Times New Roman" w:hAnsi="Times New Roman"/>
                <w:sz w:val="18"/>
                <w:szCs w:val="18"/>
                <w:color w:val="auto"/>
                <w:w w:val="99"/>
              </w:rPr>
              <w:t>123,022</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2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Kent Kresa</w:t>
            </w:r>
          </w:p>
        </w:tc>
        <w:tc>
          <w:tcPr>
            <w:tcW w:w="2520" w:type="dxa"/>
            <w:vAlign w:val="bottom"/>
            <w:gridSpan w:val="3"/>
            <w:shd w:val="clear" w:color="auto" w:fill="CFF0FC"/>
          </w:tcPr>
          <w:p>
            <w:pPr>
              <w:jc w:val="center"/>
              <w:ind w:left="1570"/>
              <w:spacing w:after="0"/>
              <w:rPr>
                <w:sz w:val="20"/>
                <w:szCs w:val="20"/>
                <w:color w:val="auto"/>
              </w:rPr>
            </w:pPr>
            <w:r>
              <w:rPr>
                <w:rFonts w:ascii="Times New Roman" w:cs="Times New Roman" w:eastAsia="Times New Roman" w:hAnsi="Times New Roman"/>
                <w:sz w:val="18"/>
                <w:szCs w:val="18"/>
                <w:color w:val="auto"/>
                <w:w w:val="99"/>
              </w:rPr>
              <w:t>388,110</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2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Christine Mundkur</w:t>
            </w:r>
          </w:p>
        </w:tc>
        <w:tc>
          <w:tcPr>
            <w:tcW w:w="2520" w:type="dxa"/>
            <w:vAlign w:val="bottom"/>
            <w:gridSpan w:val="3"/>
          </w:tcPr>
          <w:p>
            <w:pPr>
              <w:jc w:val="center"/>
              <w:ind w:left="1570"/>
              <w:spacing w:after="0"/>
              <w:rPr>
                <w:sz w:val="20"/>
                <w:szCs w:val="20"/>
                <w:color w:val="auto"/>
              </w:rPr>
            </w:pPr>
            <w:r>
              <w:rPr>
                <w:rFonts w:ascii="Times New Roman" w:cs="Times New Roman" w:eastAsia="Times New Roman" w:hAnsi="Times New Roman"/>
                <w:sz w:val="18"/>
                <w:szCs w:val="18"/>
                <w:color w:val="auto"/>
                <w:w w:val="99"/>
              </w:rPr>
              <w:t>271,863</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280" w:type="dxa"/>
            <w:vAlign w:val="bottom"/>
            <w:gridSpan w:val="2"/>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James S. Shannon, M.D., MRCP (UK)</w:t>
            </w:r>
          </w:p>
        </w:tc>
        <w:tc>
          <w:tcPr>
            <w:tcW w:w="2520" w:type="dxa"/>
            <w:vAlign w:val="bottom"/>
            <w:gridSpan w:val="3"/>
            <w:shd w:val="clear" w:color="auto" w:fill="CFF0FC"/>
          </w:tcPr>
          <w:p>
            <w:pPr>
              <w:jc w:val="center"/>
              <w:ind w:left="1570"/>
              <w:spacing w:after="0"/>
              <w:rPr>
                <w:sz w:val="20"/>
                <w:szCs w:val="20"/>
                <w:color w:val="auto"/>
              </w:rPr>
            </w:pPr>
            <w:r>
              <w:rPr>
                <w:rFonts w:ascii="Times New Roman" w:cs="Times New Roman" w:eastAsia="Times New Roman" w:hAnsi="Times New Roman"/>
                <w:sz w:val="18"/>
                <w:szCs w:val="18"/>
                <w:color w:val="auto"/>
                <w:w w:val="99"/>
              </w:rPr>
              <w:t>388,110</w:t>
            </w:r>
          </w:p>
        </w:tc>
        <w:tc>
          <w:tcPr>
            <w:tcW w:w="3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Each associate of any director, executive officer or nominee (0 persons)</w:t>
            </w: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8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47"/>
        </w:trPr>
        <w:tc>
          <w:tcPr>
            <w:tcW w:w="72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Each other person who received or is to receive 5% of awards (0 persons)</w:t>
            </w:r>
          </w:p>
        </w:tc>
        <w:tc>
          <w:tcPr>
            <w:tcW w:w="13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80" w:type="dxa"/>
            <w:vAlign w:val="bottom"/>
            <w:gridSpan w:val="3"/>
            <w:shd w:val="clear" w:color="auto" w:fill="CFF0FC"/>
          </w:tcPr>
          <w:p>
            <w:pPr>
              <w:jc w:val="center"/>
              <w:ind w:right="6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4"/>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employees, including all current non-executive officers, as a group (6 persons)</w:t>
            </w:r>
          </w:p>
        </w:tc>
        <w:tc>
          <w:tcPr>
            <w:tcW w:w="2520" w:type="dxa"/>
            <w:vAlign w:val="bottom"/>
            <w:gridSpan w:val="3"/>
          </w:tcPr>
          <w:p>
            <w:pPr>
              <w:jc w:val="center"/>
              <w:ind w:left="1550"/>
              <w:spacing w:after="0"/>
              <w:rPr>
                <w:sz w:val="20"/>
                <w:szCs w:val="20"/>
                <w:color w:val="auto"/>
              </w:rPr>
            </w:pPr>
            <w:r>
              <w:rPr>
                <w:rFonts w:ascii="Times New Roman" w:cs="Times New Roman" w:eastAsia="Times New Roman" w:hAnsi="Times New Roman"/>
                <w:sz w:val="18"/>
                <w:szCs w:val="18"/>
                <w:color w:val="auto"/>
                <w:w w:val="99"/>
              </w:rPr>
              <w:t>8,086,229</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21" w:lineRule="exact"/>
        <w:rPr>
          <w:sz w:val="20"/>
          <w:szCs w:val="20"/>
          <w:color w:val="auto"/>
        </w:rPr>
      </w:pPr>
    </w:p>
    <w:p>
      <w:pPr>
        <w:ind w:right="140" w:firstLine="419"/>
        <w:spacing w:after="0" w:line="282" w:lineRule="auto"/>
        <w:rPr>
          <w:sz w:val="20"/>
          <w:szCs w:val="20"/>
          <w:color w:val="auto"/>
        </w:rPr>
      </w:pPr>
      <w:r>
        <w:rPr>
          <w:rFonts w:ascii="Times New Roman" w:cs="Times New Roman" w:eastAsia="Times New Roman" w:hAnsi="Times New Roman"/>
          <w:sz w:val="18"/>
          <w:szCs w:val="18"/>
          <w:color w:val="auto"/>
        </w:rPr>
        <w:t>See “Securities Authorized For Issuance Under Equity Compensation Plans” on page 73 of this proxy statement for certain information with respect to all of our equity compensation plans in effect as of December 31, 2022.</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AND BOARD OF DIRECTORS RECOMMENDATION</w:t>
      </w:r>
    </w:p>
    <w:p>
      <w:pPr>
        <w:spacing w:after="0" w:line="121" w:lineRule="exact"/>
        <w:rPr>
          <w:sz w:val="20"/>
          <w:szCs w:val="20"/>
          <w:color w:val="auto"/>
        </w:rPr>
      </w:pPr>
    </w:p>
    <w:p>
      <w:pPr>
        <w:ind w:right="200" w:firstLine="419"/>
        <w:spacing w:after="0" w:line="282" w:lineRule="auto"/>
        <w:rPr>
          <w:sz w:val="20"/>
          <w:szCs w:val="20"/>
          <w:color w:val="auto"/>
        </w:rPr>
      </w:pPr>
      <w:r>
        <w:rPr>
          <w:rFonts w:ascii="Times New Roman" w:cs="Times New Roman" w:eastAsia="Times New Roman" w:hAnsi="Times New Roman"/>
          <w:sz w:val="18"/>
          <w:szCs w:val="18"/>
          <w:color w:val="auto"/>
        </w:rPr>
        <w:t>In this Proposal 4, stockholders are requested to approve the increase in authorized shares of the Amended EIP. Approval of Proposal 4 requires the affirmative vote of a majority of the votes cast on Proposal 4. Abstentions and broker non-votes are counted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color w:val="auto"/>
        </w:rPr>
        <w:t>towards a quorum, but will have no effect on the outcome of the vote.</w:t>
      </w:r>
    </w:p>
    <w:p>
      <w:pPr>
        <w:spacing w:after="0" w:line="181" w:lineRule="exact"/>
        <w:rPr>
          <w:sz w:val="20"/>
          <w:szCs w:val="20"/>
          <w:color w:val="auto"/>
        </w:rPr>
      </w:pPr>
    </w:p>
    <w:p>
      <w:pPr>
        <w:jc w:val="right"/>
        <w:ind w:right="1879"/>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w:t>
      </w:r>
    </w:p>
    <w:p>
      <w:pPr>
        <w:spacing w:after="0" w:line="3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A VOTE “FOR” PROPOSAL 4.</w:t>
      </w:r>
    </w:p>
    <w:p>
      <w:pPr>
        <w:spacing w:after="0" w:line="38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445" w:right="1440" w:bottom="1440" w:gutter="0" w:footer="0" w:header="0"/>
        </w:sectPr>
      </w:pPr>
    </w:p>
    <w:bookmarkStart w:id="43" w:name="page44"/>
    <w:bookmarkEnd w:id="43"/>
    <w:p>
      <w:pPr>
        <w:ind w:left="120"/>
        <w:spacing w:after="0"/>
        <w:rPr>
          <w:sz w:val="20"/>
          <w:szCs w:val="20"/>
          <w:color w:val="auto"/>
        </w:rPr>
      </w:pPr>
      <w:r>
        <w:rPr>
          <w:rFonts w:ascii="Times New Roman" w:cs="Times New Roman" w:eastAsia="Times New Roman" w:hAnsi="Times New Roman"/>
          <w:sz w:val="57"/>
          <w:szCs w:val="57"/>
          <w:b w:val="1"/>
          <w:bCs w:val="1"/>
          <w:color w:val="FFFFFF"/>
        </w:rPr>
        <w:drawing>
          <wp:anchor simplePos="0" relativeHeight="251657728" behindDoc="1" locked="0" layoutInCell="0" allowOverlap="1">
            <wp:simplePos x="0" y="0"/>
            <wp:positionH relativeFrom="page">
              <wp:posOffset>208280</wp:posOffset>
            </wp:positionH>
            <wp:positionV relativeFrom="page">
              <wp:posOffset>423545</wp:posOffset>
            </wp:positionV>
            <wp:extent cx="7132320" cy="6261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626110"/>
                    </a:xfrm>
                    <a:prstGeom prst="rect">
                      <a:avLst/>
                    </a:prstGeom>
                    <a:noFill/>
                  </pic:spPr>
                </pic:pic>
              </a:graphicData>
            </a:graphic>
          </wp:anchor>
        </w:drawing>
        <w:t>Proposal 5</w:t>
      </w:r>
    </w:p>
    <w:p>
      <w:pPr>
        <w:sectPr>
          <w:pgSz w:w="11900" w:h="16838" w:orient="portrait"/>
          <w:cols w:equalWidth="0" w:num="1">
            <w:col w:w="11220"/>
          </w:cols>
          <w:pgMar w:left="320" w:top="765" w:right="359" w:bottom="1440" w:gutter="0" w:footer="0" w:header="0"/>
        </w:sect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AMENDMENT TO EMPLOYEE STOCK PURCHASE PLAN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62" w:lineRule="exact"/>
        <w:rPr>
          <w:sz w:val="20"/>
          <w:szCs w:val="20"/>
          <w:color w:val="auto"/>
        </w:rPr>
      </w:pPr>
    </w:p>
    <w:p>
      <w:pPr>
        <w:ind w:right="80" w:firstLine="419"/>
        <w:spacing w:after="0" w:line="256" w:lineRule="auto"/>
        <w:rPr>
          <w:sz w:val="20"/>
          <w:szCs w:val="20"/>
          <w:color w:val="auto"/>
        </w:rPr>
      </w:pPr>
      <w:r>
        <w:rPr>
          <w:rFonts w:ascii="Times New Roman" w:cs="Times New Roman" w:eastAsia="Times New Roman" w:hAnsi="Times New Roman"/>
          <w:sz w:val="18"/>
          <w:szCs w:val="18"/>
          <w:color w:val="auto"/>
        </w:rPr>
        <w:t>On February 21, 2018, our Board of Directors amended the MannKind Corporation 2004 Employee Stock Purchase Plan (the “Purchase Plan”), and in May 2018, our stockholders approved the amendment to, among other things, increase the number of shares of common stock authorized for issuance under the Purchase Plan by 3,000,000 shares. Subject to stockholder approval, our Board approved an amendment to the Purchase Plan in March 2023, to increase the number of shares of common stock authorized for issuance under the Purchase Plan by an additional 3,000,000 shares. We refer to the Purchase Plan, as amended by the Board of Directors on February 21, 2018, as the “Amended Purchase Plan” throughout this proxy statement. References in this proposal to our Board of Directors include the Compensation Committee of the Board, where applicable.</w:t>
      </w:r>
    </w:p>
    <w:p>
      <w:pPr>
        <w:spacing w:after="0" w:line="106" w:lineRule="exact"/>
        <w:rPr>
          <w:sz w:val="20"/>
          <w:szCs w:val="20"/>
          <w:color w:val="auto"/>
        </w:rPr>
      </w:pPr>
    </w:p>
    <w:p>
      <w:pPr>
        <w:ind w:right="40" w:firstLine="419"/>
        <w:spacing w:after="0" w:line="282" w:lineRule="auto"/>
        <w:rPr>
          <w:sz w:val="20"/>
          <w:szCs w:val="20"/>
          <w:color w:val="auto"/>
        </w:rPr>
      </w:pPr>
      <w:r>
        <w:rPr>
          <w:rFonts w:ascii="Times New Roman" w:cs="Times New Roman" w:eastAsia="Times New Roman" w:hAnsi="Times New Roman"/>
          <w:sz w:val="18"/>
          <w:szCs w:val="18"/>
          <w:color w:val="auto"/>
        </w:rPr>
        <w:t>A description of the material terms of the Amended Purchase Plan are summarized below. The key difference between the terms of the Purchase Plan and the Amended Purchase Plan is as follows:</w:t>
      </w:r>
    </w:p>
    <w:p>
      <w:pPr>
        <w:spacing w:after="0" w:line="94" w:lineRule="exact"/>
        <w:rPr>
          <w:sz w:val="20"/>
          <w:szCs w:val="20"/>
          <w:color w:val="auto"/>
        </w:rPr>
      </w:pPr>
    </w:p>
    <w:p>
      <w:pPr>
        <w:ind w:left="760" w:right="60" w:hanging="378"/>
        <w:spacing w:after="0" w:line="282" w:lineRule="auto"/>
        <w:tabs>
          <w:tab w:leader="none" w:pos="7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Purchase Plan provides that an additional 3,000,000 shares may be issued pursuant to purchase rights granted under the Amended Purchase Plan.</w:t>
      </w:r>
    </w:p>
    <w:p>
      <w:pPr>
        <w:spacing w:after="0" w:line="94" w:lineRule="exact"/>
        <w:rPr>
          <w:sz w:val="20"/>
          <w:szCs w:val="20"/>
          <w:color w:val="auto"/>
        </w:rPr>
      </w:pPr>
    </w:p>
    <w:p>
      <w:pPr>
        <w:jc w:val="both"/>
        <w:ind w:firstLine="419"/>
        <w:spacing w:after="0" w:line="261" w:lineRule="auto"/>
        <w:rPr>
          <w:sz w:val="20"/>
          <w:szCs w:val="20"/>
          <w:color w:val="auto"/>
        </w:rPr>
      </w:pPr>
      <w:r>
        <w:rPr>
          <w:rFonts w:ascii="Times New Roman" w:cs="Times New Roman" w:eastAsia="Times New Roman" w:hAnsi="Times New Roman"/>
          <w:sz w:val="18"/>
          <w:szCs w:val="18"/>
          <w:color w:val="auto"/>
        </w:rPr>
        <w:t>In this Proposal 5, our Board of Directors is requesting stockholder approval of the Amended Purchase Plan, including the increase to the number of shares of common stock authorized for issuance under the Purchase Plan by 3,000,000 shares. The Board of Directors believes that the Amended Purchase Plan is an integral part of our long-term compensation philosophy and the Amended Purchase Plan is necessary to continue providing the appropriate levels and types of equity compensation for our employees.</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We Are Asking Our Stockholders to Approve the Amended Purchase Plan</w:t>
      </w:r>
    </w:p>
    <w:p>
      <w:pPr>
        <w:spacing w:after="0" w:line="162" w:lineRule="exact"/>
        <w:rPr>
          <w:sz w:val="20"/>
          <w:szCs w:val="20"/>
          <w:color w:val="auto"/>
        </w:rPr>
      </w:pPr>
    </w:p>
    <w:p>
      <w:pPr>
        <w:ind w:right="280" w:firstLine="419"/>
        <w:spacing w:after="0" w:line="266" w:lineRule="auto"/>
        <w:rPr>
          <w:sz w:val="20"/>
          <w:szCs w:val="20"/>
          <w:color w:val="auto"/>
        </w:rPr>
      </w:pPr>
      <w:r>
        <w:rPr>
          <w:rFonts w:ascii="Times New Roman" w:cs="Times New Roman" w:eastAsia="Times New Roman" w:hAnsi="Times New Roman"/>
          <w:sz w:val="18"/>
          <w:szCs w:val="18"/>
          <w:color w:val="auto"/>
        </w:rPr>
        <w:t>As of March 23, 2023, 406,015 shares were available for future issuance under the Purchase Plan without giving effect to the approval of the Amended Purchase Plan. Without replenishment, we believe such amount may be insufficient to meet our anticipated employee recruiting and retention needs beyond the second quarter of 2023.</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Important Aspects of Our Purchase Plan Designed to Protect Our Stockholders’ Interests</w:t>
      </w:r>
    </w:p>
    <w:p>
      <w:pPr>
        <w:spacing w:after="0" w:line="148" w:lineRule="exact"/>
        <w:rPr>
          <w:sz w:val="20"/>
          <w:szCs w:val="20"/>
          <w:color w:val="auto"/>
        </w:rPr>
      </w:pPr>
    </w:p>
    <w:p>
      <w:pPr>
        <w:ind w:right="200" w:firstLine="419"/>
        <w:spacing w:after="0" w:line="282" w:lineRule="auto"/>
        <w:rPr>
          <w:sz w:val="20"/>
          <w:szCs w:val="20"/>
          <w:color w:val="auto"/>
        </w:rPr>
      </w:pPr>
      <w:r>
        <w:rPr>
          <w:rFonts w:ascii="Times New Roman" w:cs="Times New Roman" w:eastAsia="Times New Roman" w:hAnsi="Times New Roman"/>
          <w:sz w:val="18"/>
          <w:szCs w:val="18"/>
          <w:color w:val="auto"/>
        </w:rPr>
        <w:t>The Amended Purchase Plan includes certain provisions that are designed to protect our stockholders’ interests and to reflect corporate governance best practices including:</w:t>
      </w:r>
    </w:p>
    <w:p>
      <w:pPr>
        <w:spacing w:after="0" w:line="54" w:lineRule="exact"/>
        <w:rPr>
          <w:sz w:val="20"/>
          <w:szCs w:val="20"/>
          <w:color w:val="auto"/>
        </w:rPr>
      </w:pPr>
    </w:p>
    <w:p>
      <w:pPr>
        <w:ind w:left="760" w:right="20" w:hanging="378"/>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Stockholder approval is required for additional shares. The Amended Purchase Plan does not contain an annual “evergreen” provision. Thus, stockholder approval is required each time we need to increase the share reserve allowing our stockholders the ability to have a say on our equity compensation programs.</w:t>
      </w:r>
    </w:p>
    <w:p>
      <w:pPr>
        <w:spacing w:after="0" w:line="67" w:lineRule="exact"/>
        <w:rPr>
          <w:rFonts w:ascii="Times New Roman" w:cs="Times New Roman" w:eastAsia="Times New Roman" w:hAnsi="Times New Roman"/>
          <w:sz w:val="18"/>
          <w:szCs w:val="18"/>
          <w:color w:val="auto"/>
        </w:rPr>
      </w:pPr>
    </w:p>
    <w:p>
      <w:pPr>
        <w:ind w:left="760" w:right="40" w:hanging="378"/>
        <w:spacing w:after="0" w:line="266"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of amendments to the Amended Purchase Plan to stockholders. The Amended Purchase Plan requires stockholder approval for material amendments to the Amended Purchase Plan, including as noted above, any increase in the number of shares reserved for issuance under the Amended Purchase Plan.</w:t>
      </w:r>
    </w:p>
    <w:p>
      <w:pPr>
        <w:spacing w:after="0" w:line="6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Broad-based eligibility for equity awards. The vast majority of our employees are eligible to participate in the Amended Purchase Plan. By doing so, we tie our employee’s interests with stockholder interests and motivate our employees to act as owners of the business.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Amended Purchase Plan Information</w:t>
      </w:r>
    </w:p>
    <w:p>
      <w:pPr>
        <w:spacing w:after="0" w:line="162" w:lineRule="exact"/>
        <w:rPr>
          <w:sz w:val="20"/>
          <w:szCs w:val="20"/>
          <w:color w:val="auto"/>
        </w:rPr>
      </w:pPr>
    </w:p>
    <w:p>
      <w:pPr>
        <w:ind w:right="40" w:firstLine="419"/>
        <w:spacing w:after="0" w:line="254" w:lineRule="auto"/>
        <w:rPr>
          <w:sz w:val="20"/>
          <w:szCs w:val="20"/>
          <w:color w:val="auto"/>
        </w:rPr>
      </w:pPr>
      <w:r>
        <w:rPr>
          <w:rFonts w:ascii="Times New Roman" w:cs="Times New Roman" w:eastAsia="Times New Roman" w:hAnsi="Times New Roman"/>
          <w:sz w:val="18"/>
          <w:szCs w:val="18"/>
          <w:color w:val="auto"/>
        </w:rPr>
        <w:t>In 2004, the Board of Directors originally adopted the Purchase Plan. There were 400,000 shares of MannKind common stock initially reserved for issuance under the Purchase Plan. In addition, the Purchase Plan contained an evergreen provision providing for an annual increase in the shares available for purchase under the Purchase Plan equal to the lesser of 1% of the outstanding shares of common stock on the record date for each Annual Meeting of Stockholders; 140,000 shares; or a number determined by the Board of Directors, as of the date of each annual meeting of stockholders beginning with annual meeting of stockholders in 2005. Pursuant to the evergreen provision, an additional 1,286,140 shares of MannKind common stock were made available for purchase under the Purchase Plan between 2005 and 2014. The evergreen provision terminated after the annual increase in 2014. As of March 23, 2023, an aggregate of 4,306,148 shares of MannKind common stock had been purchased under the Purchase Plan and 406,015 shares of common stock remained available for future purchase under the Purchase Plan. A total of 264,248,864 shares of MannKind common stock were outstanding as of March 23, 2023.</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148" w:lineRule="exact"/>
        <w:rPr>
          <w:sz w:val="20"/>
          <w:szCs w:val="20"/>
          <w:color w:val="auto"/>
        </w:rPr>
      </w:pPr>
    </w:p>
    <w:p>
      <w:pPr>
        <w:ind w:right="140" w:firstLine="419"/>
        <w:spacing w:after="0" w:line="282" w:lineRule="auto"/>
        <w:rPr>
          <w:sz w:val="20"/>
          <w:szCs w:val="20"/>
          <w:color w:val="auto"/>
        </w:rPr>
      </w:pPr>
      <w:r>
        <w:rPr>
          <w:rFonts w:ascii="Times New Roman" w:cs="Times New Roman" w:eastAsia="Times New Roman" w:hAnsi="Times New Roman"/>
          <w:sz w:val="18"/>
          <w:szCs w:val="18"/>
          <w:color w:val="auto"/>
        </w:rPr>
        <w:t>See “Securities Authorized For Issuance Under Equity Compensation Plans” on page 73 of this proxy statement for certain information with respect to all of our equity compensation plans in effect as of December 31, 2022.</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Amended Purchase Plan</w:t>
      </w:r>
    </w:p>
    <w:p>
      <w:pPr>
        <w:spacing w:after="0" w:line="162" w:lineRule="exact"/>
        <w:rPr>
          <w:sz w:val="20"/>
          <w:szCs w:val="20"/>
          <w:color w:val="auto"/>
        </w:rPr>
      </w:pPr>
    </w:p>
    <w:p>
      <w:pPr>
        <w:ind w:right="80" w:firstLine="419"/>
        <w:spacing w:after="0" w:line="266" w:lineRule="auto"/>
        <w:rPr>
          <w:sz w:val="20"/>
          <w:szCs w:val="20"/>
          <w:color w:val="auto"/>
        </w:rPr>
      </w:pPr>
      <w:r>
        <w:rPr>
          <w:rFonts w:ascii="Times New Roman" w:cs="Times New Roman" w:eastAsia="Times New Roman" w:hAnsi="Times New Roman"/>
          <w:sz w:val="18"/>
          <w:szCs w:val="18"/>
          <w:color w:val="auto"/>
        </w:rPr>
        <w:t>The material features of the Amended Purchase Plan are outlined below. This summary is qualified in its entirety by reference to the complete text of the Amended Purchase Plan. Stockholders are urged to read the actual text of the Amended Purchase Plan in its entirety, which is appended to this proxy statement as Appendix C and may be accessed from the SEC’s website at www.sec.gov.</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Purpose</w:t>
      </w:r>
    </w:p>
    <w:p>
      <w:pPr>
        <w:spacing w:after="0" w:line="160" w:lineRule="exact"/>
        <w:rPr>
          <w:sz w:val="20"/>
          <w:szCs w:val="20"/>
          <w:color w:val="auto"/>
        </w:rPr>
      </w:pPr>
    </w:p>
    <w:p>
      <w:pPr>
        <w:ind w:right="80" w:firstLine="419"/>
        <w:spacing w:after="0" w:line="258" w:lineRule="auto"/>
        <w:rPr>
          <w:sz w:val="20"/>
          <w:szCs w:val="20"/>
          <w:color w:val="auto"/>
        </w:rPr>
      </w:pPr>
      <w:r>
        <w:rPr>
          <w:rFonts w:ascii="Times New Roman" w:cs="Times New Roman" w:eastAsia="Times New Roman" w:hAnsi="Times New Roman"/>
          <w:sz w:val="18"/>
          <w:szCs w:val="18"/>
          <w:color w:val="auto"/>
        </w:rPr>
        <w:t>The purpose of the Amended Purchase Plan is to provide a means by which employees of MannKind (and any related corporations designated by the Board of Directors to participate in the Amended Purchase Plan) may be given an opportunity to purchase MannKind common stock through payroll deductions, to assist MannKind in retaining the services of its employees, in recruiting new employees and to provide incentives for such persons to exert maximum efforts for the Company’s success. As of March 23, 2023, approximately 408 employees were eligible to participate in the Amended Purchase Plan.</w:t>
      </w:r>
    </w:p>
    <w:p>
      <w:pPr>
        <w:spacing w:after="0" w:line="116" w:lineRule="exact"/>
        <w:rPr>
          <w:sz w:val="20"/>
          <w:szCs w:val="20"/>
          <w:color w:val="auto"/>
        </w:rPr>
      </w:pPr>
    </w:p>
    <w:p>
      <w:pPr>
        <w:ind w:right="140" w:firstLine="419"/>
        <w:spacing w:after="0" w:line="282" w:lineRule="auto"/>
        <w:rPr>
          <w:sz w:val="20"/>
          <w:szCs w:val="20"/>
          <w:color w:val="auto"/>
        </w:rPr>
      </w:pPr>
      <w:r>
        <w:rPr>
          <w:rFonts w:ascii="Times New Roman" w:cs="Times New Roman" w:eastAsia="Times New Roman" w:hAnsi="Times New Roman"/>
          <w:sz w:val="18"/>
          <w:szCs w:val="18"/>
          <w:color w:val="auto"/>
        </w:rPr>
        <w:t>The rights to purchase common stock granted under the Amended Purchase Plan are intended to qualify as options issued under an “employee stock purchase plan” as that term is defined in Section 423(b) of the Code.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Administration</w:t>
      </w:r>
    </w:p>
    <w:p>
      <w:pPr>
        <w:spacing w:after="0" w:line="160" w:lineRule="exact"/>
        <w:rPr>
          <w:sz w:val="20"/>
          <w:szCs w:val="20"/>
          <w:color w:val="auto"/>
        </w:rPr>
      </w:pPr>
    </w:p>
    <w:p>
      <w:pPr>
        <w:ind w:firstLine="419"/>
        <w:spacing w:after="0" w:line="258" w:lineRule="auto"/>
        <w:rPr>
          <w:sz w:val="20"/>
          <w:szCs w:val="20"/>
          <w:color w:val="auto"/>
        </w:rPr>
      </w:pPr>
      <w:r>
        <w:rPr>
          <w:rFonts w:ascii="Times New Roman" w:cs="Times New Roman" w:eastAsia="Times New Roman" w:hAnsi="Times New Roman"/>
          <w:sz w:val="18"/>
          <w:szCs w:val="18"/>
          <w:color w:val="auto"/>
        </w:rPr>
        <w:t>The Board of Directors administers the Amended Purchase Plan and has the final power to construe and interpret both the Amended Purchase Plan and the rights granted under it. The Board of Directors has the power to delegate administration of the Amended Purchase Plan to a committee composed of not fewer than two members of the Board. The Board of Directors has delegated administration of the Amended Purchase Plan to the Compensation Committee. The Compensation Committee has the power, subject to the provisions of the Amended Purchase Plan, to determine when and how rights to purchase MannKind common stock will be granted and the provisions of each offering of such rights (which need not be identical).</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Subject to Amended Purchase Plan</w:t>
      </w:r>
    </w:p>
    <w:p>
      <w:pPr>
        <w:spacing w:after="0" w:line="146" w:lineRule="exact"/>
        <w:rPr>
          <w:sz w:val="20"/>
          <w:szCs w:val="20"/>
          <w:color w:val="auto"/>
        </w:rPr>
      </w:pPr>
    </w:p>
    <w:p>
      <w:pPr>
        <w:ind w:right="160" w:firstLine="419"/>
        <w:spacing w:after="0" w:line="258" w:lineRule="auto"/>
        <w:rPr>
          <w:sz w:val="20"/>
          <w:szCs w:val="20"/>
          <w:color w:val="auto"/>
        </w:rPr>
      </w:pPr>
      <w:r>
        <w:rPr>
          <w:rFonts w:ascii="Times New Roman" w:cs="Times New Roman" w:eastAsia="Times New Roman" w:hAnsi="Times New Roman"/>
          <w:sz w:val="18"/>
          <w:szCs w:val="18"/>
          <w:color w:val="auto"/>
        </w:rPr>
        <w:t>As of March 23, 2023, the Amended Purchase Plan had 406,015 shares of MannKind common stock available for future purchase under the Amended Purchase Plan. Subject to this Proposal 5, an additional 3,000,000 shares of MannKind common stock will be made available for future purchases under the Amended Purchase Plan beginning 2023. If purchase rights granted under the Amended Purchase Plan expire, lapse or otherwise terminate without being exercised, the shares of MannKind common stock not purchased under such rights again become available for issuance under the Amended Purchase Plan. A total of 264,248,864 shares of MannKind common stock were outstanding as of March 23, 2023.</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Offerings</w:t>
      </w:r>
    </w:p>
    <w:p>
      <w:pPr>
        <w:spacing w:after="0" w:line="160" w:lineRule="exact"/>
        <w:rPr>
          <w:sz w:val="20"/>
          <w:szCs w:val="20"/>
          <w:color w:val="auto"/>
        </w:rPr>
      </w:pPr>
    </w:p>
    <w:p>
      <w:pPr>
        <w:ind w:right="460" w:firstLine="419"/>
        <w:spacing w:after="0" w:line="266" w:lineRule="auto"/>
        <w:rPr>
          <w:sz w:val="20"/>
          <w:szCs w:val="20"/>
          <w:color w:val="auto"/>
        </w:rPr>
      </w:pPr>
      <w:r>
        <w:rPr>
          <w:rFonts w:ascii="Times New Roman" w:cs="Times New Roman" w:eastAsia="Times New Roman" w:hAnsi="Times New Roman"/>
          <w:sz w:val="18"/>
          <w:szCs w:val="18"/>
          <w:color w:val="auto"/>
        </w:rPr>
        <w:t>The Amended Purchase Plan is implemented by offerings of purchase rights to all eligible employees from time to time by the Compensation Committee. The maximum length for an offering under the Amended Purchase Plan is 27 months. Currently, under the Amended Purchase Plan, each offering is typically six months long and is divided into one “purchase period.”</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Eligibility</w:t>
      </w:r>
    </w:p>
    <w:p>
      <w:pPr>
        <w:spacing w:after="0" w:line="160" w:lineRule="exact"/>
        <w:rPr>
          <w:sz w:val="20"/>
          <w:szCs w:val="20"/>
          <w:color w:val="auto"/>
        </w:rPr>
      </w:pPr>
    </w:p>
    <w:p>
      <w:pPr>
        <w:ind w:right="20" w:firstLine="419"/>
        <w:spacing w:after="0" w:line="254" w:lineRule="auto"/>
        <w:rPr>
          <w:sz w:val="20"/>
          <w:szCs w:val="20"/>
          <w:color w:val="auto"/>
        </w:rPr>
      </w:pPr>
      <w:r>
        <w:rPr>
          <w:rFonts w:ascii="Times New Roman" w:cs="Times New Roman" w:eastAsia="Times New Roman" w:hAnsi="Times New Roman"/>
          <w:sz w:val="18"/>
          <w:szCs w:val="18"/>
          <w:color w:val="auto"/>
        </w:rPr>
        <w:t>Any person, other than a part-time or seasonal employee, who is customarily employed at least 20 hours per week and 5 months per calendar year by MannKind (or by any parent or subsidiary of MannKind designated by the Board of Directors) on the first day of an offering is eligible to participate in that offering, provided such employee has been continuously employed by MannKind or the designated parent or subsidiary for such period preceding the grant as our Board of Directors or the Compensation Committee may require, but in no event will the required period of continuous employment be greater than two years. We exclude from participation those of our employees who are employed in jurisdictions outside of the United States if, as of the offering date of the offering, the grant of such purchase rights would not be in compliance with the applicable laws of any jurisdiction in which the employee resides or is employed. Officers of MannKind who are “highly compensated” as defined in the Code may be eligible to participate in the offerings, unless our Board of Directors or the Compensation Committee provides otherwise.</w:t>
      </w:r>
    </w:p>
    <w:p>
      <w:pPr>
        <w:spacing w:after="0" w:line="124" w:lineRule="exact"/>
        <w:rPr>
          <w:sz w:val="20"/>
          <w:szCs w:val="20"/>
          <w:color w:val="auto"/>
        </w:rPr>
      </w:pPr>
    </w:p>
    <w:p>
      <w:pPr>
        <w:ind w:right="40" w:firstLine="419"/>
        <w:spacing w:after="0" w:line="258" w:lineRule="auto"/>
        <w:rPr>
          <w:sz w:val="20"/>
          <w:szCs w:val="20"/>
          <w:color w:val="auto"/>
        </w:rPr>
      </w:pPr>
      <w:r>
        <w:rPr>
          <w:rFonts w:ascii="Times New Roman" w:cs="Times New Roman" w:eastAsia="Times New Roman" w:hAnsi="Times New Roman"/>
          <w:sz w:val="18"/>
          <w:szCs w:val="18"/>
          <w:color w:val="auto"/>
        </w:rPr>
        <w:t>No employee is eligible to participate in the Amended Purchase Plan if, immediately after the grant of purchase rights, the employee would own, directly or indirectly, stock possessing 5% or more of the total combined voting power or value of all classes of stock of MannKind or of any parent or subsidiary of MannKind (including any stock which such employee may purchase under all outstanding rights and options). In addition, no employee may accrue the right to purchase more than $25,000 worth of MannKind common stock (determined at the fair market value of the shares at the time such rights are granted) under all employee stock purchase</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2" w:right="339" w:bottom="1440" w:gutter="0" w:footer="0" w:header="0"/>
        </w:sectPr>
      </w:pPr>
    </w:p>
    <w:bookmarkStart w:id="45" w:name="page46"/>
    <w:bookmarkEnd w:id="45"/>
    <w:p>
      <w:pPr>
        <w:ind w:right="60"/>
        <w:spacing w:after="0" w:line="282" w:lineRule="auto"/>
        <w:rPr>
          <w:sz w:val="20"/>
          <w:szCs w:val="20"/>
          <w:color w:val="auto"/>
        </w:rPr>
      </w:pPr>
      <w:r>
        <w:rPr>
          <w:rFonts w:ascii="Times New Roman" w:cs="Times New Roman" w:eastAsia="Times New Roman" w:hAnsi="Times New Roman"/>
          <w:sz w:val="18"/>
          <w:szCs w:val="18"/>
          <w:color w:val="auto"/>
        </w:rPr>
        <w:t>plans of MannKind and any parent and subsidiaries in any calendar year. An employee also may not purchase more than 5,000 shares of common stock on any purchase date.</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Participation in the Amended Purchase Plan</w:t>
      </w:r>
    </w:p>
    <w:p>
      <w:pPr>
        <w:spacing w:after="0" w:line="160" w:lineRule="exact"/>
        <w:rPr>
          <w:sz w:val="20"/>
          <w:szCs w:val="20"/>
          <w:color w:val="auto"/>
        </w:rPr>
      </w:pPr>
    </w:p>
    <w:p>
      <w:pPr>
        <w:ind w:right="360" w:firstLine="419"/>
        <w:spacing w:after="0" w:line="258" w:lineRule="auto"/>
        <w:rPr>
          <w:sz w:val="20"/>
          <w:szCs w:val="20"/>
          <w:color w:val="auto"/>
        </w:rPr>
      </w:pPr>
      <w:r>
        <w:rPr>
          <w:rFonts w:ascii="Times New Roman" w:cs="Times New Roman" w:eastAsia="Times New Roman" w:hAnsi="Times New Roman"/>
          <w:sz w:val="18"/>
          <w:szCs w:val="18"/>
          <w:color w:val="auto"/>
        </w:rPr>
        <w:t>Eligible employees enroll in the Amended Purchase Plan by delivering to MannKind, prior to the date selected by our Board of Directors or the Compensation Committee as the offering date for the offering, an agreement authorizing payroll deductions of up to 20% of such employees’ total compensation during the offering. Our Board of Directors may provide that each person who, during the course of an offering, first becomes eligible to participate in the Amended Purchase Plan will, on a date or dates specified in the offering which coincides with the day on which such person becomes eligible to participate or which occurs thereafter, receive a purchase right under that offering.</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Price</w:t>
      </w:r>
    </w:p>
    <w:p>
      <w:pPr>
        <w:spacing w:after="0" w:line="146" w:lineRule="exact"/>
        <w:rPr>
          <w:sz w:val="20"/>
          <w:szCs w:val="20"/>
          <w:color w:val="auto"/>
        </w:rPr>
      </w:pPr>
    </w:p>
    <w:p>
      <w:pPr>
        <w:ind w:right="20" w:firstLine="419"/>
        <w:spacing w:after="0" w:line="266" w:lineRule="auto"/>
        <w:rPr>
          <w:sz w:val="20"/>
          <w:szCs w:val="20"/>
          <w:color w:val="auto"/>
        </w:rPr>
      </w:pPr>
      <w:r>
        <w:rPr>
          <w:rFonts w:ascii="Times New Roman" w:cs="Times New Roman" w:eastAsia="Times New Roman" w:hAnsi="Times New Roman"/>
          <w:sz w:val="18"/>
          <w:szCs w:val="18"/>
          <w:color w:val="auto"/>
        </w:rPr>
        <w:t>The purchase price per share at which shares of common stock are sold in an offering under the Amended Purchase Plan is the lower of (i) 85% of the fair market value of a share of common stock on first day of the offering or (ii) 85% of the fair market value of a share of common stock on the purchase date, as set by our Board of Directors or the Compensation Committee.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Payment of Purchase Price; Payroll Deductions</w:t>
      </w:r>
    </w:p>
    <w:p>
      <w:pPr>
        <w:spacing w:after="0" w:line="160" w:lineRule="exact"/>
        <w:rPr>
          <w:sz w:val="20"/>
          <w:szCs w:val="20"/>
          <w:color w:val="auto"/>
        </w:rPr>
      </w:pPr>
    </w:p>
    <w:p>
      <w:pPr>
        <w:ind w:right="40" w:firstLine="419"/>
        <w:spacing w:after="0" w:line="258" w:lineRule="auto"/>
        <w:rPr>
          <w:sz w:val="20"/>
          <w:szCs w:val="20"/>
          <w:color w:val="auto"/>
        </w:rPr>
      </w:pPr>
      <w:r>
        <w:rPr>
          <w:rFonts w:ascii="Times New Roman" w:cs="Times New Roman" w:eastAsia="Times New Roman" w:hAnsi="Times New Roman"/>
          <w:sz w:val="18"/>
          <w:szCs w:val="18"/>
          <w:color w:val="auto"/>
        </w:rPr>
        <w:t>The purchase price of the shares is accumulated by payroll deductions over the offering. At any time during the offering, a participant may reduce or terminate his or her payroll deductions as our Board of Directors provides in the offering. A participant may increase or begin such payroll deductions after the beginning of the offering only as provided for in the offering. All payroll deductions made for a participant are credited to his or her account under the Amended Purchase Plan and deposited with the general funds of MannKind. A participant may make additional payments into such account only if specifically provided for in the offering and only if the participant has not had the maximum amount withheld during the offering.</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 of Stock</w:t>
      </w:r>
    </w:p>
    <w:p>
      <w:pPr>
        <w:spacing w:after="0" w:line="160" w:lineRule="exact"/>
        <w:rPr>
          <w:sz w:val="20"/>
          <w:szCs w:val="20"/>
          <w:color w:val="auto"/>
        </w:rPr>
      </w:pPr>
    </w:p>
    <w:p>
      <w:pPr>
        <w:ind w:firstLine="419"/>
        <w:spacing w:after="0" w:line="253" w:lineRule="auto"/>
        <w:rPr>
          <w:sz w:val="20"/>
          <w:szCs w:val="20"/>
          <w:color w:val="auto"/>
        </w:rPr>
      </w:pPr>
      <w:r>
        <w:rPr>
          <w:rFonts w:ascii="Times New Roman" w:cs="Times New Roman" w:eastAsia="Times New Roman" w:hAnsi="Times New Roman"/>
          <w:sz w:val="18"/>
          <w:szCs w:val="18"/>
          <w:color w:val="auto"/>
        </w:rPr>
        <w:t>By executing an agreement to participate in the Amended Purchase Plan, the employee is entitled to purchase shares under the Amended Purchase Plan. In connection with offerings made under the Amended Purchase Plan, our Board of Directors or the Compensation Committee specifies a maximum number of shares of common stock an employee may be granted the right to purchase and the maximum aggregate number of shares of MannKind common stock that may be purchased pursuant to such offering by all participants. If the aggregate number of shares to be purchased upon exercise of purchase rights granted in the offering would exceed the maximum aggregate number of shares of MannKind common stock available, our Board of Directors or the Compensation Committee would make a pro rata allocation of available shares in a uniform and equitable manner. Unless the employee’s participation is discontinued, his or her right to purchase shares is exercised automatically on the purchase date, as set by our Board of Directors, at the applicable price. See “Withdrawal” below. In addition, unless otherwise specifically provided in the offering, the amount, if any, of accumulated payroll deductions remaining in any participant’s account after the purchase of shares on the final purchase date of an offering will be distributed in full to the participant at the end of such offering, without interest.</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Withdrawal</w:t>
      </w:r>
    </w:p>
    <w:p>
      <w:pPr>
        <w:spacing w:after="0" w:line="146" w:lineRule="exact"/>
        <w:rPr>
          <w:sz w:val="20"/>
          <w:szCs w:val="20"/>
          <w:color w:val="auto"/>
        </w:rPr>
      </w:pPr>
    </w:p>
    <w:p>
      <w:pPr>
        <w:ind w:firstLine="419"/>
        <w:spacing w:after="0" w:line="266" w:lineRule="auto"/>
        <w:rPr>
          <w:sz w:val="20"/>
          <w:szCs w:val="20"/>
          <w:color w:val="auto"/>
        </w:rPr>
      </w:pPr>
      <w:r>
        <w:rPr>
          <w:rFonts w:ascii="Times New Roman" w:cs="Times New Roman" w:eastAsia="Times New Roman" w:hAnsi="Times New Roman"/>
          <w:sz w:val="18"/>
          <w:szCs w:val="18"/>
          <w:color w:val="auto"/>
        </w:rPr>
        <w:t>While each participant in the Amended Purchase Plan is required to sign an agreement authorizing payroll deductions, the participant may withdraw from a given offering by terminating his or her payroll deductions and by delivering to MannKind a notice of withdrawal from the Amended Purchase Plan. Such withdrawal may be elected at any time during the offering except as provided by our Board of Directors in the offering.</w:t>
      </w:r>
    </w:p>
    <w:p>
      <w:pPr>
        <w:spacing w:after="0" w:line="108" w:lineRule="exact"/>
        <w:rPr>
          <w:sz w:val="20"/>
          <w:szCs w:val="20"/>
          <w:color w:val="auto"/>
        </w:rPr>
      </w:pPr>
    </w:p>
    <w:p>
      <w:pPr>
        <w:ind w:right="20" w:firstLine="419"/>
        <w:spacing w:after="0" w:line="258" w:lineRule="auto"/>
        <w:rPr>
          <w:sz w:val="20"/>
          <w:szCs w:val="20"/>
          <w:color w:val="auto"/>
        </w:rPr>
      </w:pPr>
      <w:r>
        <w:rPr>
          <w:rFonts w:ascii="Times New Roman" w:cs="Times New Roman" w:eastAsia="Times New Roman" w:hAnsi="Times New Roman"/>
          <w:sz w:val="18"/>
          <w:szCs w:val="18"/>
          <w:color w:val="auto"/>
        </w:rPr>
        <w:t>Upon any withdrawal from an offering by the employee, MannKind will distribute to the employee his or her accumulated payroll deductions without interest, less any accumulated deductions previously applied to the purchase of shares of common stock on the employee’s behalf during such offering, and such employee’s interest in the offering will be automatically terminated. The employee is not entitled to again participate in that offering. However, an employee’s withdrawal from an offering will not have any effect upon such employee’s eligibility to participate in subsequent offerings under the Amended Purchase Plan.</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Termination of Employment</w:t>
      </w:r>
    </w:p>
    <w:p>
      <w:pPr>
        <w:spacing w:after="0" w:line="146" w:lineRule="exact"/>
        <w:rPr>
          <w:sz w:val="20"/>
          <w:szCs w:val="20"/>
          <w:color w:val="auto"/>
        </w:rPr>
      </w:pPr>
    </w:p>
    <w:p>
      <w:pPr>
        <w:ind w:right="780" w:firstLine="419"/>
        <w:spacing w:after="0" w:line="312" w:lineRule="auto"/>
        <w:rPr>
          <w:sz w:val="20"/>
          <w:szCs w:val="20"/>
          <w:color w:val="auto"/>
        </w:rPr>
      </w:pPr>
      <w:r>
        <w:rPr>
          <w:rFonts w:ascii="Times New Roman" w:cs="Times New Roman" w:eastAsia="Times New Roman" w:hAnsi="Times New Roman"/>
          <w:sz w:val="17"/>
          <w:szCs w:val="17"/>
          <w:color w:val="auto"/>
        </w:rPr>
        <w:t>Purchase rights granted pursuant to any offering under the Amended Purchase Plan terminate immediately upon cessation of an employee’s employment for any reason, and MannKind will distribute to such employee all of his or her accumulated payroll deductions, without interest.</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Restrictions on Transfer</w:t>
      </w:r>
    </w:p>
    <w:p>
      <w:pPr>
        <w:spacing w:after="0" w:line="160" w:lineRule="exact"/>
        <w:rPr>
          <w:sz w:val="20"/>
          <w:szCs w:val="20"/>
          <w:color w:val="auto"/>
        </w:rPr>
      </w:pPr>
    </w:p>
    <w:p>
      <w:pPr>
        <w:ind w:right="420" w:firstLine="419"/>
        <w:spacing w:after="0" w:line="266" w:lineRule="auto"/>
        <w:rPr>
          <w:sz w:val="20"/>
          <w:szCs w:val="20"/>
          <w:color w:val="auto"/>
        </w:rPr>
      </w:pPr>
      <w:r>
        <w:rPr>
          <w:rFonts w:ascii="Times New Roman" w:cs="Times New Roman" w:eastAsia="Times New Roman" w:hAnsi="Times New Roman"/>
          <w:sz w:val="18"/>
          <w:szCs w:val="18"/>
          <w:color w:val="auto"/>
        </w:rPr>
        <w:t>Purchase rights granted under the Amended Purchase Plan are not transferable and may be exercised only by the person to whom such rights are granted. A participant may designate a beneficiary who is to receive any shares and cash, if any, from the participant’s account under the Amended Purchase Plan in the event of such participant’s death after the offering but prior to delivery to the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46" w:name="page47"/>
    <w:bookmarkEnd w:id="46"/>
    <w:p>
      <w:pPr>
        <w:ind w:right="280"/>
        <w:spacing w:after="0" w:line="414" w:lineRule="auto"/>
        <w:rPr>
          <w:sz w:val="20"/>
          <w:szCs w:val="20"/>
          <w:color w:val="auto"/>
        </w:rPr>
      </w:pPr>
      <w:r>
        <w:rPr>
          <w:rFonts w:ascii="Times New Roman" w:cs="Times New Roman" w:eastAsia="Times New Roman" w:hAnsi="Times New Roman"/>
          <w:sz w:val="18"/>
          <w:szCs w:val="18"/>
          <w:color w:val="auto"/>
        </w:rPr>
        <w:t xml:space="preserve">participant of the shares and cash, or who is to receive the cash from the participant’s account in the event of such participant’s death during an offering. </w:t>
      </w:r>
      <w:r>
        <w:rPr>
          <w:rFonts w:ascii="Times New Roman" w:cs="Times New Roman" w:eastAsia="Times New Roman" w:hAnsi="Times New Roman"/>
          <w:sz w:val="18"/>
          <w:szCs w:val="18"/>
          <w:i w:val="1"/>
          <w:iCs w:val="1"/>
          <w:color w:val="auto"/>
        </w:rPr>
        <w:t>Adjustment Provisions</w:t>
      </w:r>
    </w:p>
    <w:p>
      <w:pPr>
        <w:spacing w:after="0" w:line="1" w:lineRule="exact"/>
        <w:rPr>
          <w:sz w:val="20"/>
          <w:szCs w:val="20"/>
          <w:color w:val="auto"/>
        </w:rPr>
      </w:pPr>
    </w:p>
    <w:p>
      <w:pPr>
        <w:ind w:right="120" w:firstLine="419"/>
        <w:spacing w:after="0" w:line="258" w:lineRule="auto"/>
        <w:rPr>
          <w:sz w:val="20"/>
          <w:szCs w:val="20"/>
          <w:color w:val="auto"/>
        </w:rPr>
      </w:pPr>
      <w:r>
        <w:rPr>
          <w:rFonts w:ascii="Times New Roman" w:cs="Times New Roman" w:eastAsia="Times New Roman" w:hAnsi="Times New Roman"/>
          <w:sz w:val="18"/>
          <w:szCs w:val="18"/>
          <w:color w:val="auto"/>
        </w:rPr>
        <w:t>Transactions not involving receipt of consideration by MannKind, such as a reincorporation, combination, reclassification, stock dividend or stock split, may change the type, class and number of shares of common stock subject to the Amended Purchase Plan and to outstanding purchase rights. In that event, the Amended Purchase Plan will be appropriately adjusted in the type, class and maximum number of shares subject to the Amended Purchase Plan and the outstanding purchase rights granted under the Amended Purchase Plan will be appropriately adjusted in the type, class, number of shares and purchase limits of such purchase rights.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Effect of Certain Transactions</w:t>
      </w:r>
    </w:p>
    <w:p>
      <w:pPr>
        <w:spacing w:after="0" w:line="146" w:lineRule="exact"/>
        <w:rPr>
          <w:sz w:val="20"/>
          <w:szCs w:val="20"/>
          <w:color w:val="auto"/>
        </w:rPr>
      </w:pPr>
    </w:p>
    <w:p>
      <w:pPr>
        <w:ind w:right="40" w:firstLine="419"/>
        <w:spacing w:after="0" w:line="255" w:lineRule="auto"/>
        <w:rPr>
          <w:sz w:val="20"/>
          <w:szCs w:val="20"/>
          <w:color w:val="auto"/>
        </w:rPr>
      </w:pPr>
      <w:r>
        <w:rPr>
          <w:rFonts w:ascii="Times New Roman" w:cs="Times New Roman" w:eastAsia="Times New Roman" w:hAnsi="Times New Roman"/>
          <w:sz w:val="18"/>
          <w:szCs w:val="18"/>
          <w:color w:val="auto"/>
        </w:rPr>
        <w:t>In the event of (i) a dissolution, liquidation or sale of all or substantially all of the securities or assets of MannKind, (ii) a merger or consolidation in which MannKind is not the surviving corporation, (iii) a reverse merger in which MannKind is the surviving corporation but the shares of common stock outstanding immediately preceding the merger are converted by virtue of the merger into other property, whether in the form of securities, cash or otherwise, or (iv) a sale or other disposition of at least 50% of the outstanding securities of the Company, any surviving corporation may continue or assume purchase rights outstanding under the Amended Purchase Plan or may substitute similar rights. If any surviving corporation does not assume such rights or substitute similar rights, then the participants’ accumulated payroll deductions will be used to purchase shares of common stock immediately prior to such transaction under the ongoing offering and the participants’ rights under such ongoing offering will terminate immediately after such purchase.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Duration, Amendment and Termination</w:t>
      </w:r>
    </w:p>
    <w:p>
      <w:pPr>
        <w:spacing w:after="0" w:line="160"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Our Board of Directors or the Compensation Committee may suspend or terminate the Amended Purchase Plan at any time. Unless terminated earlier, the Amended Purchase Plan will terminate at the time that all of the shares of common stock reserved for issuance under the Amended Purchase Plan have been issued under the terms of the Amended Purchase Plan.</w:t>
      </w:r>
    </w:p>
    <w:p>
      <w:pPr>
        <w:spacing w:after="0" w:line="95" w:lineRule="exact"/>
        <w:rPr>
          <w:sz w:val="20"/>
          <w:szCs w:val="20"/>
          <w:color w:val="auto"/>
        </w:rPr>
      </w:pPr>
    </w:p>
    <w:p>
      <w:pPr>
        <w:ind w:right="120" w:firstLine="419"/>
        <w:spacing w:after="0" w:line="254" w:lineRule="auto"/>
        <w:rPr>
          <w:sz w:val="20"/>
          <w:szCs w:val="20"/>
          <w:color w:val="auto"/>
        </w:rPr>
      </w:pPr>
      <w:r>
        <w:rPr>
          <w:rFonts w:ascii="Times New Roman" w:cs="Times New Roman" w:eastAsia="Times New Roman" w:hAnsi="Times New Roman"/>
          <w:sz w:val="18"/>
          <w:szCs w:val="18"/>
          <w:color w:val="auto"/>
        </w:rPr>
        <w:t>Our Board of Directors or the Compensation Committee may amend the Amended Purchase Plan at any time. Any amendment of the Amended Purchase Plan must be approved by the stockholders within 12 months of its adoption by the Board of Directors or the Compensation Committee if the amendment would (i) increase the number of shares of common stock reserved for issuance under the Amended Purchase Plan, (ii) modify the requirements relating to eligibility for participation in the Amended Purchase Plan (to the extent such modification requires stockholder approval in order for the Amended Purchase Plan to obtain employee stock purchase plan treatment under Section 423 of the Code or to comply with the requirements of Rule 16b-3 promulgated under the Exchange Act, or “Rule 16b-3”); or (iii) modify the Amended Purchase Plan in any other way if such modification requires stockholder approval in order for the Amended Purchase Plan to obtain employee stock purchase plan treatment under Section 423 of the Code or to comply with the requirements of Rule 16b-3.</w:t>
      </w:r>
    </w:p>
    <w:p>
      <w:pPr>
        <w:spacing w:after="0" w:line="124" w:lineRule="exact"/>
        <w:rPr>
          <w:sz w:val="20"/>
          <w:szCs w:val="20"/>
          <w:color w:val="auto"/>
        </w:rPr>
      </w:pPr>
    </w:p>
    <w:p>
      <w:pPr>
        <w:ind w:right="560" w:firstLine="419"/>
        <w:spacing w:after="0" w:line="282" w:lineRule="auto"/>
        <w:rPr>
          <w:sz w:val="20"/>
          <w:szCs w:val="20"/>
          <w:color w:val="auto"/>
        </w:rPr>
      </w:pPr>
      <w:r>
        <w:rPr>
          <w:rFonts w:ascii="Times New Roman" w:cs="Times New Roman" w:eastAsia="Times New Roman" w:hAnsi="Times New Roman"/>
          <w:sz w:val="18"/>
          <w:szCs w:val="18"/>
          <w:color w:val="auto"/>
        </w:rPr>
        <w:t>Purchase rights granted before amendment or termination of the Amended Purchase Plan will not be altered or impaired by any amendment or termination of the Amended Purchase Plan without consent of the employee to whom such rights were granted.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Information</w:t>
      </w:r>
    </w:p>
    <w:p>
      <w:pPr>
        <w:spacing w:after="0" w:line="148" w:lineRule="exact"/>
        <w:rPr>
          <w:sz w:val="20"/>
          <w:szCs w:val="20"/>
          <w:color w:val="auto"/>
        </w:rPr>
      </w:pPr>
    </w:p>
    <w:p>
      <w:pPr>
        <w:ind w:right="240" w:firstLine="419"/>
        <w:spacing w:after="0" w:line="282" w:lineRule="auto"/>
        <w:rPr>
          <w:sz w:val="20"/>
          <w:szCs w:val="20"/>
          <w:color w:val="auto"/>
        </w:rPr>
      </w:pPr>
      <w:r>
        <w:rPr>
          <w:rFonts w:ascii="Times New Roman" w:cs="Times New Roman" w:eastAsia="Times New Roman" w:hAnsi="Times New Roman"/>
          <w:sz w:val="18"/>
          <w:szCs w:val="18"/>
          <w:color w:val="auto"/>
        </w:rPr>
        <w:t>Purchase rights granted under the Amended Purchase Plan are intended to qualify for favorable federal income tax treatment associated with rights granted under an employee stock purchase plan which qualifies under provisions of Section 423 of the Code.</w:t>
      </w:r>
    </w:p>
    <w:p>
      <w:pPr>
        <w:spacing w:after="0" w:line="94" w:lineRule="exact"/>
        <w:rPr>
          <w:sz w:val="20"/>
          <w:szCs w:val="20"/>
          <w:color w:val="auto"/>
        </w:rPr>
      </w:pPr>
    </w:p>
    <w:p>
      <w:pPr>
        <w:ind w:right="20" w:firstLine="419"/>
        <w:spacing w:after="0" w:line="266" w:lineRule="auto"/>
        <w:rPr>
          <w:sz w:val="20"/>
          <w:szCs w:val="20"/>
          <w:color w:val="auto"/>
        </w:rPr>
      </w:pPr>
      <w:r>
        <w:rPr>
          <w:rFonts w:ascii="Times New Roman" w:cs="Times New Roman" w:eastAsia="Times New Roman" w:hAnsi="Times New Roman"/>
          <w:sz w:val="18"/>
          <w:szCs w:val="18"/>
          <w:color w:val="auto"/>
        </w:rPr>
        <w:t>A participant will be taxed on amounts withheld for the purchase of shares of common stock as if such amounts were actually received. Otherwise, no income will be taxable to a participant until disposition of the acquired shares, and the method of taxation will depend upon the holding period of the acquired shares.</w:t>
      </w:r>
    </w:p>
    <w:p>
      <w:pPr>
        <w:spacing w:after="0" w:line="108" w:lineRule="exact"/>
        <w:rPr>
          <w:sz w:val="20"/>
          <w:szCs w:val="20"/>
          <w:color w:val="auto"/>
        </w:rPr>
      </w:pPr>
    </w:p>
    <w:p>
      <w:pPr>
        <w:ind w:right="40" w:firstLine="419"/>
        <w:spacing w:after="0" w:line="258" w:lineRule="auto"/>
        <w:rPr>
          <w:sz w:val="20"/>
          <w:szCs w:val="20"/>
          <w:color w:val="auto"/>
        </w:rPr>
      </w:pPr>
      <w:r>
        <w:rPr>
          <w:rFonts w:ascii="Times New Roman" w:cs="Times New Roman" w:eastAsia="Times New Roman" w:hAnsi="Times New Roman"/>
          <w:sz w:val="18"/>
          <w:szCs w:val="18"/>
          <w:color w:val="auto"/>
        </w:rPr>
        <w:t>If the stock is disposed of more than two years after the beginning of the offering period and more than one year after the stock is transferred to the participant, then the lesser of (i) the excess of the fair market value of the stock at the time of such disposition over the purchase price or (ii) the excess of the fair market value of the stock as of the beginning of the offering period over the purchase price (determined as of the beginning of the offering period) will be treated as ordinary income. Any further gain or any loss will be taxed as a long-term capital gain or loss. At present, such capital gains generally are subject to lower tax rates than ordinary income.</w:t>
      </w:r>
    </w:p>
    <w:p>
      <w:pPr>
        <w:spacing w:after="0" w:line="102" w:lineRule="exact"/>
        <w:rPr>
          <w:sz w:val="20"/>
          <w:szCs w:val="20"/>
          <w:color w:val="auto"/>
        </w:rPr>
      </w:pPr>
    </w:p>
    <w:p>
      <w:pPr>
        <w:ind w:right="20" w:firstLine="419"/>
        <w:spacing w:after="0" w:line="258" w:lineRule="auto"/>
        <w:rPr>
          <w:sz w:val="20"/>
          <w:szCs w:val="20"/>
          <w:color w:val="auto"/>
        </w:rPr>
      </w:pPr>
      <w:r>
        <w:rPr>
          <w:rFonts w:ascii="Times New Roman" w:cs="Times New Roman" w:eastAsia="Times New Roman" w:hAnsi="Times New Roman"/>
          <w:sz w:val="18"/>
          <w:szCs w:val="18"/>
          <w:color w:val="auto"/>
        </w:rPr>
        <w:t>If the stock is sold or disposed of before the expiration of either of the holding periods described above, then the excess of the fair market value of the stock on the purchase date over the purchase price will be treated as ordinary income at the time of such disposition. The balance of any gain will be treated as capital gain. Even if the stock is later disposed of for less than its fair market value on the exercise date, the same amount of ordinary income is attributed to the participant, and a capital loss is recognized equal to the difference between the sales price and the fair market value of the stock on such purchase date. Any capital gain or loss will be short-term or long-term, depending on how long the stock has been held.</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47" w:name="page48"/>
    <w:bookmarkEnd w:id="47"/>
    <w:p>
      <w:pPr>
        <w:ind w:right="20" w:firstLine="419"/>
        <w:spacing w:after="0" w:line="266" w:lineRule="auto"/>
        <w:rPr>
          <w:sz w:val="20"/>
          <w:szCs w:val="20"/>
          <w:color w:val="auto"/>
        </w:rPr>
      </w:pPr>
      <w:r>
        <w:rPr>
          <w:rFonts w:ascii="Times New Roman" w:cs="Times New Roman" w:eastAsia="Times New Roman" w:hAnsi="Times New Roman"/>
          <w:sz w:val="18"/>
          <w:szCs w:val="18"/>
          <w:color w:val="auto"/>
        </w:rPr>
        <w:t>There are no federal income tax consequences to MannKind by reason of the grant or exercise of purchase rights under the Purchase Plan. MannKind is entitled to a deduction to the extent amounts are taxed as ordinary income to a participant (subject to the requirement of reasonableness and the satisfaction of tax reporting obligations).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162"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Participation in the Amended Purchase Plan is voluntary and each eligible employee will make his or her own decision whether and to what extent to participate in the plan. It is therefore not possible to determine the benefits or amounts that will be received in the future by individual employees or groups of employees under the Amended Purchase Plan.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 AND BOARD OF DIRECTORS RECOMMENDATION</w:t>
      </w:r>
    </w:p>
    <w:p>
      <w:pPr>
        <w:spacing w:after="0" w:line="148" w:lineRule="exact"/>
        <w:rPr>
          <w:sz w:val="20"/>
          <w:szCs w:val="20"/>
          <w:color w:val="auto"/>
        </w:rPr>
      </w:pPr>
    </w:p>
    <w:p>
      <w:pPr>
        <w:jc w:val="both"/>
        <w:ind w:right="320" w:firstLine="419"/>
        <w:spacing w:after="0" w:line="266" w:lineRule="auto"/>
        <w:rPr>
          <w:sz w:val="20"/>
          <w:szCs w:val="20"/>
          <w:color w:val="auto"/>
        </w:rPr>
      </w:pPr>
      <w:r>
        <w:rPr>
          <w:rFonts w:ascii="Times New Roman" w:cs="Times New Roman" w:eastAsia="Times New Roman" w:hAnsi="Times New Roman"/>
          <w:sz w:val="18"/>
          <w:szCs w:val="18"/>
          <w:color w:val="auto"/>
        </w:rPr>
        <w:t>In this Proposal 5, stockholders are requested to approve the Amended Purchase Plan. Approval of Proposal 5 requires the affirmative vote of the majority of the votes cast on Proposal 5. Abstentions and broker non-votes are counted toward a quorum, but will have no effect on the outcome of the vote.</w:t>
      </w:r>
    </w:p>
    <w:p>
      <w:pPr>
        <w:spacing w:after="0" w:line="200" w:lineRule="exact"/>
        <w:rPr>
          <w:sz w:val="20"/>
          <w:szCs w:val="20"/>
          <w:color w:val="auto"/>
        </w:rPr>
      </w:pPr>
    </w:p>
    <w:p>
      <w:pPr>
        <w:spacing w:after="0" w:line="26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THE BOARD OF DIRECTORS RECOMMENDS</w:t>
      </w:r>
    </w:p>
    <w:p>
      <w:pPr>
        <w:spacing w:after="0" w:line="1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 VOTE “FOR” PROPOSAL 5</w:t>
      </w:r>
    </w:p>
    <w:p>
      <w:pPr>
        <w:spacing w:after="0" w:line="20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86" w:right="379" w:bottom="1440" w:gutter="0" w:footer="0" w:header="0"/>
        </w:sectPr>
      </w:pPr>
    </w:p>
    <w:bookmarkStart w:id="48" w:name="page49"/>
    <w:bookmarkEnd w:id="48"/>
    <w:p>
      <w:pPr>
        <w:ind w:left="120"/>
        <w:spacing w:after="0"/>
        <w:rPr>
          <w:sz w:val="20"/>
          <w:szCs w:val="20"/>
          <w:color w:val="auto"/>
        </w:rPr>
      </w:pPr>
      <w:r>
        <w:rPr>
          <w:rFonts w:ascii="Times New Roman" w:cs="Times New Roman" w:eastAsia="Times New Roman" w:hAnsi="Times New Roman"/>
          <w:sz w:val="57"/>
          <w:szCs w:val="57"/>
          <w:b w:val="1"/>
          <w:bCs w:val="1"/>
          <w:color w:val="FFFFFF"/>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6261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626110"/>
                    </a:xfrm>
                    <a:prstGeom prst="rect">
                      <a:avLst/>
                    </a:prstGeom>
                    <a:noFill/>
                  </pic:spPr>
                </pic:pic>
              </a:graphicData>
            </a:graphic>
          </wp:anchor>
        </w:drawing>
        <w:t>Proposal 6</w:t>
      </w:r>
    </w:p>
    <w:p>
      <w:pPr>
        <w:sectPr>
          <w:pgSz w:w="11900" w:h="16838" w:orient="portrait"/>
          <w:cols w:equalWidth="0" w:num="1">
            <w:col w:w="11240"/>
          </w:cols>
          <w:pgMar w:left="320" w:top="67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ADVISORY VOTE ON EXECUTIVE COMPENSATION</w:t>
      </w:r>
    </w:p>
    <w:p>
      <w:pPr>
        <w:spacing w:after="0" w:line="128" w:lineRule="exact"/>
        <w:rPr>
          <w:sz w:val="20"/>
          <w:szCs w:val="20"/>
          <w:color w:val="auto"/>
        </w:rPr>
      </w:pPr>
    </w:p>
    <w:p>
      <w:pPr>
        <w:ind w:right="180" w:firstLine="416"/>
        <w:spacing w:after="0" w:line="261" w:lineRule="auto"/>
        <w:rPr>
          <w:sz w:val="20"/>
          <w:szCs w:val="20"/>
          <w:color w:val="auto"/>
        </w:rPr>
      </w:pPr>
      <w:r>
        <w:rPr>
          <w:rFonts w:ascii="Times New Roman" w:cs="Times New Roman" w:eastAsia="Times New Roman" w:hAnsi="Times New Roman"/>
          <w:sz w:val="18"/>
          <w:szCs w:val="18"/>
          <w:color w:val="auto"/>
        </w:rPr>
        <w:t>We are asking our stockholders to approve, on an advisory or non-binding basis, the compensation of the Company’s named executive officers as described in the “Compensation Discussion and Analysis” section of this proxy statement. This proposal is commonly referred to as a “say on pay” proposal. This vote is not intended to address any specific item of compensation, but rather the overall compensation of our named executive officers and the philosophy, policies and practices described in this proxy statement.</w:t>
      </w:r>
    </w:p>
    <w:p>
      <w:pPr>
        <w:spacing w:after="0" w:line="180" w:lineRule="exact"/>
        <w:rPr>
          <w:sz w:val="20"/>
          <w:szCs w:val="20"/>
          <w:color w:val="auto"/>
        </w:rPr>
      </w:pPr>
    </w:p>
    <w:p>
      <w:pPr>
        <w:ind w:right="20" w:firstLine="416"/>
        <w:spacing w:after="0" w:line="261" w:lineRule="auto"/>
        <w:rPr>
          <w:sz w:val="20"/>
          <w:szCs w:val="20"/>
          <w:color w:val="auto"/>
        </w:rPr>
      </w:pPr>
      <w:r>
        <w:rPr>
          <w:rFonts w:ascii="Times New Roman" w:cs="Times New Roman" w:eastAsia="Times New Roman" w:hAnsi="Times New Roman"/>
          <w:sz w:val="18"/>
          <w:szCs w:val="18"/>
          <w:color w:val="auto"/>
        </w:rPr>
        <w:t>The compensation of our named executive officers is disclosed in the Compensation Discussion and Analysis, the compensation tables, and the related narrative disclosure contained in this proxy statement. As discussed in those disclosures, the Company believes that its compensation policies and decisions are appropriately designed to attract and retain the individuals needed to support the Company’s business strategy and to compete effectively with pharmaceutical and biotechnology companies while aligning with the long-term interests of the Company’s stockholders.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Principles</w:t>
      </w:r>
    </w:p>
    <w:p>
      <w:pPr>
        <w:spacing w:after="0" w:line="121" w:lineRule="exact"/>
        <w:rPr>
          <w:sz w:val="20"/>
          <w:szCs w:val="20"/>
          <w:color w:val="auto"/>
        </w:rPr>
      </w:pPr>
    </w:p>
    <w:p>
      <w:pPr>
        <w:ind w:right="440" w:firstLine="416"/>
        <w:spacing w:after="0" w:line="282" w:lineRule="auto"/>
        <w:rPr>
          <w:sz w:val="20"/>
          <w:szCs w:val="20"/>
          <w:color w:val="auto"/>
        </w:rPr>
      </w:pPr>
      <w:r>
        <w:rPr>
          <w:rFonts w:ascii="Times New Roman" w:cs="Times New Roman" w:eastAsia="Times New Roman" w:hAnsi="Times New Roman"/>
          <w:sz w:val="18"/>
          <w:szCs w:val="18"/>
          <w:color w:val="auto"/>
        </w:rPr>
        <w:t>We believe that our pay practices are reasonable and in the best interests of our Company and our stockholders. Our compensation programs are guided by the following principles:</w:t>
      </w:r>
    </w:p>
    <w:p>
      <w:pPr>
        <w:spacing w:after="0" w:line="52" w:lineRule="exact"/>
        <w:rPr>
          <w:sz w:val="20"/>
          <w:szCs w:val="20"/>
          <w:color w:val="auto"/>
        </w:rPr>
      </w:pPr>
    </w:p>
    <w:p>
      <w:pPr>
        <w:ind w:left="760" w:right="20" w:hanging="378"/>
        <w:spacing w:after="0" w:line="258"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Emphasis on pay-for-performance. </w:t>
      </w:r>
      <w:r>
        <w:rPr>
          <w:rFonts w:ascii="Times New Roman" w:cs="Times New Roman" w:eastAsia="Times New Roman" w:hAnsi="Times New Roman"/>
          <w:sz w:val="18"/>
          <w:szCs w:val="18"/>
          <w:color w:val="auto"/>
        </w:rPr>
        <w:t>We believe a significant portion of the compensation for our executive officers should be variable, at risk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tied directly to the Company’s measurable performance. Consistent with these principles, a material portion of the compensation of our executive officers is in the form of performance-based incentives that are earned upon the attainment of pre-established objectives. The annual cash incentive awards under our short-term incentive (“STI”) plan are intended to compensate our executive officers for achieving our annual financial and operational objectives, the attainment of which requires significant effort.</w:t>
      </w:r>
    </w:p>
    <w:p>
      <w:pPr>
        <w:spacing w:after="0" w:line="75" w:lineRule="exact"/>
        <w:rPr>
          <w:rFonts w:ascii="Times New Roman" w:cs="Times New Roman" w:eastAsia="Times New Roman" w:hAnsi="Times New Roman"/>
          <w:sz w:val="18"/>
          <w:szCs w:val="18"/>
          <w:color w:val="auto"/>
        </w:rPr>
      </w:pPr>
    </w:p>
    <w:p>
      <w:pPr>
        <w:ind w:left="760" w:right="20" w:hanging="378"/>
        <w:spacing w:after="0" w:line="261"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Equity as a key component of compensation to align with our stockholders’ interests. </w:t>
      </w:r>
      <w:r>
        <w:rPr>
          <w:rFonts w:ascii="Times New Roman" w:cs="Times New Roman" w:eastAsia="Times New Roman" w:hAnsi="Times New Roman"/>
          <w:sz w:val="18"/>
          <w:szCs w:val="18"/>
          <w:color w:val="auto"/>
        </w:rPr>
        <w:t>The use of equity-based compensation for long-term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incentives (“LTI”) aligns the interests of our executive officers with those of our stockholders by encouraging long-term performance and growth in stockholder value. Multi-year vesting schedules create incentives for our employees to sustain performance over the long term and encourage retention as the Company executes its business strategy.</w:t>
      </w:r>
    </w:p>
    <w:p>
      <w:pPr>
        <w:spacing w:after="0" w:line="71" w:lineRule="exact"/>
        <w:rPr>
          <w:rFonts w:ascii="Times New Roman" w:cs="Times New Roman" w:eastAsia="Times New Roman" w:hAnsi="Times New Roman"/>
          <w:sz w:val="18"/>
          <w:szCs w:val="18"/>
          <w:color w:val="auto"/>
        </w:rPr>
      </w:pPr>
    </w:p>
    <w:p>
      <w:pPr>
        <w:ind w:left="760" w:right="80" w:hanging="378"/>
        <w:spacing w:after="0" w:line="257"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Target compensation value at or close to the peer group median. </w:t>
      </w:r>
      <w:r>
        <w:rPr>
          <w:rFonts w:ascii="Times New Roman" w:cs="Times New Roman" w:eastAsia="Times New Roman" w:hAnsi="Times New Roman"/>
          <w:sz w:val="18"/>
          <w:szCs w:val="18"/>
          <w:color w:val="auto"/>
        </w:rPr>
        <w:t>We target total compensation levels for executives at the median of our peer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group on the basis that we believe this target to be an appropriate level of compensation to attract and retain qualified and capable executives. However, actual compensation may fall above or below this level under a range of circumstances, including Company performance. For example, the 2021 and 2020 total compensation values presented in the Summary Compensation Table in this proxy statement for our named executive officers are below the median of the competitive market. We believe these below-median compensation values constituted a restrained compensation philosophy during a period of corporate under-performance and transformation.</w:t>
      </w:r>
    </w:p>
    <w:p>
      <w:pPr>
        <w:spacing w:after="0" w:line="74" w:lineRule="exact"/>
        <w:rPr>
          <w:rFonts w:ascii="Times New Roman" w:cs="Times New Roman" w:eastAsia="Times New Roman" w:hAnsi="Times New Roman"/>
          <w:sz w:val="18"/>
          <w:szCs w:val="18"/>
          <w:color w:val="auto"/>
        </w:rPr>
      </w:pPr>
    </w:p>
    <w:p>
      <w:pPr>
        <w:ind w:left="760" w:right="480" w:hanging="378"/>
        <w:spacing w:after="0" w:line="267"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perquisites or tax gross-ups</w:t>
      </w:r>
      <w:r>
        <w:rPr>
          <w:rFonts w:ascii="Times New Roman" w:cs="Times New Roman" w:eastAsia="Times New Roman" w:hAnsi="Times New Roman"/>
          <w:sz w:val="18"/>
          <w:szCs w:val="18"/>
          <w:color w:val="auto"/>
        </w:rPr>
        <w:t>. We have no structured perquisite benefits nor do we provide supplemental pensions to any of our named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In addition, we do not use tax gross-ups, guaranteed bonuses, “single-trigger” benefits payable upon a change in control without a corresponding separation from service, or similar pay practices.</w:t>
      </w:r>
    </w:p>
    <w:p>
      <w:pPr>
        <w:spacing w:after="0" w:line="65" w:lineRule="exact"/>
        <w:rPr>
          <w:rFonts w:ascii="Times New Roman" w:cs="Times New Roman" w:eastAsia="Times New Roman" w:hAnsi="Times New Roman"/>
          <w:sz w:val="18"/>
          <w:szCs w:val="18"/>
          <w:color w:val="auto"/>
        </w:rPr>
      </w:pPr>
    </w:p>
    <w:p>
      <w:pPr>
        <w:ind w:left="760" w:right="20" w:hanging="378"/>
        <w:spacing w:after="0" w:line="258"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Executive stock ownership policy. </w:t>
      </w:r>
      <w:r>
        <w:rPr>
          <w:rFonts w:ascii="Times New Roman" w:cs="Times New Roman" w:eastAsia="Times New Roman" w:hAnsi="Times New Roman"/>
          <w:sz w:val="18"/>
          <w:szCs w:val="18"/>
          <w:color w:val="auto"/>
        </w:rPr>
        <w:t>We have an executive stock ownership policy designed to align our executive officers’ long-term interests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those of our stockholders and to discourage excessive risk taking. The policy requires our CEO to achieve a stock ownership level of four times base salary, while the other executive officers must achieve stock ownership levels of two times base salary. Executive officers who have not achieved the ownership requirements within five years may be restricted from selling their shares or may receive salary or bonus payments in stock rather than cash until they are in compliance.</w:t>
      </w:r>
    </w:p>
    <w:p>
      <w:pPr>
        <w:spacing w:after="0" w:line="75" w:lineRule="exact"/>
        <w:rPr>
          <w:rFonts w:ascii="Times New Roman" w:cs="Times New Roman" w:eastAsia="Times New Roman" w:hAnsi="Times New Roman"/>
          <w:sz w:val="18"/>
          <w:szCs w:val="18"/>
          <w:color w:val="auto"/>
        </w:rPr>
      </w:pPr>
    </w:p>
    <w:p>
      <w:pPr>
        <w:ind w:left="760" w:hanging="378"/>
        <w:spacing w:after="0" w:line="267" w:lineRule="auto"/>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Executive compensation recovery policy (“clawback”). </w:t>
      </w:r>
      <w:r>
        <w:rPr>
          <w:rFonts w:ascii="Times New Roman" w:cs="Times New Roman" w:eastAsia="Times New Roman" w:hAnsi="Times New Roman"/>
          <w:sz w:val="18"/>
          <w:szCs w:val="18"/>
          <w:color w:val="auto"/>
        </w:rPr>
        <w:t>Our incentive recoupment policy provides that all incentive compensation awarded to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 officers may be recovered in the event of any material financial restatement with the executive at fault as well as in the event of any fraud or willful misconduct.</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color w:val="auto"/>
        </w:rPr>
        <w:t>Commitment to Strong Governance Standards</w:t>
      </w:r>
    </w:p>
    <w:p>
      <w:pPr>
        <w:spacing w:after="0" w:line="121" w:lineRule="exact"/>
        <w:rPr>
          <w:sz w:val="20"/>
          <w:szCs w:val="20"/>
          <w:color w:val="auto"/>
        </w:rPr>
      </w:pPr>
    </w:p>
    <w:p>
      <w:pPr>
        <w:ind w:right="320" w:firstLine="416"/>
        <w:spacing w:after="0" w:line="282" w:lineRule="auto"/>
        <w:rPr>
          <w:sz w:val="20"/>
          <w:szCs w:val="20"/>
          <w:color w:val="auto"/>
        </w:rPr>
      </w:pPr>
      <w:r>
        <w:rPr>
          <w:rFonts w:ascii="Times New Roman" w:cs="Times New Roman" w:eastAsia="Times New Roman" w:hAnsi="Times New Roman"/>
          <w:sz w:val="18"/>
          <w:szCs w:val="18"/>
          <w:color w:val="auto"/>
        </w:rPr>
        <w:t>We are committed to adopting and maintaining good corporate governance standards with respect to our compensation programs, procedures and practices. As such, our practices include the following:</w:t>
      </w:r>
    </w:p>
    <w:p>
      <w:pPr>
        <w:spacing w:after="0" w:line="52" w:lineRule="exact"/>
        <w:rPr>
          <w:sz w:val="20"/>
          <w:szCs w:val="20"/>
          <w:color w:val="auto"/>
        </w:rPr>
      </w:pPr>
    </w:p>
    <w:p>
      <w:pPr>
        <w:ind w:left="760" w:right="720" w:hanging="378"/>
        <w:spacing w:after="0" w:line="284"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Independent compensation committee. </w:t>
      </w:r>
      <w:r>
        <w:rPr>
          <w:rFonts w:ascii="Times New Roman" w:cs="Times New Roman" w:eastAsia="Times New Roman" w:hAnsi="Times New Roman"/>
          <w:sz w:val="18"/>
          <w:szCs w:val="18"/>
          <w:color w:val="auto"/>
        </w:rPr>
        <w:t>Our Compensation Committee designs and oversees our executive compensation programs.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Committee is comprised entirely of independent directors.</w:t>
      </w:r>
    </w:p>
    <w:p>
      <w:pPr>
        <w:spacing w:after="0" w:line="50" w:lineRule="exact"/>
        <w:rPr>
          <w:rFonts w:ascii="Times New Roman" w:cs="Times New Roman" w:eastAsia="Times New Roman" w:hAnsi="Times New Roman"/>
          <w:sz w:val="18"/>
          <w:szCs w:val="18"/>
          <w:color w:val="auto"/>
        </w:rPr>
      </w:pPr>
    </w:p>
    <w:p>
      <w:pPr>
        <w:ind w:left="760" w:right="400" w:hanging="378"/>
        <w:spacing w:after="0" w:line="267"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Performance goals. </w:t>
      </w:r>
      <w:r>
        <w:rPr>
          <w:rFonts w:ascii="Times New Roman" w:cs="Times New Roman" w:eastAsia="Times New Roman" w:hAnsi="Times New Roman"/>
          <w:sz w:val="18"/>
          <w:szCs w:val="18"/>
          <w:color w:val="auto"/>
        </w:rPr>
        <w:t>A material portion of executive compensation is in the form of performance-based annual cash and long-term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incentives that are earned upon the attainment of pre-established financial or operational objectives. These objectives are tied directly to the Company’s measurable performance and designed to align the interests of our executives with those of our stockholders.</w:t>
      </w:r>
    </w:p>
    <w:p>
      <w:pPr>
        <w:spacing w:after="0" w:line="65" w:lineRule="exact"/>
        <w:rPr>
          <w:rFonts w:ascii="Times New Roman" w:cs="Times New Roman" w:eastAsia="Times New Roman" w:hAnsi="Times New Roman"/>
          <w:sz w:val="18"/>
          <w:szCs w:val="18"/>
          <w:color w:val="auto"/>
        </w:rPr>
      </w:pPr>
    </w:p>
    <w:p>
      <w:pPr>
        <w:ind w:left="760" w:right="340" w:hanging="378"/>
        <w:spacing w:after="0" w:line="267"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Authority to engage independent consultants. </w:t>
      </w:r>
      <w:r>
        <w:rPr>
          <w:rFonts w:ascii="Times New Roman" w:cs="Times New Roman" w:eastAsia="Times New Roman" w:hAnsi="Times New Roman"/>
          <w:sz w:val="18"/>
          <w:szCs w:val="18"/>
          <w:color w:val="auto"/>
        </w:rPr>
        <w:t>Our Compensation Committee has the authority to engage its own independent compensation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consultants, legal counsel or other advisers to assist in designing and assessing our executive compensation programs and pay practices. Our current independent compensation consultant is Mercer LLC.</w:t>
      </w:r>
    </w:p>
    <w:p>
      <w:pPr>
        <w:spacing w:after="0" w:line="65" w:lineRule="exact"/>
        <w:rPr>
          <w:rFonts w:ascii="Times New Roman" w:cs="Times New Roman" w:eastAsia="Times New Roman" w:hAnsi="Times New Roman"/>
          <w:sz w:val="18"/>
          <w:szCs w:val="18"/>
          <w:color w:val="auto"/>
        </w:rPr>
      </w:pPr>
    </w:p>
    <w:p>
      <w:pPr>
        <w:ind w:left="760" w:right="300" w:hanging="378"/>
        <w:spacing w:after="0" w:line="284"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Prohibition on speculative trading. </w:t>
      </w:r>
      <w:r>
        <w:rPr>
          <w:rFonts w:ascii="Times New Roman" w:cs="Times New Roman" w:eastAsia="Times New Roman" w:hAnsi="Times New Roman"/>
          <w:sz w:val="18"/>
          <w:szCs w:val="18"/>
          <w:color w:val="auto"/>
        </w:rPr>
        <w:t>Board members, officers and employees are prohibited under the Company’s insider Trading Policy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engaging in short-term or speculative transactions in our common stock or other securities.</w:t>
      </w:r>
    </w:p>
    <w:p>
      <w:pPr>
        <w:spacing w:after="0" w:line="50" w:lineRule="exact"/>
        <w:rPr>
          <w:rFonts w:ascii="Times New Roman" w:cs="Times New Roman" w:eastAsia="Times New Roman" w:hAnsi="Times New Roman"/>
          <w:sz w:val="18"/>
          <w:szCs w:val="18"/>
          <w:color w:val="auto"/>
        </w:rPr>
      </w:pPr>
    </w:p>
    <w:p>
      <w:pPr>
        <w:ind w:left="760" w:hanging="378"/>
        <w:spacing w:after="0" w:line="256" w:lineRule="auto"/>
        <w:tabs>
          <w:tab w:leader="none" w:pos="7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Annual say-on-pay advisory vote. </w:t>
      </w:r>
      <w:r>
        <w:rPr>
          <w:rFonts w:ascii="Times New Roman" w:cs="Times New Roman" w:eastAsia="Times New Roman" w:hAnsi="Times New Roman"/>
          <w:sz w:val="18"/>
          <w:szCs w:val="18"/>
          <w:color w:val="auto"/>
        </w:rPr>
        <w:t>Since 2011, we have held annual say-on-pay advisory votes in accordance with good governance practices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maintain accountability to our stockholders. The results of our say-on-pay advisory votes , combined with input from investors have informed our compensation philosophy, which includes awards of long-term compensation to executive officers that will pay out, if at all, in proportion to the Company’s total stockholder return relative to a Russell 3000 Pharmaceutical and Biotechnology industry index over a multi-year period. We believe that this approach to long-term compensation is responsive to investors’ preference for performance-vesting long-term compensation while also providing compensation that attracts, motivates, incentivizes and retains highly qualified executive officers to drive the success of the Company.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REQUIRED VOTE AND BOARD OF DIRECTORS RECOMMENDATION</w:t>
      </w:r>
    </w:p>
    <w:p>
      <w:pPr>
        <w:spacing w:after="0" w:line="116" w:lineRule="exact"/>
        <w:rPr>
          <w:sz w:val="20"/>
          <w:szCs w:val="20"/>
          <w:color w:val="auto"/>
        </w:rPr>
      </w:pPr>
    </w:p>
    <w:p>
      <w:pPr>
        <w:ind w:firstLine="416"/>
        <w:spacing w:after="0" w:line="261" w:lineRule="auto"/>
        <w:rPr>
          <w:sz w:val="20"/>
          <w:szCs w:val="20"/>
          <w:color w:val="auto"/>
        </w:rPr>
      </w:pPr>
      <w:r>
        <w:rPr>
          <w:rFonts w:ascii="Times New Roman" w:cs="Times New Roman" w:eastAsia="Times New Roman" w:hAnsi="Times New Roman"/>
          <w:sz w:val="18"/>
          <w:szCs w:val="18"/>
          <w:color w:val="auto"/>
        </w:rPr>
        <w:t>At the 2017 Annual Meeting of Stockholders, our stockholders indicated their preference that the Company solicit a non-binding advisory vote on the compensation of the named executive officers every year. The Board has adopted a policy that is consistent with that preference. In accordance with that policy, this year, we are again asking our stockholders to support the compensation of the Company’s named executive officers as described in this proxy statement by casting a non-binding advisory vote “FOR” the following resolution:</w:t>
      </w:r>
    </w:p>
    <w:p>
      <w:pPr>
        <w:spacing w:after="0" w:line="180" w:lineRule="exact"/>
        <w:rPr>
          <w:sz w:val="20"/>
          <w:szCs w:val="20"/>
          <w:color w:val="auto"/>
        </w:rPr>
      </w:pPr>
    </w:p>
    <w:p>
      <w:pPr>
        <w:ind w:right="80" w:firstLine="416"/>
        <w:spacing w:after="0" w:line="289" w:lineRule="auto"/>
        <w:rPr>
          <w:sz w:val="20"/>
          <w:szCs w:val="20"/>
          <w:color w:val="auto"/>
        </w:rPr>
      </w:pPr>
      <w:r>
        <w:rPr>
          <w:rFonts w:ascii="Times New Roman" w:cs="Times New Roman" w:eastAsia="Times New Roman" w:hAnsi="Times New Roman"/>
          <w:sz w:val="17"/>
          <w:szCs w:val="17"/>
          <w:color w:val="auto"/>
        </w:rPr>
        <w:t>“RESOLVED, that the Company’s stockholders approve, on an advisory basis, the compensation of the named executive officers, as disclosed in the Company’s Proxy Statement for the 2024 Annual Meeting of Stockholders pursuant to the compensation disclosure rules of the Securities and Exchange Commission, including the Compensation Discussion and Analysis, the 2022 Summary Compensation Table and the other related tables and disclosure.”</w:t>
      </w:r>
    </w:p>
    <w:p>
      <w:pPr>
        <w:spacing w:after="0" w:line="158" w:lineRule="exact"/>
        <w:rPr>
          <w:sz w:val="20"/>
          <w:szCs w:val="20"/>
          <w:color w:val="auto"/>
        </w:rPr>
      </w:pPr>
    </w:p>
    <w:p>
      <w:pPr>
        <w:ind w:firstLine="416"/>
        <w:spacing w:after="0" w:line="266" w:lineRule="auto"/>
        <w:rPr>
          <w:sz w:val="20"/>
          <w:szCs w:val="20"/>
          <w:color w:val="auto"/>
        </w:rPr>
      </w:pPr>
      <w:r>
        <w:rPr>
          <w:rFonts w:ascii="Times New Roman" w:cs="Times New Roman" w:eastAsia="Times New Roman" w:hAnsi="Times New Roman"/>
          <w:sz w:val="18"/>
          <w:szCs w:val="18"/>
          <w:color w:val="auto"/>
        </w:rPr>
        <w:t>While this advisory vote on executive compensation is non-binding, the Board of Directors and the Compensation Committee, which is responsible for designing and administering the Company’s executive compensation program, will review the voting results and consider the outcome of the vote when making future compensation decisions for named executive officers.</w:t>
      </w:r>
    </w:p>
    <w:p>
      <w:pPr>
        <w:spacing w:after="0" w:line="216" w:lineRule="exact"/>
        <w:rPr>
          <w:sz w:val="20"/>
          <w:szCs w:val="20"/>
          <w:color w:val="auto"/>
        </w:rPr>
      </w:pPr>
    </w:p>
    <w:p>
      <w:pPr>
        <w:jc w:val="both"/>
        <w:ind w:right="320" w:firstLine="416"/>
        <w:spacing w:after="0" w:line="266" w:lineRule="auto"/>
        <w:rPr>
          <w:sz w:val="20"/>
          <w:szCs w:val="20"/>
          <w:color w:val="auto"/>
        </w:rPr>
      </w:pPr>
      <w:r>
        <w:rPr>
          <w:rFonts w:ascii="Times New Roman" w:cs="Times New Roman" w:eastAsia="Times New Roman" w:hAnsi="Times New Roman"/>
          <w:sz w:val="18"/>
          <w:szCs w:val="18"/>
          <w:color w:val="auto"/>
        </w:rPr>
        <w:t>Approval of Proposal 6 requires the affirmative vote of a majority of the shares present or represented by proxy and entitled to vote at the Annual Meeting. Abstentions will be counted toward the tabulation of votes cast on the proposal and will have the same effect as “Against” votes. Broker non-votes are counted towards a quorum, but will have no effect on the outcome of the vote.</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 VOTE “FOR” PROPOSAL 6</w:t>
      </w:r>
    </w:p>
    <w:p>
      <w:pPr>
        <w:spacing w:after="0" w:line="16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657" w:right="379" w:bottom="1440" w:gutter="0" w:footer="0" w:header="0"/>
        </w:sectPr>
      </w:pPr>
    </w:p>
    <w:bookmarkStart w:id="50" w:name="page51"/>
    <w:bookmarkEnd w:id="50"/>
    <w:p>
      <w:pPr>
        <w:ind w:left="120"/>
        <w:spacing w:after="0"/>
        <w:rPr>
          <w:sz w:val="20"/>
          <w:szCs w:val="20"/>
          <w:color w:val="auto"/>
        </w:rPr>
      </w:pPr>
      <w:r>
        <w:rPr>
          <w:rFonts w:ascii="Times New Roman" w:cs="Times New Roman" w:eastAsia="Times New Roman" w:hAnsi="Times New Roman"/>
          <w:sz w:val="57"/>
          <w:szCs w:val="57"/>
          <w:b w:val="1"/>
          <w:bCs w:val="1"/>
          <w:color w:val="FFFFFF"/>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62547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625475"/>
                    </a:xfrm>
                    <a:prstGeom prst="rect">
                      <a:avLst/>
                    </a:prstGeom>
                    <a:noFill/>
                  </pic:spPr>
                </pic:pic>
              </a:graphicData>
            </a:graphic>
          </wp:anchor>
        </w:drawing>
        <w:t>Proposal 7</w:t>
      </w:r>
    </w:p>
    <w:p>
      <w:pPr>
        <w:sectPr>
          <w:pgSz w:w="11900" w:h="16838" w:orient="portrait"/>
          <w:cols w:equalWidth="0" w:num="1">
            <w:col w:w="11180"/>
          </w:cols>
          <w:pgMar w:left="320" w:top="67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80"/>
        <w:spacing w:after="0" w:line="287" w:lineRule="auto"/>
        <w:rPr>
          <w:sz w:val="20"/>
          <w:szCs w:val="20"/>
          <w:color w:val="auto"/>
        </w:rPr>
      </w:pPr>
      <w:r>
        <w:rPr>
          <w:rFonts w:ascii="Times New Roman" w:cs="Times New Roman" w:eastAsia="Times New Roman" w:hAnsi="Times New Roman"/>
          <w:sz w:val="25"/>
          <w:szCs w:val="25"/>
          <w:b w:val="1"/>
          <w:bCs w:val="1"/>
          <w:color w:val="auto"/>
        </w:rPr>
        <w:t>ADVISORY INDICATION ON THE PREFERRED FREQUENCY OF STOCKHOLDER ADVISORY VOTE ON EXECUTIVE COMPENSATION</w:t>
      </w:r>
    </w:p>
    <w:p>
      <w:pPr>
        <w:spacing w:after="0" w:line="160" w:lineRule="exact"/>
        <w:rPr>
          <w:sz w:val="20"/>
          <w:szCs w:val="20"/>
          <w:color w:val="auto"/>
        </w:rPr>
      </w:pPr>
    </w:p>
    <w:p>
      <w:pPr>
        <w:ind w:right="180" w:firstLine="419"/>
        <w:spacing w:after="0" w:line="256" w:lineRule="auto"/>
        <w:rPr>
          <w:sz w:val="20"/>
          <w:szCs w:val="20"/>
          <w:color w:val="auto"/>
        </w:rPr>
      </w:pPr>
      <w:r>
        <w:rPr>
          <w:rFonts w:ascii="Times New Roman" w:cs="Times New Roman" w:eastAsia="Times New Roman" w:hAnsi="Times New Roman"/>
          <w:sz w:val="18"/>
          <w:szCs w:val="18"/>
          <w:color w:val="auto"/>
        </w:rPr>
        <w:t>The Dodd-Frank Act enables the Company’s stockholders to indicate their preference regarding how frequently the Company should solicit a nonbinding advisory vote on the compensation of our named executive officers as disclosed in the Compensation Discussion and Analysis, the compensation tables, and the related narrative disclosure. Currently, consistent with the preference expressed by the stockholders at the Company’s 2017 Annual Meeting of Stockholders, the policy of the Board is to solicit such vote every year. In accordance with the Dodd-Frank Act, we are again asking stockholders to indicate whether they would prefer an advisory vote once every one, two or three years. Alternatively, stockholders may abstain from casting a vote. For the reasons described below, we recommend that our stockholders select a frequency of one year, or an annual vote.</w:t>
      </w:r>
    </w:p>
    <w:p>
      <w:pPr>
        <w:spacing w:after="0" w:line="187" w:lineRule="exact"/>
        <w:rPr>
          <w:sz w:val="20"/>
          <w:szCs w:val="20"/>
          <w:color w:val="auto"/>
        </w:rPr>
      </w:pPr>
    </w:p>
    <w:p>
      <w:pPr>
        <w:ind w:firstLine="419"/>
        <w:spacing w:after="0" w:line="252" w:lineRule="auto"/>
        <w:rPr>
          <w:sz w:val="20"/>
          <w:szCs w:val="20"/>
          <w:color w:val="auto"/>
        </w:rPr>
      </w:pPr>
      <w:r>
        <w:rPr>
          <w:rFonts w:ascii="Times New Roman" w:cs="Times New Roman" w:eastAsia="Times New Roman" w:hAnsi="Times New Roman"/>
          <w:sz w:val="18"/>
          <w:szCs w:val="18"/>
          <w:color w:val="auto"/>
        </w:rPr>
        <w:t>In formulating its recommendation, the Board considered several factors in determining the appropriate frequency of advisory votes on executive compensation. On the one hand, the Board recognizes the importance of receiving regular input from our stockholders on important issues, such as our compensation policies and procedures. The Board also believes that a well-structured compensation program should include plans that drive the creation of stockholder value over the long term and do not simply focus on short-term gains. Because of that, the Board believes that an annual advisory vote will be more limited in value than a vote which reflects the long-term executive compensation philosophy of the Compensation Committee and the long-term results of its actions. Moreover, many elements of compensation are structured over a multi-year period, disclosure is made to cover several years, and some proxy advisory firms review total stockholder returns over multi-year periods. Also, equity awards to management are granted to compensate management over at least a three-year period. On the other hand, the Board recognizes that even if the effectiveness of these plans cannot be adequately evaluated on an annual basis, many stockholders may want to express a preference in a single year based on a multi-year review. An annual say-on-pay vote may represent the most effective means for some of our stockholders to express meaningful input on executive compensation. Because of that, the Board determined that an annual say-on-pay vote would best express its commitment to take steps to align the compensation of its executives with the interests of the Company’s stockholders. The Board’ determination was further based on the premise that this recommendation could be modified in future years if it becomes apparent that an annual say-on-pay vote is not meaningful, is burdensome or is more frequent than recommended by best corporate governance practices. Based on these factors, the Board determined to recommend that future say-on-pay votes occur each year until the next vote on the frequency of advisory votes on the compensation of our named executive officers.</w:t>
      </w:r>
    </w:p>
    <w:p>
      <w:pPr>
        <w:spacing w:after="0" w:line="196" w:lineRule="exact"/>
        <w:rPr>
          <w:sz w:val="20"/>
          <w:szCs w:val="20"/>
          <w:color w:val="auto"/>
        </w:rPr>
      </w:pPr>
    </w:p>
    <w:p>
      <w:pPr>
        <w:ind w:right="40" w:firstLine="419"/>
        <w:spacing w:after="0" w:line="258" w:lineRule="auto"/>
        <w:rPr>
          <w:sz w:val="20"/>
          <w:szCs w:val="20"/>
          <w:color w:val="auto"/>
        </w:rPr>
      </w:pPr>
      <w:r>
        <w:rPr>
          <w:rFonts w:ascii="Times New Roman" w:cs="Times New Roman" w:eastAsia="Times New Roman" w:hAnsi="Times New Roman"/>
          <w:sz w:val="18"/>
          <w:szCs w:val="18"/>
          <w:color w:val="auto"/>
        </w:rPr>
        <w:t>Stockholders are provided with the opportunity to choose among four options (holding the vote every one, two or three years, or abstaining) and, therefore, stockholders will not be voting to approve or disapprove the recommendation of the Board. The option among those choices that obtains a majority of votes cast by the shares present or represented by proxy and entitled to vote at the Annual Meeting will be deemed to be the frequency adopted for advisory purposes by our stockholders in accordance with our Amended and Restated Bylaws; however, in the event that no frequency receives a majority, we will consider whichever frequency receives a plurality of the votes to be the frequency preferred by our stockholders.</w:t>
      </w:r>
    </w:p>
    <w:p>
      <w:pPr>
        <w:spacing w:after="0" w:line="183" w:lineRule="exact"/>
        <w:rPr>
          <w:sz w:val="20"/>
          <w:szCs w:val="20"/>
          <w:color w:val="auto"/>
        </w:rPr>
      </w:pPr>
    </w:p>
    <w:p>
      <w:pPr>
        <w:ind w:right="40" w:firstLine="419"/>
        <w:spacing w:after="0" w:line="282" w:lineRule="auto"/>
        <w:rPr>
          <w:sz w:val="20"/>
          <w:szCs w:val="20"/>
          <w:color w:val="auto"/>
        </w:rPr>
      </w:pPr>
      <w:r>
        <w:rPr>
          <w:rFonts w:ascii="Times New Roman" w:cs="Times New Roman" w:eastAsia="Times New Roman" w:hAnsi="Times New Roman"/>
          <w:sz w:val="18"/>
          <w:szCs w:val="18"/>
          <w:color w:val="auto"/>
        </w:rPr>
        <w:t>The Board and the Compensation Committee value the opinions of our stockholders in this matter, and the Board intends to hold say-on-pay votes in the future in accordance with the alternative that receives the most stockholder support.</w:t>
      </w:r>
    </w:p>
    <w:p>
      <w:pPr>
        <w:spacing w:after="0" w:line="158"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b w:val="1"/>
          <w:bCs w:val="1"/>
          <w:color w:val="auto"/>
        </w:rPr>
        <w:t>THE BOARD OF DIRECTORS RECOMMENDS A VOTE</w:t>
      </w:r>
    </w:p>
    <w:p>
      <w:pPr>
        <w:spacing w:after="0" w:line="31" w:lineRule="exact"/>
        <w:rPr>
          <w:sz w:val="20"/>
          <w:szCs w:val="20"/>
          <w:color w:val="auto"/>
        </w:rPr>
      </w:pPr>
    </w:p>
    <w:p>
      <w:pPr>
        <w:jc w:val="center"/>
        <w:ind w:left="540"/>
        <w:spacing w:after="0"/>
        <w:rPr>
          <w:sz w:val="20"/>
          <w:szCs w:val="20"/>
          <w:color w:val="auto"/>
        </w:rPr>
      </w:pPr>
      <w:r>
        <w:rPr>
          <w:rFonts w:ascii="Times New Roman" w:cs="Times New Roman" w:eastAsia="Times New Roman" w:hAnsi="Times New Roman"/>
          <w:sz w:val="18"/>
          <w:szCs w:val="18"/>
          <w:b w:val="1"/>
          <w:bCs w:val="1"/>
          <w:color w:val="auto"/>
        </w:rPr>
        <w:t>IN FAVOR OF “ONE YEAR” ON PROPOSAL 7.</w:t>
      </w:r>
    </w:p>
    <w:p>
      <w:pPr>
        <w:spacing w:after="0" w:line="3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671" w:right="399" w:bottom="1440" w:gutter="0" w:footer="0" w:header="0"/>
          <w:type w:val="continuous"/>
        </w:sectPr>
      </w:pPr>
    </w:p>
    <w:bookmarkStart w:id="51" w:name="page52"/>
    <w:bookmarkEnd w:id="51"/>
    <w:p>
      <w:pPr>
        <w:ind w:left="120"/>
        <w:spacing w:after="0"/>
        <w:rPr>
          <w:sz w:val="20"/>
          <w:szCs w:val="20"/>
          <w:color w:val="auto"/>
        </w:rPr>
      </w:pPr>
      <w:r>
        <w:rPr>
          <w:rFonts w:ascii="Times New Roman" w:cs="Times New Roman" w:eastAsia="Times New Roman" w:hAnsi="Times New Roman"/>
          <w:sz w:val="58"/>
          <w:szCs w:val="58"/>
          <w:b w:val="1"/>
          <w:bCs w:val="1"/>
          <w:color w:val="FFFFFF"/>
        </w:rPr>
        <w:drawing>
          <wp:anchor simplePos="0" relativeHeight="251657728" behindDoc="1" locked="0" layoutInCell="0" allowOverlap="1">
            <wp:simplePos x="0" y="0"/>
            <wp:positionH relativeFrom="page">
              <wp:posOffset>208280</wp:posOffset>
            </wp:positionH>
            <wp:positionV relativeFrom="page">
              <wp:posOffset>363220</wp:posOffset>
            </wp:positionV>
            <wp:extent cx="7132320" cy="62547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625475"/>
                    </a:xfrm>
                    <a:prstGeom prst="rect">
                      <a:avLst/>
                    </a:prstGeom>
                    <a:noFill/>
                  </pic:spPr>
                </pic:pic>
              </a:graphicData>
            </a:graphic>
          </wp:anchor>
        </w:drawing>
        <w:t>Proposal 8</w:t>
      </w:r>
    </w:p>
    <w:p>
      <w:pPr>
        <w:spacing w:after="0" w:line="200" w:lineRule="exact"/>
        <w:rPr>
          <w:sz w:val="20"/>
          <w:szCs w:val="20"/>
          <w:color w:val="auto"/>
        </w:rPr>
      </w:pPr>
    </w:p>
    <w:p>
      <w:pPr>
        <w:spacing w:after="0" w:line="247" w:lineRule="exact"/>
        <w:rPr>
          <w:sz w:val="20"/>
          <w:szCs w:val="20"/>
          <w:color w:val="auto"/>
        </w:rPr>
      </w:pPr>
    </w:p>
    <w:p>
      <w:pPr>
        <w:ind w:right="1380"/>
        <w:spacing w:after="0" w:line="287" w:lineRule="auto"/>
        <w:rPr>
          <w:sz w:val="20"/>
          <w:szCs w:val="20"/>
          <w:color w:val="auto"/>
        </w:rPr>
      </w:pPr>
      <w:r>
        <w:rPr>
          <w:rFonts w:ascii="Times New Roman" w:cs="Times New Roman" w:eastAsia="Times New Roman" w:hAnsi="Times New Roman"/>
          <w:sz w:val="25"/>
          <w:szCs w:val="25"/>
          <w:b w:val="1"/>
          <w:bCs w:val="1"/>
          <w:color w:val="auto"/>
        </w:rPr>
        <w:t>RATIFICATION OF SELECTION OF DELOITTE &amp; TOUCHE LLP AS INDEPENDENT REGISTERED PUBLIC ACCOUNTING FIRM</w:t>
      </w:r>
    </w:p>
    <w:p>
      <w:pPr>
        <w:spacing w:after="0" w:line="25" w:lineRule="exact"/>
        <w:rPr>
          <w:sz w:val="20"/>
          <w:szCs w:val="20"/>
          <w:color w:val="auto"/>
        </w:rPr>
      </w:pPr>
    </w:p>
    <w:p>
      <w:pPr>
        <w:ind w:right="280" w:firstLine="416"/>
        <w:spacing w:after="0" w:line="266" w:lineRule="auto"/>
        <w:rPr>
          <w:sz w:val="20"/>
          <w:szCs w:val="20"/>
          <w:color w:val="auto"/>
        </w:rPr>
      </w:pPr>
      <w:r>
        <w:rPr>
          <w:rFonts w:ascii="Times New Roman" w:cs="Times New Roman" w:eastAsia="Times New Roman" w:hAnsi="Times New Roman"/>
          <w:sz w:val="18"/>
          <w:szCs w:val="18"/>
          <w:color w:val="auto"/>
        </w:rPr>
        <w:t>The Audit Committee has selected Deloitte &amp; Touche LLP (“Deloitte”), as the Company’s independent registered public accounting firm for the fiscal year ending December 31, 2023 and has directed management to submit the selection of Deloitte for ratification by the stockholders at the Annual Meeting.</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Deloitte has served as the Company’s independent auditor since 2001. Representatives of Deloitte are expected to be present at the Annual Meeting.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They will have an opportunity to make a statement if they so desire and will be available to respond to appropriate questions.</w:t>
      </w:r>
    </w:p>
    <w:p>
      <w:pPr>
        <w:spacing w:after="0" w:line="207" w:lineRule="exact"/>
        <w:rPr>
          <w:sz w:val="20"/>
          <w:szCs w:val="20"/>
          <w:color w:val="auto"/>
        </w:rPr>
      </w:pPr>
    </w:p>
    <w:p>
      <w:pPr>
        <w:ind w:right="20" w:firstLine="416"/>
        <w:spacing w:after="0" w:line="261" w:lineRule="auto"/>
        <w:rPr>
          <w:sz w:val="20"/>
          <w:szCs w:val="20"/>
          <w:color w:val="auto"/>
        </w:rPr>
      </w:pPr>
      <w:r>
        <w:rPr>
          <w:rFonts w:ascii="Times New Roman" w:cs="Times New Roman" w:eastAsia="Times New Roman" w:hAnsi="Times New Roman"/>
          <w:sz w:val="18"/>
          <w:szCs w:val="18"/>
          <w:color w:val="auto"/>
        </w:rPr>
        <w:t>Stockholder ratification of the selection of Deloitte as our independent registered public accounting firm is not required by our Amended and Restated Bylaws or otherwise. The Board is seeking such ratification as a matter of good corporate practice. If the stockholders fail to ratify the selection of Deloitte as our independent registered public accounting firm, the Audit Committee will consider whether to retain that firm for the fiscal year ending December 31, 2023.</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ACCOUNTING FEES AND SERVICES</w:t>
      </w:r>
    </w:p>
    <w:p>
      <w:pPr>
        <w:spacing w:after="0" w:line="121" w:lineRule="exact"/>
        <w:rPr>
          <w:sz w:val="20"/>
          <w:szCs w:val="20"/>
          <w:color w:val="auto"/>
        </w:rPr>
      </w:pPr>
    </w:p>
    <w:p>
      <w:pPr>
        <w:ind w:right="360" w:firstLine="416"/>
        <w:spacing w:after="0" w:line="266" w:lineRule="auto"/>
        <w:rPr>
          <w:sz w:val="20"/>
          <w:szCs w:val="20"/>
          <w:color w:val="auto"/>
        </w:rPr>
      </w:pPr>
      <w:r>
        <w:rPr>
          <w:rFonts w:ascii="Times New Roman" w:cs="Times New Roman" w:eastAsia="Times New Roman" w:hAnsi="Times New Roman"/>
          <w:sz w:val="18"/>
          <w:szCs w:val="18"/>
          <w:color w:val="auto"/>
        </w:rPr>
        <w:t>The following table represents aggregate fees billed to the Company for the fiscal years ended December 31, 2022 and 2021 by Deloitte and its subsidiaries, the affiliates of Deloitte &amp; Touche LLP, Deloitte Touche Tohmatsu Limited and its member firm (collectively, the Deloitte entities). All of these entities collectively represent the Company’s principal accounting firm.</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6"/>
                <w:szCs w:val="16"/>
                <w:color w:val="auto"/>
              </w:rPr>
            </w:pPr>
          </w:p>
        </w:tc>
      </w:tr>
      <w:tr>
        <w:trPr>
          <w:trHeight w:val="237"/>
        </w:trPr>
        <w:tc>
          <w:tcPr>
            <w:tcW w:w="7740" w:type="dxa"/>
            <w:vAlign w:val="bottom"/>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4"/>
                <w:szCs w:val="24"/>
                <w:color w:val="auto"/>
                <w:vertAlign w:val="superscript"/>
              </w:rPr>
              <w:t>(1)</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1,117,444</w:t>
            </w:r>
          </w:p>
        </w:tc>
        <w:tc>
          <w:tcPr>
            <w:tcW w:w="120" w:type="dxa"/>
            <w:vAlign w:val="bottom"/>
            <w:shd w:val="clear" w:color="auto" w:fill="CCEEFF"/>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862,991</w:t>
            </w:r>
          </w:p>
        </w:tc>
        <w:tc>
          <w:tcPr>
            <w:tcW w:w="100" w:type="dxa"/>
            <w:vAlign w:val="bottom"/>
            <w:shd w:val="clear" w:color="auto" w:fill="CFF0FC"/>
          </w:tcPr>
          <w:p>
            <w:pPr>
              <w:spacing w:after="0"/>
              <w:rPr>
                <w:sz w:val="20"/>
                <w:szCs w:val="20"/>
                <w:color w:val="auto"/>
              </w:rPr>
            </w:pPr>
          </w:p>
        </w:tc>
      </w:tr>
      <w:tr>
        <w:trPr>
          <w:trHeight w:val="243"/>
        </w:trPr>
        <w:tc>
          <w:tcPr>
            <w:tcW w:w="774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4"/>
                <w:szCs w:val="24"/>
                <w:color w:val="auto"/>
                <w:vertAlign w:val="superscript"/>
              </w:rPr>
              <w:t>(2)</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tcPr>
          <w:p>
            <w:pPr>
              <w:spacing w:after="0"/>
              <w:rPr>
                <w:sz w:val="21"/>
                <w:szCs w:val="21"/>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20" w:type="dxa"/>
            <w:vAlign w:val="bottom"/>
            <w:shd w:val="clear" w:color="auto" w:fill="CCEEFF"/>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0" w:type="dxa"/>
            <w:vAlign w:val="bottom"/>
            <w:shd w:val="clear" w:color="auto" w:fill="CFF0FC"/>
          </w:tcPr>
          <w:p>
            <w:pPr>
              <w:spacing w:after="0"/>
              <w:rPr>
                <w:sz w:val="21"/>
                <w:szCs w:val="21"/>
                <w:color w:val="auto"/>
              </w:rPr>
            </w:pPr>
          </w:p>
        </w:tc>
      </w:tr>
      <w:tr>
        <w:trPr>
          <w:trHeight w:val="234"/>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Fees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1,122,839</w:t>
            </w:r>
          </w:p>
        </w:tc>
        <w:tc>
          <w:tcPr>
            <w:tcW w:w="120" w:type="dxa"/>
            <w:vAlign w:val="bottom"/>
          </w:tcPr>
          <w:p>
            <w:pPr>
              <w:spacing w:after="0"/>
              <w:rPr>
                <w:sz w:val="20"/>
                <w:szCs w:val="20"/>
                <w:color w:val="auto"/>
              </w:rPr>
            </w:pPr>
          </w:p>
        </w:tc>
        <w:tc>
          <w:tcPr>
            <w:tcW w:w="58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867,886</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91440</wp:posOffset>
            </wp:positionV>
            <wp:extent cx="116586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168" w:lineRule="exact"/>
        <w:rPr>
          <w:sz w:val="20"/>
          <w:szCs w:val="20"/>
          <w:color w:val="auto"/>
        </w:rPr>
      </w:pPr>
    </w:p>
    <w:p>
      <w:pPr>
        <w:ind w:left="380" w:right="460" w:hanging="372"/>
        <w:spacing w:after="0" w:line="261" w:lineRule="auto"/>
        <w:tabs>
          <w:tab w:leader="none" w:pos="3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aggregate fees billed for professional services rendered for the reviews and audit of our consolidated financial statements and internal control over financial reporting including related regulatory filings and related comfort letters on such.</w:t>
      </w:r>
    </w:p>
    <w:p>
      <w:pPr>
        <w:spacing w:after="0" w:line="68"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aggregate fees for professional services rendered for tax compliance, tax advice, and tax planning, including the preparation of foreign tax returns.</w:t>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All fees described above were pre-approved by the Audit Committee.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PRE-APPROVAL POLICIES AND PROCEDURES</w:t>
      </w:r>
    </w:p>
    <w:p>
      <w:pPr>
        <w:spacing w:after="0" w:line="121" w:lineRule="exact"/>
        <w:rPr>
          <w:sz w:val="20"/>
          <w:szCs w:val="20"/>
          <w:color w:val="auto"/>
        </w:rPr>
      </w:pPr>
    </w:p>
    <w:p>
      <w:pPr>
        <w:ind w:right="120" w:firstLine="416"/>
        <w:spacing w:after="0" w:line="256" w:lineRule="auto"/>
        <w:rPr>
          <w:sz w:val="20"/>
          <w:szCs w:val="20"/>
          <w:color w:val="auto"/>
        </w:rPr>
      </w:pPr>
      <w:r>
        <w:rPr>
          <w:rFonts w:ascii="Times New Roman" w:cs="Times New Roman" w:eastAsia="Times New Roman" w:hAnsi="Times New Roman"/>
          <w:sz w:val="18"/>
          <w:szCs w:val="18"/>
          <w:color w:val="auto"/>
        </w:rPr>
        <w:t>The Audit Committee has adopted a policy and procedures for the pre-approval of audit and non-audit services rendered by our independent registered public accounting firm, Deloitte and the Deloitte entities. The policy generally pre-approves specified services in the defined categories of audit services, audit-related services, tax services and other services up to specified amounts. Pre-approval may also be given on an individual explicit case-by-case basis before the independent principal accounting firm is engaged to provide each service. The pre-approval of services may be delegated to one or more of the Audit Committee’s members, but the decision must be reported to the full Audit Committee at its next scheduled meeting. The delegation of pre-approval of services is limited to non-audit services, as set forth in the Audit Committee Charter.</w:t>
      </w:r>
    </w:p>
    <w:p>
      <w:pPr>
        <w:spacing w:after="0" w:line="187" w:lineRule="exact"/>
        <w:rPr>
          <w:sz w:val="20"/>
          <w:szCs w:val="20"/>
          <w:color w:val="auto"/>
        </w:rPr>
      </w:pPr>
    </w:p>
    <w:p>
      <w:pPr>
        <w:ind w:right="20" w:firstLine="416"/>
        <w:spacing w:after="0" w:line="266" w:lineRule="auto"/>
        <w:rPr>
          <w:sz w:val="20"/>
          <w:szCs w:val="20"/>
          <w:color w:val="auto"/>
        </w:rPr>
      </w:pPr>
      <w:r>
        <w:rPr>
          <w:rFonts w:ascii="Times New Roman" w:cs="Times New Roman" w:eastAsia="Times New Roman" w:hAnsi="Times New Roman"/>
          <w:sz w:val="18"/>
          <w:szCs w:val="18"/>
          <w:color w:val="auto"/>
        </w:rPr>
        <w:t>The Audit Committee has considered whether the provision by the Deloitte entities of the non-audit services described above was allowed under Rule 2-01(c)(4) of Regulation S-X and was compatible with maintaining the independence of the registered public accountants and has concluded that the Deloitte entities were and are independent of us in all respects.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7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REQUIRED VOTE AND BOARD OF DIRECTORS RECOMMENDATION</w:t>
      </w:r>
    </w:p>
    <w:p>
      <w:pPr>
        <w:spacing w:after="0" w:line="121" w:lineRule="exact"/>
        <w:rPr>
          <w:sz w:val="20"/>
          <w:szCs w:val="20"/>
          <w:color w:val="auto"/>
        </w:rPr>
      </w:pPr>
    </w:p>
    <w:p>
      <w:pPr>
        <w:ind w:firstLine="416"/>
        <w:spacing w:after="0" w:line="289" w:lineRule="auto"/>
        <w:rPr>
          <w:sz w:val="20"/>
          <w:szCs w:val="20"/>
          <w:color w:val="auto"/>
        </w:rPr>
      </w:pPr>
      <w:r>
        <w:rPr>
          <w:rFonts w:ascii="Times New Roman" w:cs="Times New Roman" w:eastAsia="Times New Roman" w:hAnsi="Times New Roman"/>
          <w:sz w:val="17"/>
          <w:szCs w:val="17"/>
          <w:color w:val="auto"/>
        </w:rPr>
        <w:t>A majority of the shares present in person or by proxy and entitled to vote at the Annual Meeting is required for approval of this proposal. Abstentions will be counted toward the tabulation of votes cast on the proposal and will have the same effect as “Against” votes. Broker non-votes, if any, are counted towards a quorum, but will have no effect on the outcome of the vote. We do not expect there to be any broker non-votes on this proposal.</w:t>
      </w:r>
    </w:p>
    <w:p>
      <w:pPr>
        <w:spacing w:after="0" w:line="37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BOARD OF DIRECTORS UNANIMOUSLY RECOMMENDS</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 VOTE “FOR” PROPOSAL 8</w:t>
      </w:r>
    </w:p>
    <w:p>
      <w:pPr>
        <w:spacing w:after="0" w:line="16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657" w:right="479" w:bottom="1440" w:gutter="0" w:footer="0" w:header="0"/>
        </w:sectPr>
      </w:pPr>
    </w:p>
    <w:bookmarkStart w:id="53" w:name="page54"/>
    <w:bookmarkEnd w:id="5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REPORT OF THE AUDIT COMMITTEE OF THE BOARD OF DIRECTORS</w:t>
      </w:r>
    </w:p>
    <w:p>
      <w:pPr>
        <w:spacing w:after="0" w:line="119" w:lineRule="exact"/>
        <w:rPr>
          <w:sz w:val="20"/>
          <w:szCs w:val="20"/>
          <w:color w:val="auto"/>
        </w:rPr>
      </w:pPr>
    </w:p>
    <w:p>
      <w:pPr>
        <w:ind w:right="40" w:firstLine="416"/>
        <w:spacing w:after="0" w:line="267"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shall not be incorporated by reference by any general statement incorporating by reference this proxy statement into any filing of MannKind under the Securities Act or the Exchange Act, except to the extent MannKind specifically incorporates this report by reference.</w:t>
      </w:r>
    </w:p>
    <w:p>
      <w:pPr>
        <w:spacing w:after="0" w:line="175" w:lineRule="exact"/>
        <w:rPr>
          <w:sz w:val="20"/>
          <w:szCs w:val="20"/>
          <w:color w:val="auto"/>
        </w:rPr>
      </w:pPr>
    </w:p>
    <w:p>
      <w:pPr>
        <w:ind w:right="100" w:firstLine="416"/>
        <w:spacing w:after="0" w:line="258" w:lineRule="auto"/>
        <w:rPr>
          <w:sz w:val="20"/>
          <w:szCs w:val="20"/>
          <w:color w:val="auto"/>
        </w:rPr>
      </w:pPr>
      <w:r>
        <w:rPr>
          <w:rFonts w:ascii="Times New Roman" w:cs="Times New Roman" w:eastAsia="Times New Roman" w:hAnsi="Times New Roman"/>
          <w:sz w:val="18"/>
          <w:szCs w:val="18"/>
          <w:color w:val="auto"/>
        </w:rPr>
        <w:t>The Audit Committee oversees the Company’s financial reporting process on behalf of the Board of Directors. The Company’s management has the primary responsibility for the financial statements, for maintaining effective internal control over financial reporting, and for assessing the effectiveness of internal control over financial reporting. In fulfilling its oversight responsibilities, the Audit Committee reviewed and discussed the audited financial statements in the Annual Report with Company management, including a discussion on the quality, not just the acceptability, of the accounting principles; the reasonableness of significant judgments; and the clarity of the disclosures within the financial statements.</w:t>
      </w:r>
    </w:p>
    <w:p>
      <w:pPr>
        <w:spacing w:after="0" w:line="183"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 xml:space="preserve">The Audit Committee recognizes the importance of maintaining the independence of the Company’s independent auditor, both in fact and appearance. In fulfilling its oversight responsibility as to the audit process, the Audit Committee obtained from Deloitte &amp; Touche LLP (“Deloitte”) the written disclosures and the letter describing all relationships between MannKind and its independent auditors that might bear on the auditors’ independence consistent with applicable requirements of the Public Company Accounting Oversight Board (“PCAOB”) Rule 3526, </w:t>
      </w:r>
      <w:r>
        <w:rPr>
          <w:rFonts w:ascii="Times New Roman" w:cs="Times New Roman" w:eastAsia="Times New Roman" w:hAnsi="Times New Roman"/>
          <w:sz w:val="18"/>
          <w:szCs w:val="18"/>
          <w:i w:val="1"/>
          <w:iCs w:val="1"/>
          <w:color w:val="auto"/>
        </w:rPr>
        <w:t>Communication with Audit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Committees Concerning Independence</w:t>
      </w:r>
      <w:r>
        <w:rPr>
          <w:rFonts w:ascii="Times New Roman" w:cs="Times New Roman" w:eastAsia="Times New Roman" w:hAnsi="Times New Roman"/>
          <w:sz w:val="18"/>
          <w:szCs w:val="18"/>
          <w:color w:val="auto"/>
        </w:rPr>
        <w:t>. The Audit Committee has discussed Deloitte’s independence with Company management and Deloitte,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considered the compatibility of non-audit services with the independent auditor’s independence.</w:t>
      </w:r>
    </w:p>
    <w:p>
      <w:pPr>
        <w:spacing w:after="0" w:line="187" w:lineRule="exact"/>
        <w:rPr>
          <w:sz w:val="20"/>
          <w:szCs w:val="20"/>
          <w:color w:val="auto"/>
        </w:rPr>
      </w:pPr>
    </w:p>
    <w:p>
      <w:pPr>
        <w:ind w:right="40" w:firstLine="416"/>
        <w:spacing w:after="0" w:line="258" w:lineRule="auto"/>
        <w:rPr>
          <w:sz w:val="20"/>
          <w:szCs w:val="20"/>
          <w:color w:val="auto"/>
        </w:rPr>
      </w:pPr>
      <w:r>
        <w:rPr>
          <w:rFonts w:ascii="Times New Roman" w:cs="Times New Roman" w:eastAsia="Times New Roman" w:hAnsi="Times New Roman"/>
          <w:sz w:val="18"/>
          <w:szCs w:val="18"/>
          <w:color w:val="auto"/>
        </w:rPr>
        <w:t>The Audit Committee Charter provides that one duty of the Audit Committee is to determine whether to retain or to terminate MannKind’s existing auditors or to appoint and engage new auditors for the ensuing year. In performing that duty, the Audit Committee evaluated the performance of Deloitte in performing the examination of MannKind’s financial statements for the fiscal year ended December 31, 2022, considered the auditors’ technical expertise and knowledge of the Company’s operation and industry, and considered auditors’ independence, objectivity, and professional skepticism. Based on this evaluation, the Audit Committee determined to engage Deloitte as MannKind’s independent auditors for the fiscal year ending December 31, 2023.</w:t>
      </w:r>
    </w:p>
    <w:p>
      <w:pPr>
        <w:spacing w:after="0" w:line="183"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The Audit Committee discussed with Deloitte the matters required to be discussed by the applicable PCAOB standards and the SEC. In addition, with and without management present, the Audit Committee discussed and reviewed MannKind’s financial statements and the results of Deloitte’s audit of MannKind’s financial statements and internal control. Based upon the Audit Committee’s discussion with management and Deloitte and the Audit Committee’s review of MannKind’s financial statements, the representations of MannKind’s management and the independent auditors’ report to the Audit Committee, the Audit Committee recommended to the Board of Directors that MannKind include the audited financial statements in its Annual Report on Form 10-K for the fiscal year ended December 31, 2022, for filing with the SEC.</w:t>
      </w:r>
    </w:p>
    <w:p>
      <w:pPr>
        <w:spacing w:after="0" w:line="200" w:lineRule="exact"/>
        <w:rPr>
          <w:sz w:val="20"/>
          <w:szCs w:val="20"/>
          <w:color w:val="auto"/>
        </w:rPr>
      </w:pPr>
    </w:p>
    <w:p>
      <w:pPr>
        <w:spacing w:after="0" w:line="21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1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Ronald J. Consiglio, Audit Committee Chair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Jennifer Grancio, Audit Committee Member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Anthony Hooper, Audit Committee Member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Sabrina Kay, Audit Committee Member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Christine Mundkur, Audit Committee Member</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54" w:name="page55"/>
    <w:bookmarkEnd w:id="54"/>
    <w:p>
      <w:pPr>
        <w:ind w:left="420" w:right="3620" w:firstLine="3210"/>
        <w:spacing w:after="0" w:line="443" w:lineRule="auto"/>
        <w:rPr>
          <w:sz w:val="20"/>
          <w:szCs w:val="20"/>
          <w:color w:val="auto"/>
        </w:rPr>
      </w:pPr>
      <w:r>
        <w:rPr>
          <w:rFonts w:ascii="Times New Roman" w:cs="Times New Roman" w:eastAsia="Times New Roman" w:hAnsi="Times New Roman"/>
          <w:sz w:val="18"/>
          <w:szCs w:val="18"/>
          <w:b w:val="1"/>
          <w:bCs w:val="1"/>
          <w:color w:val="auto"/>
        </w:rPr>
        <w:t xml:space="preserve">EXECUTIVE OFFICERS OF THE REGISTRANT </w:t>
      </w:r>
      <w:r>
        <w:rPr>
          <w:rFonts w:ascii="Times New Roman" w:cs="Times New Roman" w:eastAsia="Times New Roman" w:hAnsi="Times New Roman"/>
          <w:sz w:val="18"/>
          <w:szCs w:val="18"/>
          <w:color w:val="auto"/>
        </w:rPr>
        <w:t>The following table sets forth our current executive officers and their ages:</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6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80" w:type="dxa"/>
            <w:vAlign w:val="bottom"/>
          </w:tcPr>
          <w:p>
            <w:pPr>
              <w:spacing w:after="0"/>
              <w:rPr>
                <w:sz w:val="16"/>
                <w:szCs w:val="16"/>
                <w:color w:val="auto"/>
              </w:rPr>
            </w:pPr>
          </w:p>
        </w:tc>
        <w:tc>
          <w:tcPr>
            <w:tcW w:w="5920" w:type="dxa"/>
            <w:vAlign w:val="bottom"/>
            <w:tcBorders>
              <w:bottom w:val="single" w:sz="8" w:color="auto"/>
            </w:tcBorders>
          </w:tcPr>
          <w:p>
            <w:pPr>
              <w:ind w:left="264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236"/>
        </w:trPr>
        <w:tc>
          <w:tcPr>
            <w:tcW w:w="3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Michael E. Castagna, Pharm.D.</w:t>
            </w:r>
          </w:p>
        </w:tc>
        <w:tc>
          <w:tcPr>
            <w:tcW w:w="200" w:type="dxa"/>
            <w:vAlign w:val="bottom"/>
            <w:shd w:val="clear" w:color="auto" w:fill="CFF0FC"/>
          </w:tcPr>
          <w:p>
            <w:pPr>
              <w:spacing w:after="0"/>
              <w:rPr>
                <w:sz w:val="20"/>
                <w:szCs w:val="20"/>
                <w:color w:val="auto"/>
              </w:rPr>
            </w:pPr>
          </w:p>
        </w:tc>
        <w:tc>
          <w:tcPr>
            <w:tcW w:w="12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46</w:t>
            </w:r>
          </w:p>
        </w:tc>
        <w:tc>
          <w:tcPr>
            <w:tcW w:w="180" w:type="dxa"/>
            <w:vAlign w:val="bottom"/>
            <w:shd w:val="clear" w:color="auto" w:fill="CFF0FC"/>
          </w:tcPr>
          <w:p>
            <w:pPr>
              <w:spacing w:after="0"/>
              <w:rPr>
                <w:sz w:val="20"/>
                <w:szCs w:val="20"/>
                <w:color w:val="auto"/>
              </w:rPr>
            </w:pPr>
          </w:p>
        </w:tc>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9"/>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Steven B. Binder</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60</w:t>
            </w:r>
          </w:p>
        </w:tc>
        <w:tc>
          <w:tcPr>
            <w:tcW w:w="18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47"/>
        </w:trPr>
        <w:tc>
          <w:tcPr>
            <w:tcW w:w="3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Lauren M. Sabella</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62</w:t>
            </w:r>
          </w:p>
        </w:tc>
        <w:tc>
          <w:tcPr>
            <w:tcW w:w="180" w:type="dxa"/>
            <w:vAlign w:val="bottom"/>
            <w:shd w:val="clear" w:color="auto" w:fill="CFF0FC"/>
          </w:tcPr>
          <w:p>
            <w:pPr>
              <w:spacing w:after="0"/>
              <w:rPr>
                <w:sz w:val="21"/>
                <w:szCs w:val="21"/>
                <w:color w:val="auto"/>
              </w:rPr>
            </w:pPr>
          </w:p>
        </w:tc>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Operating Officer</w:t>
            </w:r>
          </w:p>
        </w:tc>
      </w:tr>
      <w:tr>
        <w:trPr>
          <w:trHeight w:val="239"/>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Sanjay Singh, M Pharm, MBA</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56</w:t>
            </w:r>
          </w:p>
        </w:tc>
        <w:tc>
          <w:tcPr>
            <w:tcW w:w="18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Technical Operations</w:t>
            </w:r>
          </w:p>
        </w:tc>
      </w:tr>
      <w:tr>
        <w:trPr>
          <w:trHeight w:val="247"/>
        </w:trPr>
        <w:tc>
          <w:tcPr>
            <w:tcW w:w="36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David B. Thomson, Ph.D., J.D.</w:t>
            </w:r>
          </w:p>
        </w:tc>
        <w:tc>
          <w:tcPr>
            <w:tcW w:w="148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56</w:t>
            </w:r>
          </w:p>
        </w:tc>
        <w:tc>
          <w:tcPr>
            <w:tcW w:w="180" w:type="dxa"/>
            <w:vAlign w:val="bottom"/>
            <w:shd w:val="clear" w:color="auto" w:fill="CFF0FC"/>
          </w:tcPr>
          <w:p>
            <w:pPr>
              <w:spacing w:after="0"/>
              <w:rPr>
                <w:sz w:val="21"/>
                <w:szCs w:val="21"/>
                <w:color w:val="auto"/>
              </w:rPr>
            </w:pPr>
          </w:p>
        </w:tc>
        <w:tc>
          <w:tcPr>
            <w:tcW w:w="59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Executive Vice President, General Counsel and Secretary</w:t>
            </w:r>
          </w:p>
        </w:tc>
      </w:tr>
      <w:tr>
        <w:trPr>
          <w:trHeight w:val="234"/>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Stuart A. Tross, Ph.D.</w:t>
            </w:r>
          </w:p>
        </w:tc>
        <w:tc>
          <w:tcPr>
            <w:tcW w:w="148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56</w:t>
            </w:r>
          </w:p>
        </w:tc>
        <w:tc>
          <w:tcPr>
            <w:tcW w:w="180" w:type="dxa"/>
            <w:vAlign w:val="bottom"/>
          </w:tcPr>
          <w:p>
            <w:pPr>
              <w:spacing w:after="0"/>
              <w:rPr>
                <w:sz w:val="20"/>
                <w:szCs w:val="20"/>
                <w:color w:val="auto"/>
              </w:rPr>
            </w:pPr>
          </w:p>
        </w:tc>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Executive Vice President, Chief People and Workplace Officer</w:t>
            </w:r>
          </w:p>
        </w:tc>
      </w:tr>
      <w:tr>
        <w:trPr>
          <w:trHeight w:val="144"/>
        </w:trPr>
        <w:tc>
          <w:tcPr>
            <w:tcW w:w="1840" w:type="dxa"/>
            <w:vAlign w:val="bottom"/>
            <w:tcBorders>
              <w:bottom w:val="single" w:sz="8" w:color="auto"/>
            </w:tcBorders>
          </w:tcPr>
          <w:p>
            <w:pPr>
              <w:spacing w:after="0"/>
              <w:rPr>
                <w:sz w:val="12"/>
                <w:szCs w:val="12"/>
                <w:color w:val="auto"/>
              </w:rPr>
            </w:pPr>
          </w:p>
        </w:tc>
        <w:tc>
          <w:tcPr>
            <w:tcW w:w="1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920" w:type="dxa"/>
            <w:vAlign w:val="bottom"/>
          </w:tcPr>
          <w:p>
            <w:pPr>
              <w:spacing w:after="0"/>
              <w:rPr>
                <w:sz w:val="12"/>
                <w:szCs w:val="12"/>
                <w:color w:val="auto"/>
              </w:rPr>
            </w:pPr>
          </w:p>
        </w:tc>
      </w:tr>
    </w:tbl>
    <w:p>
      <w:pPr>
        <w:spacing w:after="0" w:line="20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Michael E. Castagna, Pharm.D</w:t>
      </w:r>
      <w:r>
        <w:rPr>
          <w:rFonts w:ascii="Times New Roman" w:cs="Times New Roman" w:eastAsia="Times New Roman" w:hAnsi="Times New Roman"/>
          <w:sz w:val="18"/>
          <w:szCs w:val="18"/>
          <w:color w:val="auto"/>
        </w:rPr>
        <w:t>. Mr. Castagna’s biographical information is included under Proposal 1 above.</w:t>
      </w:r>
    </w:p>
    <w:p>
      <w:pPr>
        <w:spacing w:after="0" w:line="225" w:lineRule="exact"/>
        <w:rPr>
          <w:sz w:val="20"/>
          <w:szCs w:val="20"/>
          <w:color w:val="auto"/>
        </w:rPr>
      </w:pPr>
    </w:p>
    <w:p>
      <w:pPr>
        <w:ind w:right="60" w:firstLine="419"/>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Steven B. Binder </w:t>
      </w:r>
      <w:r>
        <w:rPr>
          <w:rFonts w:ascii="Times New Roman" w:cs="Times New Roman" w:eastAsia="Times New Roman" w:hAnsi="Times New Roman"/>
          <w:sz w:val="18"/>
          <w:szCs w:val="18"/>
          <w:color w:val="auto"/>
        </w:rPr>
        <w:t>has been our Chief Financial Officer since July 2017. Before joining us, since 2013 Mr. Binder served as Vice President and Chief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Officer of the International Group of Stryker Corporation, a leading global medical technology company, based in Singapore. Prior to Stryker, Mr. Binder served in a series of senior leadership roles at Bristol-Myers Squibb Company (“BMS”). His last four positions at BMS were Vice President, Finance roles over different geographic operating units: United States (2012-2013), Europe (2008-2011), AsiaPacific (2005-2007), and Japan (2003-2005). Prior to his international experience, Mr. Binder served in three senior leadership roles for Oncology Therapeutics Network, a U.S. based independent subsidiary of BMS: Vice President, Strategic Development (2001-2003), Vice President, Customer Operations (2000-2001), and Chief Financial Officer (1997-2000). Before Oncology Therapeutics Network, Mr. Binder progressed through three finance and accounting roles for BMS Worldwide Medicines Group after joining the company in 1992. Before BMS, he worked for Deloitte &amp; Touche LLP in a series of auditing roles with increasing responsibility over an eight-year period beginning in 1984. Mr. Binder received a B.S. in Accounting and Business Administration from Muhlenberg College and is a Certified Public Accountant.</w:t>
      </w:r>
    </w:p>
    <w:p>
      <w:pPr>
        <w:spacing w:after="0" w:line="185" w:lineRule="exact"/>
        <w:rPr>
          <w:sz w:val="20"/>
          <w:szCs w:val="20"/>
          <w:color w:val="auto"/>
        </w:rPr>
      </w:pPr>
    </w:p>
    <w:p>
      <w:pPr>
        <w:ind w:right="40" w:firstLine="419"/>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Lauren M. Sabella </w:t>
      </w:r>
      <w:r>
        <w:rPr>
          <w:rFonts w:ascii="Times New Roman" w:cs="Times New Roman" w:eastAsia="Times New Roman" w:hAnsi="Times New Roman"/>
          <w:sz w:val="18"/>
          <w:szCs w:val="18"/>
          <w:color w:val="auto"/>
        </w:rPr>
        <w:t>was appointed Chief Operating Officer effective March 27, 2023. Prior to joining us, Ms. Sabella served as Principal at 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Consulting Group, a strategic advisory group providing consulting services to pharmaceutical and emerging biotech companies, from September 2022 until March 2023. From September 2021 until September 2022, Ms. Sabella served as Chief Operating Officer at Acorda Therapeutics, Inc. (“Acorda”). Ms. Sabella was previously Acorda’s Chief Commercial Officer from February 2015 to September 2021. Before that, from January 2010 to February 2015, she was Acorda’s Executive Vice President, Commercial Development. Prior to that, Ms. Sabella was the Founder and Principal of Tugboat Consulting Group, an independent consulting practice assisting companies in the commercialization process. Ms. Sabella also served as Corporate Officer and Vice President of Commercial Development at Altus Pharmaceuticals Inc. (“Altus”) from May 2006 to September 2008, with responsibility for all aspects of commercialization. Prior to joining Altus, Ms. Sabella was employed by Boehringer Ingelheim Pharmaceuticals for 18 years in positions of increasing responsibility, which included over ten years of marketing experience during which she led several product launches including Mobic, an NSAID that became a $1 billion brand. In her last role, she served as Vice President of Sales, Eastern Zone, where she led the sales launch of Spiriva and ran both Primary Care and Specialty Divisions, including Neurology, Urology and Cardio/Pulmonary. Ms. Sabella holds a B.B.A. from Hofstra University.</w:t>
      </w:r>
    </w:p>
    <w:p>
      <w:pPr>
        <w:spacing w:after="0" w:line="192" w:lineRule="exact"/>
        <w:rPr>
          <w:sz w:val="20"/>
          <w:szCs w:val="20"/>
          <w:color w:val="auto"/>
        </w:rPr>
      </w:pPr>
    </w:p>
    <w:p>
      <w:pPr>
        <w:ind w:right="140" w:firstLine="41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Sanjay Singh, M Pharm, MBA </w:t>
      </w:r>
      <w:r>
        <w:rPr>
          <w:rFonts w:ascii="Times New Roman" w:cs="Times New Roman" w:eastAsia="Times New Roman" w:hAnsi="Times New Roman"/>
          <w:sz w:val="18"/>
          <w:szCs w:val="18"/>
          <w:color w:val="auto"/>
        </w:rPr>
        <w:t>has been our Executive Vice President, Technical Operations since October 2022. Before joining us, since 2011 Mr.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Singh served as Sr. Vice President and Associate President, Technical Operations in India and USA at Aurobindo Pharma Limited, a generic pharmaceutical manufacturing company, headquartered in Hyderabad, India. Prior to Aurobindo, Mr. Singh worked in various leadership roles at Cipla Limited (2000-2007, 2008-2011), Glenmark Pharmaceuticals Limited (2007-2008), Nicholas Piramal Pharma Limited (1992-2000) and Cadila Healthcare Limited (1990-1991). Mr. Singh was the founding president of the Parental Drug Association, India chapter before moving to the US in 2015. Mr. Singh received an M. Pharma. degree in Pharmaceutical Chemistry from LM College of Pharmacy, Ahmedabad, India and an MBA degree from Institute of Management Studies, Indore, India.</w:t>
      </w:r>
    </w:p>
    <w:p>
      <w:pPr>
        <w:spacing w:after="0" w:line="183" w:lineRule="exact"/>
        <w:rPr>
          <w:sz w:val="20"/>
          <w:szCs w:val="20"/>
          <w:color w:val="auto"/>
        </w:rPr>
      </w:pPr>
    </w:p>
    <w:p>
      <w:pPr>
        <w:ind w:right="120" w:firstLine="419"/>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David B. Thomson, Ph.D., J.D. </w:t>
      </w:r>
      <w:r>
        <w:rPr>
          <w:rFonts w:ascii="Times New Roman" w:cs="Times New Roman" w:eastAsia="Times New Roman" w:hAnsi="Times New Roman"/>
          <w:sz w:val="17"/>
          <w:szCs w:val="17"/>
          <w:color w:val="auto"/>
        </w:rPr>
        <w:t>has been our General Counsel and Corporate Secretary since January 2002. Prior to joining us, he practiced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corporate/commercial and securities law at a major Toronto law firm. Earlier in his career, Dr. Thomson was a post-doctoral fellow at the Rockefeller University. Dr. Thomson obtained his B.S., M Sc. and Ph.D. degrees from Queens University and obtained his J.D. degree from the University of Toronto.</w:t>
      </w:r>
    </w:p>
    <w:p>
      <w:pPr>
        <w:spacing w:after="0" w:line="155" w:lineRule="exact"/>
        <w:rPr>
          <w:sz w:val="20"/>
          <w:szCs w:val="20"/>
          <w:color w:val="auto"/>
        </w:rPr>
      </w:pPr>
    </w:p>
    <w:p>
      <w:pPr>
        <w:ind w:right="20" w:firstLine="419"/>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Stuart A. Tross, Ph.D. </w:t>
      </w:r>
      <w:r>
        <w:rPr>
          <w:rFonts w:ascii="Times New Roman" w:cs="Times New Roman" w:eastAsia="Times New Roman" w:hAnsi="Times New Roman"/>
          <w:sz w:val="18"/>
          <w:szCs w:val="18"/>
          <w:color w:val="auto"/>
        </w:rPr>
        <w:t>has been our Chief People and Workplace Officer since December 2016, with responsibilities for human resources,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corporate communications and west coast facilities. From 2006 to 2016 he served in various roles of increasing responsibility at Amgen Inc., most recently as Senior Vice President and Chief Human Resources Officer responsible for human resources and security on a global basis. From 1998 to 2006 he served in a series of leadership roles at BMS, most recently as</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7"/>
          <w:szCs w:val="17"/>
          <w:color w:val="auto"/>
        </w:rPr>
        <w:t>Vice President and Global Head of Human Resources for Mead Johnson Company. Mr. Tross received a B.S. degree from Cornell University and M.Sc.</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Ph.D. degrees in Industrial-Organizational Psychology from the Georgia Institute of Technology.</w:t>
      </w:r>
    </w:p>
    <w:p>
      <w:pPr>
        <w:spacing w:after="0" w:line="207" w:lineRule="exact"/>
        <w:rPr>
          <w:sz w:val="20"/>
          <w:szCs w:val="20"/>
          <w:color w:val="auto"/>
        </w:rPr>
      </w:pPr>
    </w:p>
    <w:p>
      <w:pPr>
        <w:ind w:right="120" w:firstLine="416"/>
        <w:spacing w:after="0" w:line="282" w:lineRule="auto"/>
        <w:rPr>
          <w:sz w:val="20"/>
          <w:szCs w:val="20"/>
          <w:color w:val="auto"/>
        </w:rPr>
      </w:pPr>
      <w:r>
        <w:rPr>
          <w:rFonts w:ascii="Times New Roman" w:cs="Times New Roman" w:eastAsia="Times New Roman" w:hAnsi="Times New Roman"/>
          <w:sz w:val="18"/>
          <w:szCs w:val="18"/>
          <w:color w:val="auto"/>
        </w:rPr>
        <w:t>Executive officers serve at the discretion of our Board of Directors. There are no family relationships between any of our directors and executive officers.</w:t>
      </w:r>
    </w:p>
    <w:p>
      <w:pPr>
        <w:spacing w:after="0" w:line="12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553" w:right="619"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21" w:lineRule="exact"/>
        <w:rPr>
          <w:sz w:val="20"/>
          <w:szCs w:val="20"/>
          <w:color w:val="auto"/>
        </w:rPr>
      </w:pPr>
    </w:p>
    <w:p>
      <w:pPr>
        <w:ind w:right="60" w:firstLine="416"/>
        <w:spacing w:after="0" w:line="266" w:lineRule="auto"/>
        <w:rPr>
          <w:sz w:val="20"/>
          <w:szCs w:val="20"/>
          <w:color w:val="auto"/>
        </w:rPr>
      </w:pPr>
      <w:r>
        <w:rPr>
          <w:rFonts w:ascii="Times New Roman" w:cs="Times New Roman" w:eastAsia="Times New Roman" w:hAnsi="Times New Roman"/>
          <w:sz w:val="18"/>
          <w:szCs w:val="18"/>
          <w:color w:val="auto"/>
        </w:rPr>
        <w:t>We are pleased to present our report on executive compensation. This report is intended to assist our stockholders in understanding the objectives and procedures used by the Compensation Committee of our Board of Directors in establishing its recommendations to the Board regarding the compensation of our executive officers.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ind w:right="60" w:firstLine="416"/>
        <w:spacing w:after="0" w:line="256" w:lineRule="auto"/>
        <w:rPr>
          <w:sz w:val="20"/>
          <w:szCs w:val="20"/>
          <w:color w:val="auto"/>
        </w:rPr>
      </w:pPr>
      <w:r>
        <w:rPr>
          <w:rFonts w:ascii="Times New Roman" w:cs="Times New Roman" w:eastAsia="Times New Roman" w:hAnsi="Times New Roman"/>
          <w:sz w:val="18"/>
          <w:szCs w:val="18"/>
          <w:color w:val="auto"/>
        </w:rPr>
        <w:t>MannKind is a biopharmaceutical company focused on the development and commercialization of innovative therapeutic products and devices to address serious unmet medical needs for those living with endocrine and orphan lung diseases. Our signature technologies – Technosphere dry-powder formulations and Dreamboat inhalation devices – offer rapid and convenient delivery of medicines to the deep lung where they can exert an effect locally or enter the systemic circulation. In our endocrine business unit, we currently commercialize two products: Afrezza (insulin human) Inhalation Powder, an ultra rapid-acting inhaled insulin indicated to improve glycemic control in adults with diabetes, and the V-Go wearable insulin delivery device, which provides continuous subcutaneous infusion of insulin in adults that require insulin. The first product to come out of our orphan lung disease pipeline, Tyvaso DPI (treprostinil) inhalation powder, received FDA approval in May 2022. Our collaboration partner, United Therapeutics Corporation (“UT”) began commercializing Tyvaso DPI in June 2022. UT pays us a royalty on net sales of Tyvaso DPI as well as a margin on supplies of Tyvaso DPI that we manufacture for UT. The dual importance of our endocrinology and orphan lung disease programs is reflected in our consolidated statement of operations, which shows that in 2022 we derived $56.2 million in net revenue from sales of our endocrinology products and $43.5 million in royalties and collaboration and services revenue from our partnership with UT.</w:t>
      </w:r>
    </w:p>
    <w:p>
      <w:pPr>
        <w:spacing w:after="0" w:line="190" w:lineRule="exact"/>
        <w:rPr>
          <w:sz w:val="20"/>
          <w:szCs w:val="20"/>
          <w:color w:val="auto"/>
        </w:rPr>
      </w:pPr>
    </w:p>
    <w:p>
      <w:pPr>
        <w:ind w:right="80" w:firstLine="416"/>
        <w:spacing w:after="0" w:line="277" w:lineRule="auto"/>
        <w:rPr>
          <w:sz w:val="20"/>
          <w:szCs w:val="20"/>
          <w:color w:val="auto"/>
        </w:rPr>
      </w:pPr>
      <w:r>
        <w:rPr>
          <w:rFonts w:ascii="Times New Roman" w:cs="Times New Roman" w:eastAsia="Times New Roman" w:hAnsi="Times New Roman"/>
          <w:sz w:val="17"/>
          <w:szCs w:val="17"/>
          <w:color w:val="auto"/>
        </w:rPr>
        <w:t>Our short-term incentive, or STI, compensation plan is designed to reward achievements that are expected to produce positive stockholder returns in the near-term in both operational areas of focus. Other elements of our compensation program, particularly equity compensation, are aimed at rewarding performance of the Company over the longer time periods typically associated with the development cycles of biopharmaceutical products. We place more emphasis on performance-based compensation than on fixed compensation, but we are mindful of the fact that an over-emphasis on at-risk compensation could jeopardize our ability to retain key talent. We discuss below how we use a mix of compensation elements in order to achieve our objectives.</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Oversight of the Executive Compensation Program</w:t>
      </w:r>
    </w:p>
    <w:p>
      <w:pPr>
        <w:spacing w:after="0" w:line="121" w:lineRule="exact"/>
        <w:rPr>
          <w:sz w:val="20"/>
          <w:szCs w:val="20"/>
          <w:color w:val="auto"/>
        </w:rPr>
      </w:pPr>
    </w:p>
    <w:p>
      <w:pPr>
        <w:ind w:firstLine="416"/>
        <w:spacing w:after="0" w:line="252" w:lineRule="auto"/>
        <w:rPr>
          <w:sz w:val="20"/>
          <w:szCs w:val="20"/>
          <w:color w:val="auto"/>
        </w:rPr>
      </w:pPr>
      <w:r>
        <w:rPr>
          <w:rFonts w:ascii="Times New Roman" w:cs="Times New Roman" w:eastAsia="Times New Roman" w:hAnsi="Times New Roman"/>
          <w:sz w:val="18"/>
          <w:szCs w:val="18"/>
          <w:color w:val="auto"/>
        </w:rPr>
        <w:t xml:space="preserve">The Compensation Committee is responsible for establishing and administering our policies governing the compensation for our executive officers. The Compensation Committee is composed entirely of independent directors within the meaning of applicable SEC and Nasdaq rules. The Compensation Committee’s responsibilities and duties are outlined in detail in the Compensation Committee charter, which is available on our website at </w:t>
      </w:r>
      <w:r>
        <w:rPr>
          <w:rFonts w:ascii="Times New Roman" w:cs="Times New Roman" w:eastAsia="Times New Roman" w:hAnsi="Times New Roman"/>
          <w:sz w:val="18"/>
          <w:szCs w:val="18"/>
          <w:i w:val="1"/>
          <w:iCs w:val="1"/>
          <w:color w:val="auto"/>
        </w:rPr>
        <w:t>mannkindcorp.com/corporate-governance/</w:t>
      </w:r>
      <w:r>
        <w:rPr>
          <w:rFonts w:ascii="Times New Roman" w:cs="Times New Roman" w:eastAsia="Times New Roman" w:hAnsi="Times New Roman"/>
          <w:sz w:val="18"/>
          <w:szCs w:val="18"/>
          <w:color w:val="auto"/>
        </w:rPr>
        <w:t>. A primary responsibility of the Compensation Committee is to make recommendations regarding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for our executive officers, including the determination and confirmation of annual corporate goal achievement for purposes of awarding short-term incentive compensation, to the full Board for its approval. As part of this process, the Compensation Committee has historically invited our CEO to attend Compensation Committee meetings or portions thereof to obtain his insight and guidance with respect to other executive officers, though the Chief Executive Officer is not a member of the Compensation Committee. The Compensation Committee engages a third-party consulting firm, Mercer LLC, to assist in developing compensation levels and practices and to provide external market data.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 however, there is no requirement that any adviser be independent. The Compensation Committee conducted an independence assessment with respect to Mercer’s role in recommending or determining the amount and form of executive compensation and considered the required six factors. After conducting this assessment, the Compensation Committee concluded that Mercer’s role in recommending or determining the amount and form of execution compensation for the fiscal year ended December 31, 2022 did not raise any conflict of interest.</w:t>
      </w:r>
    </w:p>
    <w:p>
      <w:pPr>
        <w:spacing w:after="0" w:line="196" w:lineRule="exact"/>
        <w:rPr>
          <w:sz w:val="20"/>
          <w:szCs w:val="20"/>
          <w:color w:val="auto"/>
        </w:rPr>
      </w:pPr>
    </w:p>
    <w:p>
      <w:pPr>
        <w:ind w:right="60" w:firstLine="416"/>
        <w:spacing w:after="0" w:line="255" w:lineRule="auto"/>
        <w:rPr>
          <w:sz w:val="20"/>
          <w:szCs w:val="20"/>
          <w:color w:val="auto"/>
        </w:rPr>
      </w:pPr>
      <w:r>
        <w:rPr>
          <w:rFonts w:ascii="Times New Roman" w:cs="Times New Roman" w:eastAsia="Times New Roman" w:hAnsi="Times New Roman"/>
          <w:sz w:val="18"/>
          <w:szCs w:val="18"/>
          <w:color w:val="auto"/>
        </w:rPr>
        <w:t>The Compensation Committee meets outside the presence of our CEO in order to consider the appropriate compensation for, and in setting the compensation of, our CEO. The Compensation Committee relies on compensation data provided by Mercer in setting CEO compensation. The CEO in 2022 did not maintain personal or business relationships (including any interlocking relationships) with any of the Compensation Committee members (outside of their relationship within the Company) that would impair the Compensation Committee members’ ability to remain independent and assess the CEO’s compensation without any conflict of interest. Thus, the determination of the CEO compensation was made without undue influence from the CEO. During 2022, for all other named executive officers, the Compensation Committee met outside the presence of all executive officers except our CEO. The annual performance of each of our executive officers is considered by the Compensation Committee when making decisions regarding</w:t>
      </w:r>
    </w:p>
    <w:p>
      <w:pPr>
        <w:spacing w:after="0" w:line="1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57" w:name="page58"/>
    <w:bookmarkEnd w:id="57"/>
    <w:p>
      <w:pPr>
        <w:ind w:right="120"/>
        <w:spacing w:after="0" w:line="261" w:lineRule="auto"/>
        <w:rPr>
          <w:sz w:val="20"/>
          <w:szCs w:val="20"/>
          <w:color w:val="auto"/>
        </w:rPr>
      </w:pPr>
      <w:r>
        <w:rPr>
          <w:rFonts w:ascii="Times New Roman" w:cs="Times New Roman" w:eastAsia="Times New Roman" w:hAnsi="Times New Roman"/>
          <w:sz w:val="18"/>
          <w:szCs w:val="18"/>
          <w:color w:val="auto"/>
        </w:rPr>
        <w:t>base salary, targets for and payments under our STI plan and grants of equity incentive awards. When making recommendations regarding individual executive officers, the Compensation Committee considers the importance of the position to us, the past compensation history of the executive officer and the contributions made by the individual in the past and the contributions we expect the executive officer to make in the future towards the success of our business.</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Philosophy and Objectives</w:t>
      </w:r>
    </w:p>
    <w:p>
      <w:pPr>
        <w:spacing w:after="0" w:line="121" w:lineRule="exact"/>
        <w:rPr>
          <w:sz w:val="20"/>
          <w:szCs w:val="20"/>
          <w:color w:val="auto"/>
        </w:rPr>
      </w:pPr>
    </w:p>
    <w:p>
      <w:pPr>
        <w:ind w:right="120" w:firstLine="416"/>
        <w:spacing w:after="0" w:line="261" w:lineRule="auto"/>
        <w:rPr>
          <w:sz w:val="20"/>
          <w:szCs w:val="20"/>
          <w:color w:val="auto"/>
        </w:rPr>
      </w:pPr>
      <w:r>
        <w:rPr>
          <w:rFonts w:ascii="Times New Roman" w:cs="Times New Roman" w:eastAsia="Times New Roman" w:hAnsi="Times New Roman"/>
          <w:sz w:val="18"/>
          <w:szCs w:val="18"/>
          <w:color w:val="auto"/>
        </w:rPr>
        <w:t>The Compensation Committee oversees our executive compensation within the context of a compensation philosophy. This philosophy is to provide compensation and benefits programs designed to attract, engage, and retain a high caliber workforce that enables us to compete with companies in the pharmaceutical and biotechnology industries and to reward individual and corporate performance. We believe that a well-designed compensation program for our executive officers should:</w:t>
      </w:r>
    </w:p>
    <w:p>
      <w:pPr>
        <w:spacing w:after="0" w:line="72"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goals of the executive officer with the goals of our stockholders;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individual initiative and achievement;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total compensation that enables us to compete with companies in the pharmaceutical and biotechnology industries; and</w:t>
      </w:r>
    </w:p>
    <w:p>
      <w:pPr>
        <w:spacing w:after="0" w:line="117"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compensation with our short-term and long-term corporate objectives and strategy, focusing executive officer behavior on the fulfillment of those objectives.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keeping with this philosophy, our executive compensation program is designed to achieve the following objectives:</w:t>
      </w:r>
    </w:p>
    <w:p>
      <w:pPr>
        <w:spacing w:after="0" w:line="117" w:lineRule="exact"/>
        <w:rPr>
          <w:sz w:val="20"/>
          <w:szCs w:val="20"/>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talented and experienced executives;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motivate and reward executives whose knowledge, skills and performance are critical to our success;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 executives and employees who are instrumental in accomplishing our corporate goals;</w:t>
      </w:r>
    </w:p>
    <w:p>
      <w:pPr>
        <w:spacing w:after="0" w:line="117" w:lineRule="exact"/>
        <w:rPr>
          <w:rFonts w:ascii="Times New Roman" w:cs="Times New Roman" w:eastAsia="Times New Roman" w:hAnsi="Times New Roman"/>
          <w:sz w:val="18"/>
          <w:szCs w:val="18"/>
          <w:color w:val="auto"/>
        </w:rPr>
      </w:pPr>
    </w:p>
    <w:p>
      <w:pPr>
        <w:ind w:left="760" w:right="34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align the interests of our executives and stockholders by motivating executives to increase stockholder value and rewarding executives when stockholder value increases;</w:t>
      </w:r>
    </w:p>
    <w:p>
      <w:pPr>
        <w:spacing w:after="0" w:line="53" w:lineRule="exact"/>
        <w:rPr>
          <w:rFonts w:ascii="Times New Roman" w:cs="Times New Roman" w:eastAsia="Times New Roman" w:hAnsi="Times New Roman"/>
          <w:sz w:val="18"/>
          <w:szCs w:val="18"/>
          <w:color w:val="auto"/>
        </w:rPr>
      </w:pPr>
    </w:p>
    <w:p>
      <w:pPr>
        <w:ind w:left="760" w:hanging="378"/>
        <w:spacing w:after="0" w:line="266"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a competitive compensation package which is weighted towards pay-for-performance (including, when appropriate, long-term incentives such as performance equity awards), and in which total compensation is primarily determined by the Company’s and the individual’s achievement of results;</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fairness among the executive management team by recognizing the contributions each executive makes to our success;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foster a shared commitment among executives by aligning the Company’s and their individual goals;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compensate our executives to manage our business to meet our long-term objectives.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Competitive Market Assessment</w:t>
      </w:r>
    </w:p>
    <w:p>
      <w:pPr>
        <w:spacing w:after="0" w:line="121" w:lineRule="exact"/>
        <w:rPr>
          <w:sz w:val="20"/>
          <w:szCs w:val="20"/>
          <w:color w:val="auto"/>
        </w:rPr>
      </w:pPr>
    </w:p>
    <w:p>
      <w:pPr>
        <w:ind w:right="220" w:firstLine="416"/>
        <w:spacing w:after="0" w:line="266" w:lineRule="auto"/>
        <w:rPr>
          <w:sz w:val="20"/>
          <w:szCs w:val="20"/>
          <w:color w:val="auto"/>
        </w:rPr>
      </w:pPr>
      <w:r>
        <w:rPr>
          <w:rFonts w:ascii="Times New Roman" w:cs="Times New Roman" w:eastAsia="Times New Roman" w:hAnsi="Times New Roman"/>
          <w:sz w:val="18"/>
          <w:szCs w:val="18"/>
          <w:color w:val="auto"/>
        </w:rPr>
        <w:t>No less frequently than annually, the Compensation Committee reviews competitive market data to determine if our compensation levels remain at targeted levels and our pay practices are appropriate. These assessments include a review of base salary, STI compensation, and long-term incentive, or LTI, compensation. These components are benchmarked against a group of peer companies.</w:t>
      </w:r>
    </w:p>
    <w:p>
      <w:pPr>
        <w:spacing w:after="0" w:line="176" w:lineRule="exact"/>
        <w:rPr>
          <w:sz w:val="20"/>
          <w:szCs w:val="20"/>
          <w:color w:val="auto"/>
        </w:rPr>
      </w:pPr>
    </w:p>
    <w:p>
      <w:pPr>
        <w:ind w:right="20" w:firstLine="416"/>
        <w:spacing w:after="0" w:line="256" w:lineRule="auto"/>
        <w:rPr>
          <w:sz w:val="20"/>
          <w:szCs w:val="20"/>
          <w:color w:val="auto"/>
        </w:rPr>
      </w:pPr>
      <w:r>
        <w:rPr>
          <w:rFonts w:ascii="Times New Roman" w:cs="Times New Roman" w:eastAsia="Times New Roman" w:hAnsi="Times New Roman"/>
          <w:sz w:val="18"/>
          <w:szCs w:val="18"/>
          <w:color w:val="auto"/>
        </w:rPr>
        <w:t>Our peer group of similarly situated companies was developed by considering U.S.-based companies in the same industry (biotechnology/pharmaceutical) with similar company characteristics, such as revenue, market capitalization, and number of employees. In addition to these criteria, we consider companies with a similar competitive strategy, including utilizing an internal sales force, and maintaining internal manufacturing capabilities. In order to ensure that we do not exclude potential peers, we also take note of companies considered to be our peers by Institutional Shareholder Services for their benchmarking purposes. We review the list annually to ensure that our peer group is relevant while also striving for year-over-year consistency.</w:t>
      </w:r>
    </w:p>
    <w:p>
      <w:pPr>
        <w:spacing w:after="0" w:line="1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8" w:name="page59"/>
    <w:bookmarkEnd w:id="58"/>
    <w:p>
      <w:pPr>
        <w:ind w:left="420"/>
        <w:spacing w:after="0"/>
        <w:rPr>
          <w:sz w:val="20"/>
          <w:szCs w:val="20"/>
          <w:color w:val="auto"/>
        </w:rPr>
      </w:pPr>
      <w:r>
        <w:rPr>
          <w:rFonts w:ascii="Times New Roman" w:cs="Times New Roman" w:eastAsia="Times New Roman" w:hAnsi="Times New Roman"/>
          <w:sz w:val="17"/>
          <w:szCs w:val="17"/>
          <w:color w:val="auto"/>
        </w:rPr>
        <w:t>For compensation benchmarking for 2022 compensation decisions, the peer group consisted of the following 12 companies:</w:t>
      </w:r>
    </w:p>
    <w:p>
      <w:pPr>
        <w:sectPr>
          <w:pgSz w:w="11900" w:h="16838" w:orient="portrait"/>
          <w:cols w:equalWidth="0" w:num="1">
            <w:col w:w="11220"/>
          </w:cols>
          <w:pgMar w:left="320" w:top="553" w:right="359" w:bottom="1440" w:gutter="0" w:footer="0" w:header="0"/>
        </w:sectPr>
      </w:pPr>
    </w:p>
    <w:p>
      <w:pPr>
        <w:spacing w:after="0" w:line="115"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Agenus Inc.</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jc w:val="center"/>
        <w:ind w:right="4180"/>
        <w:spacing w:after="0"/>
        <w:rPr>
          <w:sz w:val="20"/>
          <w:szCs w:val="20"/>
          <w:color w:val="auto"/>
        </w:rPr>
      </w:pPr>
      <w:r>
        <w:rPr>
          <w:rFonts w:ascii="Times New Roman" w:cs="Times New Roman" w:eastAsia="Times New Roman" w:hAnsi="Times New Roman"/>
          <w:sz w:val="18"/>
          <w:szCs w:val="18"/>
          <w:color w:val="auto"/>
        </w:rPr>
        <w:t>Macrogenics Inc.</w:t>
      </w:r>
    </w:p>
    <w:p>
      <w:pPr>
        <w:spacing w:after="0" w:line="117" w:lineRule="exact"/>
        <w:rPr>
          <w:sz w:val="20"/>
          <w:szCs w:val="20"/>
          <w:color w:val="auto"/>
        </w:rPr>
      </w:pPr>
    </w:p>
    <w:p>
      <w:pPr>
        <w:sectPr>
          <w:pgSz w:w="11900" w:h="16838" w:orient="portrait"/>
          <w:cols w:equalWidth="0" w:num="2">
            <w:col w:w="5060" w:space="720"/>
            <w:col w:w="5440"/>
          </w:cols>
          <w:pgMar w:left="320" w:top="553" w:right="35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8"/>
          <w:szCs w:val="18"/>
          <w:color w:val="auto"/>
        </w:rPr>
        <w:t>Anika Therapeutics, Inc.</w:t>
      </w:r>
    </w:p>
    <w:p>
      <w:pPr>
        <w:spacing w:after="0" w:line="20" w:lineRule="exact"/>
        <w:rPr>
          <w:sz w:val="20"/>
          <w:szCs w:val="20"/>
          <w:color w:val="auto"/>
        </w:rPr>
      </w:pPr>
      <w:r>
        <w:rPr>
          <w:sz w:val="20"/>
          <w:szCs w:val="20"/>
          <w:color w:val="auto"/>
        </w:rPr>
        <w:br w:type="column"/>
      </w:r>
    </w:p>
    <w:p>
      <w:pPr>
        <w:jc w:val="center"/>
        <w:ind w:right="3500"/>
        <w:spacing w:after="0"/>
        <w:rPr>
          <w:sz w:val="20"/>
          <w:szCs w:val="20"/>
          <w:color w:val="auto"/>
        </w:rPr>
      </w:pPr>
      <w:r>
        <w:rPr>
          <w:rFonts w:ascii="Times New Roman" w:cs="Times New Roman" w:eastAsia="Times New Roman" w:hAnsi="Times New Roman"/>
          <w:sz w:val="18"/>
          <w:szCs w:val="18"/>
          <w:color w:val="auto"/>
        </w:rPr>
        <w:t>Rigel Pharmaceuticals Inc.</w:t>
      </w:r>
    </w:p>
    <w:p>
      <w:pPr>
        <w:spacing w:after="0" w:line="117" w:lineRule="exact"/>
        <w:rPr>
          <w:sz w:val="20"/>
          <w:szCs w:val="20"/>
          <w:color w:val="auto"/>
        </w:rPr>
      </w:pPr>
    </w:p>
    <w:p>
      <w:pPr>
        <w:sectPr>
          <w:pgSz w:w="11900" w:h="16838" w:orient="portrait"/>
          <w:cols w:equalWidth="0" w:num="2">
            <w:col w:w="5060" w:space="720"/>
            <w:col w:w="5440"/>
          </w:cols>
          <w:pgMar w:left="320" w:top="553" w:right="35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8"/>
          <w:szCs w:val="18"/>
          <w:color w:val="auto"/>
        </w:rPr>
        <w:t>Deciphera Pharmaceuticals,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Sangamo Therapeutics, Inc.</w:t>
      </w:r>
    </w:p>
    <w:p>
      <w:pPr>
        <w:spacing w:after="0" w:line="117" w:lineRule="exact"/>
        <w:rPr>
          <w:sz w:val="20"/>
          <w:szCs w:val="20"/>
          <w:color w:val="auto"/>
        </w:rPr>
      </w:pPr>
    </w:p>
    <w:p>
      <w:pPr>
        <w:sectPr>
          <w:pgSz w:w="11900" w:h="16838" w:orient="portrait"/>
          <w:cols w:equalWidth="0" w:num="2">
            <w:col w:w="5060" w:space="720"/>
            <w:col w:w="5440"/>
          </w:cols>
          <w:pgMar w:left="320" w:top="553" w:right="35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7"/>
          <w:szCs w:val="17"/>
          <w:color w:val="auto"/>
        </w:rPr>
        <w:t>Dynavax Technologies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Seres Therapeutics, Inc.</w:t>
      </w:r>
    </w:p>
    <w:p>
      <w:pPr>
        <w:spacing w:after="0" w:line="117" w:lineRule="exact"/>
        <w:rPr>
          <w:sz w:val="20"/>
          <w:szCs w:val="20"/>
          <w:color w:val="auto"/>
        </w:rPr>
      </w:pPr>
    </w:p>
    <w:p>
      <w:pPr>
        <w:sectPr>
          <w:pgSz w:w="11900" w:h="16838" w:orient="portrait"/>
          <w:cols w:equalWidth="0" w:num="2">
            <w:col w:w="5060" w:space="720"/>
            <w:col w:w="5440"/>
          </w:cols>
          <w:pgMar w:left="320" w:top="553" w:right="35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8"/>
          <w:szCs w:val="18"/>
          <w:color w:val="auto"/>
        </w:rPr>
        <w:t>Karyopharm Therapeutics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Sorrento Therapeutics, Inc.</w:t>
      </w:r>
    </w:p>
    <w:p>
      <w:pPr>
        <w:spacing w:after="0" w:line="117" w:lineRule="exact"/>
        <w:rPr>
          <w:sz w:val="20"/>
          <w:szCs w:val="20"/>
          <w:color w:val="auto"/>
        </w:rPr>
      </w:pPr>
    </w:p>
    <w:p>
      <w:pPr>
        <w:sectPr>
          <w:pgSz w:w="11900" w:h="16838" w:orient="portrait"/>
          <w:cols w:equalWidth="0" w:num="2">
            <w:col w:w="5060" w:space="720"/>
            <w:col w:w="5440"/>
          </w:cols>
          <w:pgMar w:left="320" w:top="553" w:right="35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8"/>
          <w:szCs w:val="18"/>
          <w:color w:val="auto"/>
        </w:rPr>
        <w:t>La Jolla Pharmaceutical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Vanda Pharmaceuticals Inc.</w:t>
      </w:r>
    </w:p>
    <w:p>
      <w:pPr>
        <w:spacing w:after="0" w:line="211" w:lineRule="exact"/>
        <w:rPr>
          <w:sz w:val="20"/>
          <w:szCs w:val="20"/>
          <w:color w:val="auto"/>
        </w:rPr>
      </w:pPr>
    </w:p>
    <w:p>
      <w:pPr>
        <w:sectPr>
          <w:pgSz w:w="11900" w:h="16838" w:orient="portrait"/>
          <w:cols w:equalWidth="0" w:num="2">
            <w:col w:w="5060" w:space="720"/>
            <w:col w:w="5440"/>
          </w:cols>
          <w:pgMar w:left="320" w:top="553" w:right="359" w:bottom="1440" w:gutter="0" w:footer="0" w:header="0"/>
          <w:type w:val="continuous"/>
        </w:sectPr>
      </w:pPr>
    </w:p>
    <w:p>
      <w:pPr>
        <w:spacing w:after="0" w:line="79"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In accordance with our annual process, the Compensation Committee reviewed our peer group in the first quarter of 2023. Based on data compiled by Mercer and reviewed by the Compensation Committee during this process, the Compensation Committee determined that three companies needed to be removed from the list: Sorrento Therapeutics, who filed for Chapter 11 bankruptcy in February 2023, La Jolla Pharmaceutical Company, which was acquired in August 2022 and Seres Therapeutics, who has not yet brought a product to market and whose business model is no longer aligned with ours. In place of these companies, the Compensation Committee added three companies that satisfied our criteria for peer companies: BioCryst Pharmaceuticals, Inc., Insmed Incorporated, and ADMA Biologics, Inc. Accordingly, the full 2023 peer group consists of the following companies:</w:t>
      </w:r>
    </w:p>
    <w:p>
      <w:pPr>
        <w:sectPr>
          <w:pgSz w:w="11900" w:h="16838" w:orient="portrait"/>
          <w:cols w:equalWidth="0" w:num="1">
            <w:col w:w="11220"/>
          </w:cols>
          <w:pgMar w:left="320" w:top="553" w:right="359" w:bottom="1440" w:gutter="0" w:footer="0" w:header="0"/>
          <w:type w:val="continuous"/>
        </w:sectPr>
      </w:pPr>
    </w:p>
    <w:p>
      <w:pPr>
        <w:spacing w:after="0" w:line="282"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ADMA Biologics, Inc.</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Insmed Incorporated</w:t>
      </w:r>
    </w:p>
    <w:p>
      <w:pPr>
        <w:spacing w:after="0" w:line="117" w:lineRule="exact"/>
        <w:rPr>
          <w:sz w:val="20"/>
          <w:szCs w:val="20"/>
          <w:color w:val="auto"/>
        </w:rPr>
      </w:pPr>
    </w:p>
    <w:p>
      <w:pPr>
        <w:sectPr>
          <w:pgSz w:w="11900" w:h="16838" w:orient="portrait"/>
          <w:cols w:equalWidth="0" w:num="2">
            <w:col w:w="5040" w:space="720"/>
            <w:col w:w="5460"/>
          </w:cols>
          <w:pgMar w:left="320" w:top="553" w:right="35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8"/>
          <w:szCs w:val="18"/>
          <w:color w:val="auto"/>
        </w:rPr>
        <w:t>Agenus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Karyopharm Therapeutics Inc.</w:t>
      </w:r>
    </w:p>
    <w:p>
      <w:pPr>
        <w:spacing w:after="0" w:line="128" w:lineRule="exact"/>
        <w:rPr>
          <w:sz w:val="20"/>
          <w:szCs w:val="20"/>
          <w:color w:val="auto"/>
        </w:rPr>
      </w:pPr>
    </w:p>
    <w:p>
      <w:pPr>
        <w:sectPr>
          <w:pgSz w:w="11900" w:h="16838" w:orient="portrait"/>
          <w:cols w:equalWidth="0" w:num="2">
            <w:col w:w="5040" w:space="720"/>
            <w:col w:w="5460"/>
          </w:cols>
          <w:pgMar w:left="320" w:top="553" w:right="35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8"/>
          <w:szCs w:val="18"/>
          <w:color w:val="auto"/>
        </w:rPr>
        <w:t>Anika Therapeutics,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Macrogenics Inc.</w:t>
      </w:r>
    </w:p>
    <w:p>
      <w:pPr>
        <w:spacing w:after="0" w:line="128" w:lineRule="exact"/>
        <w:rPr>
          <w:sz w:val="20"/>
          <w:szCs w:val="20"/>
          <w:color w:val="auto"/>
        </w:rPr>
      </w:pPr>
    </w:p>
    <w:p>
      <w:pPr>
        <w:sectPr>
          <w:pgSz w:w="11900" w:h="16838" w:orient="portrait"/>
          <w:cols w:equalWidth="0" w:num="2">
            <w:col w:w="5040" w:space="720"/>
            <w:col w:w="5460"/>
          </w:cols>
          <w:pgMar w:left="320" w:top="553" w:right="35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7"/>
          <w:szCs w:val="17"/>
          <w:color w:val="auto"/>
        </w:rPr>
        <w:t>BioCryst Pharmaceuticals,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Rigel Pharmaceuticals Inc.</w:t>
      </w:r>
    </w:p>
    <w:p>
      <w:pPr>
        <w:spacing w:after="0" w:line="117" w:lineRule="exact"/>
        <w:rPr>
          <w:sz w:val="20"/>
          <w:szCs w:val="20"/>
          <w:color w:val="auto"/>
        </w:rPr>
      </w:pPr>
    </w:p>
    <w:p>
      <w:pPr>
        <w:sectPr>
          <w:pgSz w:w="11900" w:h="16838" w:orient="portrait"/>
          <w:cols w:equalWidth="0" w:num="2">
            <w:col w:w="5040" w:space="720"/>
            <w:col w:w="5460"/>
          </w:cols>
          <w:pgMar w:left="320" w:top="553" w:right="35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8"/>
          <w:szCs w:val="18"/>
          <w:color w:val="auto"/>
        </w:rPr>
        <w:t>Deciphera Pharmaceuticals,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Sangamo Therapeutics, Inc.</w:t>
      </w:r>
    </w:p>
    <w:p>
      <w:pPr>
        <w:spacing w:after="0" w:line="128" w:lineRule="exact"/>
        <w:rPr>
          <w:sz w:val="20"/>
          <w:szCs w:val="20"/>
          <w:color w:val="auto"/>
        </w:rPr>
      </w:pPr>
    </w:p>
    <w:p>
      <w:pPr>
        <w:sectPr>
          <w:pgSz w:w="11900" w:h="16838" w:orient="portrait"/>
          <w:cols w:equalWidth="0" w:num="2">
            <w:col w:w="5040" w:space="720"/>
            <w:col w:w="5460"/>
          </w:cols>
          <w:pgMar w:left="320" w:top="553" w:right="35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7"/>
          <w:szCs w:val="17"/>
          <w:color w:val="auto"/>
        </w:rPr>
        <w:t>Dynavax Technologies Inc.</w:t>
      </w:r>
    </w:p>
    <w:p>
      <w:pPr>
        <w:spacing w:after="0" w:line="20" w:lineRule="exact"/>
        <w:rPr>
          <w:sz w:val="20"/>
          <w:szCs w:val="20"/>
          <w:color w:val="auto"/>
        </w:rPr>
      </w:pPr>
      <w:r>
        <w:rPr>
          <w:sz w:val="20"/>
          <w:szCs w:val="20"/>
          <w:color w:val="auto"/>
        </w:rPr>
        <w:br w:type="column"/>
      </w:r>
    </w:p>
    <w:p>
      <w:pPr>
        <w:jc w:val="center"/>
        <w:ind w:right="3460"/>
        <w:spacing w:after="0"/>
        <w:rPr>
          <w:sz w:val="20"/>
          <w:szCs w:val="20"/>
          <w:color w:val="auto"/>
        </w:rPr>
      </w:pPr>
      <w:r>
        <w:rPr>
          <w:rFonts w:ascii="Times New Roman" w:cs="Times New Roman" w:eastAsia="Times New Roman" w:hAnsi="Times New Roman"/>
          <w:sz w:val="17"/>
          <w:szCs w:val="17"/>
          <w:color w:val="auto"/>
        </w:rPr>
        <w:t>Vanda Pharmaceuticals Inc.</w:t>
      </w:r>
    </w:p>
    <w:p>
      <w:pPr>
        <w:spacing w:after="0" w:line="183" w:lineRule="exact"/>
        <w:rPr>
          <w:sz w:val="20"/>
          <w:szCs w:val="20"/>
          <w:color w:val="auto"/>
        </w:rPr>
      </w:pPr>
    </w:p>
    <w:p>
      <w:pPr>
        <w:sectPr>
          <w:pgSz w:w="11900" w:h="16838" w:orient="portrait"/>
          <w:cols w:equalWidth="0" w:num="2">
            <w:col w:w="5040" w:space="720"/>
            <w:col w:w="5460"/>
          </w:cols>
          <w:pgMar w:left="320" w:top="553" w:right="359" w:bottom="1440" w:gutter="0" w:footer="0" w:header="0"/>
          <w:type w:val="continuous"/>
        </w:sectPr>
      </w:pPr>
    </w:p>
    <w:p>
      <w:pPr>
        <w:ind w:right="120" w:firstLine="416"/>
        <w:spacing w:after="0" w:line="266" w:lineRule="auto"/>
        <w:rPr>
          <w:sz w:val="20"/>
          <w:szCs w:val="20"/>
          <w:color w:val="auto"/>
        </w:rPr>
      </w:pPr>
      <w:r>
        <w:rPr>
          <w:rFonts w:ascii="Times New Roman" w:cs="Times New Roman" w:eastAsia="Times New Roman" w:hAnsi="Times New Roman"/>
          <w:sz w:val="18"/>
          <w:szCs w:val="18"/>
          <w:color w:val="auto"/>
        </w:rPr>
        <w:t>For some executive positions, the peer group data may not be sufficiently robust, or the position may not have an appropriate counterpart at our peer companies. In those cases, we will also consider industry specific and general published survey compensation data, such as the Radford Global Life Sciences Executive Survey.</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Positioning</w:t>
      </w:r>
    </w:p>
    <w:p>
      <w:pPr>
        <w:spacing w:after="0" w:line="121" w:lineRule="exact"/>
        <w:rPr>
          <w:sz w:val="20"/>
          <w:szCs w:val="20"/>
          <w:color w:val="auto"/>
        </w:rPr>
      </w:pPr>
    </w:p>
    <w:p>
      <w:pPr>
        <w:ind w:right="100" w:firstLine="416"/>
        <w:spacing w:after="0" w:line="258" w:lineRule="auto"/>
        <w:rPr>
          <w:sz w:val="20"/>
          <w:szCs w:val="20"/>
          <w:color w:val="auto"/>
        </w:rPr>
      </w:pPr>
      <w:r>
        <w:rPr>
          <w:rFonts w:ascii="Times New Roman" w:cs="Times New Roman" w:eastAsia="Times New Roman" w:hAnsi="Times New Roman"/>
          <w:sz w:val="18"/>
          <w:szCs w:val="18"/>
          <w:color w:val="auto"/>
        </w:rPr>
        <w:t>The Compensation Committee reviews executive compensation at least annually, establishes competitive compensation levels and designs the compensation program to provide pay commensurate with individual and corporate performance. With support from Mercer, we have targeted total compensation levels for executives at the median of our peer group. We believe this target to be an appropriate level of compensation to attract and retain qualified and capable executives. However, actual compensation may fall above or below this level under a range of circumstances, such as individual and Company performance, tenure with the Company or retention concerns.</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addition to the factors listed above, we also consider, among other things:</w:t>
      </w:r>
    </w:p>
    <w:p>
      <w:pPr>
        <w:spacing w:after="0" w:line="117" w:lineRule="exact"/>
        <w:rPr>
          <w:sz w:val="20"/>
          <w:szCs w:val="20"/>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need for the executive officer’s skills;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contributions that the executive officer has made, or we believe will make, to our success;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transferability of the executive officer’s managerial skills to other potential employers;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relevance of the executive officer’s experience to other potential employers, particularly in the pharmaceutical and biotechnology industries.</w:t>
      </w:r>
    </w:p>
    <w:p>
      <w:pPr>
        <w:spacing w:after="0" w:line="237" w:lineRule="exact"/>
        <w:rPr>
          <w:sz w:val="20"/>
          <w:szCs w:val="20"/>
          <w:color w:val="auto"/>
        </w:rPr>
      </w:pPr>
    </w:p>
    <w:p>
      <w:pPr>
        <w:ind w:right="100" w:firstLine="416"/>
        <w:spacing w:after="0" w:line="261" w:lineRule="auto"/>
        <w:rPr>
          <w:sz w:val="20"/>
          <w:szCs w:val="20"/>
          <w:color w:val="auto"/>
        </w:rPr>
      </w:pPr>
      <w:r>
        <w:rPr>
          <w:rFonts w:ascii="Times New Roman" w:cs="Times New Roman" w:eastAsia="Times New Roman" w:hAnsi="Times New Roman"/>
          <w:sz w:val="18"/>
          <w:szCs w:val="18"/>
          <w:color w:val="auto"/>
        </w:rPr>
        <w:t>In prior years, we have allowed total compensation levels for our named executive officers to fall well below the median of the competitive market, reflecting a restrained compensation philosophy during a period of corporate transformation. As discussed in more detail below, we consider each element of executive compensation and make adjustments as appropriate. We believe our executive compensation packages are reasonable when considering our business strategy, the revenue potential of our business, our compensation philosophy and the competitive market data.</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color w:val="auto"/>
        </w:rPr>
        <w:t>Consideration of Past Say-on-Pay Results</w:t>
      </w:r>
    </w:p>
    <w:p>
      <w:pPr>
        <w:spacing w:after="0" w:line="121" w:lineRule="exact"/>
        <w:rPr>
          <w:sz w:val="20"/>
          <w:szCs w:val="20"/>
          <w:color w:val="auto"/>
        </w:rPr>
      </w:pPr>
    </w:p>
    <w:p>
      <w:pPr>
        <w:ind w:right="20" w:firstLine="416"/>
        <w:spacing w:after="0" w:line="258" w:lineRule="auto"/>
        <w:rPr>
          <w:sz w:val="20"/>
          <w:szCs w:val="20"/>
          <w:color w:val="auto"/>
        </w:rPr>
      </w:pPr>
      <w:r>
        <w:rPr>
          <w:rFonts w:ascii="Times New Roman" w:cs="Times New Roman" w:eastAsia="Times New Roman" w:hAnsi="Times New Roman"/>
          <w:sz w:val="18"/>
          <w:szCs w:val="18"/>
          <w:color w:val="auto"/>
        </w:rPr>
        <w:t>We believe that our annual say-on-pay advisory vote is a good governance practice that allows us to maintain accountability to our stockholders. The result of this advisory vote, including in years where support is lower (see table below), can provide valuable insight into the perceptions of our executive compensation programs and areas where we need to improve. This insight can be helpful in guiding the multiple conversations with buy-side institutional investors and sell-side analysts that our management team holds throughout the year. In 2021 and 2022, we also held conference calls with several dozen of our larger retail stockholders who had expressed interest in participating in a Q&amp;A session with our management team.</w:t>
      </w:r>
    </w:p>
    <w:p>
      <w:pPr>
        <w:spacing w:after="0" w:line="301" w:lineRule="exact"/>
        <w:rPr>
          <w:sz w:val="20"/>
          <w:szCs w:val="20"/>
          <w:color w:val="auto"/>
        </w:rPr>
      </w:pPr>
    </w:p>
    <w:p>
      <w:pPr>
        <w:ind w:left="4060"/>
        <w:spacing w:after="0"/>
        <w:tabs>
          <w:tab w:leader="none" w:pos="5700" w:val="left"/>
        </w:tabs>
        <w:rPr>
          <w:sz w:val="20"/>
          <w:szCs w:val="20"/>
          <w:color w:val="auto"/>
        </w:rPr>
      </w:pPr>
      <w:r>
        <w:rPr>
          <w:rFonts w:ascii="Times New Roman" w:cs="Times New Roman" w:eastAsia="Times New Roman" w:hAnsi="Times New Roman"/>
          <w:sz w:val="18"/>
          <w:szCs w:val="18"/>
          <w:b w:val="1"/>
          <w:bCs w:val="1"/>
          <w:color w:val="auto"/>
        </w:rPr>
        <w:t>Year</w:t>
      </w:r>
      <w:r>
        <w:rPr>
          <w:sz w:val="20"/>
          <w:szCs w:val="20"/>
          <w:color w:val="auto"/>
        </w:rPr>
        <w:tab/>
      </w:r>
      <w:r>
        <w:rPr>
          <w:rFonts w:ascii="Times New Roman" w:cs="Times New Roman" w:eastAsia="Times New Roman" w:hAnsi="Times New Roman"/>
          <w:sz w:val="18"/>
          <w:szCs w:val="18"/>
          <w:b w:val="1"/>
          <w:bCs w:val="1"/>
          <w:color w:val="auto"/>
        </w:rPr>
        <w:t>Say-on-pay support</w:t>
      </w:r>
    </w:p>
    <w:p>
      <w:pPr>
        <w:spacing w:after="0" w:line="40" w:lineRule="exact"/>
        <w:rPr>
          <w:sz w:val="20"/>
          <w:szCs w:val="20"/>
          <w:color w:val="auto"/>
        </w:rPr>
      </w:pPr>
    </w:p>
    <w:p>
      <w:pPr>
        <w:ind w:left="4060"/>
        <w:spacing w:after="0"/>
        <w:tabs>
          <w:tab w:leader="none" w:pos="6300" w:val="left"/>
        </w:tabs>
        <w:rPr>
          <w:sz w:val="20"/>
          <w:szCs w:val="20"/>
          <w:color w:val="auto"/>
        </w:rPr>
      </w:pPr>
      <w:r>
        <w:rPr>
          <w:rFonts w:ascii="Times New Roman" w:cs="Times New Roman" w:eastAsia="Times New Roman" w:hAnsi="Times New Roman"/>
          <w:sz w:val="18"/>
          <w:szCs w:val="18"/>
          <w:color w:val="auto"/>
        </w:rPr>
        <w:t>2018</w:t>
      </w:r>
      <w:r>
        <w:rPr>
          <w:sz w:val="20"/>
          <w:szCs w:val="20"/>
          <w:color w:val="auto"/>
        </w:rPr>
        <w:tab/>
      </w: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-127635</wp:posOffset>
            </wp:positionV>
            <wp:extent cx="2846070" cy="1543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846070" cy="154305"/>
                    </a:xfrm>
                    <a:prstGeom prst="rect">
                      <a:avLst/>
                    </a:prstGeom>
                    <a:noFill/>
                  </pic:spPr>
                </pic:pic>
              </a:graphicData>
            </a:graphic>
          </wp:anchor>
        </w:drawing>
      </w:r>
    </w:p>
    <w:p>
      <w:pPr>
        <w:spacing w:after="0" w:line="16" w:lineRule="exact"/>
        <w:rPr>
          <w:sz w:val="20"/>
          <w:szCs w:val="20"/>
          <w:color w:val="auto"/>
        </w:rPr>
      </w:pPr>
    </w:p>
    <w:p>
      <w:pPr>
        <w:ind w:left="4060"/>
        <w:spacing w:after="0"/>
        <w:tabs>
          <w:tab w:leader="none" w:pos="6300" w:val="left"/>
        </w:tabs>
        <w:rPr>
          <w:sz w:val="20"/>
          <w:szCs w:val="20"/>
          <w:color w:val="auto"/>
        </w:rPr>
      </w:pPr>
      <w:r>
        <w:rPr>
          <w:rFonts w:ascii="Times New Roman" w:cs="Times New Roman" w:eastAsia="Times New Roman" w:hAnsi="Times New Roman"/>
          <w:sz w:val="18"/>
          <w:szCs w:val="18"/>
          <w:color w:val="auto"/>
        </w:rPr>
        <w:t>2019</w:t>
      </w:r>
      <w:r>
        <w:rPr>
          <w:sz w:val="20"/>
          <w:szCs w:val="20"/>
          <w:color w:val="auto"/>
        </w:rPr>
        <w:tab/>
      </w:r>
      <w:r>
        <w:rPr>
          <w:rFonts w:ascii="Times New Roman" w:cs="Times New Roman" w:eastAsia="Times New Roman" w:hAnsi="Times New Roman"/>
          <w:sz w:val="18"/>
          <w:szCs w:val="18"/>
          <w:color w:val="auto"/>
        </w:rPr>
        <w:t>67%</w:t>
      </w:r>
    </w:p>
    <w:p>
      <w:pPr>
        <w:spacing w:after="0" w:line="36" w:lineRule="exact"/>
        <w:rPr>
          <w:sz w:val="20"/>
          <w:szCs w:val="20"/>
          <w:color w:val="auto"/>
        </w:rPr>
      </w:pPr>
    </w:p>
    <w:p>
      <w:pPr>
        <w:ind w:left="4060"/>
        <w:spacing w:after="0"/>
        <w:tabs>
          <w:tab w:leader="none" w:pos="6300" w:val="left"/>
        </w:tabs>
        <w:rPr>
          <w:sz w:val="20"/>
          <w:szCs w:val="20"/>
          <w:color w:val="auto"/>
        </w:rPr>
      </w:pPr>
      <w:r>
        <w:rPr>
          <w:rFonts w:ascii="Times New Roman" w:cs="Times New Roman" w:eastAsia="Times New Roman" w:hAnsi="Times New Roman"/>
          <w:sz w:val="18"/>
          <w:szCs w:val="18"/>
          <w:color w:val="auto"/>
        </w:rPr>
        <w:t>2020</w:t>
      </w:r>
      <w:r>
        <w:rPr>
          <w:sz w:val="20"/>
          <w:szCs w:val="20"/>
          <w:color w:val="auto"/>
        </w:rPr>
        <w:tab/>
      </w: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-127635</wp:posOffset>
            </wp:positionV>
            <wp:extent cx="2846070" cy="1543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846070" cy="154305"/>
                    </a:xfrm>
                    <a:prstGeom prst="rect">
                      <a:avLst/>
                    </a:prstGeom>
                    <a:noFill/>
                  </pic:spPr>
                </pic:pic>
              </a:graphicData>
            </a:graphic>
          </wp:anchor>
        </w:drawing>
      </w:r>
    </w:p>
    <w:p>
      <w:pPr>
        <w:spacing w:after="0" w:line="16" w:lineRule="exact"/>
        <w:rPr>
          <w:sz w:val="20"/>
          <w:szCs w:val="20"/>
          <w:color w:val="auto"/>
        </w:rPr>
      </w:pPr>
    </w:p>
    <w:p>
      <w:pPr>
        <w:ind w:left="4060"/>
        <w:spacing w:after="0"/>
        <w:tabs>
          <w:tab w:leader="none" w:pos="6300" w:val="left"/>
        </w:tabs>
        <w:rPr>
          <w:sz w:val="20"/>
          <w:szCs w:val="20"/>
          <w:color w:val="auto"/>
        </w:rPr>
      </w:pPr>
      <w:r>
        <w:rPr>
          <w:rFonts w:ascii="Times New Roman" w:cs="Times New Roman" w:eastAsia="Times New Roman" w:hAnsi="Times New Roman"/>
          <w:sz w:val="18"/>
          <w:szCs w:val="18"/>
          <w:color w:val="auto"/>
        </w:rPr>
        <w:t>2021</w:t>
      </w:r>
      <w:r>
        <w:rPr>
          <w:sz w:val="20"/>
          <w:szCs w:val="20"/>
          <w:color w:val="auto"/>
        </w:rPr>
        <w:tab/>
      </w: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26035</wp:posOffset>
            </wp:positionV>
            <wp:extent cx="28460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0" w:lineRule="exact"/>
        <w:rPr>
          <w:sz w:val="20"/>
          <w:szCs w:val="20"/>
          <w:color w:val="auto"/>
        </w:rPr>
      </w:pPr>
    </w:p>
    <w:p>
      <w:pPr>
        <w:ind w:left="4060"/>
        <w:spacing w:after="0"/>
        <w:tabs>
          <w:tab w:leader="none" w:pos="6300" w:val="left"/>
        </w:tabs>
        <w:rPr>
          <w:sz w:val="20"/>
          <w:szCs w:val="20"/>
          <w:color w:val="auto"/>
        </w:rPr>
      </w:pPr>
      <w:r>
        <w:rPr>
          <w:rFonts w:ascii="Times New Roman" w:cs="Times New Roman" w:eastAsia="Times New Roman" w:hAnsi="Times New Roman"/>
          <w:sz w:val="18"/>
          <w:szCs w:val="18"/>
          <w:color w:val="auto"/>
        </w:rPr>
        <w:t>2022</w:t>
      </w:r>
      <w:r>
        <w:rPr>
          <w:sz w:val="20"/>
          <w:szCs w:val="20"/>
          <w:color w:val="auto"/>
        </w:rPr>
        <w:tab/>
      </w: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2148205</wp:posOffset>
            </wp:positionH>
            <wp:positionV relativeFrom="paragraph">
              <wp:posOffset>-127635</wp:posOffset>
            </wp:positionV>
            <wp:extent cx="2846070" cy="163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846070" cy="16319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ind w:right="220" w:firstLine="416"/>
        <w:spacing w:after="0" w:line="266" w:lineRule="auto"/>
        <w:rPr>
          <w:sz w:val="20"/>
          <w:szCs w:val="20"/>
          <w:color w:val="auto"/>
        </w:rPr>
      </w:pPr>
      <w:r>
        <w:rPr>
          <w:rFonts w:ascii="Times New Roman" w:cs="Times New Roman" w:eastAsia="Times New Roman" w:hAnsi="Times New Roman"/>
          <w:sz w:val="18"/>
          <w:szCs w:val="18"/>
          <w:color w:val="auto"/>
        </w:rPr>
        <w:t>The feedback we receive from all of these investor engagements is valuable and has helped us to appreciate how different investors assess the alignment between pay and performance differently depending on their time horizons for investment decisions, expectations about cadence for corporate milestones and other factors.</w:t>
      </w:r>
    </w:p>
    <w:p>
      <w:pPr>
        <w:spacing w:after="0" w:line="176"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Aided by these insights, we designed recent annual equity awards to executives in a manner that puts greater emphasis on performance-based vesting, measured after a multi-year period. This component of long-term compensation will pay out, if at all, in proportion to the Company’s total stockholder return relative to the Russell 3000 Pharmaceutical and Biotechnology industry index over a multi-year period. We believe that this approach to long-term compensation is responsive to investors’ preference for performance-vesting long-term compensation while also providing compensation that attracts, motivates, incentivizes and retains highly qualified executive officers to drive the success of the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COMPONENTS</w:t>
      </w:r>
    </w:p>
    <w:p>
      <w:pPr>
        <w:spacing w:after="0" w:line="121"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In order to provide a total compensation package that is tied to stockholder value creation and the achievement of strategic corporate goals, our executive compensation package is comprised of several components. These components are designed to work together to create a balanced approach to compensation, rewarding both short-term and long-term performance and fostering sufficient retentive effect to secure the services of our executive officers while we execute on our plans. Currently, our compensation structure for executive officers includes a combination of base salary, STI compensation, LTI compensation in the form of equity awards, 401(k), medical and other benefits, and severance and change in control and other post termination provisions. Each component is described in further detail below.</w:t>
      </w:r>
    </w:p>
    <w:p>
      <w:pPr>
        <w:spacing w:after="0" w:line="1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644" w:right="359" w:bottom="1440" w:gutter="0" w:footer="0" w:header="0"/>
        </w:sectPr>
      </w:pPr>
    </w:p>
    <w:bookmarkStart w:id="60" w:name="page61"/>
    <w:bookmarkEnd w:id="60"/>
    <w:p>
      <w:pPr>
        <w:ind w:right="40" w:firstLine="416"/>
        <w:spacing w:after="0" w:line="255" w:lineRule="auto"/>
        <w:rPr>
          <w:sz w:val="20"/>
          <w:szCs w:val="20"/>
          <w:color w:val="auto"/>
        </w:rPr>
      </w:pPr>
      <w:r>
        <w:rPr>
          <w:rFonts w:ascii="Times New Roman" w:cs="Times New Roman" w:eastAsia="Times New Roman" w:hAnsi="Times New Roman"/>
          <w:sz w:val="18"/>
          <w:szCs w:val="18"/>
          <w:color w:val="auto"/>
        </w:rPr>
        <w:t>The following charts break down the total compensation that the CEO and the other named executive officers (on average) received in 2022, including the grant date fair value of equity awards granted to these officers in 2022. These charts are derived from the summary compensation table on page 59, excluding income associated with employer contributions to individual 401(k) plans, supplemental medical benefits, airline club reimbursements and other taxable income. The charts illustrate the extent to which a greater percentage of total compensation for our named executive officers is delivered in the form of performance-based compensation as compared to fixed compensation (salary and time-based equity awards). Specifically, performance-based compensation accounted for approximately 64% of the 2022 total compensation for the CEO and approximately 57% for the other named executive officers. Mr. Singh and Mr. Galindo were excluded from these calculations because they both worked for only part of the past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362585</wp:posOffset>
            </wp:positionV>
            <wp:extent cx="5837555" cy="24085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37555" cy="2408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500"/>
        <w:spacing w:after="0"/>
        <w:tabs>
          <w:tab w:leader="none" w:pos="8100" w:val="left"/>
        </w:tabs>
        <w:rPr>
          <w:sz w:val="20"/>
          <w:szCs w:val="20"/>
          <w:color w:val="auto"/>
        </w:rPr>
      </w:pPr>
      <w:r>
        <w:rPr>
          <w:rFonts w:ascii="Times New Roman" w:cs="Times New Roman" w:eastAsia="Times New Roman" w:hAnsi="Times New Roman"/>
          <w:sz w:val="16"/>
          <w:szCs w:val="16"/>
          <w:i w:val="1"/>
          <w:iCs w:val="1"/>
          <w:color w:val="44546A"/>
        </w:rPr>
        <w:t>Figure 1</w:t>
      </w:r>
      <w:r>
        <w:rPr>
          <w:sz w:val="20"/>
          <w:szCs w:val="20"/>
          <w:color w:val="auto"/>
        </w:rPr>
        <w:tab/>
      </w:r>
      <w:r>
        <w:rPr>
          <w:rFonts w:ascii="Times New Roman" w:cs="Times New Roman" w:eastAsia="Times New Roman" w:hAnsi="Times New Roman"/>
          <w:sz w:val="23"/>
          <w:szCs w:val="23"/>
          <w:i w:val="1"/>
          <w:iCs w:val="1"/>
          <w:color w:val="44546A"/>
          <w:vertAlign w:val="subscript"/>
        </w:rPr>
        <w:t>Figure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right="320" w:firstLine="416"/>
        <w:spacing w:after="0" w:line="282" w:lineRule="auto"/>
        <w:rPr>
          <w:sz w:val="20"/>
          <w:szCs w:val="20"/>
          <w:color w:val="auto"/>
        </w:rPr>
      </w:pPr>
      <w:r>
        <w:rPr>
          <w:rFonts w:ascii="Times New Roman" w:cs="Times New Roman" w:eastAsia="Times New Roman" w:hAnsi="Times New Roman"/>
          <w:sz w:val="18"/>
          <w:szCs w:val="18"/>
          <w:color w:val="auto"/>
        </w:rPr>
        <w:t>The Compensation Committee believes that the above compensation structure appropriately balances the dual objectives of promoting long-term stockholder value creation and preventing excessive risk-taking.</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Salary</w:t>
      </w:r>
    </w:p>
    <w:p>
      <w:pPr>
        <w:spacing w:after="0" w:line="121"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Base salaries are designed to provide compensation for the day-to-day management of the Company, assuming satisfactory levels of performance. This component is designed to provide consistent and steady cash flow for the executive and represents only a portion of total compensation. Salary levels are based primarily upon the competitive market for the executive officers’ services, as reflected by the peer group. Base salaries for our executives are generally intended to fall within 10% of the median of the competitive market, although individual performance, responsibility, and the importance of each role in our organization can also impact base salary levels.</w:t>
      </w:r>
    </w:p>
    <w:p>
      <w:pPr>
        <w:spacing w:after="0" w:line="183" w:lineRule="exact"/>
        <w:rPr>
          <w:sz w:val="20"/>
          <w:szCs w:val="20"/>
          <w:color w:val="auto"/>
        </w:rPr>
      </w:pPr>
    </w:p>
    <w:p>
      <w:pPr>
        <w:ind w:firstLine="416"/>
        <w:spacing w:after="0" w:line="282" w:lineRule="auto"/>
        <w:rPr>
          <w:sz w:val="20"/>
          <w:szCs w:val="20"/>
          <w:color w:val="auto"/>
        </w:rPr>
      </w:pPr>
      <w:r>
        <w:rPr>
          <w:rFonts w:ascii="Times New Roman" w:cs="Times New Roman" w:eastAsia="Times New Roman" w:hAnsi="Times New Roman"/>
          <w:sz w:val="18"/>
          <w:szCs w:val="18"/>
          <w:color w:val="auto"/>
        </w:rPr>
        <w:t>In 2022, the Compensation Committee reviewed executive salaries and other elements of compensation against the benchmarks provided by our peer group and determined that no adjustments were required to salaries, STI targets or any other element of compensation.</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Short-Term Incentive Plan</w:t>
      </w:r>
    </w:p>
    <w:p>
      <w:pPr>
        <w:spacing w:after="0" w:line="121" w:lineRule="exact"/>
        <w:rPr>
          <w:sz w:val="20"/>
          <w:szCs w:val="20"/>
          <w:color w:val="auto"/>
        </w:rPr>
      </w:pPr>
    </w:p>
    <w:p>
      <w:pPr>
        <w:ind w:right="200" w:firstLine="416"/>
        <w:spacing w:after="0" w:line="256" w:lineRule="auto"/>
        <w:rPr>
          <w:sz w:val="20"/>
          <w:szCs w:val="20"/>
          <w:color w:val="auto"/>
        </w:rPr>
      </w:pPr>
      <w:r>
        <w:rPr>
          <w:rFonts w:ascii="Times New Roman" w:cs="Times New Roman" w:eastAsia="Times New Roman" w:hAnsi="Times New Roman"/>
          <w:sz w:val="18"/>
          <w:szCs w:val="18"/>
          <w:color w:val="auto"/>
        </w:rPr>
        <w:t>Each of our executive officers are eligible to receive an annual performance-based cash payment. The annual cash incentive awards under our STI plan are intended to compensate our executive officers for achieving our annual goals at the corporate level and for achieving individual annual performance objectives. The objectives for our company and individual measures are established so that performance at or above target levels requires significant effort on the part of our executives. The STI plan is funded based on the overall achievement of corporate objectives, as determined by the Compensation Committee in its evaluation of the accomplishments of the Company during the previous year. Evaluation criteria can be quantitative or qualitative, depending on the objective.</w:t>
      </w:r>
    </w:p>
    <w:p>
      <w:pPr>
        <w:spacing w:after="0" w:line="14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445" w:right="419" w:bottom="1440" w:gutter="0" w:footer="0" w:header="0"/>
        </w:sectPr>
      </w:pPr>
    </w:p>
    <w:bookmarkStart w:id="61" w:name="page62"/>
    <w:bookmarkEnd w:id="61"/>
    <w:p>
      <w:pPr>
        <w:ind w:right="300"/>
        <w:spacing w:after="0" w:line="282" w:lineRule="auto"/>
        <w:rPr>
          <w:sz w:val="20"/>
          <w:szCs w:val="20"/>
          <w:color w:val="auto"/>
        </w:rPr>
      </w:pPr>
      <w:r>
        <w:rPr>
          <w:rFonts w:ascii="Times New Roman" w:cs="Times New Roman" w:eastAsia="Times New Roman" w:hAnsi="Times New Roman"/>
          <w:sz w:val="18"/>
          <w:szCs w:val="18"/>
          <w:color w:val="auto"/>
        </w:rPr>
        <w:t>Quantitative objectives are typically evaluated using a leverage curve that allows up to a 200% payout for over-achievement of up to 120% of the stated target and imposes on a 0% payout for any achievement that falls below 80% of the stated target.</w:t>
      </w:r>
    </w:p>
    <w:p>
      <w:pPr>
        <w:spacing w:after="0" w:line="162" w:lineRule="exact"/>
        <w:rPr>
          <w:sz w:val="20"/>
          <w:szCs w:val="20"/>
          <w:color w:val="auto"/>
        </w:rPr>
      </w:pPr>
    </w:p>
    <w:p>
      <w:pPr>
        <w:ind w:right="120" w:firstLine="416"/>
        <w:spacing w:after="0" w:line="261" w:lineRule="auto"/>
        <w:rPr>
          <w:sz w:val="20"/>
          <w:szCs w:val="20"/>
          <w:color w:val="auto"/>
        </w:rPr>
      </w:pPr>
      <w:r>
        <w:rPr>
          <w:rFonts w:ascii="Times New Roman" w:cs="Times New Roman" w:eastAsia="Times New Roman" w:hAnsi="Times New Roman"/>
          <w:sz w:val="18"/>
          <w:szCs w:val="18"/>
          <w:color w:val="auto"/>
        </w:rPr>
        <w:t>The STI plan is an important part of our pay-for-performance culture. We believe that tying a significant portion of our executive cash compensation to financial and operational goals – such as financial metrics, progress of product development and execution of business development priorities – encourages corporate performance and stock price growth. This element of compensation is truly at risk because target attainment is not assured, as reflected in our recent payout history:</w:t>
      </w:r>
    </w:p>
    <w:p>
      <w:pPr>
        <w:spacing w:after="0" w:line="363" w:lineRule="exact"/>
        <w:rPr>
          <w:sz w:val="20"/>
          <w:szCs w:val="20"/>
          <w:color w:val="auto"/>
        </w:rPr>
      </w:pPr>
    </w:p>
    <w:tbl>
      <w:tblPr>
        <w:tblLayout w:type="fixed"/>
        <w:tblInd w:w="294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1920" w:type="dxa"/>
            <w:vAlign w:val="bottom"/>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w w:val="97"/>
              </w:rPr>
              <w:t>STI</w:t>
            </w:r>
          </w:p>
        </w:tc>
        <w:tc>
          <w:tcPr>
            <w:tcW w:w="0" w:type="dxa"/>
            <w:vAlign w:val="bottom"/>
          </w:tcPr>
          <w:p>
            <w:pPr>
              <w:spacing w:after="0"/>
              <w:rPr>
                <w:sz w:val="1"/>
                <w:szCs w:val="1"/>
                <w:color w:val="auto"/>
              </w:rPr>
            </w:pPr>
          </w:p>
        </w:tc>
      </w:tr>
      <w:tr>
        <w:trPr>
          <w:trHeight w:val="148"/>
        </w:trPr>
        <w:tc>
          <w:tcPr>
            <w:tcW w:w="3460" w:type="dxa"/>
            <w:vAlign w:val="bottom"/>
            <w:vMerge w:val="restart"/>
          </w:tcPr>
          <w:p>
            <w:pPr>
              <w:jc w:val="right"/>
              <w:ind w:right="773"/>
              <w:spacing w:after="0"/>
              <w:rPr>
                <w:sz w:val="20"/>
                <w:szCs w:val="20"/>
                <w:color w:val="auto"/>
              </w:rPr>
            </w:pPr>
            <w:r>
              <w:rPr>
                <w:rFonts w:ascii="Times New Roman" w:cs="Times New Roman" w:eastAsia="Times New Roman" w:hAnsi="Times New Roman"/>
                <w:sz w:val="14"/>
                <w:szCs w:val="14"/>
                <w:b w:val="1"/>
                <w:bCs w:val="1"/>
                <w:color w:val="auto"/>
              </w:rPr>
              <w:t>Year Achieved (paid in the following year)</w:t>
            </w:r>
          </w:p>
        </w:tc>
        <w:tc>
          <w:tcPr>
            <w:tcW w:w="1920" w:type="dxa"/>
            <w:vAlign w:val="bottom"/>
          </w:tcPr>
          <w:p>
            <w:pPr>
              <w:jc w:val="center"/>
              <w:ind w:left="537"/>
              <w:spacing w:after="0" w:line="149" w:lineRule="exact"/>
              <w:rPr>
                <w:sz w:val="20"/>
                <w:szCs w:val="20"/>
                <w:color w:val="auto"/>
              </w:rPr>
            </w:pPr>
            <w:r>
              <w:rPr>
                <w:rFonts w:ascii="Times New Roman" w:cs="Times New Roman" w:eastAsia="Times New Roman" w:hAnsi="Times New Roman"/>
                <w:sz w:val="14"/>
                <w:szCs w:val="14"/>
                <w:b w:val="1"/>
                <w:bCs w:val="1"/>
                <w:color w:val="auto"/>
              </w:rPr>
              <w:t>Achievement</w:t>
            </w:r>
          </w:p>
        </w:tc>
        <w:tc>
          <w:tcPr>
            <w:tcW w:w="0" w:type="dxa"/>
            <w:vAlign w:val="bottom"/>
          </w:tcPr>
          <w:p>
            <w:pPr>
              <w:spacing w:after="0"/>
              <w:rPr>
                <w:sz w:val="1"/>
                <w:szCs w:val="1"/>
                <w:color w:val="auto"/>
              </w:rPr>
            </w:pPr>
          </w:p>
        </w:tc>
      </w:tr>
      <w:tr>
        <w:trPr>
          <w:trHeight w:val="187"/>
        </w:trPr>
        <w:tc>
          <w:tcPr>
            <w:tcW w:w="3460" w:type="dxa"/>
            <w:vAlign w:val="bottom"/>
            <w:tcBorders>
              <w:bottom w:val="single" w:sz="8" w:color="auto"/>
            </w:tcBorders>
            <w:vMerge w:val="continue"/>
          </w:tcPr>
          <w:p>
            <w:pPr>
              <w:spacing w:after="0"/>
              <w:rPr>
                <w:sz w:val="16"/>
                <w:szCs w:val="16"/>
                <w:color w:val="auto"/>
              </w:rPr>
            </w:pPr>
          </w:p>
        </w:tc>
        <w:tc>
          <w:tcPr>
            <w:tcW w:w="1920" w:type="dxa"/>
            <w:vAlign w:val="bottom"/>
            <w:tcBorders>
              <w:bottom w:val="single" w:sz="8" w:color="auto"/>
            </w:tcBorders>
          </w:tcPr>
          <w:p>
            <w:pPr>
              <w:jc w:val="center"/>
              <w:ind w:left="537"/>
              <w:spacing w:after="0"/>
              <w:rPr>
                <w:sz w:val="20"/>
                <w:szCs w:val="20"/>
                <w:color w:val="auto"/>
              </w:rPr>
            </w:pPr>
            <w:r>
              <w:rPr>
                <w:rFonts w:ascii="Times New Roman" w:cs="Times New Roman" w:eastAsia="Times New Roman" w:hAnsi="Times New Roman"/>
                <w:sz w:val="14"/>
                <w:szCs w:val="14"/>
                <w:b w:val="1"/>
                <w:bCs w:val="1"/>
                <w:color w:val="auto"/>
              </w:rPr>
              <w:t>Level (%)</w:t>
            </w:r>
          </w:p>
        </w:tc>
        <w:tc>
          <w:tcPr>
            <w:tcW w:w="0" w:type="dxa"/>
            <w:vAlign w:val="bottom"/>
          </w:tcPr>
          <w:p>
            <w:pPr>
              <w:spacing w:after="0"/>
              <w:rPr>
                <w:sz w:val="1"/>
                <w:szCs w:val="1"/>
                <w:color w:val="auto"/>
              </w:rPr>
            </w:pPr>
          </w:p>
        </w:tc>
      </w:tr>
      <w:tr>
        <w:trPr>
          <w:trHeight w:val="223"/>
        </w:trPr>
        <w:tc>
          <w:tcPr>
            <w:tcW w:w="3460" w:type="dxa"/>
            <w:vAlign w:val="bottom"/>
            <w:shd w:val="clear" w:color="auto" w:fill="CFF0FC"/>
          </w:tcPr>
          <w:p>
            <w:pPr>
              <w:jc w:val="right"/>
              <w:ind w:right="1153"/>
              <w:spacing w:after="0"/>
              <w:rPr>
                <w:sz w:val="20"/>
                <w:szCs w:val="20"/>
                <w:color w:val="auto"/>
              </w:rPr>
            </w:pPr>
            <w:r>
              <w:rPr>
                <w:rFonts w:ascii="Times New Roman" w:cs="Times New Roman" w:eastAsia="Times New Roman" w:hAnsi="Times New Roman"/>
                <w:sz w:val="18"/>
                <w:szCs w:val="18"/>
                <w:color w:val="auto"/>
              </w:rPr>
              <w:t>2017</w:t>
            </w:r>
          </w:p>
        </w:tc>
        <w:tc>
          <w:tcPr>
            <w:tcW w:w="1920" w:type="dxa"/>
            <w:vAlign w:val="bottom"/>
            <w:shd w:val="clear" w:color="auto" w:fill="CFF0FC"/>
          </w:tcPr>
          <w:p>
            <w:pPr>
              <w:jc w:val="center"/>
              <w:ind w:left="617"/>
              <w:spacing w:after="0"/>
              <w:rPr>
                <w:sz w:val="20"/>
                <w:szCs w:val="20"/>
                <w:color w:val="auto"/>
              </w:rPr>
            </w:pPr>
            <w:r>
              <w:rPr>
                <w:rFonts w:ascii="Times New Roman" w:cs="Times New Roman" w:eastAsia="Times New Roman" w:hAnsi="Times New Roman"/>
                <w:sz w:val="18"/>
                <w:szCs w:val="18"/>
                <w:color w:val="auto"/>
                <w:w w:val="99"/>
              </w:rPr>
              <w:t>90</w:t>
            </w:r>
          </w:p>
        </w:tc>
        <w:tc>
          <w:tcPr>
            <w:tcW w:w="0" w:type="dxa"/>
            <w:vAlign w:val="bottom"/>
          </w:tcPr>
          <w:p>
            <w:pPr>
              <w:spacing w:after="0"/>
              <w:rPr>
                <w:sz w:val="1"/>
                <w:szCs w:val="1"/>
                <w:color w:val="auto"/>
              </w:rPr>
            </w:pPr>
          </w:p>
        </w:tc>
      </w:tr>
      <w:tr>
        <w:trPr>
          <w:trHeight w:val="230"/>
        </w:trPr>
        <w:tc>
          <w:tcPr>
            <w:tcW w:w="3460" w:type="dxa"/>
            <w:vAlign w:val="bottom"/>
          </w:tcPr>
          <w:p>
            <w:pPr>
              <w:jc w:val="right"/>
              <w:ind w:right="1153"/>
              <w:spacing w:after="0"/>
              <w:rPr>
                <w:sz w:val="20"/>
                <w:szCs w:val="20"/>
                <w:color w:val="auto"/>
              </w:rPr>
            </w:pPr>
            <w:r>
              <w:rPr>
                <w:rFonts w:ascii="Times New Roman" w:cs="Times New Roman" w:eastAsia="Times New Roman" w:hAnsi="Times New Roman"/>
                <w:sz w:val="18"/>
                <w:szCs w:val="18"/>
                <w:color w:val="auto"/>
              </w:rPr>
              <w:t>2018</w:t>
            </w:r>
          </w:p>
        </w:tc>
        <w:tc>
          <w:tcPr>
            <w:tcW w:w="1920" w:type="dxa"/>
            <w:vAlign w:val="bottom"/>
          </w:tcPr>
          <w:p>
            <w:pPr>
              <w:jc w:val="center"/>
              <w:ind w:left="617"/>
              <w:spacing w:after="0"/>
              <w:rPr>
                <w:sz w:val="20"/>
                <w:szCs w:val="20"/>
                <w:color w:val="auto"/>
              </w:rPr>
            </w:pPr>
            <w:r>
              <w:rPr>
                <w:rFonts w:ascii="Times New Roman" w:cs="Times New Roman" w:eastAsia="Times New Roman" w:hAnsi="Times New Roman"/>
                <w:sz w:val="18"/>
                <w:szCs w:val="18"/>
                <w:color w:val="auto"/>
                <w:w w:val="99"/>
              </w:rPr>
              <w:t>50</w:t>
            </w: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jc w:val="right"/>
              <w:ind w:right="1153"/>
              <w:spacing w:after="0"/>
              <w:rPr>
                <w:sz w:val="20"/>
                <w:szCs w:val="20"/>
                <w:color w:val="auto"/>
              </w:rPr>
            </w:pPr>
            <w:r>
              <w:rPr>
                <w:rFonts w:ascii="Times New Roman" w:cs="Times New Roman" w:eastAsia="Times New Roman" w:hAnsi="Times New Roman"/>
                <w:sz w:val="18"/>
                <w:szCs w:val="18"/>
                <w:color w:val="auto"/>
              </w:rPr>
              <w:t>2019</w:t>
            </w:r>
          </w:p>
        </w:tc>
        <w:tc>
          <w:tcPr>
            <w:tcW w:w="1920" w:type="dxa"/>
            <w:vAlign w:val="bottom"/>
            <w:shd w:val="clear" w:color="auto" w:fill="CFF0FC"/>
          </w:tcPr>
          <w:p>
            <w:pPr>
              <w:jc w:val="center"/>
              <w:ind w:left="617"/>
              <w:spacing w:after="0"/>
              <w:rPr>
                <w:sz w:val="20"/>
                <w:szCs w:val="20"/>
                <w:color w:val="auto"/>
              </w:rPr>
            </w:pPr>
            <w:r>
              <w:rPr>
                <w:rFonts w:ascii="Times New Roman" w:cs="Times New Roman" w:eastAsia="Times New Roman" w:hAnsi="Times New Roman"/>
                <w:sz w:val="18"/>
                <w:szCs w:val="18"/>
                <w:color w:val="auto"/>
                <w:w w:val="99"/>
              </w:rPr>
              <w:t>93</w:t>
            </w:r>
          </w:p>
        </w:tc>
        <w:tc>
          <w:tcPr>
            <w:tcW w:w="0" w:type="dxa"/>
            <w:vAlign w:val="bottom"/>
          </w:tcPr>
          <w:p>
            <w:pPr>
              <w:spacing w:after="0"/>
              <w:rPr>
                <w:sz w:val="1"/>
                <w:szCs w:val="1"/>
                <w:color w:val="auto"/>
              </w:rPr>
            </w:pPr>
          </w:p>
        </w:tc>
      </w:tr>
      <w:tr>
        <w:trPr>
          <w:trHeight w:val="230"/>
        </w:trPr>
        <w:tc>
          <w:tcPr>
            <w:tcW w:w="3460" w:type="dxa"/>
            <w:vAlign w:val="bottom"/>
          </w:tcPr>
          <w:p>
            <w:pPr>
              <w:jc w:val="right"/>
              <w:ind w:right="1153"/>
              <w:spacing w:after="0"/>
              <w:rPr>
                <w:sz w:val="20"/>
                <w:szCs w:val="20"/>
                <w:color w:val="auto"/>
              </w:rPr>
            </w:pPr>
            <w:r>
              <w:rPr>
                <w:rFonts w:ascii="Times New Roman" w:cs="Times New Roman" w:eastAsia="Times New Roman" w:hAnsi="Times New Roman"/>
                <w:sz w:val="18"/>
                <w:szCs w:val="18"/>
                <w:color w:val="auto"/>
              </w:rPr>
              <w:t>2020</w:t>
            </w:r>
          </w:p>
        </w:tc>
        <w:tc>
          <w:tcPr>
            <w:tcW w:w="1920" w:type="dxa"/>
            <w:vAlign w:val="bottom"/>
          </w:tcPr>
          <w:p>
            <w:pPr>
              <w:jc w:val="center"/>
              <w:ind w:left="637"/>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229"/>
        </w:trPr>
        <w:tc>
          <w:tcPr>
            <w:tcW w:w="3460" w:type="dxa"/>
            <w:vAlign w:val="bottom"/>
            <w:shd w:val="clear" w:color="auto" w:fill="CFF0FC"/>
          </w:tcPr>
          <w:p>
            <w:pPr>
              <w:jc w:val="right"/>
              <w:ind w:right="1153"/>
              <w:spacing w:after="0"/>
              <w:rPr>
                <w:sz w:val="20"/>
                <w:szCs w:val="20"/>
                <w:color w:val="auto"/>
              </w:rPr>
            </w:pPr>
            <w:r>
              <w:rPr>
                <w:rFonts w:ascii="Times New Roman" w:cs="Times New Roman" w:eastAsia="Times New Roman" w:hAnsi="Times New Roman"/>
                <w:sz w:val="18"/>
                <w:szCs w:val="18"/>
                <w:color w:val="auto"/>
              </w:rPr>
              <w:t>2021</w:t>
            </w:r>
          </w:p>
        </w:tc>
        <w:tc>
          <w:tcPr>
            <w:tcW w:w="1920" w:type="dxa"/>
            <w:vAlign w:val="bottom"/>
            <w:shd w:val="clear" w:color="auto" w:fill="CFF0FC"/>
          </w:tcPr>
          <w:p>
            <w:pPr>
              <w:jc w:val="center"/>
              <w:ind w:left="617"/>
              <w:spacing w:after="0"/>
              <w:rPr>
                <w:sz w:val="20"/>
                <w:szCs w:val="20"/>
                <w:color w:val="auto"/>
              </w:rPr>
            </w:pPr>
            <w:r>
              <w:rPr>
                <w:rFonts w:ascii="Times New Roman" w:cs="Times New Roman" w:eastAsia="Times New Roman" w:hAnsi="Times New Roman"/>
                <w:sz w:val="18"/>
                <w:szCs w:val="18"/>
                <w:color w:val="auto"/>
                <w:w w:val="96"/>
              </w:rPr>
              <w:t>115</w:t>
            </w:r>
          </w:p>
        </w:tc>
        <w:tc>
          <w:tcPr>
            <w:tcW w:w="0" w:type="dxa"/>
            <w:vAlign w:val="bottom"/>
          </w:tcPr>
          <w:p>
            <w:pPr>
              <w:spacing w:after="0"/>
              <w:rPr>
                <w:sz w:val="1"/>
                <w:szCs w:val="1"/>
                <w:color w:val="auto"/>
              </w:rPr>
            </w:pPr>
          </w:p>
        </w:tc>
      </w:tr>
    </w:tbl>
    <w:p>
      <w:pPr>
        <w:spacing w:after="0" w:line="211" w:lineRule="exact"/>
        <w:rPr>
          <w:sz w:val="20"/>
          <w:szCs w:val="20"/>
          <w:color w:val="auto"/>
        </w:rPr>
      </w:pPr>
    </w:p>
    <w:p>
      <w:pPr>
        <w:ind w:right="60" w:firstLine="416"/>
        <w:spacing w:after="0" w:line="282" w:lineRule="auto"/>
        <w:rPr>
          <w:sz w:val="20"/>
          <w:szCs w:val="20"/>
          <w:color w:val="auto"/>
        </w:rPr>
      </w:pPr>
      <w:r>
        <w:rPr>
          <w:rFonts w:ascii="Times New Roman" w:cs="Times New Roman" w:eastAsia="Times New Roman" w:hAnsi="Times New Roman"/>
          <w:sz w:val="18"/>
          <w:szCs w:val="18"/>
          <w:color w:val="auto"/>
        </w:rPr>
        <w:t>Early in 2022, the board of directors specified three main corporate objectives for 2022. In January 2023, the Compensation Committee evaluated the performance of the Company against the corporate objectives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Objective</w:t>
            </w:r>
          </w:p>
        </w:tc>
        <w:tc>
          <w:tcPr>
            <w:tcW w:w="140" w:type="dxa"/>
            <w:vAlign w:val="bottom"/>
          </w:tcPr>
          <w:p>
            <w:pPr>
              <w:spacing w:after="0"/>
              <w:rPr>
                <w:sz w:val="16"/>
                <w:szCs w:val="16"/>
                <w:color w:val="auto"/>
              </w:rPr>
            </w:pPr>
          </w:p>
        </w:tc>
        <w:tc>
          <w:tcPr>
            <w:tcW w:w="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220" w:type="dxa"/>
            <w:vAlign w:val="bottom"/>
          </w:tcPr>
          <w:p>
            <w:pPr>
              <w:spacing w:after="0"/>
              <w:rPr>
                <w:sz w:val="16"/>
                <w:szCs w:val="16"/>
                <w:color w:val="auto"/>
              </w:rPr>
            </w:pPr>
          </w:p>
        </w:tc>
        <w:tc>
          <w:tcPr>
            <w:tcW w:w="4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Assessment</w:t>
            </w:r>
          </w:p>
        </w:tc>
        <w:tc>
          <w:tcPr>
            <w:tcW w:w="100" w:type="dxa"/>
            <w:vAlign w:val="bottom"/>
          </w:tcPr>
          <w:p>
            <w:pPr>
              <w:spacing w:after="0"/>
              <w:rPr>
                <w:sz w:val="16"/>
                <w:szCs w:val="16"/>
                <w:color w:val="auto"/>
              </w:rPr>
            </w:pPr>
          </w:p>
        </w:tc>
        <w:tc>
          <w:tcPr>
            <w:tcW w:w="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Result</w:t>
            </w:r>
          </w:p>
        </w:tc>
        <w:tc>
          <w:tcPr>
            <w:tcW w:w="100" w:type="dxa"/>
            <w:vAlign w:val="bottom"/>
          </w:tcPr>
          <w:p>
            <w:pPr>
              <w:spacing w:after="0"/>
              <w:rPr>
                <w:sz w:val="16"/>
                <w:szCs w:val="16"/>
                <w:color w:val="auto"/>
              </w:rPr>
            </w:pPr>
          </w:p>
        </w:tc>
      </w:tr>
      <w:tr>
        <w:trPr>
          <w:trHeight w:val="191"/>
        </w:trPr>
        <w:tc>
          <w:tcPr>
            <w:tcW w:w="4480" w:type="dxa"/>
            <w:vAlign w:val="bottom"/>
            <w:gridSpan w:val="2"/>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Deliver on Tyvaso DPI launch</w:t>
            </w:r>
          </w:p>
        </w:tc>
        <w:tc>
          <w:tcPr>
            <w:tcW w:w="1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35%</w:t>
            </w:r>
          </w:p>
        </w:tc>
        <w:tc>
          <w:tcPr>
            <w:tcW w:w="220" w:type="dxa"/>
            <w:vAlign w:val="bottom"/>
            <w:shd w:val="clear" w:color="auto" w:fill="CFF0FC"/>
          </w:tcPr>
          <w:p>
            <w:pPr>
              <w:spacing w:after="0"/>
              <w:rPr>
                <w:sz w:val="16"/>
                <w:szCs w:val="16"/>
                <w:color w:val="auto"/>
              </w:rPr>
            </w:pPr>
          </w:p>
        </w:tc>
        <w:tc>
          <w:tcPr>
            <w:tcW w:w="44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Assessed quantitatively with respect to certain deliverables</w:t>
            </w:r>
          </w:p>
        </w:tc>
        <w:tc>
          <w:tcPr>
            <w:tcW w:w="100" w:type="dxa"/>
            <w:vAlign w:val="bottom"/>
            <w:shd w:val="clear" w:color="auto" w:fill="CFF0FC"/>
          </w:tcPr>
          <w:p>
            <w:pPr>
              <w:spacing w:after="0"/>
              <w:rPr>
                <w:sz w:val="16"/>
                <w:szCs w:val="16"/>
                <w:color w:val="auto"/>
              </w:rPr>
            </w:pPr>
          </w:p>
        </w:tc>
        <w:tc>
          <w:tcPr>
            <w:tcW w:w="76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FF0FC"/>
          </w:tcPr>
          <w:p>
            <w:pPr>
              <w:spacing w:after="0"/>
              <w:rPr>
                <w:sz w:val="16"/>
                <w:szCs w:val="16"/>
                <w:color w:val="auto"/>
              </w:rPr>
            </w:pPr>
          </w:p>
        </w:tc>
      </w:tr>
      <w:tr>
        <w:trPr>
          <w:trHeight w:val="216"/>
        </w:trPr>
        <w:tc>
          <w:tcPr>
            <w:tcW w:w="1840" w:type="dxa"/>
            <w:vAlign w:val="bottom"/>
            <w:shd w:val="clear" w:color="auto" w:fill="CFF0FC"/>
          </w:tcPr>
          <w:p>
            <w:pPr>
              <w:spacing w:after="0"/>
              <w:rPr>
                <w:sz w:val="18"/>
                <w:szCs w:val="18"/>
                <w:color w:val="auto"/>
              </w:rPr>
            </w:pPr>
          </w:p>
        </w:tc>
        <w:tc>
          <w:tcPr>
            <w:tcW w:w="26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and qualitatively with respect to actions taken to mitigate</w:t>
            </w: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1840" w:type="dxa"/>
            <w:vAlign w:val="bottom"/>
            <w:shd w:val="clear" w:color="auto" w:fill="CFF0FC"/>
          </w:tcPr>
          <w:p>
            <w:pPr>
              <w:spacing w:after="0"/>
              <w:rPr>
                <w:sz w:val="21"/>
                <w:szCs w:val="21"/>
                <w:color w:val="auto"/>
              </w:rPr>
            </w:pPr>
          </w:p>
        </w:tc>
        <w:tc>
          <w:tcPr>
            <w:tcW w:w="26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unforeseen events</w:t>
            </w: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0"/>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Drive endocrinology business</w:t>
            </w:r>
          </w:p>
        </w:tc>
        <w:tc>
          <w:tcPr>
            <w:tcW w:w="11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35%</w:t>
            </w:r>
          </w:p>
        </w:tc>
        <w:tc>
          <w:tcPr>
            <w:tcW w:w="220" w:type="dxa"/>
            <w:vAlign w:val="bottom"/>
          </w:tcPr>
          <w:p>
            <w:pPr>
              <w:spacing w:after="0"/>
              <w:rPr>
                <w:sz w:val="19"/>
                <w:szCs w:val="19"/>
                <w:color w:val="auto"/>
              </w:rPr>
            </w:pPr>
          </w:p>
        </w:tc>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Assessed quantitatively.</w:t>
            </w: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r>
      <w:tr>
        <w:trPr>
          <w:trHeight w:val="198"/>
        </w:trPr>
        <w:tc>
          <w:tcPr>
            <w:tcW w:w="4480" w:type="dxa"/>
            <w:vAlign w:val="bottom"/>
            <w:gridSpan w:val="2"/>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Advance pipeline opportunities</w:t>
            </w:r>
          </w:p>
        </w:tc>
        <w:tc>
          <w:tcPr>
            <w:tcW w:w="1120" w:type="dxa"/>
            <w:vAlign w:val="bottom"/>
            <w:gridSpan w:val="2"/>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30%</w:t>
            </w:r>
          </w:p>
        </w:tc>
        <w:tc>
          <w:tcPr>
            <w:tcW w:w="220" w:type="dxa"/>
            <w:vAlign w:val="bottom"/>
            <w:shd w:val="clear" w:color="auto" w:fill="CFF0FC"/>
          </w:tcPr>
          <w:p>
            <w:pPr>
              <w:spacing w:after="0"/>
              <w:rPr>
                <w:sz w:val="17"/>
                <w:szCs w:val="17"/>
                <w:color w:val="auto"/>
              </w:rPr>
            </w:pPr>
          </w:p>
        </w:tc>
        <w:tc>
          <w:tcPr>
            <w:tcW w:w="44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Assessed quantitatively with respect to the achievement of</w:t>
            </w:r>
          </w:p>
        </w:tc>
        <w:tc>
          <w:tcPr>
            <w:tcW w:w="860" w:type="dxa"/>
            <w:vAlign w:val="bottom"/>
            <w:gridSpan w:val="2"/>
            <w:shd w:val="clear" w:color="auto" w:fill="CFF0FC"/>
          </w:tcPr>
          <w:p>
            <w:pPr>
              <w:ind w:left="120"/>
              <w:spacing w:after="0" w:line="198" w:lineRule="exact"/>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FF0FC"/>
          </w:tcPr>
          <w:p>
            <w:pPr>
              <w:spacing w:after="0"/>
              <w:rPr>
                <w:sz w:val="17"/>
                <w:szCs w:val="17"/>
                <w:color w:val="auto"/>
              </w:rPr>
            </w:pPr>
          </w:p>
        </w:tc>
      </w:tr>
      <w:tr>
        <w:trPr>
          <w:trHeight w:val="248"/>
        </w:trPr>
        <w:tc>
          <w:tcPr>
            <w:tcW w:w="1840" w:type="dxa"/>
            <w:vAlign w:val="bottom"/>
            <w:shd w:val="clear" w:color="auto" w:fill="CFF0FC"/>
          </w:tcPr>
          <w:p>
            <w:pPr>
              <w:spacing w:after="0"/>
              <w:rPr>
                <w:sz w:val="21"/>
                <w:szCs w:val="21"/>
                <w:color w:val="auto"/>
              </w:rPr>
            </w:pPr>
          </w:p>
        </w:tc>
        <w:tc>
          <w:tcPr>
            <w:tcW w:w="26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development milestones</w:t>
            </w:r>
          </w:p>
        </w:tc>
        <w:tc>
          <w:tcPr>
            <w:tcW w:w="10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4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Overall Result</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86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124%</w:t>
            </w:r>
          </w:p>
        </w:tc>
        <w:tc>
          <w:tcPr>
            <w:tcW w:w="100" w:type="dxa"/>
            <w:vAlign w:val="bottom"/>
          </w:tcPr>
          <w:p>
            <w:pPr>
              <w:spacing w:after="0"/>
              <w:rPr>
                <w:sz w:val="20"/>
                <w:szCs w:val="20"/>
                <w:color w:val="auto"/>
              </w:rPr>
            </w:pPr>
          </w:p>
        </w:tc>
      </w:tr>
      <w:tr>
        <w:trPr>
          <w:trHeight w:val="113"/>
        </w:trPr>
        <w:tc>
          <w:tcPr>
            <w:tcW w:w="1840" w:type="dxa"/>
            <w:vAlign w:val="bottom"/>
            <w:tcBorders>
              <w:bottom w:val="single" w:sz="8" w:color="auto"/>
            </w:tcBorders>
          </w:tcPr>
          <w:p>
            <w:pPr>
              <w:spacing w:after="0"/>
              <w:rPr>
                <w:sz w:val="9"/>
                <w:szCs w:val="9"/>
                <w:color w:val="auto"/>
              </w:rPr>
            </w:pPr>
          </w:p>
        </w:tc>
        <w:tc>
          <w:tcPr>
            <w:tcW w:w="2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r>
    </w:tbl>
    <w:p>
      <w:pPr>
        <w:spacing w:after="0" w:line="225" w:lineRule="exact"/>
        <w:rPr>
          <w:sz w:val="20"/>
          <w:szCs w:val="20"/>
          <w:color w:val="auto"/>
        </w:rPr>
      </w:pPr>
    </w:p>
    <w:p>
      <w:pPr>
        <w:ind w:right="220" w:firstLine="416"/>
        <w:spacing w:after="0" w:line="266" w:lineRule="auto"/>
        <w:rPr>
          <w:sz w:val="20"/>
          <w:szCs w:val="20"/>
          <w:color w:val="auto"/>
        </w:rPr>
      </w:pPr>
      <w:r>
        <w:rPr>
          <w:rFonts w:ascii="Times New Roman" w:cs="Times New Roman" w:eastAsia="Times New Roman" w:hAnsi="Times New Roman"/>
          <w:sz w:val="18"/>
          <w:szCs w:val="18"/>
          <w:color w:val="auto"/>
        </w:rPr>
        <w:t>Each eligible position, including the executive officers, is assigned a target STI opportunity expressed as a percentage of base salary, which reflects market competitive levels. Target STI opportunities are generally intended to be at the 50th percentile of the market. For Mr. Castagna, the target STI opportunity for 2022 is 70% of base salary. For all other executive officers, the target STI opportunity is 50% of base salary.</w:t>
      </w:r>
    </w:p>
    <w:p>
      <w:pPr>
        <w:spacing w:after="0" w:line="176" w:lineRule="exact"/>
        <w:rPr>
          <w:sz w:val="20"/>
          <w:szCs w:val="20"/>
          <w:color w:val="auto"/>
        </w:rPr>
      </w:pPr>
    </w:p>
    <w:p>
      <w:pPr>
        <w:ind w:right="20" w:firstLine="416"/>
        <w:spacing w:after="0" w:line="261" w:lineRule="auto"/>
        <w:rPr>
          <w:sz w:val="20"/>
          <w:szCs w:val="20"/>
          <w:color w:val="auto"/>
        </w:rPr>
      </w:pPr>
      <w:r>
        <w:rPr>
          <w:rFonts w:ascii="Times New Roman" w:cs="Times New Roman" w:eastAsia="Times New Roman" w:hAnsi="Times New Roman"/>
          <w:sz w:val="18"/>
          <w:szCs w:val="18"/>
          <w:color w:val="auto"/>
        </w:rPr>
        <w:t>As a result of the Compensation Committee’s determination that the Company as a whole achieved 124% of its 2022 corporate goals, 124% of the aggregate target STI opportunity for all executive officers was made available for cash incentive awards to be paid in April 2023. The actual cash incentive award to be paid to each individual executive officer will reflect an upward or downward adjustment from 124% imposed by the Compensation Committee in order to reflect the contributions of such executive officer to the achievement or shortfall of the various 2022 corporate objectives.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Incentives</w:t>
      </w:r>
    </w:p>
    <w:p>
      <w:pPr>
        <w:spacing w:after="0" w:line="121" w:lineRule="exact"/>
        <w:rPr>
          <w:sz w:val="20"/>
          <w:szCs w:val="20"/>
          <w:color w:val="auto"/>
        </w:rPr>
      </w:pPr>
    </w:p>
    <w:p>
      <w:pPr>
        <w:ind w:right="120" w:firstLine="416"/>
        <w:spacing w:after="0" w:line="254" w:lineRule="auto"/>
        <w:rPr>
          <w:sz w:val="20"/>
          <w:szCs w:val="20"/>
          <w:color w:val="auto"/>
        </w:rPr>
      </w:pPr>
      <w:r>
        <w:rPr>
          <w:rFonts w:ascii="Times New Roman" w:cs="Times New Roman" w:eastAsia="Times New Roman" w:hAnsi="Times New Roman"/>
          <w:sz w:val="18"/>
          <w:szCs w:val="18"/>
          <w:color w:val="auto"/>
        </w:rPr>
        <w:t>In order to provide a significant retention incentive and to ensure a strong link to the long-term interests of stockholders, we provide a portion of our total compensation in the form of LTI compensation, which is generally delivered as an equity award (i.e., stock options or restricted stock units). All employees, including executive officers, are eligible to receive equity awards. Equity awards are granted under the 2018 Equity Incentive Plan, which is administered by the Compensation Committee pursuant to a delegation of concurrent authority by our Board of Directors. The awards are made at the discretion of the Compensation Committee, after taking into consideration grant guidelines that we have developed. Based on the competitive market, our current equity guidelines target an annual long-term incentive award valued at 300% of base salary for the CEO and at 150% of median base salary for all other executive officers. These percentages correspond to the median of the competitive market, but they can be modified at the discretion of the Compensation Committee for a range of reasons, including but not limited to, company performance, individual employee performance, financial position of the company, number of shares available for grant under the equity incentive plan, the volatility of the stock price, and similar factors.</w:t>
      </w:r>
    </w:p>
    <w:p>
      <w:pPr>
        <w:spacing w:after="0" w:line="188" w:lineRule="exact"/>
        <w:rPr>
          <w:sz w:val="20"/>
          <w:szCs w:val="20"/>
          <w:color w:val="auto"/>
        </w:rPr>
      </w:pPr>
    </w:p>
    <w:p>
      <w:pPr>
        <w:ind w:right="580" w:firstLine="416"/>
        <w:spacing w:after="0" w:line="266" w:lineRule="auto"/>
        <w:rPr>
          <w:sz w:val="20"/>
          <w:szCs w:val="20"/>
          <w:color w:val="auto"/>
        </w:rPr>
      </w:pPr>
      <w:r>
        <w:rPr>
          <w:rFonts w:ascii="Times New Roman" w:cs="Times New Roman" w:eastAsia="Times New Roman" w:hAnsi="Times New Roman"/>
          <w:sz w:val="18"/>
          <w:szCs w:val="18"/>
          <w:color w:val="auto"/>
        </w:rPr>
        <w:t>Our policy with regard to the timing of grants of equity compensation is to issue annual grants of equity awards in connection with a regularly scheduled quarterly meeting of the Compensation Committee. The timing of grant dates is not based on any favorable or unfavorable non-public information anticipated to be disclosed at a later date. All stock option awards are granted with an exercise</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color w:val="auto"/>
        </w:rPr>
        <w:t>price equal to the closing price of our common stock on the Nasdaq Global Market on the date of the meeting at which such stock options were granted.</w:t>
      </w:r>
    </w:p>
    <w:p>
      <w:pPr>
        <w:spacing w:after="0" w:line="225" w:lineRule="exact"/>
        <w:rPr>
          <w:sz w:val="20"/>
          <w:szCs w:val="20"/>
          <w:color w:val="auto"/>
        </w:rPr>
      </w:pPr>
    </w:p>
    <w:p>
      <w:pPr>
        <w:ind w:right="60" w:firstLine="416"/>
        <w:spacing w:after="0" w:line="266" w:lineRule="auto"/>
        <w:rPr>
          <w:sz w:val="20"/>
          <w:szCs w:val="20"/>
          <w:color w:val="auto"/>
        </w:rPr>
      </w:pPr>
      <w:r>
        <w:rPr>
          <w:rFonts w:ascii="Times New Roman" w:cs="Times New Roman" w:eastAsia="Times New Roman" w:hAnsi="Times New Roman"/>
          <w:sz w:val="18"/>
          <w:szCs w:val="18"/>
          <w:color w:val="auto"/>
        </w:rPr>
        <w:t>In 2022, annual equity awards were delivered as grants of restricted stock units. The total target amount of annual equity compensation (i.e., 300% of base salary for CEO; 150% of median base salary for other executive officers) was converted into a target number of shares using the then-current stock price and the resulting number was divided into two awards of restricted stock units.</w:t>
      </w:r>
    </w:p>
    <w:p>
      <w:pPr>
        <w:spacing w:after="0" w:line="35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0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Executive Officer</w:t>
            </w:r>
          </w:p>
        </w:tc>
        <w:tc>
          <w:tcPr>
            <w:tcW w:w="180" w:type="dxa"/>
            <w:vAlign w:val="bottom"/>
          </w:tcPr>
          <w:p>
            <w:pPr>
              <w:spacing w:after="0"/>
              <w:rPr>
                <w:sz w:val="13"/>
                <w:szCs w:val="13"/>
                <w:color w:val="auto"/>
              </w:rPr>
            </w:pPr>
          </w:p>
        </w:tc>
        <w:tc>
          <w:tcPr>
            <w:tcW w:w="1880" w:type="dxa"/>
            <w:vAlign w:val="bottom"/>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LTI Guideline</w:t>
            </w:r>
          </w:p>
        </w:tc>
        <w:tc>
          <w:tcPr>
            <w:tcW w:w="280" w:type="dxa"/>
            <w:vAlign w:val="bottom"/>
          </w:tcPr>
          <w:p>
            <w:pPr>
              <w:spacing w:after="0"/>
              <w:rPr>
                <w:sz w:val="13"/>
                <w:szCs w:val="13"/>
                <w:color w:val="auto"/>
              </w:rPr>
            </w:pP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Performance-based</w:t>
            </w:r>
          </w:p>
        </w:tc>
        <w:tc>
          <w:tcPr>
            <w:tcW w:w="260" w:type="dxa"/>
            <w:vAlign w:val="bottom"/>
          </w:tcPr>
          <w:p>
            <w:pPr>
              <w:spacing w:after="0"/>
              <w:rPr>
                <w:sz w:val="13"/>
                <w:szCs w:val="13"/>
                <w:color w:val="auto"/>
              </w:rPr>
            </w:pPr>
          </w:p>
        </w:tc>
        <w:tc>
          <w:tcPr>
            <w:tcW w:w="14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Time-based</w:t>
            </w:r>
          </w:p>
        </w:tc>
        <w:tc>
          <w:tcPr>
            <w:tcW w:w="0" w:type="dxa"/>
            <w:vAlign w:val="bottom"/>
          </w:tcPr>
          <w:p>
            <w:pPr>
              <w:spacing w:after="0"/>
              <w:rPr>
                <w:sz w:val="1"/>
                <w:szCs w:val="1"/>
                <w:color w:val="auto"/>
              </w:rPr>
            </w:pPr>
          </w:p>
        </w:tc>
      </w:tr>
      <w:tr>
        <w:trPr>
          <w:trHeight w:val="187"/>
        </w:trPr>
        <w:tc>
          <w:tcPr>
            <w:tcW w:w="300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w:t>
            </w:r>
          </w:p>
        </w:tc>
        <w:tc>
          <w:tcPr>
            <w:tcW w:w="26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Award</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CEO</w:t>
            </w:r>
          </w:p>
        </w:tc>
        <w:tc>
          <w:tcPr>
            <w:tcW w:w="180" w:type="dxa"/>
            <w:vAlign w:val="bottom"/>
            <w:shd w:val="clear" w:color="auto" w:fill="CFF0FC"/>
          </w:tcPr>
          <w:p>
            <w:pPr>
              <w:spacing w:after="0"/>
              <w:rPr>
                <w:sz w:val="19"/>
                <w:szCs w:val="19"/>
                <w:color w:val="auto"/>
              </w:rPr>
            </w:pPr>
          </w:p>
        </w:tc>
        <w:tc>
          <w:tcPr>
            <w:tcW w:w="18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9"/>
              </w:rPr>
              <w:t>565,000 shares</w:t>
            </w:r>
          </w:p>
        </w:tc>
        <w:tc>
          <w:tcPr>
            <w:tcW w:w="280" w:type="dxa"/>
            <w:vAlign w:val="bottom"/>
            <w:shd w:val="clear" w:color="auto" w:fill="CFF0FC"/>
          </w:tcPr>
          <w:p>
            <w:pPr>
              <w:spacing w:after="0"/>
              <w:rPr>
                <w:sz w:val="19"/>
                <w:szCs w:val="19"/>
                <w:color w:val="auto"/>
              </w:rPr>
            </w:pPr>
          </w:p>
        </w:tc>
        <w:tc>
          <w:tcPr>
            <w:tcW w:w="1980" w:type="dxa"/>
            <w:vAlign w:val="bottom"/>
            <w:shd w:val="clear" w:color="auto" w:fill="CFF0FC"/>
          </w:tcPr>
          <w:p>
            <w:pPr>
              <w:ind w:left="920"/>
              <w:spacing w:after="0"/>
              <w:rPr>
                <w:sz w:val="20"/>
                <w:szCs w:val="20"/>
                <w:color w:val="auto"/>
              </w:rPr>
            </w:pPr>
            <w:r>
              <w:rPr>
                <w:rFonts w:ascii="Times New Roman" w:cs="Times New Roman" w:eastAsia="Times New Roman" w:hAnsi="Times New Roman"/>
                <w:sz w:val="18"/>
                <w:szCs w:val="18"/>
                <w:color w:val="auto"/>
                <w:w w:val="98"/>
              </w:rPr>
              <w:t>311,000 RSUs</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254,000</w:t>
            </w:r>
          </w:p>
        </w:tc>
        <w:tc>
          <w:tcPr>
            <w:tcW w:w="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RSUs</w:t>
            </w:r>
          </w:p>
        </w:tc>
        <w:tc>
          <w:tcPr>
            <w:tcW w:w="0" w:type="dxa"/>
            <w:vAlign w:val="bottom"/>
          </w:tcPr>
          <w:p>
            <w:pPr>
              <w:spacing w:after="0"/>
              <w:rPr>
                <w:sz w:val="1"/>
                <w:szCs w:val="1"/>
                <w:color w:val="auto"/>
              </w:rPr>
            </w:pPr>
          </w:p>
        </w:tc>
      </w:tr>
      <w:tr>
        <w:trPr>
          <w:trHeight w:val="234"/>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Other executive officers</w:t>
            </w:r>
          </w:p>
        </w:tc>
        <w:tc>
          <w:tcPr>
            <w:tcW w:w="180" w:type="dxa"/>
            <w:vAlign w:val="bottom"/>
          </w:tcPr>
          <w:p>
            <w:pPr>
              <w:spacing w:after="0"/>
              <w:rPr>
                <w:sz w:val="20"/>
                <w:szCs w:val="20"/>
                <w:color w:val="auto"/>
              </w:rPr>
            </w:pPr>
          </w:p>
        </w:tc>
        <w:tc>
          <w:tcPr>
            <w:tcW w:w="18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200,000 shares</w:t>
            </w:r>
          </w:p>
        </w:tc>
        <w:tc>
          <w:tcPr>
            <w:tcW w:w="280" w:type="dxa"/>
            <w:vAlign w:val="bottom"/>
          </w:tcPr>
          <w:p>
            <w:pPr>
              <w:spacing w:after="0"/>
              <w:rPr>
                <w:sz w:val="20"/>
                <w:szCs w:val="20"/>
                <w:color w:val="auto"/>
              </w:rPr>
            </w:pPr>
          </w:p>
        </w:tc>
        <w:tc>
          <w:tcPr>
            <w:tcW w:w="1980" w:type="dxa"/>
            <w:vAlign w:val="bottom"/>
          </w:tcPr>
          <w:p>
            <w:pPr>
              <w:ind w:left="920"/>
              <w:spacing w:after="0"/>
              <w:rPr>
                <w:sz w:val="20"/>
                <w:szCs w:val="20"/>
                <w:color w:val="auto"/>
              </w:rPr>
            </w:pPr>
            <w:r>
              <w:rPr>
                <w:rFonts w:ascii="Times New Roman" w:cs="Times New Roman" w:eastAsia="Times New Roman" w:hAnsi="Times New Roman"/>
                <w:sz w:val="18"/>
                <w:szCs w:val="18"/>
                <w:color w:val="auto"/>
                <w:w w:val="98"/>
              </w:rPr>
              <w:t>110,000 RSUs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46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RSUs</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260" w:firstLine="416"/>
        <w:spacing w:after="0" w:line="258" w:lineRule="auto"/>
        <w:rPr>
          <w:sz w:val="20"/>
          <w:szCs w:val="20"/>
          <w:color w:val="auto"/>
        </w:rPr>
      </w:pPr>
      <w:r>
        <w:rPr>
          <w:rFonts w:ascii="Times New Roman" w:cs="Times New Roman" w:eastAsia="Times New Roman" w:hAnsi="Times New Roman"/>
          <w:sz w:val="18"/>
          <w:szCs w:val="18"/>
          <w:color w:val="auto"/>
        </w:rPr>
        <w:t>One award, representing 55% of the total annual equity incentive, was delivered as a performance stock unit that cliff vests in May 2025, provided that the closing price of the Company’s common stock on such vesting date is not less than closing price of the Company’s common stock on the grant date. The number of shares delivered on the vesting date, as a percentage of the target number specified in the table above, will be determined by the percentile ranking of the Company’s total stockholder return (“TSR”) over the period from the grant date to the vesting date relative to the TSR of the Russell 3000 Pharmaceutical &amp; Biotechnology Index over the same period, as follows:</w:t>
      </w:r>
    </w:p>
    <w:p>
      <w:pPr>
        <w:spacing w:after="0" w:line="82" w:lineRule="exact"/>
        <w:rPr>
          <w:sz w:val="20"/>
          <w:szCs w:val="20"/>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&lt;25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 0% of target</w:t>
      </w:r>
    </w:p>
    <w:p>
      <w:pPr>
        <w:spacing w:after="0" w:line="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 50% of target</w:t>
      </w:r>
    </w:p>
    <w:p>
      <w:pPr>
        <w:spacing w:after="0" w:line="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 100% of target</w:t>
      </w:r>
    </w:p>
    <w:p>
      <w:pPr>
        <w:spacing w:after="0" w:line="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 200% of target</w:t>
      </w:r>
    </w:p>
    <w:p>
      <w:pPr>
        <w:spacing w:after="0" w:line="7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 300% of target</w:t>
      </w:r>
    </w:p>
    <w:p>
      <w:pPr>
        <w:spacing w:after="0" w:line="176" w:lineRule="exact"/>
        <w:rPr>
          <w:sz w:val="20"/>
          <w:szCs w:val="20"/>
          <w:color w:val="auto"/>
        </w:rPr>
      </w:pPr>
    </w:p>
    <w:p>
      <w:pPr>
        <w:jc w:val="both"/>
        <w:ind w:right="280" w:firstLine="416"/>
        <w:spacing w:after="0" w:line="282" w:lineRule="auto"/>
        <w:rPr>
          <w:sz w:val="20"/>
          <w:szCs w:val="20"/>
          <w:color w:val="auto"/>
        </w:rPr>
      </w:pPr>
      <w:r>
        <w:rPr>
          <w:rFonts w:ascii="Times New Roman" w:cs="Times New Roman" w:eastAsia="Times New Roman" w:hAnsi="Times New Roman"/>
          <w:sz w:val="18"/>
          <w:szCs w:val="18"/>
          <w:color w:val="auto"/>
        </w:rPr>
        <w:t>Payout values will be interpolated between the percentile rankings above. The other award, representing 45% of total annual equity incentive, was delivered as a time-based restricted stock unit that vests 25% on each anniversary of the grant date, commencing in May 2023 and ending in May 2026.</w:t>
      </w:r>
    </w:p>
    <w:p>
      <w:pPr>
        <w:spacing w:after="0" w:line="162" w:lineRule="exact"/>
        <w:rPr>
          <w:sz w:val="20"/>
          <w:szCs w:val="20"/>
          <w:color w:val="auto"/>
        </w:rPr>
      </w:pPr>
    </w:p>
    <w:p>
      <w:pPr>
        <w:ind w:right="40" w:firstLine="416"/>
        <w:spacing w:after="0" w:line="261" w:lineRule="auto"/>
        <w:rPr>
          <w:sz w:val="20"/>
          <w:szCs w:val="20"/>
          <w:color w:val="auto"/>
        </w:rPr>
      </w:pPr>
      <w:r>
        <w:rPr>
          <w:rFonts w:ascii="Times New Roman" w:cs="Times New Roman" w:eastAsia="Times New Roman" w:hAnsi="Times New Roman"/>
          <w:sz w:val="18"/>
          <w:szCs w:val="18"/>
          <w:color w:val="auto"/>
        </w:rPr>
        <w:t>We believe that the use of relative TSR is an appropriate metric for LTI compensation whereas operational metrics, such as revenue growth, are better suited for STI. Putting a majority of the LTI at risk and tying the value of that compensation to stockholder returns over the same period aligns with our pay-for performance philosophy. At the same time, the inclusion of time-based awards within the LTI program encourages employee retention and fosters equity ownership, which are additional objectives of our compensation program.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121" w:lineRule="exact"/>
        <w:rPr>
          <w:sz w:val="20"/>
          <w:szCs w:val="20"/>
          <w:color w:val="auto"/>
        </w:rPr>
      </w:pPr>
    </w:p>
    <w:p>
      <w:pPr>
        <w:ind w:firstLine="416"/>
        <w:spacing w:after="0" w:line="261" w:lineRule="auto"/>
        <w:rPr>
          <w:sz w:val="20"/>
          <w:szCs w:val="20"/>
          <w:color w:val="auto"/>
        </w:rPr>
      </w:pPr>
      <w:r>
        <w:rPr>
          <w:rFonts w:ascii="Times New Roman" w:cs="Times New Roman" w:eastAsia="Times New Roman" w:hAnsi="Times New Roman"/>
          <w:sz w:val="18"/>
          <w:szCs w:val="18"/>
          <w:color w:val="auto"/>
        </w:rPr>
        <w:t>All of our executive officers are subject to our clawback policy, which applies to all incentive-based compensation, including STI and LTI. The policy provides that such incentive-based compensation is subject to clawback for any material financial restatement with the executive at fault as well as any fraud or willful misconduct. The policy applies to any event discovered after January 1, 2020, even if the applicable incentive compensation was paid prior to that date.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121" w:lineRule="exact"/>
        <w:rPr>
          <w:sz w:val="20"/>
          <w:szCs w:val="20"/>
          <w:color w:val="auto"/>
        </w:rPr>
      </w:pPr>
    </w:p>
    <w:p>
      <w:pPr>
        <w:ind w:right="180" w:firstLine="416"/>
        <w:spacing w:after="0" w:line="282" w:lineRule="auto"/>
        <w:rPr>
          <w:sz w:val="20"/>
          <w:szCs w:val="20"/>
          <w:color w:val="auto"/>
        </w:rPr>
      </w:pPr>
      <w:r>
        <w:rPr>
          <w:rFonts w:ascii="Times New Roman" w:cs="Times New Roman" w:eastAsia="Times New Roman" w:hAnsi="Times New Roman"/>
          <w:sz w:val="18"/>
          <w:szCs w:val="18"/>
          <w:color w:val="auto"/>
        </w:rPr>
        <w:t>Our executive officers are subject to our stock ownership guidelines, which require each such individual to hold a specified number of shares of our common stock calculated by dividing the dollar amount below by the current stock price:</w:t>
      </w:r>
    </w:p>
    <w:p>
      <w:pPr>
        <w:sectPr>
          <w:pgSz w:w="11900" w:h="16838" w:orient="portrait"/>
          <w:cols w:equalWidth="0" w:num="1">
            <w:col w:w="11240"/>
          </w:cols>
          <w:pgMar w:left="320" w:top="553" w:right="339" w:bottom="1440" w:gutter="0" w:footer="0" w:header="0"/>
        </w:sectPr>
      </w:pPr>
    </w:p>
    <w:p>
      <w:pPr>
        <w:spacing w:after="0" w:line="171" w:lineRule="exact"/>
        <w:rPr>
          <w:sz w:val="20"/>
          <w:szCs w:val="20"/>
          <w:color w:val="auto"/>
        </w:rPr>
      </w:pPr>
    </w:p>
    <w:tbl>
      <w:tblPr>
        <w:tblLayout w:type="fixed"/>
        <w:tblInd w:w="100" w:type="dxa"/>
        <w:tblCellMar>
          <w:top w:w="0" w:type="dxa"/>
          <w:left w:w="0" w:type="dxa"/>
          <w:bottom w:w="0" w:type="dxa"/>
          <w:right w:w="0" w:type="dxa"/>
        </w:tblCellMar>
      </w:tblPr>
      <w:tr>
        <w:trPr>
          <w:trHeight w:val="238"/>
        </w:trPr>
        <w:tc>
          <w:tcPr>
            <w:tcW w:w="140" w:type="dxa"/>
            <w:vAlign w:val="bottom"/>
          </w:tcPr>
          <w:p>
            <w:pPr>
              <w:spacing w:after="0"/>
              <w:rPr>
                <w:sz w:val="20"/>
                <w:szCs w:val="20"/>
                <w:color w:val="auto"/>
              </w:rPr>
            </w:pPr>
          </w:p>
        </w:tc>
        <w:tc>
          <w:tcPr>
            <w:tcW w:w="70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Officer</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w w:val="98"/>
              </w:rPr>
              <w:t>Ownership Guideline</w:t>
            </w:r>
          </w:p>
        </w:tc>
        <w:tc>
          <w:tcPr>
            <w:tcW w:w="0" w:type="dxa"/>
            <w:vAlign w:val="bottom"/>
          </w:tcPr>
          <w:p>
            <w:pPr>
              <w:spacing w:after="0"/>
              <w:rPr>
                <w:sz w:val="1"/>
                <w:szCs w:val="1"/>
                <w:color w:val="auto"/>
              </w:rPr>
            </w:pPr>
          </w:p>
        </w:tc>
      </w:tr>
      <w:tr>
        <w:trPr>
          <w:trHeight w:val="78"/>
        </w:trPr>
        <w:tc>
          <w:tcPr>
            <w:tcW w:w="1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70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Chief Executive Officer</w:t>
            </w:r>
          </w:p>
        </w:tc>
        <w:tc>
          <w:tcPr>
            <w:tcW w:w="900" w:type="dxa"/>
            <w:vAlign w:val="bottom"/>
          </w:tcPr>
          <w:p>
            <w:pPr>
              <w:ind w:left="78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7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4 times base salary</w:t>
            </w:r>
          </w:p>
        </w:tc>
        <w:tc>
          <w:tcPr>
            <w:tcW w:w="0" w:type="dxa"/>
            <w:vAlign w:val="bottom"/>
          </w:tcPr>
          <w:p>
            <w:pPr>
              <w:spacing w:after="0"/>
              <w:rPr>
                <w:sz w:val="1"/>
                <w:szCs w:val="1"/>
                <w:color w:val="auto"/>
              </w:rPr>
            </w:pPr>
          </w:p>
        </w:tc>
      </w:tr>
      <w:tr>
        <w:trPr>
          <w:trHeight w:val="179"/>
        </w:trPr>
        <w:tc>
          <w:tcPr>
            <w:tcW w:w="140" w:type="dxa"/>
            <w:vAlign w:val="bottom"/>
          </w:tcPr>
          <w:p>
            <w:pPr>
              <w:spacing w:after="0"/>
              <w:rPr>
                <w:sz w:val="15"/>
                <w:szCs w:val="15"/>
                <w:color w:val="auto"/>
              </w:rPr>
            </w:pPr>
          </w:p>
        </w:tc>
        <w:tc>
          <w:tcPr>
            <w:tcW w:w="708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1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70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Executive Vice Presidents</w:t>
            </w:r>
          </w:p>
        </w:tc>
        <w:tc>
          <w:tcPr>
            <w:tcW w:w="900" w:type="dxa"/>
            <w:vAlign w:val="bottom"/>
          </w:tcPr>
          <w:p>
            <w:pPr>
              <w:ind w:left="78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7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2 times base salary</w:t>
            </w:r>
          </w:p>
        </w:tc>
        <w:tc>
          <w:tcPr>
            <w:tcW w:w="0" w:type="dxa"/>
            <w:vAlign w:val="bottom"/>
          </w:tcPr>
          <w:p>
            <w:pPr>
              <w:spacing w:after="0"/>
              <w:rPr>
                <w:sz w:val="1"/>
                <w:szCs w:val="1"/>
                <w:color w:val="auto"/>
              </w:rPr>
            </w:pPr>
          </w:p>
        </w:tc>
      </w:tr>
      <w:tr>
        <w:trPr>
          <w:trHeight w:val="179"/>
        </w:trPr>
        <w:tc>
          <w:tcPr>
            <w:tcW w:w="140" w:type="dxa"/>
            <w:vAlign w:val="bottom"/>
          </w:tcPr>
          <w:p>
            <w:pPr>
              <w:spacing w:after="0"/>
              <w:rPr>
                <w:sz w:val="15"/>
                <w:szCs w:val="15"/>
                <w:color w:val="auto"/>
              </w:rPr>
            </w:pPr>
          </w:p>
        </w:tc>
        <w:tc>
          <w:tcPr>
            <w:tcW w:w="708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1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70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Senior Vice Presidents and Vice Presidents serving on the Executive Leadership Team</w:t>
            </w:r>
          </w:p>
        </w:tc>
        <w:tc>
          <w:tcPr>
            <w:tcW w:w="900" w:type="dxa"/>
            <w:vAlign w:val="bottom"/>
          </w:tcPr>
          <w:p>
            <w:pPr>
              <w:ind w:left="78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7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1 times base salary</w:t>
            </w:r>
          </w:p>
        </w:tc>
        <w:tc>
          <w:tcPr>
            <w:tcW w:w="0" w:type="dxa"/>
            <w:vAlign w:val="bottom"/>
          </w:tcPr>
          <w:p>
            <w:pPr>
              <w:spacing w:after="0"/>
              <w:rPr>
                <w:sz w:val="1"/>
                <w:szCs w:val="1"/>
                <w:color w:val="auto"/>
              </w:rPr>
            </w:pPr>
          </w:p>
        </w:tc>
      </w:tr>
      <w:tr>
        <w:trPr>
          <w:trHeight w:val="179"/>
        </w:trPr>
        <w:tc>
          <w:tcPr>
            <w:tcW w:w="140" w:type="dxa"/>
            <w:vAlign w:val="bottom"/>
          </w:tcPr>
          <w:p>
            <w:pPr>
              <w:spacing w:after="0"/>
              <w:rPr>
                <w:sz w:val="15"/>
                <w:szCs w:val="15"/>
                <w:color w:val="auto"/>
              </w:rPr>
            </w:pPr>
          </w:p>
        </w:tc>
        <w:tc>
          <w:tcPr>
            <w:tcW w:w="7080" w:type="dxa"/>
            <w:vAlign w:val="bottom"/>
            <w:vMerge w:val="continue"/>
          </w:tcPr>
          <w:p>
            <w:pPr>
              <w:spacing w:after="0"/>
              <w:rPr>
                <w:sz w:val="15"/>
                <w:szCs w:val="15"/>
                <w:color w:val="auto"/>
              </w:rPr>
            </w:pPr>
          </w:p>
        </w:tc>
        <w:tc>
          <w:tcPr>
            <w:tcW w:w="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-462280</wp:posOffset>
            </wp:positionV>
            <wp:extent cx="7054850" cy="1631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054850" cy="1631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054850" cy="1543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05485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w:t>
      </w:r>
    </w:p>
    <w:p>
      <w:pPr>
        <w:spacing w:after="0" w:line="379" w:lineRule="exact"/>
        <w:rPr>
          <w:sz w:val="20"/>
          <w:szCs w:val="20"/>
          <w:color w:val="auto"/>
        </w:rPr>
      </w:pPr>
    </w:p>
    <w:p>
      <w:pPr>
        <w:sectPr>
          <w:pgSz w:w="11900" w:h="16838" w:orient="portrait"/>
          <w:cols w:equalWidth="0" w:num="2">
            <w:col w:w="10200" w:space="700"/>
            <w:col w:w="340"/>
          </w:cols>
          <w:pgMar w:left="320" w:top="553" w:right="339" w:bottom="1440" w:gutter="0" w:footer="0" w:header="0"/>
          <w:type w:val="continuous"/>
        </w:sectPr>
      </w:pPr>
    </w:p>
    <w:p>
      <w:pPr>
        <w:spacing w:after="0" w:line="11" w:lineRule="exact"/>
        <w:rPr>
          <w:sz w:val="20"/>
          <w:szCs w:val="20"/>
          <w:color w:val="auto"/>
        </w:rPr>
      </w:pPr>
    </w:p>
    <w:p>
      <w:pPr>
        <w:ind w:right="200" w:firstLine="416"/>
        <w:spacing w:after="0" w:line="261" w:lineRule="auto"/>
        <w:rPr>
          <w:sz w:val="20"/>
          <w:szCs w:val="20"/>
          <w:color w:val="auto"/>
        </w:rPr>
      </w:pPr>
      <w:r>
        <w:rPr>
          <w:rFonts w:ascii="Times New Roman" w:cs="Times New Roman" w:eastAsia="Times New Roman" w:hAnsi="Times New Roman"/>
          <w:sz w:val="18"/>
          <w:szCs w:val="18"/>
          <w:color w:val="auto"/>
        </w:rPr>
        <w:t>For purposes of determining stock ownership, all common stock, shares held in retirement accounts, restricted stock units, restricted shares, options (regardless as to whether they are “underwater” or “in the money”) and performance awards are considered eligible. Both vested and unvested equity awards count as eligible. Each individual subject to the stock ownership guidelines has five years to reach the applicable guideline, beginning January 1, 2020 or when the individual is hired or promoted into the eligible role,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type w:val="continuous"/>
        </w:sectPr>
      </w:pPr>
    </w:p>
    <w:bookmarkStart w:id="63" w:name="page64"/>
    <w:bookmarkEnd w:id="63"/>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whichever is later. Upon completion of the grace period, for anyone out of compliance with the guidelines, the Board or the Compensation Committee may restrict their sale of shares or may choose to deliver salary or STI payments in stock rather than cash until the guidelines are satisfied. All executive officers are currently in compliance with our stock ownership guidelines.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Benefits</w:t>
      </w:r>
    </w:p>
    <w:p>
      <w:pPr>
        <w:spacing w:after="0" w:line="121" w:lineRule="exact"/>
        <w:rPr>
          <w:sz w:val="20"/>
          <w:szCs w:val="20"/>
          <w:color w:val="auto"/>
        </w:rPr>
      </w:pPr>
    </w:p>
    <w:p>
      <w:pPr>
        <w:ind w:right="60" w:firstLine="416"/>
        <w:spacing w:after="0" w:line="266" w:lineRule="auto"/>
        <w:rPr>
          <w:sz w:val="20"/>
          <w:szCs w:val="20"/>
          <w:color w:val="auto"/>
        </w:rPr>
      </w:pPr>
      <w:r>
        <w:rPr>
          <w:rFonts w:ascii="Times New Roman" w:cs="Times New Roman" w:eastAsia="Times New Roman" w:hAnsi="Times New Roman"/>
          <w:sz w:val="18"/>
          <w:szCs w:val="18"/>
          <w:color w:val="auto"/>
        </w:rPr>
        <w:t>We provide a competitive benefits package to all full-time employees, which includes health and welfare benefits, such as medical, dental, vision care, life insurance benefits, and a 401(k) savings plan. Executives, including the named executive officers, receive additional benefits, including executive medical reimbursement insurance, as well as additional short-term and long-term disability insurance.</w:t>
      </w:r>
    </w:p>
    <w:p>
      <w:pPr>
        <w:spacing w:after="0" w:line="176" w:lineRule="exact"/>
        <w:rPr>
          <w:sz w:val="20"/>
          <w:szCs w:val="20"/>
          <w:color w:val="auto"/>
        </w:rPr>
      </w:pPr>
    </w:p>
    <w:p>
      <w:pPr>
        <w:ind w:right="320" w:firstLine="416"/>
        <w:spacing w:after="0" w:line="266" w:lineRule="auto"/>
        <w:rPr>
          <w:sz w:val="20"/>
          <w:szCs w:val="20"/>
          <w:color w:val="auto"/>
        </w:rPr>
      </w:pPr>
      <w:r>
        <w:rPr>
          <w:rFonts w:ascii="Times New Roman" w:cs="Times New Roman" w:eastAsia="Times New Roman" w:hAnsi="Times New Roman"/>
          <w:sz w:val="18"/>
          <w:szCs w:val="18"/>
          <w:color w:val="auto"/>
        </w:rPr>
        <w:t>We have no other structured perquisite benefits (e.g. automobile allowance, or financial planning services) for any executive officer, including the named executive officers, and we currently do not provide any deferred compensation programs or supplemental pensions to any executive officer, including the named executive officers.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Stock Purchase Plan</w:t>
      </w:r>
    </w:p>
    <w:p>
      <w:pPr>
        <w:spacing w:after="0" w:line="121" w:lineRule="exact"/>
        <w:rPr>
          <w:sz w:val="20"/>
          <w:szCs w:val="20"/>
          <w:color w:val="auto"/>
        </w:rPr>
      </w:pPr>
    </w:p>
    <w:p>
      <w:pPr>
        <w:ind w:right="80" w:firstLine="416"/>
        <w:spacing w:after="0" w:line="255" w:lineRule="auto"/>
        <w:rPr>
          <w:sz w:val="20"/>
          <w:szCs w:val="20"/>
          <w:color w:val="auto"/>
        </w:rPr>
      </w:pPr>
      <w:r>
        <w:rPr>
          <w:rFonts w:ascii="Times New Roman" w:cs="Times New Roman" w:eastAsia="Times New Roman" w:hAnsi="Times New Roman"/>
          <w:sz w:val="18"/>
          <w:szCs w:val="18"/>
          <w:color w:val="auto"/>
        </w:rPr>
        <w:t>In order to encourage stock ownership and provide greater incentives to contribute to our success at all levels, we provide all employees, including executive officers, the ability to purchase our common stock at a discount under our 2004 employee stock purchase plan (the “Purchase Plan”). The Purchase Plan is designed to comply with Section 423 of the Code and provides all employees with the opportunity to purchase up to $25,000 worth of our common stock (based on the undiscounted fair market value at the commencement of the offering period) each year at a purchase price that is the lower of 85% of the fair market value of the common stock on either the date of purchase or the commencement of the offering period. An employee may not purchase more than 5,000 shares of common stock on any purchase date. The executives’ rights under the Purchase Plan are identical to those of all other employees.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Provisions</w:t>
      </w:r>
    </w:p>
    <w:p>
      <w:pPr>
        <w:spacing w:after="0" w:line="121" w:lineRule="exact"/>
        <w:rPr>
          <w:sz w:val="20"/>
          <w:szCs w:val="20"/>
          <w:color w:val="auto"/>
        </w:rPr>
      </w:pPr>
    </w:p>
    <w:p>
      <w:pPr>
        <w:ind w:right="340" w:firstLine="416"/>
        <w:spacing w:after="0" w:line="282" w:lineRule="auto"/>
        <w:rPr>
          <w:sz w:val="20"/>
          <w:szCs w:val="20"/>
          <w:color w:val="auto"/>
        </w:rPr>
      </w:pPr>
      <w:r>
        <w:rPr>
          <w:rFonts w:ascii="Times New Roman" w:cs="Times New Roman" w:eastAsia="Times New Roman" w:hAnsi="Times New Roman"/>
          <w:sz w:val="18"/>
          <w:szCs w:val="18"/>
          <w:color w:val="auto"/>
        </w:rPr>
        <w:t>Currently, we have no severance agreements with our executive officers, except with Mr. Thomson. The terms of the agreement and amounts that may be realized are detailed under the heading “Potential Payments Upon Termination or Change of Control”.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 of Control Provisions</w:t>
      </w:r>
    </w:p>
    <w:p>
      <w:pPr>
        <w:spacing w:after="0" w:line="121"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We have entered into change of control agreements with each of our executive officers in order to ensure that we have the continued dedication of these executives and in order to provide them with reasonable compensation and benefit arrangements in the event of termination of their employment following a change of control. We believe that it is imperative to diminish any distraction of our executives arising from the personal uncertainty and insecurity that arises in the absence of any assurance of job security, thereby allowing executives to focus on corporate objectives and strategy. The terms of these agreements and amounts that may be realized are detailed under the heading “Potential Payments Upon Termination or Change of Control.”</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Considerations</w:t>
      </w:r>
    </w:p>
    <w:p>
      <w:pPr>
        <w:spacing w:after="0" w:line="121" w:lineRule="exact"/>
        <w:rPr>
          <w:sz w:val="20"/>
          <w:szCs w:val="20"/>
          <w:color w:val="auto"/>
        </w:rPr>
      </w:pPr>
    </w:p>
    <w:p>
      <w:pPr>
        <w:jc w:val="both"/>
        <w:ind w:right="100" w:firstLine="416"/>
        <w:spacing w:after="0" w:line="261" w:lineRule="auto"/>
        <w:rPr>
          <w:sz w:val="20"/>
          <w:szCs w:val="20"/>
          <w:color w:val="auto"/>
        </w:rPr>
      </w:pPr>
      <w:r>
        <w:rPr>
          <w:rFonts w:ascii="Times New Roman" w:cs="Times New Roman" w:eastAsia="Times New Roman" w:hAnsi="Times New Roman"/>
          <w:sz w:val="18"/>
          <w:szCs w:val="18"/>
          <w:color w:val="auto"/>
        </w:rPr>
        <w:t>Under Section 162(m) of the Internal Revenue Code (“Section 162(m)”), compensation paid to any publicly held corporation’s “covered employees” that exceeds $1 million per taxable year for any covered employee is generally non-deductible, unless the compensation qualifies for certain grandfathered exceptions (including the “performance-based compensation” exception) for certain compensation paid pursuant to a written binding contract in effect on November 2, 2017 and not materially modified on or after such date.</w:t>
      </w:r>
    </w:p>
    <w:p>
      <w:pPr>
        <w:spacing w:after="0" w:line="72" w:lineRule="exact"/>
        <w:rPr>
          <w:sz w:val="20"/>
          <w:szCs w:val="20"/>
          <w:color w:val="auto"/>
        </w:rPr>
      </w:pPr>
    </w:p>
    <w:p>
      <w:pPr>
        <w:ind w:right="160" w:firstLine="416"/>
        <w:spacing w:after="0" w:line="256" w:lineRule="auto"/>
        <w:rPr>
          <w:sz w:val="20"/>
          <w:szCs w:val="20"/>
          <w:color w:val="auto"/>
        </w:rPr>
      </w:pPr>
      <w:r>
        <w:rPr>
          <w:rFonts w:ascii="Times New Roman" w:cs="Times New Roman" w:eastAsia="Times New Roman" w:hAnsi="Times New Roman"/>
          <w:sz w:val="18"/>
          <w:szCs w:val="18"/>
          <w:color w:val="auto"/>
        </w:rPr>
        <w:t>Although the Compensation Committee will continue to consider tax implications as one factor in determining executive compensation, the Compensation Committee also looks at other factors in making its decisions and retains the flexibility to provide compensation for the Company’s named executive officers in a manner consistent with the goals of the Company’s executive compensation program and the best interests of the Company and its stockholders, which may include providing for compensation that is not deductible by the Company due to the deduction limit under Section 162(m). The Compensation Committee also retains the flexibility to modify compensation that was initially intended to be exempt from the deduction limit under Section 162(m) if it determines that such modifications are consistent with the Company’s business needs.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shows for the three year period ended December 31, 2022 compensation awarded to, or earned by:</w:t>
      </w:r>
    </w:p>
    <w:p>
      <w:pPr>
        <w:spacing w:after="0" w:line="117" w:lineRule="exact"/>
        <w:rPr>
          <w:sz w:val="20"/>
          <w:szCs w:val="20"/>
          <w:color w:val="auto"/>
        </w:rPr>
      </w:pPr>
    </w:p>
    <w:p>
      <w:pPr>
        <w:ind w:left="760" w:hanging="378"/>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individuals who served as our principal executive officer or principal financial officer for any portion of 2022;</w:t>
      </w:r>
    </w:p>
    <w:p>
      <w:pPr>
        <w:spacing w:after="0" w:line="117"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three most highly compensated executive officers in 2022, other than the individuals listed above, who were serving as executive officers during 2022 and as of December 31, 2022; and</w:t>
      </w:r>
    </w:p>
    <w:p>
      <w:pPr>
        <w:spacing w:after="0" w:line="53" w:lineRule="exact"/>
        <w:rPr>
          <w:rFonts w:ascii="Times New Roman" w:cs="Times New Roman" w:eastAsia="Times New Roman" w:hAnsi="Times New Roman"/>
          <w:sz w:val="18"/>
          <w:szCs w:val="18"/>
          <w:color w:val="auto"/>
        </w:rPr>
      </w:pPr>
    </w:p>
    <w:p>
      <w:pPr>
        <w:ind w:left="760" w:right="80" w:hanging="378"/>
        <w:spacing w:after="0" w:line="266" w:lineRule="auto"/>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former executive officers for whom disclosure would have been among our three most highly compensated executive officers in 2022, other than our principal executive officer and principal financial officer, but for the fact that such individuals were not serving as an executive officer at the end of the last fiscal year.</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Restricted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Non-Equity</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1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Incentive Plan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All Other</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6"/>
        </w:trPr>
        <w:tc>
          <w:tcPr>
            <w:tcW w:w="1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Salary</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Awards</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Compensation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Compensation</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jc w:val="right"/>
              <w:ind w:right="35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r>
      <w:tr>
        <w:trPr>
          <w:trHeight w:val="191"/>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240" w:type="dxa"/>
            <w:vAlign w:val="bottom"/>
          </w:tcPr>
          <w:p>
            <w:pPr>
              <w:spacing w:after="0"/>
              <w:rPr>
                <w:sz w:val="16"/>
                <w:szCs w:val="16"/>
                <w:color w:val="auto"/>
              </w:rPr>
            </w:pPr>
          </w:p>
        </w:tc>
        <w:tc>
          <w:tcPr>
            <w:tcW w:w="820" w:type="dxa"/>
            <w:vAlign w:val="bottom"/>
          </w:tcPr>
          <w:p>
            <w:pPr>
              <w:ind w:left="280"/>
              <w:spacing w:after="0"/>
              <w:rPr>
                <w:sz w:val="20"/>
                <w:szCs w:val="20"/>
                <w:color w:val="auto"/>
              </w:rPr>
            </w:pPr>
            <w:r>
              <w:rPr>
                <w:rFonts w:ascii="Times New Roman" w:cs="Times New Roman" w:eastAsia="Times New Roman" w:hAnsi="Times New Roman"/>
                <w:sz w:val="13"/>
                <w:szCs w:val="13"/>
                <w:b w:val="1"/>
                <w:bCs w:val="1"/>
                <w:color w:val="auto"/>
              </w:rPr>
              <w:t>Year</w:t>
            </w:r>
          </w:p>
        </w:tc>
        <w:tc>
          <w:tcPr>
            <w:tcW w:w="1100" w:type="dxa"/>
            <w:vAlign w:val="bottom"/>
            <w:gridSpan w:val="2"/>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w:t>
            </w:r>
            <w:r>
              <w:rPr>
                <w:rFonts w:ascii="Times New Roman" w:cs="Times New Roman" w:eastAsia="Times New Roman" w:hAnsi="Times New Roman"/>
                <w:sz w:val="16"/>
                <w:szCs w:val="16"/>
                <w:b w:val="1"/>
                <w:bCs w:val="1"/>
                <w:color w:val="auto"/>
                <w:vertAlign w:val="superscript"/>
              </w:rPr>
              <w:t>(1)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86"/>
              </w:rPr>
              <w:t>($)</w:t>
            </w:r>
            <w:r>
              <w:rPr>
                <w:rFonts w:ascii="Times New Roman" w:cs="Times New Roman" w:eastAsia="Times New Roman" w:hAnsi="Times New Roman"/>
                <w:sz w:val="16"/>
                <w:szCs w:val="16"/>
                <w:b w:val="1"/>
                <w:bCs w:val="1"/>
                <w:color w:val="auto"/>
                <w:w w:val="86"/>
                <w:vertAlign w:val="superscript"/>
              </w:rPr>
              <w:t>(2)</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86"/>
              </w:rPr>
              <w:t>($)</w:t>
            </w:r>
            <w:r>
              <w:rPr>
                <w:rFonts w:ascii="Times New Roman" w:cs="Times New Roman" w:eastAsia="Times New Roman" w:hAnsi="Times New Roman"/>
                <w:sz w:val="16"/>
                <w:szCs w:val="16"/>
                <w:b w:val="1"/>
                <w:bCs w:val="1"/>
                <w:color w:val="auto"/>
                <w:w w:val="86"/>
                <w:vertAlign w:val="superscript"/>
              </w:rPr>
              <w:t>(3)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86"/>
              </w:rPr>
              <w:t>($)</w:t>
            </w:r>
            <w:r>
              <w:rPr>
                <w:rFonts w:ascii="Times New Roman" w:cs="Times New Roman" w:eastAsia="Times New Roman" w:hAnsi="Times New Roman"/>
                <w:sz w:val="16"/>
                <w:szCs w:val="16"/>
                <w:b w:val="1"/>
                <w:bCs w:val="1"/>
                <w:color w:val="auto"/>
                <w:w w:val="86"/>
                <w:vertAlign w:val="superscript"/>
              </w:rPr>
              <w:t>(4)</w:t>
            </w:r>
          </w:p>
        </w:tc>
        <w:tc>
          <w:tcPr>
            <w:tcW w:w="380" w:type="dxa"/>
            <w:vAlign w:val="bottom"/>
          </w:tcPr>
          <w:p>
            <w:pPr>
              <w:spacing w:after="0"/>
              <w:rPr>
                <w:sz w:val="16"/>
                <w:szCs w:val="16"/>
                <w:color w:val="auto"/>
              </w:rPr>
            </w:pPr>
          </w:p>
        </w:tc>
        <w:tc>
          <w:tcPr>
            <w:tcW w:w="1200" w:type="dxa"/>
            <w:vAlign w:val="bottom"/>
            <w:gridSpan w:val="2"/>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6"/>
                <w:szCs w:val="16"/>
                <w:color w:val="auto"/>
              </w:rPr>
            </w:pPr>
          </w:p>
        </w:tc>
      </w:tr>
      <w:tr>
        <w:trPr>
          <w:trHeight w:val="156"/>
        </w:trPr>
        <w:tc>
          <w:tcPr>
            <w:tcW w:w="3080" w:type="dxa"/>
            <w:vAlign w:val="bottom"/>
            <w:tcBorders>
              <w:top w:val="single" w:sz="8" w:color="auto"/>
            </w:tcBorders>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Michael E. Castagna</w:t>
            </w:r>
          </w:p>
        </w:tc>
        <w:tc>
          <w:tcPr>
            <w:tcW w:w="240" w:type="dxa"/>
            <w:vAlign w:val="bottom"/>
            <w:shd w:val="clear" w:color="auto" w:fill="CFF0FC"/>
          </w:tcPr>
          <w:p>
            <w:pPr>
              <w:spacing w:after="0"/>
              <w:rPr>
                <w:sz w:val="13"/>
                <w:szCs w:val="13"/>
                <w:color w:val="auto"/>
              </w:rPr>
            </w:pPr>
          </w:p>
        </w:tc>
        <w:tc>
          <w:tcPr>
            <w:tcW w:w="820" w:type="dxa"/>
            <w:vAlign w:val="bottom"/>
            <w:tcBorders>
              <w:top w:val="single" w:sz="8" w:color="auto"/>
            </w:tcBorders>
            <w:shd w:val="clear" w:color="auto" w:fill="CFF0FC"/>
          </w:tcPr>
          <w:p>
            <w:pPr>
              <w:ind w:left="280"/>
              <w:spacing w:after="0"/>
              <w:rPr>
                <w:sz w:val="20"/>
                <w:szCs w:val="20"/>
                <w:color w:val="auto"/>
              </w:rPr>
            </w:pPr>
            <w:r>
              <w:rPr>
                <w:rFonts w:ascii="Times New Roman" w:cs="Times New Roman" w:eastAsia="Times New Roman" w:hAnsi="Times New Roman"/>
                <w:sz w:val="13"/>
                <w:szCs w:val="13"/>
                <w:color w:val="auto"/>
              </w:rPr>
              <w:t>2022</w:t>
            </w:r>
          </w:p>
        </w:tc>
        <w:tc>
          <w:tcPr>
            <w:tcW w:w="240" w:type="dxa"/>
            <w:vAlign w:val="bottom"/>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623,358</w:t>
            </w:r>
          </w:p>
        </w:tc>
        <w:tc>
          <w:tcPr>
            <w:tcW w:w="2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2,646,400</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571,619</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63,681</w:t>
            </w:r>
          </w:p>
        </w:tc>
        <w:tc>
          <w:tcPr>
            <w:tcW w:w="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(8)</w:t>
            </w:r>
          </w:p>
        </w:tc>
        <w:tc>
          <w:tcPr>
            <w:tcW w:w="120" w:type="dxa"/>
            <w:vAlign w:val="bottom"/>
            <w:shd w:val="clear" w:color="auto" w:fill="CFF0FC"/>
          </w:tcPr>
          <w:p>
            <w:pPr>
              <w:spacing w:after="0"/>
              <w:rPr>
                <w:sz w:val="13"/>
                <w:szCs w:val="13"/>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3,905,058</w:t>
            </w:r>
          </w:p>
        </w:tc>
        <w:tc>
          <w:tcPr>
            <w:tcW w:w="100" w:type="dxa"/>
            <w:vAlign w:val="bottom"/>
            <w:shd w:val="clear" w:color="auto" w:fill="CFF0FC"/>
          </w:tcPr>
          <w:p>
            <w:pPr>
              <w:spacing w:after="0"/>
              <w:rPr>
                <w:sz w:val="13"/>
                <w:szCs w:val="13"/>
                <w:color w:val="auto"/>
              </w:rPr>
            </w:pPr>
          </w:p>
        </w:tc>
      </w:tr>
      <w:tr>
        <w:trPr>
          <w:trHeight w:val="162"/>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Chief Executive Officer</w:t>
            </w: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2021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598,462</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2,911,592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481,762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39,017</w:t>
            </w:r>
          </w:p>
        </w:tc>
        <w:tc>
          <w:tcPr>
            <w:tcW w:w="3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4,030,833</w:t>
            </w:r>
          </w:p>
        </w:tc>
        <w:tc>
          <w:tcPr>
            <w:tcW w:w="100" w:type="dxa"/>
            <w:vAlign w:val="bottom"/>
          </w:tcPr>
          <w:p>
            <w:pPr>
              <w:spacing w:after="0"/>
              <w:rPr>
                <w:sz w:val="14"/>
                <w:szCs w:val="14"/>
                <w:color w:val="auto"/>
              </w:rPr>
            </w:pPr>
          </w:p>
        </w:tc>
      </w:tr>
      <w:tr>
        <w:trPr>
          <w:trHeight w:val="162"/>
        </w:trPr>
        <w:tc>
          <w:tcPr>
            <w:tcW w:w="184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2020</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495,192</w:t>
            </w:r>
          </w:p>
        </w:tc>
        <w:tc>
          <w:tcPr>
            <w:tcW w:w="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2,580,300</w:t>
            </w:r>
          </w:p>
        </w:tc>
        <w:tc>
          <w:tcPr>
            <w:tcW w:w="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450,625</w:t>
            </w:r>
          </w:p>
        </w:tc>
        <w:tc>
          <w:tcPr>
            <w:tcW w:w="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37,178</w:t>
            </w:r>
          </w:p>
        </w:tc>
        <w:tc>
          <w:tcPr>
            <w:tcW w:w="3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3,563,295</w:t>
            </w:r>
          </w:p>
        </w:tc>
        <w:tc>
          <w:tcPr>
            <w:tcW w:w="100" w:type="dxa"/>
            <w:vAlign w:val="bottom"/>
            <w:shd w:val="clear" w:color="auto" w:fill="CFF0FC"/>
          </w:tcPr>
          <w:p>
            <w:pPr>
              <w:spacing w:after="0"/>
              <w:rPr>
                <w:sz w:val="14"/>
                <w:szCs w:val="14"/>
                <w:color w:val="auto"/>
              </w:rPr>
            </w:pPr>
          </w:p>
        </w:tc>
      </w:tr>
      <w:tr>
        <w:trPr>
          <w:trHeight w:val="162"/>
        </w:trPr>
        <w:tc>
          <w:tcPr>
            <w:tcW w:w="1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spacing w:after="0"/>
              <w:rPr>
                <w:sz w:val="14"/>
                <w:szCs w:val="14"/>
                <w:color w:val="auto"/>
              </w:rPr>
            </w:pPr>
          </w:p>
        </w:tc>
        <w:tc>
          <w:tcPr>
            <w:tcW w:w="2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0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Steven B. Binder</w:t>
            </w:r>
          </w:p>
        </w:tc>
        <w:tc>
          <w:tcPr>
            <w:tcW w:w="106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2022</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464,877</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936,500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304,494</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30,833</w:t>
            </w:r>
          </w:p>
        </w:tc>
        <w:tc>
          <w:tcPr>
            <w:tcW w:w="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(9)</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1,736,704</w:t>
            </w:r>
          </w:p>
        </w:tc>
        <w:tc>
          <w:tcPr>
            <w:tcW w:w="100" w:type="dxa"/>
            <w:vAlign w:val="bottom"/>
            <w:shd w:val="clear" w:color="auto" w:fill="CFF0FC"/>
          </w:tcPr>
          <w:p>
            <w:pPr>
              <w:spacing w:after="0"/>
              <w:rPr>
                <w:sz w:val="14"/>
                <w:szCs w:val="14"/>
                <w:color w:val="auto"/>
              </w:rPr>
            </w:pPr>
          </w:p>
        </w:tc>
      </w:tr>
      <w:tr>
        <w:trPr>
          <w:trHeight w:val="162"/>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Chief Financial Officer</w:t>
            </w: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2021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447,385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1,028,955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291,814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32,851</w:t>
            </w:r>
          </w:p>
        </w:tc>
        <w:tc>
          <w:tcPr>
            <w:tcW w:w="3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1,801,004</w:t>
            </w:r>
          </w:p>
        </w:tc>
        <w:tc>
          <w:tcPr>
            <w:tcW w:w="100" w:type="dxa"/>
            <w:vAlign w:val="bottom"/>
          </w:tcPr>
          <w:p>
            <w:pPr>
              <w:spacing w:after="0"/>
              <w:rPr>
                <w:sz w:val="14"/>
                <w:szCs w:val="14"/>
                <w:color w:val="auto"/>
              </w:rPr>
            </w:pPr>
          </w:p>
        </w:tc>
      </w:tr>
      <w:tr>
        <w:trPr>
          <w:trHeight w:val="162"/>
        </w:trPr>
        <w:tc>
          <w:tcPr>
            <w:tcW w:w="184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2020</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396,154</w:t>
            </w:r>
          </w:p>
        </w:tc>
        <w:tc>
          <w:tcPr>
            <w:tcW w:w="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1,032,800</w:t>
            </w:r>
          </w:p>
        </w:tc>
        <w:tc>
          <w:tcPr>
            <w:tcW w:w="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257,500</w:t>
            </w:r>
          </w:p>
        </w:tc>
        <w:tc>
          <w:tcPr>
            <w:tcW w:w="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21,057</w:t>
            </w:r>
          </w:p>
        </w:tc>
        <w:tc>
          <w:tcPr>
            <w:tcW w:w="3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1,707,511</w:t>
            </w:r>
          </w:p>
        </w:tc>
        <w:tc>
          <w:tcPr>
            <w:tcW w:w="100" w:type="dxa"/>
            <w:vAlign w:val="bottom"/>
            <w:shd w:val="clear" w:color="auto" w:fill="CFF0FC"/>
          </w:tcPr>
          <w:p>
            <w:pPr>
              <w:spacing w:after="0"/>
              <w:rPr>
                <w:sz w:val="14"/>
                <w:szCs w:val="14"/>
                <w:color w:val="auto"/>
              </w:rPr>
            </w:pPr>
          </w:p>
        </w:tc>
      </w:tr>
      <w:tr>
        <w:trPr>
          <w:trHeight w:val="162"/>
        </w:trPr>
        <w:tc>
          <w:tcPr>
            <w:tcW w:w="1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spacing w:after="0"/>
              <w:rPr>
                <w:sz w:val="14"/>
                <w:szCs w:val="14"/>
                <w:color w:val="auto"/>
              </w:rPr>
            </w:pPr>
          </w:p>
        </w:tc>
        <w:tc>
          <w:tcPr>
            <w:tcW w:w="2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0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Alejandro Galindo(5)</w:t>
            </w:r>
          </w:p>
        </w:tc>
        <w:tc>
          <w:tcPr>
            <w:tcW w:w="106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2022</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415,658</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936,500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24,090</w:t>
            </w:r>
          </w:p>
        </w:tc>
        <w:tc>
          <w:tcPr>
            <w:tcW w:w="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(10)</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1,376,248</w:t>
            </w:r>
          </w:p>
        </w:tc>
        <w:tc>
          <w:tcPr>
            <w:tcW w:w="100" w:type="dxa"/>
            <w:vAlign w:val="bottom"/>
            <w:shd w:val="clear" w:color="auto" w:fill="CFF0FC"/>
          </w:tcPr>
          <w:p>
            <w:pPr>
              <w:spacing w:after="0"/>
              <w:rPr>
                <w:sz w:val="14"/>
                <w:szCs w:val="14"/>
                <w:color w:val="auto"/>
              </w:rPr>
            </w:pPr>
          </w:p>
        </w:tc>
      </w:tr>
      <w:tr>
        <w:trPr>
          <w:trHeight w:val="162"/>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Former EVP, Endocrine Business Unit</w:t>
            </w: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00" w:type="dxa"/>
            <w:vAlign w:val="bottom"/>
            <w:gridSpan w:val="2"/>
          </w:tcPr>
          <w:p>
            <w:pPr>
              <w:jc w:val="right"/>
              <w:ind w:right="83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1057"/>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4"/>
                <w:szCs w:val="14"/>
                <w:color w:val="auto"/>
              </w:rPr>
            </w:pPr>
          </w:p>
        </w:tc>
      </w:tr>
      <w:tr>
        <w:trPr>
          <w:trHeight w:val="162"/>
        </w:trPr>
        <w:tc>
          <w:tcPr>
            <w:tcW w:w="184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spacing w:after="0"/>
              <w:rPr>
                <w:sz w:val="14"/>
                <w:szCs w:val="14"/>
                <w:color w:val="auto"/>
              </w:rPr>
            </w:pPr>
          </w:p>
        </w:tc>
        <w:tc>
          <w:tcPr>
            <w:tcW w:w="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Joseph Kocinsky(6)</w:t>
            </w: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2022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416,250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936,500</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187,312</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31,478</w:t>
            </w:r>
          </w:p>
        </w:tc>
        <w:tc>
          <w:tcPr>
            <w:tcW w:w="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(11)</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1,571,540</w:t>
            </w:r>
          </w:p>
        </w:tc>
        <w:tc>
          <w:tcPr>
            <w:tcW w:w="100" w:type="dxa"/>
            <w:vAlign w:val="bottom"/>
          </w:tcPr>
          <w:p>
            <w:pPr>
              <w:spacing w:after="0"/>
              <w:rPr>
                <w:sz w:val="14"/>
                <w:szCs w:val="14"/>
                <w:color w:val="auto"/>
              </w:rPr>
            </w:pPr>
          </w:p>
        </w:tc>
      </w:tr>
      <w:tr>
        <w:trPr>
          <w:trHeight w:val="162"/>
        </w:trPr>
        <w:tc>
          <w:tcPr>
            <w:tcW w:w="30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i w:val="1"/>
                <w:iCs w:val="1"/>
                <w:color w:val="auto"/>
              </w:rPr>
              <w:t>Former Chief Technology Officer</w:t>
            </w:r>
          </w:p>
        </w:tc>
        <w:tc>
          <w:tcPr>
            <w:tcW w:w="106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2021</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401,551</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1,028,193</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180,698</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26,506</w:t>
            </w:r>
          </w:p>
        </w:tc>
        <w:tc>
          <w:tcPr>
            <w:tcW w:w="3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1,636,948</w:t>
            </w:r>
          </w:p>
        </w:tc>
        <w:tc>
          <w:tcPr>
            <w:tcW w:w="100" w:type="dxa"/>
            <w:vAlign w:val="bottom"/>
            <w:shd w:val="clear" w:color="auto" w:fill="CFF0FC"/>
          </w:tcPr>
          <w:p>
            <w:pPr>
              <w:spacing w:after="0"/>
              <w:rPr>
                <w:sz w:val="14"/>
                <w:szCs w:val="14"/>
                <w:color w:val="auto"/>
              </w:rPr>
            </w:pPr>
          </w:p>
        </w:tc>
      </w:tr>
      <w:tr>
        <w:trPr>
          <w:trHeight w:val="162"/>
        </w:trPr>
        <w:tc>
          <w:tcPr>
            <w:tcW w:w="1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2020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378,822</w:t>
            </w:r>
          </w:p>
        </w:tc>
        <w:tc>
          <w:tcPr>
            <w:tcW w:w="24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1,032,800</w:t>
            </w:r>
          </w:p>
        </w:tc>
        <w:tc>
          <w:tcPr>
            <w:tcW w:w="22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246,234</w:t>
            </w:r>
          </w:p>
        </w:tc>
        <w:tc>
          <w:tcPr>
            <w:tcW w:w="2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17,869</w:t>
            </w:r>
          </w:p>
        </w:tc>
        <w:tc>
          <w:tcPr>
            <w:tcW w:w="3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1,675,725</w:t>
            </w:r>
          </w:p>
        </w:tc>
        <w:tc>
          <w:tcPr>
            <w:tcW w:w="100" w:type="dxa"/>
            <w:vAlign w:val="bottom"/>
          </w:tcPr>
          <w:p>
            <w:pPr>
              <w:spacing w:after="0"/>
              <w:rPr>
                <w:sz w:val="14"/>
                <w:szCs w:val="14"/>
                <w:color w:val="auto"/>
              </w:rPr>
            </w:pPr>
          </w:p>
        </w:tc>
      </w:tr>
      <w:tr>
        <w:trPr>
          <w:trHeight w:val="162"/>
        </w:trPr>
        <w:tc>
          <w:tcPr>
            <w:tcW w:w="184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spacing w:after="0"/>
              <w:rPr>
                <w:sz w:val="14"/>
                <w:szCs w:val="14"/>
                <w:color w:val="auto"/>
              </w:rPr>
            </w:pPr>
          </w:p>
        </w:tc>
        <w:tc>
          <w:tcPr>
            <w:tcW w:w="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Sanjay Singh(7)</w:t>
            </w: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2022</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53,846</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758,195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26,923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14,530</w:t>
            </w:r>
          </w:p>
        </w:tc>
        <w:tc>
          <w:tcPr>
            <w:tcW w:w="3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(12)</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853,494</w:t>
            </w:r>
          </w:p>
        </w:tc>
        <w:tc>
          <w:tcPr>
            <w:tcW w:w="100" w:type="dxa"/>
            <w:vAlign w:val="bottom"/>
          </w:tcPr>
          <w:p>
            <w:pPr>
              <w:spacing w:after="0"/>
              <w:rPr>
                <w:sz w:val="14"/>
                <w:szCs w:val="14"/>
                <w:color w:val="auto"/>
              </w:rPr>
            </w:pPr>
          </w:p>
        </w:tc>
      </w:tr>
      <w:tr>
        <w:trPr>
          <w:trHeight w:val="162"/>
        </w:trPr>
        <w:tc>
          <w:tcPr>
            <w:tcW w:w="30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i w:val="1"/>
                <w:iCs w:val="1"/>
                <w:color w:val="auto"/>
              </w:rPr>
              <w:t>EVP, Technical Operations</w:t>
            </w:r>
          </w:p>
        </w:tc>
        <w:tc>
          <w:tcPr>
            <w:tcW w:w="24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1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gridSpan w:val="2"/>
          </w:tcPr>
          <w:p>
            <w:pPr>
              <w:spacing w:after="0"/>
              <w:rPr>
                <w:sz w:val="14"/>
                <w:szCs w:val="14"/>
                <w:color w:val="auto"/>
              </w:rPr>
            </w:pPr>
          </w:p>
        </w:tc>
        <w:tc>
          <w:tcPr>
            <w:tcW w:w="110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0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David B. Thomson</w:t>
            </w:r>
          </w:p>
        </w:tc>
        <w:tc>
          <w:tcPr>
            <w:tcW w:w="106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2022</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471,484</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936,500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308,822</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18,229</w:t>
            </w:r>
          </w:p>
        </w:tc>
        <w:tc>
          <w:tcPr>
            <w:tcW w:w="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(13)</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1,735,034</w:t>
            </w:r>
          </w:p>
        </w:tc>
        <w:tc>
          <w:tcPr>
            <w:tcW w:w="100" w:type="dxa"/>
            <w:vAlign w:val="bottom"/>
            <w:shd w:val="clear" w:color="auto" w:fill="CFF0FC"/>
          </w:tcPr>
          <w:p>
            <w:pPr>
              <w:spacing w:after="0"/>
              <w:rPr>
                <w:sz w:val="14"/>
                <w:szCs w:val="14"/>
                <w:color w:val="auto"/>
              </w:rPr>
            </w:pPr>
          </w:p>
        </w:tc>
      </w:tr>
      <w:tr>
        <w:trPr>
          <w:trHeight w:val="162"/>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EVP, General Counsel and Secretary</w:t>
            </w: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2021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454,835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1,030,395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296,098</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21,967</w:t>
            </w:r>
          </w:p>
        </w:tc>
        <w:tc>
          <w:tcPr>
            <w:tcW w:w="3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1,803,295</w:t>
            </w:r>
          </w:p>
        </w:tc>
        <w:tc>
          <w:tcPr>
            <w:tcW w:w="100" w:type="dxa"/>
            <w:vAlign w:val="bottom"/>
          </w:tcPr>
          <w:p>
            <w:pPr>
              <w:spacing w:after="0"/>
              <w:rPr>
                <w:sz w:val="14"/>
                <w:szCs w:val="14"/>
                <w:color w:val="auto"/>
              </w:rPr>
            </w:pPr>
          </w:p>
        </w:tc>
      </w:tr>
      <w:tr>
        <w:trPr>
          <w:trHeight w:val="162"/>
        </w:trPr>
        <w:tc>
          <w:tcPr>
            <w:tcW w:w="184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2020</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429,089</w:t>
            </w:r>
          </w:p>
        </w:tc>
        <w:tc>
          <w:tcPr>
            <w:tcW w:w="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1,032,800</w:t>
            </w:r>
          </w:p>
        </w:tc>
        <w:tc>
          <w:tcPr>
            <w:tcW w:w="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278,908</w:t>
            </w:r>
          </w:p>
        </w:tc>
        <w:tc>
          <w:tcPr>
            <w:tcW w:w="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20,744</w:t>
            </w:r>
          </w:p>
        </w:tc>
        <w:tc>
          <w:tcPr>
            <w:tcW w:w="3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1,761,541</w:t>
            </w:r>
          </w:p>
        </w:tc>
        <w:tc>
          <w:tcPr>
            <w:tcW w:w="100" w:type="dxa"/>
            <w:vAlign w:val="bottom"/>
            <w:shd w:val="clear" w:color="auto" w:fill="CFF0FC"/>
          </w:tcPr>
          <w:p>
            <w:pPr>
              <w:spacing w:after="0"/>
              <w:rPr>
                <w:sz w:val="14"/>
                <w:szCs w:val="14"/>
                <w:color w:val="auto"/>
              </w:rPr>
            </w:pPr>
          </w:p>
        </w:tc>
      </w:tr>
      <w:tr>
        <w:trPr>
          <w:trHeight w:val="162"/>
        </w:trPr>
        <w:tc>
          <w:tcPr>
            <w:tcW w:w="18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60" w:type="dxa"/>
            <w:vAlign w:val="bottom"/>
            <w:gridSpan w:val="2"/>
          </w:tcPr>
          <w:p>
            <w:pPr>
              <w:spacing w:after="0"/>
              <w:rPr>
                <w:sz w:val="14"/>
                <w:szCs w:val="14"/>
                <w:color w:val="auto"/>
              </w:rPr>
            </w:pPr>
          </w:p>
        </w:tc>
        <w:tc>
          <w:tcPr>
            <w:tcW w:w="1100" w:type="dxa"/>
            <w:vAlign w:val="bottom"/>
            <w:gridSpan w:val="2"/>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gridSpan w:val="2"/>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0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Stuart Tross</w:t>
            </w:r>
          </w:p>
        </w:tc>
        <w:tc>
          <w:tcPr>
            <w:tcW w:w="106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2022</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397,206</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936,500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260,170</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21,028</w:t>
            </w:r>
          </w:p>
        </w:tc>
        <w:tc>
          <w:tcPr>
            <w:tcW w:w="3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(14)</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1,614,904</w:t>
            </w:r>
          </w:p>
        </w:tc>
        <w:tc>
          <w:tcPr>
            <w:tcW w:w="100" w:type="dxa"/>
            <w:vAlign w:val="bottom"/>
            <w:shd w:val="clear" w:color="auto" w:fill="CFF0FC"/>
          </w:tcPr>
          <w:p>
            <w:pPr>
              <w:spacing w:after="0"/>
              <w:rPr>
                <w:sz w:val="14"/>
                <w:szCs w:val="14"/>
                <w:color w:val="auto"/>
              </w:rPr>
            </w:pPr>
          </w:p>
        </w:tc>
      </w:tr>
      <w:tr>
        <w:trPr>
          <w:trHeight w:val="162"/>
        </w:trPr>
        <w:tc>
          <w:tcPr>
            <w:tcW w:w="3080" w:type="dxa"/>
            <w:vAlign w:val="bottom"/>
            <w:gridSpan w:val="2"/>
          </w:tcPr>
          <w:p>
            <w:pPr>
              <w:ind w:left="20"/>
              <w:spacing w:after="0"/>
              <w:rPr>
                <w:sz w:val="20"/>
                <w:szCs w:val="20"/>
                <w:color w:val="auto"/>
              </w:rPr>
            </w:pPr>
            <w:r>
              <w:rPr>
                <w:rFonts w:ascii="Times New Roman" w:cs="Times New Roman" w:eastAsia="Times New Roman" w:hAnsi="Times New Roman"/>
                <w:sz w:val="13"/>
                <w:szCs w:val="13"/>
                <w:i w:val="1"/>
                <w:iCs w:val="1"/>
                <w:color w:val="auto"/>
              </w:rPr>
              <w:t>EVP, Chief People and Workplace Officer</w:t>
            </w: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3"/>
                <w:szCs w:val="13"/>
                <w:color w:val="auto"/>
              </w:rPr>
              <w:t>2021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383,180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1,027,434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254,896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14,777</w:t>
            </w:r>
          </w:p>
        </w:tc>
        <w:tc>
          <w:tcPr>
            <w:tcW w:w="38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1,680,287</w:t>
            </w:r>
          </w:p>
        </w:tc>
        <w:tc>
          <w:tcPr>
            <w:tcW w:w="100" w:type="dxa"/>
            <w:vAlign w:val="bottom"/>
          </w:tcPr>
          <w:p>
            <w:pPr>
              <w:spacing w:after="0"/>
              <w:rPr>
                <w:sz w:val="14"/>
                <w:szCs w:val="14"/>
                <w:color w:val="auto"/>
              </w:rPr>
            </w:pPr>
          </w:p>
        </w:tc>
      </w:tr>
      <w:tr>
        <w:trPr>
          <w:trHeight w:val="162"/>
        </w:trPr>
        <w:tc>
          <w:tcPr>
            <w:tcW w:w="1840" w:type="dxa"/>
            <w:vAlign w:val="bottom"/>
            <w:shd w:val="clear" w:color="auto" w:fill="CFF0FC"/>
          </w:tcPr>
          <w:p>
            <w:pPr>
              <w:spacing w:after="0"/>
              <w:rPr>
                <w:sz w:val="14"/>
                <w:szCs w:val="14"/>
                <w:color w:val="auto"/>
              </w:rPr>
            </w:pPr>
          </w:p>
        </w:tc>
        <w:tc>
          <w:tcPr>
            <w:tcW w:w="1240" w:type="dxa"/>
            <w:vAlign w:val="bottom"/>
            <w:shd w:val="clear" w:color="auto" w:fill="CFF0FC"/>
          </w:tcPr>
          <w:p>
            <w:pPr>
              <w:spacing w:after="0"/>
              <w:rPr>
                <w:sz w:val="14"/>
                <w:szCs w:val="14"/>
                <w:color w:val="auto"/>
              </w:rPr>
            </w:pPr>
          </w:p>
        </w:tc>
        <w:tc>
          <w:tcPr>
            <w:tcW w:w="1060" w:type="dxa"/>
            <w:vAlign w:val="bottom"/>
            <w:gridSpan w:val="2"/>
            <w:shd w:val="clear" w:color="auto" w:fill="CFF0FC"/>
          </w:tcPr>
          <w:p>
            <w:pPr>
              <w:ind w:left="520"/>
              <w:spacing w:after="0"/>
              <w:rPr>
                <w:sz w:val="20"/>
                <w:szCs w:val="20"/>
                <w:color w:val="auto"/>
              </w:rPr>
            </w:pPr>
            <w:r>
              <w:rPr>
                <w:rFonts w:ascii="Times New Roman" w:cs="Times New Roman" w:eastAsia="Times New Roman" w:hAnsi="Times New Roman"/>
                <w:sz w:val="13"/>
                <w:szCs w:val="13"/>
                <w:color w:val="auto"/>
              </w:rPr>
              <w:t>2020</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361,490</w:t>
            </w:r>
          </w:p>
        </w:tc>
        <w:tc>
          <w:tcPr>
            <w:tcW w:w="2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1,032,800</w:t>
            </w:r>
          </w:p>
        </w:tc>
        <w:tc>
          <w:tcPr>
            <w:tcW w:w="22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234,969</w:t>
            </w:r>
          </w:p>
        </w:tc>
        <w:tc>
          <w:tcPr>
            <w:tcW w:w="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41,916</w:t>
            </w:r>
          </w:p>
        </w:tc>
        <w:tc>
          <w:tcPr>
            <w:tcW w:w="380" w:type="dxa"/>
            <w:vAlign w:val="bottom"/>
            <w:shd w:val="clear" w:color="auto" w:fill="CFF0FC"/>
          </w:tcPr>
          <w:p>
            <w:pPr>
              <w:spacing w:after="0"/>
              <w:rPr>
                <w:sz w:val="14"/>
                <w:szCs w:val="14"/>
                <w:color w:val="auto"/>
              </w:rPr>
            </w:pP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1,671,175</w:t>
            </w:r>
          </w:p>
        </w:tc>
        <w:tc>
          <w:tcPr>
            <w:tcW w:w="100" w:type="dxa"/>
            <w:vAlign w:val="bottom"/>
            <w:shd w:val="clear" w:color="auto" w:fill="CFF0FC"/>
          </w:tcPr>
          <w:p>
            <w:pPr>
              <w:spacing w:after="0"/>
              <w:rPr>
                <w:sz w:val="14"/>
                <w:szCs w:val="14"/>
                <w:color w:val="auto"/>
              </w:rPr>
            </w:pPr>
          </w:p>
        </w:tc>
      </w:tr>
      <w:tr>
        <w:trPr>
          <w:trHeight w:val="135"/>
        </w:trPr>
        <w:tc>
          <w:tcPr>
            <w:tcW w:w="1840" w:type="dxa"/>
            <w:vAlign w:val="bottom"/>
            <w:tcBorders>
              <w:bottom w:val="single" w:sz="8" w:color="auto"/>
            </w:tcBorders>
          </w:tcPr>
          <w:p>
            <w:pPr>
              <w:spacing w:after="0"/>
              <w:rPr>
                <w:sz w:val="11"/>
                <w:szCs w:val="11"/>
                <w:color w:val="auto"/>
              </w:rPr>
            </w:pPr>
          </w:p>
        </w:tc>
        <w:tc>
          <w:tcPr>
            <w:tcW w:w="1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r>
    </w:tbl>
    <w:p>
      <w:pPr>
        <w:spacing w:after="0" w:line="153" w:lineRule="exact"/>
        <w:rPr>
          <w:sz w:val="20"/>
          <w:szCs w:val="20"/>
          <w:color w:val="auto"/>
        </w:rPr>
      </w:pPr>
    </w:p>
    <w:p>
      <w:pPr>
        <w:ind w:left="700" w:hanging="679"/>
        <w:spacing w:after="0"/>
        <w:tabs>
          <w:tab w:leader="none" w:pos="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amounts earned but deferred at the election of the named executive officer, such as salary deferrals under our 401(k) Plan established under Section 401(k) of the Code.</w:t>
      </w:r>
    </w:p>
    <w:p>
      <w:pPr>
        <w:spacing w:after="0" w:line="27" w:lineRule="exact"/>
        <w:rPr>
          <w:rFonts w:ascii="Times New Roman" w:cs="Times New Roman" w:eastAsia="Times New Roman" w:hAnsi="Times New Roman"/>
          <w:sz w:val="14"/>
          <w:szCs w:val="14"/>
          <w:color w:val="auto"/>
        </w:rPr>
      </w:pPr>
    </w:p>
    <w:p>
      <w:pPr>
        <w:ind w:left="700" w:right="20" w:hanging="679"/>
        <w:spacing w:after="0" w:line="231" w:lineRule="auto"/>
        <w:tabs>
          <w:tab w:leader="none" w:pos="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Performance-based restricted stock awards are valued based on a Monte-Carlo simulation model. Time-based restricted stock awards and non-qualified stock options are valued based on the market price of the stock on the grant date. Reference Note 15 “Stock award plans” in the notes to our financial statements for the period ended December 31, 2022, included in Part IV, Item 15 of our Annual Report on Form 10-K for the fiscal year ended December 31, 2022 filed with the SEC on February 23, 2023, which identifies the assumptions made in the valuation of equity awards.</w:t>
      </w:r>
    </w:p>
    <w:p>
      <w:pPr>
        <w:spacing w:after="0" w:line="1" w:lineRule="exact"/>
        <w:rPr>
          <w:rFonts w:ascii="Times New Roman" w:cs="Times New Roman" w:eastAsia="Times New Roman" w:hAnsi="Times New Roman"/>
          <w:sz w:val="14"/>
          <w:szCs w:val="14"/>
          <w:color w:val="auto"/>
        </w:rPr>
      </w:pPr>
    </w:p>
    <w:p>
      <w:pPr>
        <w:ind w:left="700" w:hanging="679"/>
        <w:spacing w:after="0"/>
        <w:tabs>
          <w:tab w:leader="none" w:pos="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Non-equity incentive plan compensation is based on individual performance in the achievement of corporate objectives. Performance is compared to these objectives annually.</w:t>
      </w:r>
    </w:p>
    <w:p>
      <w:pPr>
        <w:spacing w:after="0" w:line="14" w:lineRule="exact"/>
        <w:rPr>
          <w:rFonts w:ascii="Times New Roman" w:cs="Times New Roman" w:eastAsia="Times New Roman" w:hAnsi="Times New Roman"/>
          <w:sz w:val="14"/>
          <w:szCs w:val="14"/>
          <w:color w:val="auto"/>
        </w:rPr>
      </w:pPr>
    </w:p>
    <w:p>
      <w:pPr>
        <w:ind w:left="700" w:right="20" w:hanging="679"/>
        <w:spacing w:after="0" w:line="234" w:lineRule="auto"/>
        <w:tabs>
          <w:tab w:leader="none" w:pos="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include employer contributions credited under our 401(k) Plan and the incremental cost of perquisites received by the named executive officers. Under the 401(k) Plan, which is open to substantially all of our employees, we make matching contributions based on each participant’s voluntary salary deferrals, subject to the provisions of the 401(k) Plan and limits of the Code.</w:t>
      </w:r>
    </w:p>
    <w:p>
      <w:pPr>
        <w:spacing w:after="0" w:line="1" w:lineRule="exact"/>
        <w:rPr>
          <w:rFonts w:ascii="Times New Roman" w:cs="Times New Roman" w:eastAsia="Times New Roman" w:hAnsi="Times New Roman"/>
          <w:sz w:val="14"/>
          <w:szCs w:val="14"/>
          <w:color w:val="auto"/>
        </w:rPr>
      </w:pPr>
    </w:p>
    <w:p>
      <w:pPr>
        <w:ind w:left="700" w:hanging="679"/>
        <w:spacing w:after="0"/>
        <w:tabs>
          <w:tab w:leader="none" w:pos="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Galindo resigned from his position as Executive Vice President – Endocrine Business Unit effective October 21, 2022.</w:t>
      </w:r>
    </w:p>
    <w:p>
      <w:pPr>
        <w:spacing w:after="0" w:line="14" w:lineRule="exact"/>
        <w:rPr>
          <w:rFonts w:ascii="Times New Roman" w:cs="Times New Roman" w:eastAsia="Times New Roman" w:hAnsi="Times New Roman"/>
          <w:sz w:val="14"/>
          <w:szCs w:val="14"/>
          <w:color w:val="auto"/>
        </w:rPr>
      </w:pPr>
    </w:p>
    <w:p>
      <w:pPr>
        <w:ind w:left="700" w:hanging="679"/>
        <w:spacing w:after="0"/>
        <w:tabs>
          <w:tab w:leader="none" w:pos="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Kocinsky resigned from his position as Chief Technology Officer effective October 31, 2022. Mr. Kocinsky remains employed at MannKind with reduced responsibilities.</w:t>
      </w:r>
    </w:p>
    <w:p>
      <w:pPr>
        <w:spacing w:after="0" w:line="14" w:lineRule="exact"/>
        <w:rPr>
          <w:rFonts w:ascii="Times New Roman" w:cs="Times New Roman" w:eastAsia="Times New Roman" w:hAnsi="Times New Roman"/>
          <w:sz w:val="14"/>
          <w:szCs w:val="14"/>
          <w:color w:val="auto"/>
        </w:rPr>
      </w:pPr>
    </w:p>
    <w:p>
      <w:pPr>
        <w:ind w:left="700" w:hanging="679"/>
        <w:spacing w:after="0"/>
        <w:tabs>
          <w:tab w:leader="none" w:pos="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November 1, 2022, Mr. Singh was appointed as Executive Vice President, Technical Operations.</w:t>
      </w:r>
    </w:p>
    <w:p>
      <w:pPr>
        <w:spacing w:after="0" w:line="14" w:lineRule="exact"/>
        <w:rPr>
          <w:rFonts w:ascii="Times New Roman" w:cs="Times New Roman" w:eastAsia="Times New Roman" w:hAnsi="Times New Roman"/>
          <w:sz w:val="14"/>
          <w:szCs w:val="14"/>
          <w:color w:val="auto"/>
        </w:rPr>
      </w:pPr>
    </w:p>
    <w:p>
      <w:pPr>
        <w:ind w:left="700" w:hanging="679"/>
        <w:spacing w:after="0"/>
        <w:tabs>
          <w:tab w:leader="none" w:pos="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$8,782 in contributions under the 401(k) Plan, $54,349 in medical benefits, and $550 in airline club reimbursement.</w:t>
      </w:r>
    </w:p>
    <w:p>
      <w:pPr>
        <w:spacing w:after="0" w:line="14" w:lineRule="exact"/>
        <w:rPr>
          <w:rFonts w:ascii="Times New Roman" w:cs="Times New Roman" w:eastAsia="Times New Roman" w:hAnsi="Times New Roman"/>
          <w:sz w:val="14"/>
          <w:szCs w:val="14"/>
          <w:color w:val="auto"/>
        </w:rPr>
      </w:pPr>
    </w:p>
    <w:p>
      <w:pPr>
        <w:ind w:left="700" w:hanging="679"/>
        <w:spacing w:after="0"/>
        <w:tabs>
          <w:tab w:leader="none" w:pos="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$10,739 in contributions under the 401(k) Plan, and $20,095 in medical benefits.</w:t>
      </w:r>
    </w:p>
    <w:p>
      <w:pPr>
        <w:spacing w:after="0" w:line="14" w:lineRule="exact"/>
        <w:rPr>
          <w:rFonts w:ascii="Times New Roman" w:cs="Times New Roman" w:eastAsia="Times New Roman" w:hAnsi="Times New Roman"/>
          <w:sz w:val="14"/>
          <w:szCs w:val="14"/>
          <w:color w:val="auto"/>
        </w:rPr>
      </w:pPr>
    </w:p>
    <w:p>
      <w:pPr>
        <w:ind w:left="700" w:hanging="679"/>
        <w:spacing w:after="0"/>
        <w:tabs>
          <w:tab w:leader="none" w:pos="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$13,100 in contributions under the 401(k) Plan, $10,440 in medical benefits, and $550 in airline club reimbursement.</w:t>
      </w:r>
    </w:p>
    <w:p>
      <w:pPr>
        <w:spacing w:after="0" w:line="14" w:lineRule="exact"/>
        <w:rPr>
          <w:rFonts w:ascii="Times New Roman" w:cs="Times New Roman" w:eastAsia="Times New Roman" w:hAnsi="Times New Roman"/>
          <w:sz w:val="14"/>
          <w:szCs w:val="14"/>
          <w:color w:val="auto"/>
        </w:rPr>
      </w:pPr>
    </w:p>
    <w:p>
      <w:pPr>
        <w:ind w:left="700" w:hanging="679"/>
        <w:spacing w:after="0"/>
        <w:tabs>
          <w:tab w:leader="none" w:pos="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$9,150 in contributions under the 401(k) Plan, and $22,328 in medical benefits.</w:t>
      </w:r>
    </w:p>
    <w:p>
      <w:pPr>
        <w:spacing w:after="0" w:line="14" w:lineRule="exact"/>
        <w:rPr>
          <w:rFonts w:ascii="Times New Roman" w:cs="Times New Roman" w:eastAsia="Times New Roman" w:hAnsi="Times New Roman"/>
          <w:sz w:val="14"/>
          <w:szCs w:val="14"/>
          <w:color w:val="auto"/>
        </w:rPr>
      </w:pPr>
    </w:p>
    <w:p>
      <w:pPr>
        <w:ind w:left="700" w:hanging="679"/>
        <w:spacing w:after="0"/>
        <w:tabs>
          <w:tab w:leader="none" w:pos="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$1,038 in contributions under the 401(k) Plan, and $13,491 in relocation benefits.</w:t>
      </w:r>
    </w:p>
    <w:p>
      <w:pPr>
        <w:spacing w:after="0" w:line="14" w:lineRule="exact"/>
        <w:rPr>
          <w:rFonts w:ascii="Times New Roman" w:cs="Times New Roman" w:eastAsia="Times New Roman" w:hAnsi="Times New Roman"/>
          <w:sz w:val="14"/>
          <w:szCs w:val="14"/>
          <w:color w:val="auto"/>
        </w:rPr>
      </w:pPr>
    </w:p>
    <w:p>
      <w:pPr>
        <w:ind w:left="700" w:hanging="679"/>
        <w:spacing w:after="0"/>
        <w:tabs>
          <w:tab w:leader="none" w:pos="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$3,425 in contributions under the 401(k) Plan, and $14,804 in medical benefits.</w:t>
      </w:r>
    </w:p>
    <w:p>
      <w:pPr>
        <w:spacing w:after="0" w:line="14" w:lineRule="exact"/>
        <w:rPr>
          <w:rFonts w:ascii="Times New Roman" w:cs="Times New Roman" w:eastAsia="Times New Roman" w:hAnsi="Times New Roman"/>
          <w:sz w:val="14"/>
          <w:szCs w:val="14"/>
          <w:color w:val="auto"/>
        </w:rPr>
      </w:pPr>
    </w:p>
    <w:p>
      <w:pPr>
        <w:ind w:left="700" w:hanging="679"/>
        <w:spacing w:after="0"/>
        <w:tabs>
          <w:tab w:leader="none" w:pos="70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$9,539 in contributions under the 401(k) Plan, $10,940 in medical benefits, and $550 in airline club reimbursement.</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65" w:name="page66"/>
    <w:bookmarkEnd w:id="6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12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The following table summarizes the equity awards granted to the named executive officers during the fiscal year ended December 31, 2022.</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 Stock</w:t>
            </w:r>
          </w:p>
        </w:tc>
        <w:tc>
          <w:tcPr>
            <w:tcW w:w="22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 Fair</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2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Stock</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1180" w:type="dxa"/>
            <w:vAlign w:val="bottom"/>
            <w:vMerge w:val="restart"/>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440" w:type="dxa"/>
            <w:vAlign w:val="bottom"/>
          </w:tcPr>
          <w:p>
            <w:pPr>
              <w:spacing w:after="0"/>
              <w:rPr>
                <w:sz w:val="12"/>
                <w:szCs w:val="12"/>
                <w:color w:val="auto"/>
              </w:rPr>
            </w:pPr>
          </w:p>
        </w:tc>
        <w:tc>
          <w:tcPr>
            <w:tcW w:w="108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Threshold (#)</w:t>
            </w:r>
          </w:p>
        </w:tc>
        <w:tc>
          <w:tcPr>
            <w:tcW w:w="260" w:type="dxa"/>
            <w:vAlign w:val="bottom"/>
          </w:tcPr>
          <w:p>
            <w:pPr>
              <w:spacing w:after="0"/>
              <w:rPr>
                <w:sz w:val="12"/>
                <w:szCs w:val="12"/>
                <w:color w:val="auto"/>
              </w:rPr>
            </w:pPr>
          </w:p>
        </w:tc>
        <w:tc>
          <w:tcPr>
            <w:tcW w:w="108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Target (#)</w:t>
            </w:r>
          </w:p>
        </w:tc>
        <w:tc>
          <w:tcPr>
            <w:tcW w:w="200" w:type="dxa"/>
            <w:vAlign w:val="bottom"/>
          </w:tcPr>
          <w:p>
            <w:pPr>
              <w:spacing w:after="0"/>
              <w:rPr>
                <w:sz w:val="12"/>
                <w:szCs w:val="12"/>
                <w:color w:val="auto"/>
              </w:rPr>
            </w:pPr>
          </w:p>
        </w:tc>
        <w:tc>
          <w:tcPr>
            <w:tcW w:w="1060" w:type="dxa"/>
            <w:vAlign w:val="bottom"/>
            <w:vMerge w:val="restart"/>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Maximum (#)</w:t>
            </w:r>
          </w:p>
        </w:tc>
        <w:tc>
          <w:tcPr>
            <w:tcW w:w="2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 Stock</w:t>
            </w:r>
          </w:p>
        </w:tc>
        <w:tc>
          <w:tcPr>
            <w:tcW w:w="2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and Option</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120" w:type="dxa"/>
            <w:vAlign w:val="bottom"/>
            <w:tcBorders>
              <w:bottom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Units (#)</w:t>
            </w:r>
          </w:p>
        </w:tc>
        <w:tc>
          <w:tcPr>
            <w:tcW w:w="22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Awards ($)</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Michael E. Castagna</w:t>
            </w:r>
          </w:p>
        </w:tc>
        <w:tc>
          <w:tcPr>
            <w:tcW w:w="12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5/10/2022</w:t>
            </w:r>
          </w:p>
        </w:tc>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(1)</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155,500</w:t>
            </w:r>
          </w:p>
        </w:tc>
        <w:tc>
          <w:tcPr>
            <w:tcW w:w="26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311,000</w:t>
            </w: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933,000</w:t>
            </w:r>
          </w:p>
        </w:tc>
        <w:tc>
          <w:tcPr>
            <w:tcW w:w="22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1,897,100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8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5/10/2022</w:t>
            </w:r>
          </w:p>
        </w:tc>
        <w:tc>
          <w:tcPr>
            <w:tcW w:w="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254,000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749,300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Steven B. Binder</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5/10/2022</w:t>
            </w:r>
          </w:p>
        </w:tc>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(1)</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330,000</w:t>
            </w: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8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5/10/2022</w:t>
            </w:r>
          </w:p>
        </w:tc>
        <w:tc>
          <w:tcPr>
            <w:tcW w:w="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Alejandro Galindo</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5/10/2022</w:t>
            </w:r>
          </w:p>
        </w:tc>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(1) (3)</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330,000</w:t>
            </w: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8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5/10/2022</w:t>
            </w:r>
          </w:p>
        </w:tc>
        <w:tc>
          <w:tcPr>
            <w:tcW w:w="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 (3)</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Joseph Kocinsky</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5/10/2022</w:t>
            </w:r>
          </w:p>
        </w:tc>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(1)</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330,000</w:t>
            </w:r>
          </w:p>
        </w:tc>
        <w:tc>
          <w:tcPr>
            <w:tcW w:w="22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671,000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8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5/10/2022</w:t>
            </w:r>
          </w:p>
        </w:tc>
        <w:tc>
          <w:tcPr>
            <w:tcW w:w="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(2)</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265,500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1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Sanjay Singh</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11/01/2022</w:t>
            </w:r>
          </w:p>
        </w:tc>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(2)</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218,500</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758,195</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David B. Thomson</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5/10/2022</w:t>
            </w:r>
          </w:p>
        </w:tc>
        <w:tc>
          <w:tcPr>
            <w:tcW w:w="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330,000</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8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5/10/2022</w:t>
            </w:r>
          </w:p>
        </w:tc>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(2)</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265,500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Stuart Tross</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5/10/2022</w:t>
            </w:r>
          </w:p>
        </w:tc>
        <w:tc>
          <w:tcPr>
            <w:tcW w:w="440" w:type="dxa"/>
            <w:vAlign w:val="bottom"/>
          </w:tcPr>
          <w:p>
            <w:pPr>
              <w:ind w:left="20"/>
              <w:spacing w:after="0"/>
              <w:rPr>
                <w:sz w:val="20"/>
                <w:szCs w:val="20"/>
                <w:color w:val="auto"/>
              </w:rPr>
            </w:pPr>
            <w:r>
              <w:rPr>
                <w:rFonts w:ascii="Times New Roman" w:cs="Times New Roman" w:eastAsia="Times New Roman" w:hAnsi="Times New Roman"/>
                <w:sz w:val="12"/>
                <w:szCs w:val="12"/>
                <w:color w:val="auto"/>
              </w:rPr>
              <w:t>(1)</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330,000</w:t>
            </w:r>
          </w:p>
        </w:tc>
        <w:tc>
          <w:tcPr>
            <w:tcW w:w="2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671,000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84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5/10/2022</w:t>
            </w:r>
          </w:p>
        </w:tc>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2"/>
                <w:szCs w:val="12"/>
                <w:color w:val="auto"/>
              </w:rPr>
              <w:t>(2)</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265,500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840" w:type="dxa"/>
            <w:vAlign w:val="bottom"/>
            <w:tcBorders>
              <w:bottom w:val="single" w:sz="8" w:color="auto"/>
            </w:tcBorders>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440" w:right="160" w:hanging="419"/>
        <w:spacing w:after="0" w:line="192" w:lineRule="auto"/>
        <w:tabs>
          <w:tab w:leader="none" w:pos="440" w:val="left"/>
        </w:tabs>
        <w:numPr>
          <w:ilvl w:val="0"/>
          <w:numId w:val="30"/>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4"/>
          <w:szCs w:val="14"/>
          <w:color w:val="auto"/>
        </w:rPr>
        <w:t>The restricted stock units will vest on May 10, 2025 provided that the closing price of the Company’s common stock on such vesting date is not less than the closing price on May 10, 2022 and subject to continuing service. The number of shares delivered on the vesting date is determined by the percentile ranking of the Company’s total stockholder return (TSR) over the period from May 10, 2022 until May 10, 2025 relative to the TSR of the Russell 3000 Pharmaceutical &amp; Biotechnology Index over the same period, as follows: less than 25th percentile=0% of target, 25th percentile=50% of target, 50th percentile=100% of target, 75th percentile=200% percent of target, 90th percentile or higher=300% maximum. The grant-date fair value is based on a Monte-Carlo simulation model.</w:t>
      </w:r>
    </w:p>
    <w:p>
      <w:pPr>
        <w:spacing w:after="0" w:line="41" w:lineRule="exact"/>
        <w:rPr>
          <w:rFonts w:ascii="Times New Roman" w:cs="Times New Roman" w:eastAsia="Times New Roman" w:hAnsi="Times New Roman"/>
          <w:sz w:val="29"/>
          <w:szCs w:val="29"/>
          <w:color w:val="auto"/>
          <w:vertAlign w:val="superscript"/>
        </w:rPr>
      </w:pPr>
    </w:p>
    <w:p>
      <w:pPr>
        <w:ind w:left="440" w:right="140" w:hanging="419"/>
        <w:spacing w:after="0" w:line="261" w:lineRule="auto"/>
        <w:tabs>
          <w:tab w:leader="none" w:pos="4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restricted stock units will vest 25% on each of the first four anniversaries of the grant date, subject to continuing service. The grant date fair value is based on the market price of the stock on the grant date.</w:t>
      </w:r>
    </w:p>
    <w:p>
      <w:pPr>
        <w:spacing w:after="0" w:line="27" w:lineRule="exact"/>
        <w:rPr>
          <w:rFonts w:ascii="Times New Roman" w:cs="Times New Roman" w:eastAsia="Times New Roman" w:hAnsi="Times New Roman"/>
          <w:sz w:val="14"/>
          <w:szCs w:val="14"/>
          <w:color w:val="auto"/>
        </w:rPr>
      </w:pPr>
    </w:p>
    <w:p>
      <w:pPr>
        <w:ind w:left="440" w:hanging="419"/>
        <w:spacing w:after="0"/>
        <w:tabs>
          <w:tab w:leader="none" w:pos="4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restricted stock units were forfeited on October 21, 2022 upon resignation.</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6" w:name="page67"/>
    <w:bookmarkEnd w:id="66"/>
    <w:p>
      <w:pPr>
        <w:jc w:val="center"/>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 End</w:t>
      </w:r>
    </w:p>
    <w:p>
      <w:pPr>
        <w:spacing w:after="0" w:line="121" w:lineRule="exact"/>
        <w:rPr>
          <w:sz w:val="20"/>
          <w:szCs w:val="20"/>
          <w:color w:val="auto"/>
        </w:rPr>
      </w:pPr>
    </w:p>
    <w:p>
      <w:pPr>
        <w:ind w:right="360" w:firstLine="416"/>
        <w:spacing w:after="0" w:line="282" w:lineRule="auto"/>
        <w:rPr>
          <w:sz w:val="20"/>
          <w:szCs w:val="20"/>
          <w:color w:val="auto"/>
        </w:rPr>
      </w:pPr>
      <w:r>
        <w:rPr>
          <w:rFonts w:ascii="Times New Roman" w:cs="Times New Roman" w:eastAsia="Times New Roman" w:hAnsi="Times New Roman"/>
          <w:sz w:val="18"/>
          <w:szCs w:val="18"/>
          <w:color w:val="auto"/>
        </w:rPr>
        <w:t>The following table sets forth summary information regarding the outstanding equity awards at December 31, 2022 granted to each of our named executive officers.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3"/>
                <w:szCs w:val="13"/>
                <w:b w:val="1"/>
                <w:bCs w:val="1"/>
                <w:color w:val="auto"/>
              </w:rPr>
              <w:t>Option Awards</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3"/>
          </w:tcPr>
          <w:p>
            <w:pPr>
              <w:jc w:val="right"/>
              <w:ind w:right="657"/>
              <w:spacing w:after="0"/>
              <w:rPr>
                <w:sz w:val="20"/>
                <w:szCs w:val="20"/>
                <w:color w:val="auto"/>
              </w:rPr>
            </w:pPr>
            <w:r>
              <w:rPr>
                <w:rFonts w:ascii="Times New Roman" w:cs="Times New Roman" w:eastAsia="Times New Roman" w:hAnsi="Times New Roman"/>
                <w:sz w:val="13"/>
                <w:szCs w:val="13"/>
                <w:b w:val="1"/>
                <w:bCs w:val="1"/>
                <w:color w:val="auto"/>
              </w:rPr>
              <w:t>Stock Awards</w:t>
            </w:r>
          </w:p>
        </w:tc>
        <w:tc>
          <w:tcPr>
            <w:tcW w:w="2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r>
      <w:tr>
        <w:trPr>
          <w:trHeight w:val="123"/>
        </w:trPr>
        <w:tc>
          <w:tcPr>
            <w:tcW w:w="1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jc w:val="center"/>
              <w:spacing w:after="0" w:line="123" w:lineRule="exact"/>
              <w:rPr>
                <w:sz w:val="20"/>
                <w:szCs w:val="20"/>
                <w:color w:val="auto"/>
              </w:rPr>
            </w:pPr>
            <w:r>
              <w:rPr>
                <w:rFonts w:ascii="Times New Roman" w:cs="Times New Roman" w:eastAsia="Times New Roman" w:hAnsi="Times New Roman"/>
                <w:sz w:val="13"/>
                <w:szCs w:val="13"/>
                <w:b w:val="1"/>
                <w:bCs w:val="1"/>
                <w:color w:val="auto"/>
                <w:w w:val="95"/>
              </w:rPr>
              <w:t>Equity Incentive</w:t>
            </w:r>
          </w:p>
        </w:tc>
      </w:tr>
      <w:tr>
        <w:trPr>
          <w:trHeight w:val="135"/>
        </w:trPr>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Plan Awards:</w:t>
            </w:r>
          </w:p>
        </w:tc>
      </w:tr>
      <w:tr>
        <w:trPr>
          <w:trHeight w:val="135"/>
        </w:trPr>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Market</w:t>
            </w:r>
          </w:p>
        </w:tc>
        <w:tc>
          <w:tcPr>
            <w:tcW w:w="12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Equity Incentive</w:t>
            </w:r>
          </w:p>
        </w:tc>
        <w:tc>
          <w:tcPr>
            <w:tcW w:w="24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Market or</w:t>
            </w:r>
          </w:p>
        </w:tc>
      </w:tr>
      <w:tr>
        <w:trPr>
          <w:trHeight w:val="135"/>
        </w:trPr>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w:t>
            </w:r>
          </w:p>
        </w:tc>
        <w:tc>
          <w:tcPr>
            <w:tcW w:w="26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c>
          <w:tcPr>
            <w:tcW w:w="12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Plan Awards:</w:t>
            </w:r>
          </w:p>
        </w:tc>
        <w:tc>
          <w:tcPr>
            <w:tcW w:w="24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Payout</w:t>
            </w:r>
          </w:p>
        </w:tc>
      </w:tr>
      <w:tr>
        <w:trPr>
          <w:trHeight w:val="135"/>
        </w:trPr>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Equity Incentive</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of Shares</w:t>
            </w:r>
          </w:p>
        </w:tc>
        <w:tc>
          <w:tcPr>
            <w:tcW w:w="26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 or</w:t>
            </w:r>
          </w:p>
        </w:tc>
        <w:tc>
          <w:tcPr>
            <w:tcW w:w="12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24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Value of</w:t>
            </w:r>
          </w:p>
        </w:tc>
      </w:tr>
      <w:tr>
        <w:trPr>
          <w:trHeight w:val="135"/>
        </w:trPr>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Plan Awards: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or Units</w:t>
            </w:r>
          </w:p>
        </w:tc>
        <w:tc>
          <w:tcPr>
            <w:tcW w:w="26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Units of</w:t>
            </w:r>
          </w:p>
        </w:tc>
        <w:tc>
          <w:tcPr>
            <w:tcW w:w="12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24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Unearned</w:t>
            </w:r>
          </w:p>
        </w:tc>
      </w:tr>
      <w:tr>
        <w:trPr>
          <w:trHeight w:val="135"/>
        </w:trPr>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24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2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 Stock</w:t>
            </w:r>
          </w:p>
        </w:tc>
        <w:tc>
          <w:tcPr>
            <w:tcW w:w="26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12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Shares,</w:t>
            </w:r>
          </w:p>
        </w:tc>
        <w:tc>
          <w:tcPr>
            <w:tcW w:w="24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Shares,</w:t>
            </w:r>
          </w:p>
        </w:tc>
      </w:tr>
      <w:tr>
        <w:trPr>
          <w:trHeight w:val="135"/>
        </w:trPr>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24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Securities</w:t>
            </w:r>
          </w:p>
        </w:tc>
        <w:tc>
          <w:tcPr>
            <w:tcW w:w="2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26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That</w:t>
            </w:r>
          </w:p>
        </w:tc>
        <w:tc>
          <w:tcPr>
            <w:tcW w:w="12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Units or</w:t>
            </w:r>
          </w:p>
        </w:tc>
        <w:tc>
          <w:tcPr>
            <w:tcW w:w="24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Units or</w:t>
            </w:r>
          </w:p>
        </w:tc>
      </w:tr>
      <w:tr>
        <w:trPr>
          <w:trHeight w:val="135"/>
        </w:trPr>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24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2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Underlying</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w:t>
            </w:r>
          </w:p>
        </w:tc>
        <w:tc>
          <w:tcPr>
            <w:tcW w:w="26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Have</w:t>
            </w:r>
          </w:p>
        </w:tc>
        <w:tc>
          <w:tcPr>
            <w:tcW w:w="12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 Rights</w:t>
            </w:r>
          </w:p>
        </w:tc>
        <w:tc>
          <w:tcPr>
            <w:tcW w:w="24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 Rights</w:t>
            </w:r>
          </w:p>
        </w:tc>
      </w:tr>
      <w:tr>
        <w:trPr>
          <w:trHeight w:val="135"/>
        </w:trPr>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24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2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Unexercised</w:t>
            </w:r>
          </w:p>
        </w:tc>
        <w:tc>
          <w:tcPr>
            <w:tcW w:w="1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1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Not</w:t>
            </w:r>
          </w:p>
        </w:tc>
        <w:tc>
          <w:tcPr>
            <w:tcW w:w="26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Not</w:t>
            </w:r>
          </w:p>
        </w:tc>
        <w:tc>
          <w:tcPr>
            <w:tcW w:w="12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That Have</w:t>
            </w:r>
          </w:p>
        </w:tc>
        <w:tc>
          <w:tcPr>
            <w:tcW w:w="24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That Have</w:t>
            </w:r>
          </w:p>
        </w:tc>
      </w:tr>
      <w:tr>
        <w:trPr>
          <w:trHeight w:val="135"/>
        </w:trPr>
        <w:tc>
          <w:tcPr>
            <w:tcW w:w="1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Options (#)</w:t>
            </w:r>
          </w:p>
        </w:tc>
        <w:tc>
          <w:tcPr>
            <w:tcW w:w="24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Options (#)</w:t>
            </w:r>
          </w:p>
        </w:tc>
        <w:tc>
          <w:tcPr>
            <w:tcW w:w="22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Unearned</w:t>
            </w:r>
          </w:p>
        </w:tc>
        <w:tc>
          <w:tcPr>
            <w:tcW w:w="1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3"/>
              </w:rPr>
              <w:t>Exercise</w:t>
            </w:r>
          </w:p>
        </w:tc>
        <w:tc>
          <w:tcPr>
            <w:tcW w:w="100" w:type="dxa"/>
            <w:vAlign w:val="bottom"/>
          </w:tcPr>
          <w:p>
            <w:pPr>
              <w:spacing w:after="0"/>
              <w:rPr>
                <w:sz w:val="11"/>
                <w:szCs w:val="11"/>
                <w:color w:val="auto"/>
              </w:rPr>
            </w:pPr>
          </w:p>
        </w:tc>
        <w:tc>
          <w:tcPr>
            <w:tcW w:w="8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Expiration</w:t>
            </w:r>
          </w:p>
        </w:tc>
        <w:tc>
          <w:tcPr>
            <w:tcW w:w="10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Vested</w:t>
            </w:r>
          </w:p>
        </w:tc>
        <w:tc>
          <w:tcPr>
            <w:tcW w:w="260" w:type="dxa"/>
            <w:vAlign w:val="bottom"/>
          </w:tcPr>
          <w:p>
            <w:pPr>
              <w:spacing w:after="0"/>
              <w:rPr>
                <w:sz w:val="11"/>
                <w:szCs w:val="11"/>
                <w:color w:val="auto"/>
              </w:rPr>
            </w:pP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Vested</w:t>
            </w:r>
          </w:p>
        </w:tc>
        <w:tc>
          <w:tcPr>
            <w:tcW w:w="120" w:type="dxa"/>
            <w:vAlign w:val="bottom"/>
          </w:tcPr>
          <w:p>
            <w:pPr>
              <w:spacing w:after="0"/>
              <w:rPr>
                <w:sz w:val="11"/>
                <w:szCs w:val="11"/>
                <w:color w:val="auto"/>
              </w:rPr>
            </w:pPr>
          </w:p>
        </w:tc>
        <w:tc>
          <w:tcPr>
            <w:tcW w:w="110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Not Vested</w:t>
            </w:r>
          </w:p>
        </w:tc>
        <w:tc>
          <w:tcPr>
            <w:tcW w:w="240" w:type="dxa"/>
            <w:vAlign w:val="bottom"/>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Not Vested</w:t>
            </w:r>
          </w:p>
        </w:tc>
      </w:tr>
      <w:tr>
        <w:trPr>
          <w:trHeight w:val="167"/>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Name</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Exercisable</w:t>
            </w:r>
          </w:p>
        </w:tc>
        <w:tc>
          <w:tcPr>
            <w:tcW w:w="2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Unexercisable</w:t>
            </w:r>
          </w:p>
        </w:tc>
        <w:tc>
          <w:tcPr>
            <w:tcW w:w="2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Options (#)</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Price ($)</w:t>
            </w: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Date</w:t>
            </w:r>
          </w:p>
        </w:tc>
        <w:tc>
          <w:tcPr>
            <w:tcW w:w="1000" w:type="dxa"/>
            <w:vAlign w:val="bottom"/>
            <w:gridSpan w:val="2"/>
          </w:tcPr>
          <w:p>
            <w:pPr>
              <w:jc w:val="center"/>
              <w:ind w:left="37"/>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122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4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r>
      <w:tr>
        <w:trPr>
          <w:trHeight w:val="157"/>
        </w:trPr>
        <w:tc>
          <w:tcPr>
            <w:tcW w:w="134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Michael E. Castagna</w:t>
            </w:r>
          </w:p>
        </w:tc>
        <w:tc>
          <w:tcPr>
            <w:tcW w:w="120" w:type="dxa"/>
            <w:vAlign w:val="bottom"/>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65,840</w:t>
            </w: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(1)</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3"/>
                <w:szCs w:val="13"/>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4.55</w:t>
            </w:r>
          </w:p>
        </w:tc>
        <w:tc>
          <w:tcPr>
            <w:tcW w:w="100" w:type="dxa"/>
            <w:vAlign w:val="bottom"/>
            <w:shd w:val="clear" w:color="auto" w:fill="CFF0FC"/>
          </w:tcPr>
          <w:p>
            <w:pPr>
              <w:spacing w:after="0"/>
              <w:rPr>
                <w:sz w:val="13"/>
                <w:szCs w:val="13"/>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5/19/2026</w:t>
            </w:r>
          </w:p>
        </w:tc>
        <w:tc>
          <w:tcPr>
            <w:tcW w:w="100" w:type="dxa"/>
            <w:vAlign w:val="bottom"/>
            <w:shd w:val="clear" w:color="auto" w:fill="CFF0FC"/>
          </w:tcPr>
          <w:p>
            <w:pPr>
              <w:spacing w:after="0"/>
              <w:rPr>
                <w:sz w:val="13"/>
                <w:szCs w:val="13"/>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3"/>
                <w:szCs w:val="13"/>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240" w:type="dxa"/>
            <w:vAlign w:val="bottom"/>
          </w:tcPr>
          <w:p>
            <w:pPr>
              <w:ind w:left="20"/>
              <w:spacing w:after="0"/>
              <w:rPr>
                <w:sz w:val="20"/>
                <w:szCs w:val="20"/>
                <w:color w:val="auto"/>
              </w:rPr>
            </w:pPr>
            <w:r>
              <w:rPr>
                <w:rFonts w:ascii="Times New Roman" w:cs="Times New Roman" w:eastAsia="Times New Roman" w:hAnsi="Times New Roman"/>
                <w:sz w:val="8"/>
                <w:szCs w:val="8"/>
                <w:color w:val="auto"/>
              </w:rPr>
              <w:t>(2)</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100,000</w:t>
            </w:r>
          </w:p>
        </w:tc>
        <w:tc>
          <w:tcPr>
            <w:tcW w:w="220" w:type="dxa"/>
            <w:vAlign w:val="bottom"/>
          </w:tcPr>
          <w:p>
            <w:pPr>
              <w:spacing w:after="0"/>
              <w:rPr>
                <w:sz w:val="20"/>
                <w:szCs w:val="20"/>
                <w:color w:val="auto"/>
              </w:rPr>
            </w:pPr>
            <w:r>
              <w:rPr>
                <w:rFonts w:ascii="Times New Roman" w:cs="Times New Roman" w:eastAsia="Times New Roman" w:hAnsi="Times New Roman"/>
                <w:sz w:val="8"/>
                <w:szCs w:val="8"/>
                <w:color w:val="auto"/>
              </w:rPr>
              <w:t>(2)</w:t>
            </w:r>
          </w:p>
        </w:tc>
        <w:tc>
          <w:tcPr>
            <w:tcW w:w="980" w:type="dxa"/>
            <w:vAlign w:val="bottom"/>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5/19/2026</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75,050</w:t>
            </w: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(3)</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75,050</w:t>
            </w: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(3)</w:t>
            </w:r>
          </w:p>
        </w:tc>
        <w:tc>
          <w:tcPr>
            <w:tcW w:w="98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5/25/2027</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115,500</w:t>
            </w:r>
          </w:p>
        </w:tc>
        <w:tc>
          <w:tcPr>
            <w:tcW w:w="240" w:type="dxa"/>
            <w:vAlign w:val="bottom"/>
          </w:tcPr>
          <w:p>
            <w:pPr>
              <w:ind w:left="20"/>
              <w:spacing w:after="0"/>
              <w:rPr>
                <w:sz w:val="20"/>
                <w:szCs w:val="20"/>
                <w:color w:val="auto"/>
              </w:rPr>
            </w:pPr>
            <w:r>
              <w:rPr>
                <w:rFonts w:ascii="Times New Roman" w:cs="Times New Roman" w:eastAsia="Times New Roman" w:hAnsi="Times New Roman"/>
                <w:sz w:val="8"/>
                <w:szCs w:val="8"/>
                <w:color w:val="auto"/>
              </w:rPr>
              <w:t>(4)</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115,500</w:t>
            </w:r>
          </w:p>
        </w:tc>
        <w:tc>
          <w:tcPr>
            <w:tcW w:w="220" w:type="dxa"/>
            <w:vAlign w:val="bottom"/>
          </w:tcPr>
          <w:p>
            <w:pPr>
              <w:spacing w:after="0"/>
              <w:rPr>
                <w:sz w:val="20"/>
                <w:szCs w:val="20"/>
                <w:color w:val="auto"/>
              </w:rPr>
            </w:pPr>
            <w:r>
              <w:rPr>
                <w:rFonts w:ascii="Times New Roman" w:cs="Times New Roman" w:eastAsia="Times New Roman" w:hAnsi="Times New Roman"/>
                <w:sz w:val="8"/>
                <w:szCs w:val="8"/>
                <w:color w:val="auto"/>
              </w:rPr>
              <w:t>(4)</w:t>
            </w:r>
          </w:p>
        </w:tc>
        <w:tc>
          <w:tcPr>
            <w:tcW w:w="980" w:type="dxa"/>
            <w:vAlign w:val="bottom"/>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5/29/2027</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191,000</w:t>
            </w: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(5)</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5/29/2027</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534,000</w:t>
            </w:r>
          </w:p>
        </w:tc>
        <w:tc>
          <w:tcPr>
            <w:tcW w:w="240" w:type="dxa"/>
            <w:vAlign w:val="bottom"/>
          </w:tcPr>
          <w:p>
            <w:pPr>
              <w:ind w:left="20"/>
              <w:spacing w:after="0"/>
              <w:rPr>
                <w:sz w:val="20"/>
                <w:szCs w:val="20"/>
                <w:color w:val="auto"/>
              </w:rPr>
            </w:pPr>
            <w:r>
              <w:rPr>
                <w:rFonts w:ascii="Times New Roman" w:cs="Times New Roman" w:eastAsia="Times New Roman" w:hAnsi="Times New Roman"/>
                <w:sz w:val="8"/>
                <w:szCs w:val="8"/>
                <w:color w:val="auto"/>
              </w:rPr>
              <w:t>(6)</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80" w:type="dxa"/>
            <w:vAlign w:val="bottom"/>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5/16/2028</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523,167</w:t>
            </w: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(7)</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60,833</w:t>
            </w: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(7)</w:t>
            </w:r>
          </w:p>
        </w:tc>
        <w:tc>
          <w:tcPr>
            <w:tcW w:w="98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5/14/2029</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204,500</w:t>
            </w:r>
          </w:p>
        </w:tc>
        <w:tc>
          <w:tcPr>
            <w:tcW w:w="260" w:type="dxa"/>
            <w:vAlign w:val="bottom"/>
          </w:tcPr>
          <w:p>
            <w:pPr>
              <w:spacing w:after="0"/>
              <w:rPr>
                <w:sz w:val="20"/>
                <w:szCs w:val="20"/>
                <w:color w:val="auto"/>
              </w:rPr>
            </w:pPr>
            <w:r>
              <w:rPr>
                <w:rFonts w:ascii="Times New Roman" w:cs="Times New Roman" w:eastAsia="Times New Roman" w:hAnsi="Times New Roman"/>
                <w:sz w:val="8"/>
                <w:szCs w:val="8"/>
                <w:color w:val="auto"/>
              </w:rPr>
              <w:t>(8)</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1,077,715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500,000</w:t>
            </w:r>
          </w:p>
        </w:tc>
        <w:tc>
          <w:tcPr>
            <w:tcW w:w="240" w:type="dxa"/>
            <w:vAlign w:val="bottom"/>
          </w:tcPr>
          <w:p>
            <w:pPr>
              <w:spacing w:after="0"/>
              <w:rPr>
                <w:sz w:val="20"/>
                <w:szCs w:val="20"/>
                <w:color w:val="auto"/>
              </w:rPr>
            </w:pPr>
            <w:r>
              <w:rPr>
                <w:rFonts w:ascii="Times New Roman" w:cs="Times New Roman" w:eastAsia="Times New Roman" w:hAnsi="Times New Roman"/>
                <w:sz w:val="8"/>
                <w:szCs w:val="8"/>
                <w:color w:val="auto"/>
              </w:rPr>
              <w:t>(9)</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2,635,000</w:t>
            </w:r>
          </w:p>
        </w:tc>
      </w:tr>
      <w:tr>
        <w:trPr>
          <w:trHeight w:val="162"/>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142,569</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(10)</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751,339</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226,000</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(11)</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1,191,020</w:t>
            </w:r>
          </w:p>
        </w:tc>
      </w:tr>
      <w:tr>
        <w:trPr>
          <w:trHeight w:val="162"/>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254,000</w:t>
            </w:r>
          </w:p>
        </w:tc>
        <w:tc>
          <w:tcPr>
            <w:tcW w:w="260" w:type="dxa"/>
            <w:vAlign w:val="bottom"/>
          </w:tcPr>
          <w:p>
            <w:pPr>
              <w:spacing w:after="0"/>
              <w:rPr>
                <w:sz w:val="20"/>
                <w:szCs w:val="20"/>
                <w:color w:val="auto"/>
              </w:rPr>
            </w:pPr>
            <w:r>
              <w:rPr>
                <w:rFonts w:ascii="Times New Roman" w:cs="Times New Roman" w:eastAsia="Times New Roman" w:hAnsi="Times New Roman"/>
                <w:sz w:val="8"/>
                <w:szCs w:val="8"/>
                <w:color w:val="auto"/>
              </w:rPr>
              <w:t>(12)</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1,338,580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311,000</w:t>
            </w:r>
          </w:p>
        </w:tc>
        <w:tc>
          <w:tcPr>
            <w:tcW w:w="240" w:type="dxa"/>
            <w:vAlign w:val="bottom"/>
          </w:tcPr>
          <w:p>
            <w:pPr>
              <w:spacing w:after="0"/>
              <w:rPr>
                <w:sz w:val="20"/>
                <w:szCs w:val="20"/>
                <w:color w:val="auto"/>
              </w:rPr>
            </w:pPr>
            <w:r>
              <w:rPr>
                <w:rFonts w:ascii="Times New Roman" w:cs="Times New Roman" w:eastAsia="Times New Roman" w:hAnsi="Times New Roman"/>
                <w:sz w:val="8"/>
                <w:szCs w:val="8"/>
                <w:color w:val="auto"/>
              </w:rPr>
              <w:t>(13)</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1,638,970</w:t>
            </w:r>
          </w:p>
        </w:tc>
      </w:tr>
      <w:tr>
        <w:trPr>
          <w:trHeight w:val="162"/>
        </w:trPr>
        <w:tc>
          <w:tcPr>
            <w:tcW w:w="1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Steven B. Binder</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90,050</w:t>
            </w: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(14)</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90,050</w:t>
            </w: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(14)</w:t>
            </w:r>
          </w:p>
        </w:tc>
        <w:tc>
          <w:tcPr>
            <w:tcW w:w="98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8/24/2027</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214,000</w:t>
            </w:r>
          </w:p>
        </w:tc>
        <w:tc>
          <w:tcPr>
            <w:tcW w:w="240" w:type="dxa"/>
            <w:vAlign w:val="bottom"/>
          </w:tcPr>
          <w:p>
            <w:pPr>
              <w:ind w:left="20"/>
              <w:spacing w:after="0"/>
              <w:rPr>
                <w:sz w:val="20"/>
                <w:szCs w:val="20"/>
                <w:color w:val="auto"/>
              </w:rPr>
            </w:pPr>
            <w:r>
              <w:rPr>
                <w:rFonts w:ascii="Times New Roman" w:cs="Times New Roman" w:eastAsia="Times New Roman" w:hAnsi="Times New Roman"/>
                <w:sz w:val="8"/>
                <w:szCs w:val="8"/>
                <w:color w:val="auto"/>
              </w:rPr>
              <w:t>(6)</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80" w:type="dxa"/>
            <w:vAlign w:val="bottom"/>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5/16/2028</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209,625</w:t>
            </w: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(7)</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24,375</w:t>
            </w: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(7)</w:t>
            </w:r>
          </w:p>
        </w:tc>
        <w:tc>
          <w:tcPr>
            <w:tcW w:w="98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5/14/2029</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82,000</w:t>
            </w:r>
          </w:p>
        </w:tc>
        <w:tc>
          <w:tcPr>
            <w:tcW w:w="260" w:type="dxa"/>
            <w:vAlign w:val="bottom"/>
          </w:tcPr>
          <w:p>
            <w:pPr>
              <w:spacing w:after="0"/>
              <w:rPr>
                <w:sz w:val="20"/>
                <w:szCs w:val="20"/>
                <w:color w:val="auto"/>
              </w:rPr>
            </w:pPr>
            <w:r>
              <w:rPr>
                <w:rFonts w:ascii="Times New Roman" w:cs="Times New Roman" w:eastAsia="Times New Roman" w:hAnsi="Times New Roman"/>
                <w:sz w:val="8"/>
                <w:szCs w:val="8"/>
                <w:color w:val="auto"/>
              </w:rPr>
              <w:t>(8)</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432,140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200,000</w:t>
            </w:r>
          </w:p>
        </w:tc>
        <w:tc>
          <w:tcPr>
            <w:tcW w:w="240" w:type="dxa"/>
            <w:vAlign w:val="bottom"/>
          </w:tcPr>
          <w:p>
            <w:pPr>
              <w:spacing w:after="0"/>
              <w:rPr>
                <w:sz w:val="20"/>
                <w:szCs w:val="20"/>
                <w:color w:val="auto"/>
              </w:rPr>
            </w:pPr>
            <w:r>
              <w:rPr>
                <w:rFonts w:ascii="Times New Roman" w:cs="Times New Roman" w:eastAsia="Times New Roman" w:hAnsi="Times New Roman"/>
                <w:sz w:val="8"/>
                <w:szCs w:val="8"/>
                <w:color w:val="auto"/>
              </w:rPr>
              <w:t>(9)</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1,054,000</w:t>
            </w:r>
          </w:p>
        </w:tc>
      </w:tr>
      <w:tr>
        <w:trPr>
          <w:trHeight w:val="162"/>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51,805</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(10)</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273,012</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79,000</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(11)</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416,330</w:t>
            </w:r>
          </w:p>
        </w:tc>
      </w:tr>
      <w:tr>
        <w:trPr>
          <w:trHeight w:val="162"/>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90,000</w:t>
            </w:r>
          </w:p>
        </w:tc>
        <w:tc>
          <w:tcPr>
            <w:tcW w:w="260" w:type="dxa"/>
            <w:vAlign w:val="bottom"/>
          </w:tcPr>
          <w:p>
            <w:pPr>
              <w:spacing w:after="0"/>
              <w:rPr>
                <w:sz w:val="20"/>
                <w:szCs w:val="20"/>
                <w:color w:val="auto"/>
              </w:rPr>
            </w:pPr>
            <w:r>
              <w:rPr>
                <w:rFonts w:ascii="Times New Roman" w:cs="Times New Roman" w:eastAsia="Times New Roman" w:hAnsi="Times New Roman"/>
                <w:sz w:val="8"/>
                <w:szCs w:val="8"/>
                <w:color w:val="auto"/>
              </w:rPr>
              <w:t>(12)</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474,300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110,000</w:t>
            </w:r>
          </w:p>
        </w:tc>
        <w:tc>
          <w:tcPr>
            <w:tcW w:w="240" w:type="dxa"/>
            <w:vAlign w:val="bottom"/>
          </w:tcPr>
          <w:p>
            <w:pPr>
              <w:spacing w:after="0"/>
              <w:rPr>
                <w:sz w:val="20"/>
                <w:szCs w:val="20"/>
                <w:color w:val="auto"/>
              </w:rPr>
            </w:pPr>
            <w:r>
              <w:rPr>
                <w:rFonts w:ascii="Times New Roman" w:cs="Times New Roman" w:eastAsia="Times New Roman" w:hAnsi="Times New Roman"/>
                <w:sz w:val="8"/>
                <w:szCs w:val="8"/>
                <w:color w:val="auto"/>
              </w:rPr>
              <w:t>(13)</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579,700</w:t>
            </w:r>
          </w:p>
        </w:tc>
      </w:tr>
      <w:tr>
        <w:trPr>
          <w:trHeight w:val="162"/>
        </w:trPr>
        <w:tc>
          <w:tcPr>
            <w:tcW w:w="1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Alejandro Galindo</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Joseph Kocinsky</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28,250</w:t>
            </w:r>
          </w:p>
        </w:tc>
        <w:tc>
          <w:tcPr>
            <w:tcW w:w="240" w:type="dxa"/>
            <w:vAlign w:val="bottom"/>
          </w:tcPr>
          <w:p>
            <w:pPr>
              <w:ind w:left="20"/>
              <w:spacing w:after="0"/>
              <w:rPr>
                <w:sz w:val="20"/>
                <w:szCs w:val="20"/>
                <w:color w:val="auto"/>
              </w:rPr>
            </w:pPr>
            <w:r>
              <w:rPr>
                <w:rFonts w:ascii="Times New Roman" w:cs="Times New Roman" w:eastAsia="Times New Roman" w:hAnsi="Times New Roman"/>
                <w:sz w:val="8"/>
                <w:szCs w:val="8"/>
                <w:color w:val="auto"/>
              </w:rPr>
              <w:t>(15)</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80" w:type="dxa"/>
            <w:vAlign w:val="bottom"/>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5/23/2023</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4,280</w:t>
            </w: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29.45</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8/22/2023</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3,720</w:t>
            </w:r>
          </w:p>
        </w:tc>
        <w:tc>
          <w:tcPr>
            <w:tcW w:w="240" w:type="dxa"/>
            <w:vAlign w:val="bottom"/>
          </w:tcPr>
          <w:p>
            <w:pPr>
              <w:ind w:left="20"/>
              <w:spacing w:after="0"/>
              <w:rPr>
                <w:sz w:val="20"/>
                <w:szCs w:val="20"/>
                <w:color w:val="auto"/>
              </w:rPr>
            </w:pPr>
            <w:r>
              <w:rPr>
                <w:rFonts w:ascii="Times New Roman" w:cs="Times New Roman" w:eastAsia="Times New Roman" w:hAnsi="Times New Roman"/>
                <w:sz w:val="8"/>
                <w:szCs w:val="8"/>
                <w:color w:val="auto"/>
              </w:rPr>
              <w:t>(17)</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80" w:type="dxa"/>
            <w:vAlign w:val="bottom"/>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35.45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8/21/2024</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6,220</w:t>
            </w: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(18)</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19.55</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8/27/2025</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11,720</w:t>
            </w:r>
          </w:p>
        </w:tc>
        <w:tc>
          <w:tcPr>
            <w:tcW w:w="240" w:type="dxa"/>
            <w:vAlign w:val="bottom"/>
          </w:tcPr>
          <w:p>
            <w:pPr>
              <w:ind w:left="20"/>
              <w:spacing w:after="0"/>
              <w:rPr>
                <w:sz w:val="20"/>
                <w:szCs w:val="20"/>
                <w:color w:val="auto"/>
              </w:rPr>
            </w:pPr>
            <w:r>
              <w:rPr>
                <w:rFonts w:ascii="Times New Roman" w:cs="Times New Roman" w:eastAsia="Times New Roman" w:hAnsi="Times New Roman"/>
                <w:sz w:val="8"/>
                <w:szCs w:val="8"/>
                <w:color w:val="auto"/>
              </w:rPr>
              <w:t>(19)</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80" w:type="dxa"/>
            <w:vAlign w:val="bottom"/>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12.05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11/19/2025</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87,780</w:t>
            </w: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(20)</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4.60</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2/18/2026</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240" w:type="dxa"/>
            <w:vAlign w:val="bottom"/>
          </w:tcPr>
          <w:p>
            <w:pPr>
              <w:ind w:left="20"/>
              <w:spacing w:after="0"/>
              <w:rPr>
                <w:sz w:val="20"/>
                <w:szCs w:val="20"/>
                <w:color w:val="auto"/>
              </w:rPr>
            </w:pPr>
            <w:r>
              <w:rPr>
                <w:rFonts w:ascii="Times New Roman" w:cs="Times New Roman" w:eastAsia="Times New Roman" w:hAnsi="Times New Roman"/>
                <w:sz w:val="8"/>
                <w:szCs w:val="8"/>
                <w:color w:val="auto"/>
              </w:rPr>
              <w:t>(2)</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220" w:type="dxa"/>
            <w:vAlign w:val="bottom"/>
          </w:tcPr>
          <w:p>
            <w:pPr>
              <w:spacing w:after="0"/>
              <w:rPr>
                <w:sz w:val="20"/>
                <w:szCs w:val="20"/>
                <w:color w:val="auto"/>
              </w:rPr>
            </w:pPr>
            <w:r>
              <w:rPr>
                <w:rFonts w:ascii="Times New Roman" w:cs="Times New Roman" w:eastAsia="Times New Roman" w:hAnsi="Times New Roman"/>
                <w:sz w:val="8"/>
                <w:szCs w:val="8"/>
                <w:color w:val="auto"/>
              </w:rPr>
              <w:t>(2)</w:t>
            </w:r>
          </w:p>
        </w:tc>
        <w:tc>
          <w:tcPr>
            <w:tcW w:w="980" w:type="dxa"/>
            <w:vAlign w:val="bottom"/>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4.55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5/19/2026</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75,050</w:t>
            </w: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(3)</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75,050</w:t>
            </w: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(3)</w:t>
            </w:r>
          </w:p>
        </w:tc>
        <w:tc>
          <w:tcPr>
            <w:tcW w:w="98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5/25/2027</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214,000</w:t>
            </w:r>
          </w:p>
        </w:tc>
        <w:tc>
          <w:tcPr>
            <w:tcW w:w="240" w:type="dxa"/>
            <w:vAlign w:val="bottom"/>
          </w:tcPr>
          <w:p>
            <w:pPr>
              <w:ind w:left="20"/>
              <w:spacing w:after="0"/>
              <w:rPr>
                <w:sz w:val="20"/>
                <w:szCs w:val="20"/>
                <w:color w:val="auto"/>
              </w:rPr>
            </w:pPr>
            <w:r>
              <w:rPr>
                <w:rFonts w:ascii="Times New Roman" w:cs="Times New Roman" w:eastAsia="Times New Roman" w:hAnsi="Times New Roman"/>
                <w:sz w:val="8"/>
                <w:szCs w:val="8"/>
                <w:color w:val="auto"/>
              </w:rPr>
              <w:t>(6)</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80" w:type="dxa"/>
            <w:vAlign w:val="bottom"/>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5/16/2028</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209,625</w:t>
            </w: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(7)</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24,375</w:t>
            </w: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(7)</w:t>
            </w:r>
          </w:p>
        </w:tc>
        <w:tc>
          <w:tcPr>
            <w:tcW w:w="98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5/14/2029</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82,000</w:t>
            </w:r>
          </w:p>
        </w:tc>
        <w:tc>
          <w:tcPr>
            <w:tcW w:w="260" w:type="dxa"/>
            <w:vAlign w:val="bottom"/>
          </w:tcPr>
          <w:p>
            <w:pPr>
              <w:spacing w:after="0"/>
              <w:rPr>
                <w:sz w:val="20"/>
                <w:szCs w:val="20"/>
                <w:color w:val="auto"/>
              </w:rPr>
            </w:pPr>
            <w:r>
              <w:rPr>
                <w:rFonts w:ascii="Times New Roman" w:cs="Times New Roman" w:eastAsia="Times New Roman" w:hAnsi="Times New Roman"/>
                <w:sz w:val="8"/>
                <w:szCs w:val="8"/>
                <w:color w:val="auto"/>
              </w:rPr>
              <w:t>(8)</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432,140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200,000</w:t>
            </w:r>
          </w:p>
        </w:tc>
        <w:tc>
          <w:tcPr>
            <w:tcW w:w="240" w:type="dxa"/>
            <w:vAlign w:val="bottom"/>
          </w:tcPr>
          <w:p>
            <w:pPr>
              <w:spacing w:after="0"/>
              <w:rPr>
                <w:sz w:val="20"/>
                <w:szCs w:val="20"/>
                <w:color w:val="auto"/>
              </w:rPr>
            </w:pPr>
            <w:r>
              <w:rPr>
                <w:rFonts w:ascii="Times New Roman" w:cs="Times New Roman" w:eastAsia="Times New Roman" w:hAnsi="Times New Roman"/>
                <w:sz w:val="8"/>
                <w:szCs w:val="8"/>
                <w:color w:val="auto"/>
              </w:rPr>
              <w:t>(9)</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1,054,000</w:t>
            </w:r>
          </w:p>
        </w:tc>
      </w:tr>
      <w:tr>
        <w:trPr>
          <w:trHeight w:val="162"/>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51,671</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(10)</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272,306</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79,000</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(11)</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416,330</w:t>
            </w:r>
          </w:p>
        </w:tc>
      </w:tr>
      <w:tr>
        <w:trPr>
          <w:trHeight w:val="162"/>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90,000</w:t>
            </w:r>
          </w:p>
        </w:tc>
        <w:tc>
          <w:tcPr>
            <w:tcW w:w="260" w:type="dxa"/>
            <w:vAlign w:val="bottom"/>
          </w:tcPr>
          <w:p>
            <w:pPr>
              <w:spacing w:after="0"/>
              <w:rPr>
                <w:sz w:val="20"/>
                <w:szCs w:val="20"/>
                <w:color w:val="auto"/>
              </w:rPr>
            </w:pPr>
            <w:r>
              <w:rPr>
                <w:rFonts w:ascii="Times New Roman" w:cs="Times New Roman" w:eastAsia="Times New Roman" w:hAnsi="Times New Roman"/>
                <w:sz w:val="8"/>
                <w:szCs w:val="8"/>
                <w:color w:val="auto"/>
              </w:rPr>
              <w:t>(12)</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474,300</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110,000</w:t>
            </w:r>
          </w:p>
        </w:tc>
        <w:tc>
          <w:tcPr>
            <w:tcW w:w="240" w:type="dxa"/>
            <w:vAlign w:val="bottom"/>
          </w:tcPr>
          <w:p>
            <w:pPr>
              <w:spacing w:after="0"/>
              <w:rPr>
                <w:sz w:val="20"/>
                <w:szCs w:val="20"/>
                <w:color w:val="auto"/>
              </w:rPr>
            </w:pPr>
            <w:r>
              <w:rPr>
                <w:rFonts w:ascii="Times New Roman" w:cs="Times New Roman" w:eastAsia="Times New Roman" w:hAnsi="Times New Roman"/>
                <w:sz w:val="8"/>
                <w:szCs w:val="8"/>
                <w:color w:val="auto"/>
              </w:rPr>
              <w:t>(13)</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579,700</w:t>
            </w:r>
          </w:p>
        </w:tc>
      </w:tr>
      <w:tr>
        <w:trPr>
          <w:trHeight w:val="162"/>
        </w:trPr>
        <w:tc>
          <w:tcPr>
            <w:tcW w:w="14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3"/>
                <w:szCs w:val="13"/>
                <w:color w:val="auto"/>
              </w:rPr>
              <w:t>Sanjay Singh</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218,500</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(21)</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1,151,495</w:t>
            </w: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David B. Thomson</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72,000</w:t>
            </w:r>
          </w:p>
        </w:tc>
        <w:tc>
          <w:tcPr>
            <w:tcW w:w="240" w:type="dxa"/>
            <w:vAlign w:val="bottom"/>
          </w:tcPr>
          <w:p>
            <w:pPr>
              <w:ind w:left="20"/>
              <w:spacing w:after="0"/>
              <w:rPr>
                <w:sz w:val="20"/>
                <w:szCs w:val="20"/>
                <w:color w:val="auto"/>
              </w:rPr>
            </w:pPr>
            <w:r>
              <w:rPr>
                <w:rFonts w:ascii="Times New Roman" w:cs="Times New Roman" w:eastAsia="Times New Roman" w:hAnsi="Times New Roman"/>
                <w:sz w:val="8"/>
                <w:szCs w:val="8"/>
                <w:color w:val="auto"/>
              </w:rPr>
              <w:t>(15)</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80" w:type="dxa"/>
            <w:vAlign w:val="bottom"/>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34.25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5/23/2023</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10,000</w:t>
            </w: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(16)</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29.45</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8/22/2023</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8,680</w:t>
            </w:r>
          </w:p>
        </w:tc>
        <w:tc>
          <w:tcPr>
            <w:tcW w:w="240" w:type="dxa"/>
            <w:vAlign w:val="bottom"/>
          </w:tcPr>
          <w:p>
            <w:pPr>
              <w:ind w:left="20"/>
              <w:spacing w:after="0"/>
              <w:rPr>
                <w:sz w:val="20"/>
                <w:szCs w:val="20"/>
                <w:color w:val="auto"/>
              </w:rPr>
            </w:pPr>
            <w:r>
              <w:rPr>
                <w:rFonts w:ascii="Times New Roman" w:cs="Times New Roman" w:eastAsia="Times New Roman" w:hAnsi="Times New Roman"/>
                <w:sz w:val="8"/>
                <w:szCs w:val="8"/>
                <w:color w:val="auto"/>
              </w:rPr>
              <w:t>(17)</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80" w:type="dxa"/>
            <w:vAlign w:val="bottom"/>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35.45</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8/21/2024</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14,460</w:t>
            </w: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(18)</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19.55</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8/27/2025</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87,780</w:t>
            </w:r>
          </w:p>
        </w:tc>
        <w:tc>
          <w:tcPr>
            <w:tcW w:w="240" w:type="dxa"/>
            <w:vAlign w:val="bottom"/>
          </w:tcPr>
          <w:p>
            <w:pPr>
              <w:ind w:left="20"/>
              <w:spacing w:after="0"/>
              <w:rPr>
                <w:sz w:val="20"/>
                <w:szCs w:val="20"/>
                <w:color w:val="auto"/>
              </w:rPr>
            </w:pPr>
            <w:r>
              <w:rPr>
                <w:rFonts w:ascii="Times New Roman" w:cs="Times New Roman" w:eastAsia="Times New Roman" w:hAnsi="Times New Roman"/>
                <w:sz w:val="8"/>
                <w:szCs w:val="8"/>
                <w:color w:val="auto"/>
              </w:rPr>
              <w:t>(20)</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80" w:type="dxa"/>
            <w:vAlign w:val="bottom"/>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4.60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2/18/2026</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(2)</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(2)</w:t>
            </w:r>
          </w:p>
        </w:tc>
        <w:tc>
          <w:tcPr>
            <w:tcW w:w="98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4.55</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5/19/2026</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75,050</w:t>
            </w:r>
          </w:p>
        </w:tc>
        <w:tc>
          <w:tcPr>
            <w:tcW w:w="240" w:type="dxa"/>
            <w:vAlign w:val="bottom"/>
          </w:tcPr>
          <w:p>
            <w:pPr>
              <w:ind w:left="20"/>
              <w:spacing w:after="0"/>
              <w:rPr>
                <w:sz w:val="20"/>
                <w:szCs w:val="20"/>
                <w:color w:val="auto"/>
              </w:rPr>
            </w:pPr>
            <w:r>
              <w:rPr>
                <w:rFonts w:ascii="Times New Roman" w:cs="Times New Roman" w:eastAsia="Times New Roman" w:hAnsi="Times New Roman"/>
                <w:sz w:val="8"/>
                <w:szCs w:val="8"/>
                <w:color w:val="auto"/>
              </w:rPr>
              <w:t>(3)</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75,050</w:t>
            </w:r>
          </w:p>
        </w:tc>
        <w:tc>
          <w:tcPr>
            <w:tcW w:w="220" w:type="dxa"/>
            <w:vAlign w:val="bottom"/>
          </w:tcPr>
          <w:p>
            <w:pPr>
              <w:spacing w:after="0"/>
              <w:rPr>
                <w:sz w:val="20"/>
                <w:szCs w:val="20"/>
                <w:color w:val="auto"/>
              </w:rPr>
            </w:pPr>
            <w:r>
              <w:rPr>
                <w:rFonts w:ascii="Times New Roman" w:cs="Times New Roman" w:eastAsia="Times New Roman" w:hAnsi="Times New Roman"/>
                <w:sz w:val="8"/>
                <w:szCs w:val="8"/>
                <w:color w:val="auto"/>
              </w:rPr>
              <w:t>(3)</w:t>
            </w:r>
          </w:p>
        </w:tc>
        <w:tc>
          <w:tcPr>
            <w:tcW w:w="980" w:type="dxa"/>
            <w:vAlign w:val="bottom"/>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5/25/2027</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214,000</w:t>
            </w: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(6)</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5/16/2028</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209,625</w:t>
            </w:r>
          </w:p>
        </w:tc>
        <w:tc>
          <w:tcPr>
            <w:tcW w:w="240" w:type="dxa"/>
            <w:vAlign w:val="bottom"/>
          </w:tcPr>
          <w:p>
            <w:pPr>
              <w:ind w:left="20"/>
              <w:spacing w:after="0"/>
              <w:rPr>
                <w:sz w:val="20"/>
                <w:szCs w:val="20"/>
                <w:color w:val="auto"/>
              </w:rPr>
            </w:pPr>
            <w:r>
              <w:rPr>
                <w:rFonts w:ascii="Times New Roman" w:cs="Times New Roman" w:eastAsia="Times New Roman" w:hAnsi="Times New Roman"/>
                <w:sz w:val="8"/>
                <w:szCs w:val="8"/>
                <w:color w:val="auto"/>
              </w:rPr>
              <w:t>(7)</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24,375</w:t>
            </w:r>
          </w:p>
        </w:tc>
        <w:tc>
          <w:tcPr>
            <w:tcW w:w="220" w:type="dxa"/>
            <w:vAlign w:val="bottom"/>
          </w:tcPr>
          <w:p>
            <w:pPr>
              <w:spacing w:after="0"/>
              <w:rPr>
                <w:sz w:val="20"/>
                <w:szCs w:val="20"/>
                <w:color w:val="auto"/>
              </w:rPr>
            </w:pPr>
            <w:r>
              <w:rPr>
                <w:rFonts w:ascii="Times New Roman" w:cs="Times New Roman" w:eastAsia="Times New Roman" w:hAnsi="Times New Roman"/>
                <w:sz w:val="8"/>
                <w:szCs w:val="8"/>
                <w:color w:val="auto"/>
              </w:rPr>
              <w:t>(7)</w:t>
            </w:r>
          </w:p>
        </w:tc>
        <w:tc>
          <w:tcPr>
            <w:tcW w:w="980" w:type="dxa"/>
            <w:vAlign w:val="bottom"/>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5/14/2029</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82,000</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(8)</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432,140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200,000</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(9)</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1,054,000</w:t>
            </w:r>
          </w:p>
        </w:tc>
      </w:tr>
      <w:tr>
        <w:trPr>
          <w:trHeight w:val="162"/>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52,059</w:t>
            </w:r>
          </w:p>
        </w:tc>
        <w:tc>
          <w:tcPr>
            <w:tcW w:w="260" w:type="dxa"/>
            <w:vAlign w:val="bottom"/>
          </w:tcPr>
          <w:p>
            <w:pPr>
              <w:spacing w:after="0"/>
              <w:rPr>
                <w:sz w:val="20"/>
                <w:szCs w:val="20"/>
                <w:color w:val="auto"/>
              </w:rPr>
            </w:pPr>
            <w:r>
              <w:rPr>
                <w:rFonts w:ascii="Times New Roman" w:cs="Times New Roman" w:eastAsia="Times New Roman" w:hAnsi="Times New Roman"/>
                <w:sz w:val="8"/>
                <w:szCs w:val="8"/>
                <w:color w:val="auto"/>
              </w:rPr>
              <w:t>(10)</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274,351</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79,000</w:t>
            </w:r>
          </w:p>
        </w:tc>
        <w:tc>
          <w:tcPr>
            <w:tcW w:w="240" w:type="dxa"/>
            <w:vAlign w:val="bottom"/>
          </w:tcPr>
          <w:p>
            <w:pPr>
              <w:spacing w:after="0"/>
              <w:rPr>
                <w:sz w:val="20"/>
                <w:szCs w:val="20"/>
                <w:color w:val="auto"/>
              </w:rPr>
            </w:pPr>
            <w:r>
              <w:rPr>
                <w:rFonts w:ascii="Times New Roman" w:cs="Times New Roman" w:eastAsia="Times New Roman" w:hAnsi="Times New Roman"/>
                <w:sz w:val="8"/>
                <w:szCs w:val="8"/>
                <w:color w:val="auto"/>
              </w:rPr>
              <w:t>(11)</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416,330</w:t>
            </w:r>
          </w:p>
        </w:tc>
      </w:tr>
      <w:tr>
        <w:trPr>
          <w:trHeight w:val="162"/>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90,000</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(12)</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474,300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110,000</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(13)</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579,700</w:t>
            </w:r>
          </w:p>
        </w:tc>
      </w:tr>
      <w:tr>
        <w:trPr>
          <w:trHeight w:val="162"/>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Stuart Tross</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80,000</w:t>
            </w:r>
          </w:p>
        </w:tc>
        <w:tc>
          <w:tcPr>
            <w:tcW w:w="240" w:type="dxa"/>
            <w:vAlign w:val="bottom"/>
          </w:tcPr>
          <w:p>
            <w:pPr>
              <w:ind w:left="20"/>
              <w:spacing w:after="0"/>
              <w:rPr>
                <w:sz w:val="20"/>
                <w:szCs w:val="20"/>
                <w:color w:val="auto"/>
              </w:rPr>
            </w:pPr>
            <w:r>
              <w:rPr>
                <w:rFonts w:ascii="Times New Roman" w:cs="Times New Roman" w:eastAsia="Times New Roman" w:hAnsi="Times New Roman"/>
                <w:sz w:val="8"/>
                <w:szCs w:val="8"/>
                <w:color w:val="auto"/>
              </w:rPr>
              <w:t>(22)</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980" w:type="dxa"/>
            <w:vAlign w:val="bottom"/>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2/16/2027</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(23)</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40,000</w:t>
            </w: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(23)</w:t>
            </w:r>
          </w:p>
        </w:tc>
        <w:tc>
          <w:tcPr>
            <w:tcW w:w="98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2.70</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2/16/2027</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56,288</w:t>
            </w:r>
          </w:p>
        </w:tc>
        <w:tc>
          <w:tcPr>
            <w:tcW w:w="240" w:type="dxa"/>
            <w:vAlign w:val="bottom"/>
          </w:tcPr>
          <w:p>
            <w:pPr>
              <w:ind w:left="20"/>
              <w:spacing w:after="0"/>
              <w:rPr>
                <w:sz w:val="20"/>
                <w:szCs w:val="20"/>
                <w:color w:val="auto"/>
              </w:rPr>
            </w:pPr>
            <w:r>
              <w:rPr>
                <w:rFonts w:ascii="Times New Roman" w:cs="Times New Roman" w:eastAsia="Times New Roman" w:hAnsi="Times New Roman"/>
                <w:sz w:val="8"/>
                <w:szCs w:val="8"/>
                <w:color w:val="auto"/>
              </w:rPr>
              <w:t>(3)</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56,287</w:t>
            </w:r>
          </w:p>
        </w:tc>
        <w:tc>
          <w:tcPr>
            <w:tcW w:w="220" w:type="dxa"/>
            <w:vAlign w:val="bottom"/>
          </w:tcPr>
          <w:p>
            <w:pPr>
              <w:spacing w:after="0"/>
              <w:rPr>
                <w:sz w:val="20"/>
                <w:szCs w:val="20"/>
                <w:color w:val="auto"/>
              </w:rPr>
            </w:pPr>
            <w:r>
              <w:rPr>
                <w:rFonts w:ascii="Times New Roman" w:cs="Times New Roman" w:eastAsia="Times New Roman" w:hAnsi="Times New Roman"/>
                <w:sz w:val="8"/>
                <w:szCs w:val="8"/>
                <w:color w:val="auto"/>
              </w:rPr>
              <w:t>(3)</w:t>
            </w:r>
          </w:p>
        </w:tc>
        <w:tc>
          <w:tcPr>
            <w:tcW w:w="980" w:type="dxa"/>
            <w:vAlign w:val="bottom"/>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1.42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5/25/2027</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214,000</w:t>
            </w:r>
          </w:p>
        </w:tc>
        <w:tc>
          <w:tcPr>
            <w:tcW w:w="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8"/>
                <w:szCs w:val="8"/>
                <w:color w:val="auto"/>
              </w:rPr>
              <w:t>(6)</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(6)</w:t>
            </w:r>
          </w:p>
        </w:tc>
        <w:tc>
          <w:tcPr>
            <w:tcW w:w="980" w:type="dxa"/>
            <w:vAlign w:val="bottom"/>
            <w:shd w:val="clear" w:color="auto" w:fill="CFF0FC"/>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1.91</w:t>
            </w:r>
          </w:p>
        </w:tc>
        <w:tc>
          <w:tcPr>
            <w:tcW w:w="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5/16/2028</w:t>
            </w:r>
          </w:p>
        </w:tc>
        <w:tc>
          <w:tcPr>
            <w:tcW w:w="10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FF0FC"/>
          </w:tcPr>
          <w:p>
            <w:pPr>
              <w:spacing w:after="0"/>
              <w:rPr>
                <w:sz w:val="14"/>
                <w:szCs w:val="14"/>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209,625</w:t>
            </w:r>
          </w:p>
        </w:tc>
        <w:tc>
          <w:tcPr>
            <w:tcW w:w="240" w:type="dxa"/>
            <w:vAlign w:val="bottom"/>
          </w:tcPr>
          <w:p>
            <w:pPr>
              <w:ind w:left="20"/>
              <w:spacing w:after="0"/>
              <w:rPr>
                <w:sz w:val="20"/>
                <w:szCs w:val="20"/>
                <w:color w:val="auto"/>
              </w:rPr>
            </w:pPr>
            <w:r>
              <w:rPr>
                <w:rFonts w:ascii="Times New Roman" w:cs="Times New Roman" w:eastAsia="Times New Roman" w:hAnsi="Times New Roman"/>
                <w:sz w:val="8"/>
                <w:szCs w:val="8"/>
                <w:color w:val="auto"/>
              </w:rPr>
              <w:t>(7)</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24,375</w:t>
            </w:r>
          </w:p>
        </w:tc>
        <w:tc>
          <w:tcPr>
            <w:tcW w:w="220" w:type="dxa"/>
            <w:vAlign w:val="bottom"/>
          </w:tcPr>
          <w:p>
            <w:pPr>
              <w:spacing w:after="0"/>
              <w:rPr>
                <w:sz w:val="20"/>
                <w:szCs w:val="20"/>
                <w:color w:val="auto"/>
              </w:rPr>
            </w:pPr>
            <w:r>
              <w:rPr>
                <w:rFonts w:ascii="Times New Roman" w:cs="Times New Roman" w:eastAsia="Times New Roman" w:hAnsi="Times New Roman"/>
                <w:sz w:val="8"/>
                <w:szCs w:val="8"/>
                <w:color w:val="auto"/>
              </w:rPr>
              <w:t>(7)</w:t>
            </w:r>
          </w:p>
        </w:tc>
        <w:tc>
          <w:tcPr>
            <w:tcW w:w="980" w:type="dxa"/>
            <w:vAlign w:val="bottom"/>
          </w:tcPr>
          <w:p>
            <w:pPr>
              <w:ind w:left="840"/>
              <w:spacing w:after="0"/>
              <w:rPr>
                <w:sz w:val="20"/>
                <w:szCs w:val="20"/>
                <w:color w:val="auto"/>
              </w:rPr>
            </w:pPr>
            <w:r>
              <w:rPr>
                <w:rFonts w:ascii="Times New Roman" w:cs="Times New Roman" w:eastAsia="Times New Roman" w:hAnsi="Times New Roman"/>
                <w:sz w:val="13"/>
                <w:szCs w:val="13"/>
                <w:color w:val="auto"/>
                <w:w w:val="91"/>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5/14/2029</w:t>
            </w: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2"/>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82,000</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(8)</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432,140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200,000</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(9)</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1,054,000</w:t>
            </w:r>
          </w:p>
        </w:tc>
      </w:tr>
      <w:tr>
        <w:trPr>
          <w:trHeight w:val="162"/>
        </w:trPr>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51,538</w:t>
            </w:r>
          </w:p>
        </w:tc>
        <w:tc>
          <w:tcPr>
            <w:tcW w:w="260" w:type="dxa"/>
            <w:vAlign w:val="bottom"/>
          </w:tcPr>
          <w:p>
            <w:pPr>
              <w:spacing w:after="0"/>
              <w:rPr>
                <w:sz w:val="20"/>
                <w:szCs w:val="20"/>
                <w:color w:val="auto"/>
              </w:rPr>
            </w:pPr>
            <w:r>
              <w:rPr>
                <w:rFonts w:ascii="Times New Roman" w:cs="Times New Roman" w:eastAsia="Times New Roman" w:hAnsi="Times New Roman"/>
                <w:sz w:val="8"/>
                <w:szCs w:val="8"/>
                <w:color w:val="auto"/>
              </w:rPr>
              <w:t>(10)</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271,605</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79,000</w:t>
            </w:r>
          </w:p>
        </w:tc>
        <w:tc>
          <w:tcPr>
            <w:tcW w:w="240" w:type="dxa"/>
            <w:vAlign w:val="bottom"/>
          </w:tcPr>
          <w:p>
            <w:pPr>
              <w:spacing w:after="0"/>
              <w:rPr>
                <w:sz w:val="20"/>
                <w:szCs w:val="20"/>
                <w:color w:val="auto"/>
              </w:rPr>
            </w:pPr>
            <w:r>
              <w:rPr>
                <w:rFonts w:ascii="Times New Roman" w:cs="Times New Roman" w:eastAsia="Times New Roman" w:hAnsi="Times New Roman"/>
                <w:sz w:val="8"/>
                <w:szCs w:val="8"/>
                <w:color w:val="auto"/>
              </w:rPr>
              <w:t>(11)</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416,330</w:t>
            </w:r>
          </w:p>
        </w:tc>
      </w:tr>
      <w:tr>
        <w:trPr>
          <w:trHeight w:val="162"/>
        </w:trPr>
        <w:tc>
          <w:tcPr>
            <w:tcW w:w="13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90,000</w:t>
            </w:r>
          </w:p>
        </w:tc>
        <w:tc>
          <w:tcPr>
            <w:tcW w:w="26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(12)</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474,300</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110,000</w:t>
            </w:r>
          </w:p>
        </w:tc>
        <w:tc>
          <w:tcPr>
            <w:tcW w:w="240" w:type="dxa"/>
            <w:vAlign w:val="bottom"/>
            <w:shd w:val="clear" w:color="auto" w:fill="CFF0FC"/>
          </w:tcPr>
          <w:p>
            <w:pPr>
              <w:spacing w:after="0"/>
              <w:rPr>
                <w:sz w:val="20"/>
                <w:szCs w:val="20"/>
                <w:color w:val="auto"/>
              </w:rPr>
            </w:pPr>
            <w:r>
              <w:rPr>
                <w:rFonts w:ascii="Times New Roman" w:cs="Times New Roman" w:eastAsia="Times New Roman" w:hAnsi="Times New Roman"/>
                <w:sz w:val="8"/>
                <w:szCs w:val="8"/>
                <w:color w:val="auto"/>
              </w:rPr>
              <w:t>(13)</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579,700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16586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173" w:lineRule="exact"/>
        <w:rPr>
          <w:sz w:val="20"/>
          <w:szCs w:val="20"/>
          <w:color w:val="auto"/>
        </w:rPr>
      </w:pPr>
    </w:p>
    <w:p>
      <w:pPr>
        <w:ind w:left="440" w:right="160" w:hanging="419"/>
        <w:spacing w:after="0" w:line="250" w:lineRule="auto"/>
        <w:tabs>
          <w:tab w:leader="none" w:pos="4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vesting on the anniversary of the vesting commencement date and 1/48th per month thereafter; being fully vested on the fourth anniversary of the vesting commencement date. The vesting commencement date is May 19, 2016.</w:t>
      </w:r>
    </w:p>
    <w:p>
      <w:pPr>
        <w:spacing w:after="0" w:line="1" w:lineRule="exact"/>
        <w:rPr>
          <w:rFonts w:ascii="Times New Roman" w:cs="Times New Roman" w:eastAsia="Times New Roman" w:hAnsi="Times New Roman"/>
          <w:sz w:val="14"/>
          <w:szCs w:val="14"/>
          <w:color w:val="auto"/>
        </w:rPr>
      </w:pPr>
    </w:p>
    <w:p>
      <w:pPr>
        <w:ind w:left="440" w:hanging="419"/>
        <w:spacing w:after="0"/>
        <w:tabs>
          <w:tab w:leader="none" w:pos="4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based non-qualified option grant on May 19, 2016, which shall vest upon the achievement of certain corporate objectives.</w:t>
      </w:r>
    </w:p>
    <w:p>
      <w:pPr>
        <w:spacing w:after="0" w:line="14" w:lineRule="exact"/>
        <w:rPr>
          <w:rFonts w:ascii="Times New Roman" w:cs="Times New Roman" w:eastAsia="Times New Roman" w:hAnsi="Times New Roman"/>
          <w:sz w:val="14"/>
          <w:szCs w:val="14"/>
          <w:color w:val="auto"/>
        </w:rPr>
      </w:pPr>
    </w:p>
    <w:p>
      <w:pPr>
        <w:ind w:left="440" w:hanging="419"/>
        <w:spacing w:after="0"/>
        <w:tabs>
          <w:tab w:leader="none" w:pos="4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based non-qualified option grant on May 25, 2017, which shall vest upon the achievement of certain corporate objectives.</w:t>
      </w:r>
    </w:p>
    <w:p>
      <w:pPr>
        <w:spacing w:after="0" w:line="14" w:lineRule="exact"/>
        <w:rPr>
          <w:rFonts w:ascii="Times New Roman" w:cs="Times New Roman" w:eastAsia="Times New Roman" w:hAnsi="Times New Roman"/>
          <w:sz w:val="14"/>
          <w:szCs w:val="14"/>
          <w:color w:val="auto"/>
        </w:rPr>
      </w:pPr>
    </w:p>
    <w:p>
      <w:pPr>
        <w:ind w:left="440" w:hanging="419"/>
        <w:spacing w:after="0"/>
        <w:tabs>
          <w:tab w:leader="none" w:pos="4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based non-qualified option grant on May 29, 2017, which shall vest upon the achievement of certain corporate objectives.</w:t>
      </w:r>
    </w:p>
    <w:p>
      <w:pPr>
        <w:spacing w:after="0" w:line="14" w:lineRule="exact"/>
        <w:rPr>
          <w:rFonts w:ascii="Times New Roman" w:cs="Times New Roman" w:eastAsia="Times New Roman" w:hAnsi="Times New Roman"/>
          <w:sz w:val="14"/>
          <w:szCs w:val="14"/>
          <w:color w:val="auto"/>
        </w:rPr>
      </w:pPr>
    </w:p>
    <w:p>
      <w:pPr>
        <w:ind w:left="440" w:right="160" w:hanging="419"/>
        <w:spacing w:after="0" w:line="241" w:lineRule="auto"/>
        <w:tabs>
          <w:tab w:leader="none" w:pos="4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vesting on the anniversary of the vesting commencement date and 1/48th per month thereafter; being fully vested on the fourth anniversary of the vesting commencement date. The vesting commencement date is May 29, 2017.</w:t>
      </w:r>
    </w:p>
    <w:p>
      <w:pPr>
        <w:ind w:left="440" w:right="160" w:hanging="419"/>
        <w:spacing w:after="0" w:line="243" w:lineRule="auto"/>
        <w:tabs>
          <w:tab w:leader="none" w:pos="4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vesting on the anniversary of the vesting commencement date and 1/48th per month thereafter; being fully vested on the fourth anniversary of the vesting commencement date. The vesting commencement date is May 16, 2018.</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7" w:name="page68"/>
    <w:bookmarkEnd w:id="67"/>
    <w:p>
      <w:pPr>
        <w:ind w:left="419" w:right="140" w:hanging="419"/>
        <w:spacing w:after="0" w:line="250" w:lineRule="auto"/>
        <w:tabs>
          <w:tab w:leader="none" w:pos="419"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vesting on the anniversary of the vesting commencement date and 1/48th per month thereafter; being fully vested on the fourth anniversary of the vesting commencement date. The vesting commencement date is May 14, 2019.</w:t>
      </w:r>
    </w:p>
    <w:p>
      <w:pPr>
        <w:spacing w:after="0" w:line="1" w:lineRule="exact"/>
        <w:rPr>
          <w:rFonts w:ascii="Times New Roman" w:cs="Times New Roman" w:eastAsia="Times New Roman" w:hAnsi="Times New Roman"/>
          <w:sz w:val="14"/>
          <w:szCs w:val="14"/>
          <w:color w:val="auto"/>
        </w:rPr>
      </w:pPr>
    </w:p>
    <w:p>
      <w:pPr>
        <w:ind w:left="419" w:right="120" w:hanging="419"/>
        <w:spacing w:after="0" w:line="241" w:lineRule="auto"/>
        <w:tabs>
          <w:tab w:leader="none" w:pos="419"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 Award: 25% vest on each year anniversary of the vesting commencement date; shares shall fully vest on the fourth anniversary of the vesting commencement date. The vesting commencement date is August 27, 2020.</w:t>
      </w:r>
    </w:p>
    <w:p>
      <w:pPr>
        <w:ind w:left="419" w:hanging="419"/>
        <w:spacing w:after="0" w:line="231" w:lineRule="auto"/>
        <w:tabs>
          <w:tab w:leader="none" w:pos="419"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Restricted Stock Unit: vest on May 22, 2023 provided that the closing price of the Company’s common stock on such vesting date is not less than the closing price on August 27, 2020. The number of shares delivered on the vesting date is determined by the percentile ranking of MannKind total stockholder return (TSR) over the period from August 27, 2020 until May 22, 2023 relative to the TSR of the Russell 3000 Pharmaceutical &amp; Biotechnology Index over the same period, as follows: less than 25th percentile=0% of target, 25th percentile=50% of target, 50th percentile=100% of target, 75th percentile=200% percent of target, 90th percentile or higher=300% maximum.</w:t>
      </w:r>
    </w:p>
    <w:p>
      <w:pPr>
        <w:spacing w:after="0" w:line="1" w:lineRule="exact"/>
        <w:rPr>
          <w:rFonts w:ascii="Times New Roman" w:cs="Times New Roman" w:eastAsia="Times New Roman" w:hAnsi="Times New Roman"/>
          <w:sz w:val="14"/>
          <w:szCs w:val="14"/>
          <w:color w:val="auto"/>
        </w:rPr>
      </w:pPr>
    </w:p>
    <w:p>
      <w:pPr>
        <w:ind w:left="419" w:right="120" w:hanging="419"/>
        <w:spacing w:after="0" w:line="241" w:lineRule="auto"/>
        <w:tabs>
          <w:tab w:leader="none" w:pos="419"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 Award: 25% vest on each year anniversary of the vesting commencement date; shares shall fully vest on the fourth anniversary of the vesting commencement date. The vesting commencement date is May 18, 2021.</w:t>
      </w:r>
    </w:p>
    <w:p>
      <w:pPr>
        <w:ind w:left="419" w:right="20" w:hanging="419"/>
        <w:spacing w:after="0" w:line="231" w:lineRule="auto"/>
        <w:tabs>
          <w:tab w:leader="none" w:pos="419"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Restricted Stock Unit: vest on May 17, 2024 provided that the closing price of the Company’s common stock on such vesting date is not less than the closing price on May 18, 2021. The number of shares delivered on the vesting date is determined by the percentile ranking of MannKind total stockholder return (TSR) over the period from May 18, 2021 until May 17, 2024 relative to the TSR of the Russell 3000 Pharmaceutical &amp; Biotechnology Index over the same period, as follows: less than 25th percentile=0% of target, 25th percentile=50% of target, 50th percentile=100% of target, 75th percentile=200% percent of target, 90th percentile or higher=300% maximum.</w:t>
      </w:r>
    </w:p>
    <w:p>
      <w:pPr>
        <w:spacing w:after="0" w:line="1" w:lineRule="exact"/>
        <w:rPr>
          <w:rFonts w:ascii="Times New Roman" w:cs="Times New Roman" w:eastAsia="Times New Roman" w:hAnsi="Times New Roman"/>
          <w:sz w:val="14"/>
          <w:szCs w:val="14"/>
          <w:color w:val="auto"/>
        </w:rPr>
      </w:pPr>
    </w:p>
    <w:p>
      <w:pPr>
        <w:ind w:left="419" w:right="120" w:hanging="419"/>
        <w:spacing w:after="0" w:line="241" w:lineRule="auto"/>
        <w:tabs>
          <w:tab w:leader="none" w:pos="419"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 Award: 25% vest on each year anniversary of the vesting commencement date; shares shall fully vest on the fourth anniversary of the vesting commencement date. The vesting commencement date is May 10, 2022.</w:t>
      </w:r>
    </w:p>
    <w:p>
      <w:pPr>
        <w:ind w:left="419" w:right="20" w:hanging="419"/>
        <w:spacing w:after="0" w:line="231" w:lineRule="auto"/>
        <w:tabs>
          <w:tab w:leader="none" w:pos="419"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Restricted Stock Unit: vest on May 10, 2025 provided that the closing price of the Company’s common stock on such vesting date is not less than the closing price on May 10, 2022. The number of shares delivered on the vesting date is determined by the percentile ranking of MannKind total stockholder return (TSR) over the period from May 10, 2022 until May 10, 2025 relative to the TSR of the Russell 3000 Pharmaceutical &amp; Biotechnology Index over the same period, as follows: less than 25th percentile=0% of target, 25th percentile=50% of target, 50th percentile=100% of target, 75th percentile=200% percent of target, 90th percentile or higher=300% maximum.</w:t>
      </w:r>
    </w:p>
    <w:p>
      <w:pPr>
        <w:spacing w:after="0" w:line="1" w:lineRule="exact"/>
        <w:rPr>
          <w:rFonts w:ascii="Times New Roman" w:cs="Times New Roman" w:eastAsia="Times New Roman" w:hAnsi="Times New Roman"/>
          <w:sz w:val="14"/>
          <w:szCs w:val="14"/>
          <w:color w:val="auto"/>
        </w:rPr>
      </w:pPr>
    </w:p>
    <w:p>
      <w:pPr>
        <w:ind w:left="419" w:hanging="419"/>
        <w:spacing w:after="0"/>
        <w:tabs>
          <w:tab w:leader="none" w:pos="419"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based non-qualified option grant on August 24, 2017, which shall vest upon the achievement of certain corporate objectives.</w:t>
      </w:r>
    </w:p>
    <w:p>
      <w:pPr>
        <w:spacing w:after="0" w:line="14" w:lineRule="exact"/>
        <w:rPr>
          <w:rFonts w:ascii="Times New Roman" w:cs="Times New Roman" w:eastAsia="Times New Roman" w:hAnsi="Times New Roman"/>
          <w:sz w:val="14"/>
          <w:szCs w:val="14"/>
          <w:color w:val="auto"/>
        </w:rPr>
      </w:pPr>
    </w:p>
    <w:p>
      <w:pPr>
        <w:ind w:left="419" w:hanging="419"/>
        <w:spacing w:after="0"/>
        <w:tabs>
          <w:tab w:leader="none" w:pos="419"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based non-qualified option grant on May 23, 2013, which shall vest upon the achievement of certain corporate objectives.</w:t>
      </w:r>
    </w:p>
    <w:p>
      <w:pPr>
        <w:spacing w:after="0" w:line="14" w:lineRule="exact"/>
        <w:rPr>
          <w:rFonts w:ascii="Times New Roman" w:cs="Times New Roman" w:eastAsia="Times New Roman" w:hAnsi="Times New Roman"/>
          <w:sz w:val="14"/>
          <w:szCs w:val="14"/>
          <w:color w:val="auto"/>
        </w:rPr>
      </w:pPr>
    </w:p>
    <w:p>
      <w:pPr>
        <w:ind w:left="419" w:right="140" w:hanging="419"/>
        <w:spacing w:after="0" w:line="241" w:lineRule="auto"/>
        <w:tabs>
          <w:tab w:leader="none" w:pos="419"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vesting on the anniversary of the vesting commencement date and 1/48th per month thereafter; being fully vested on the fourth anniversary of the vesting commencement date. The vesting commencement date is August 22, 2013.</w:t>
      </w:r>
    </w:p>
    <w:p>
      <w:pPr>
        <w:ind w:left="419" w:right="140" w:hanging="419"/>
        <w:spacing w:after="0" w:line="241" w:lineRule="auto"/>
        <w:tabs>
          <w:tab w:leader="none" w:pos="419"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vesting on the anniversary of the vesting commencement date and 1/48th per month thereafter; being fully vested on the fourth anniversary of the vesting commencement date. The vesting commencement date is August 21, 2014.</w:t>
      </w:r>
    </w:p>
    <w:p>
      <w:pPr>
        <w:ind w:left="419" w:right="140" w:hanging="419"/>
        <w:spacing w:after="0" w:line="241" w:lineRule="auto"/>
        <w:tabs>
          <w:tab w:leader="none" w:pos="419"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vesting on the anniversary of the vesting commencement date and 1/48th per month thereafter; being fully vested on the fourth anniversary of the vesting commencement date. The vesting commencement date is August 27, 2015.</w:t>
      </w:r>
    </w:p>
    <w:p>
      <w:pPr>
        <w:ind w:left="419" w:right="140" w:hanging="419"/>
        <w:spacing w:after="0" w:line="241" w:lineRule="auto"/>
        <w:tabs>
          <w:tab w:leader="none" w:pos="419"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vesting on the anniversary of the vesting commencement date and 1/48th per month thereafter; being fully vested on the fourth anniversary of the vesting commencement date. The vesting commencement date is November 19, 2015.</w:t>
      </w:r>
    </w:p>
    <w:p>
      <w:pPr>
        <w:ind w:left="419" w:right="140" w:hanging="419"/>
        <w:spacing w:after="0" w:line="241" w:lineRule="auto"/>
        <w:tabs>
          <w:tab w:leader="none" w:pos="419"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vesting on the anniversary of the vesting commencement date and 1/48th per month thereafter; being fully vested on the fourth anniversary of the vesting commencement date. The vesting commencement date is February 18, 2016.</w:t>
      </w:r>
    </w:p>
    <w:p>
      <w:pPr>
        <w:ind w:left="419" w:right="120" w:hanging="419"/>
        <w:spacing w:after="0" w:line="241" w:lineRule="auto"/>
        <w:tabs>
          <w:tab w:leader="none" w:pos="419"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 Award: 25% vest on each year anniversary of the vesting commencement date; shares shall fully vest on the fourth anniversary of the vesting commencement date. The vesting commencement date is November 11, 2022.</w:t>
      </w:r>
    </w:p>
    <w:p>
      <w:pPr>
        <w:ind w:left="419" w:right="140" w:hanging="419"/>
        <w:spacing w:after="0" w:line="241" w:lineRule="auto"/>
        <w:tabs>
          <w:tab w:leader="none" w:pos="419"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 vesting on the anniversary of the vesting commencement date and 1/48th per month thereafter; being fully vested on the fourth anniversary of the vesting commencement date. The vesting commencement date is February 16, 2017.</w:t>
      </w:r>
    </w:p>
    <w:p>
      <w:pPr>
        <w:ind w:left="419" w:hanging="419"/>
        <w:spacing w:after="0"/>
        <w:tabs>
          <w:tab w:leader="none" w:pos="419"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Performance based non-qualified option grant on February 16, 2017, which shall vest upon the achievement of certain corporate objectives.</w:t>
      </w:r>
    </w:p>
    <w:p>
      <w:pPr>
        <w:spacing w:after="0" w:line="168"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9"/>
          </w:cols>
          <w:pgMar w:left="341" w:top="346"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121" w:lineRule="exact"/>
        <w:rPr>
          <w:sz w:val="20"/>
          <w:szCs w:val="20"/>
          <w:color w:val="auto"/>
        </w:rPr>
      </w:pPr>
    </w:p>
    <w:p>
      <w:pPr>
        <w:ind w:firstLine="416"/>
        <w:spacing w:after="0" w:line="282" w:lineRule="auto"/>
        <w:rPr>
          <w:sz w:val="20"/>
          <w:szCs w:val="20"/>
          <w:color w:val="auto"/>
        </w:rPr>
      </w:pPr>
      <w:r>
        <w:rPr>
          <w:rFonts w:ascii="Times New Roman" w:cs="Times New Roman" w:eastAsia="Times New Roman" w:hAnsi="Times New Roman"/>
          <w:sz w:val="18"/>
          <w:szCs w:val="18"/>
          <w:color w:val="auto"/>
        </w:rPr>
        <w:t>The following table contains information relating to the exercise of options and vesting of stock by the named executive officers during the fiscal year ended December 31, 2022.</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840" w:type="dxa"/>
            <w:vAlign w:val="bottom"/>
          </w:tcPr>
          <w:p>
            <w:pPr>
              <w:spacing w:after="0"/>
              <w:rPr>
                <w:sz w:val="21"/>
                <w:szCs w:val="21"/>
                <w:color w:val="auto"/>
              </w:rPr>
            </w:pPr>
          </w:p>
        </w:tc>
        <w:tc>
          <w:tcPr>
            <w:tcW w:w="8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Stock Awards</w:t>
            </w:r>
            <w:r>
              <w:rPr>
                <w:rFonts w:ascii="Times New Roman" w:cs="Times New Roman" w:eastAsia="Times New Roman" w:hAnsi="Times New Roman"/>
                <w:sz w:val="19"/>
                <w:szCs w:val="19"/>
                <w:color w:val="auto"/>
                <w:vertAlign w:val="superscript"/>
              </w:rPr>
              <w:t>(1)</w:t>
            </w:r>
          </w:p>
        </w:tc>
        <w:tc>
          <w:tcPr>
            <w:tcW w:w="1260" w:type="dxa"/>
            <w:vAlign w:val="bottom"/>
          </w:tcPr>
          <w:p>
            <w:pPr>
              <w:spacing w:after="0"/>
              <w:rPr>
                <w:sz w:val="21"/>
                <w:szCs w:val="21"/>
                <w:color w:val="auto"/>
              </w:rPr>
            </w:pPr>
          </w:p>
        </w:tc>
      </w:tr>
      <w:tr>
        <w:trPr>
          <w:trHeight w:val="46"/>
        </w:trPr>
        <w:tc>
          <w:tcPr>
            <w:tcW w:w="1840" w:type="dxa"/>
            <w:vAlign w:val="bottom"/>
            <w:tcBorders>
              <w:bottom w:val="single" w:sz="8" w:color="8EAADB"/>
            </w:tcBorders>
          </w:tcPr>
          <w:p>
            <w:pPr>
              <w:spacing w:after="0"/>
              <w:rPr>
                <w:sz w:val="3"/>
                <w:szCs w:val="3"/>
                <w:color w:val="auto"/>
              </w:rPr>
            </w:pPr>
          </w:p>
        </w:tc>
        <w:tc>
          <w:tcPr>
            <w:tcW w:w="8020" w:type="dxa"/>
            <w:vAlign w:val="bottom"/>
            <w:tcBorders>
              <w:bottom w:val="single" w:sz="8" w:color="8EAADB"/>
            </w:tcBorders>
          </w:tcPr>
          <w:p>
            <w:pPr>
              <w:spacing w:after="0"/>
              <w:rPr>
                <w:sz w:val="3"/>
                <w:szCs w:val="3"/>
                <w:color w:val="auto"/>
              </w:rPr>
            </w:pPr>
          </w:p>
        </w:tc>
        <w:tc>
          <w:tcPr>
            <w:tcW w:w="1260" w:type="dxa"/>
            <w:vAlign w:val="bottom"/>
            <w:tcBorders>
              <w:bottom w:val="single" w:sz="8" w:color="8EAADB"/>
            </w:tcBorders>
          </w:tcPr>
          <w:p>
            <w:pPr>
              <w:spacing w:after="0"/>
              <w:rPr>
                <w:sz w:val="3"/>
                <w:szCs w:val="3"/>
                <w:color w:val="auto"/>
              </w:rPr>
            </w:pPr>
          </w:p>
        </w:tc>
      </w:tr>
      <w:tr>
        <w:trPr>
          <w:trHeight w:val="133"/>
        </w:trPr>
        <w:tc>
          <w:tcPr>
            <w:tcW w:w="1840" w:type="dxa"/>
            <w:vAlign w:val="bottom"/>
          </w:tcPr>
          <w:p>
            <w:pPr>
              <w:ind w:left="100"/>
              <w:spacing w:after="0" w:line="133" w:lineRule="exact"/>
              <w:rPr>
                <w:sz w:val="20"/>
                <w:szCs w:val="20"/>
                <w:color w:val="auto"/>
              </w:rPr>
            </w:pPr>
            <w:r>
              <w:rPr>
                <w:rFonts w:ascii="Times New Roman" w:cs="Times New Roman" w:eastAsia="Times New Roman" w:hAnsi="Times New Roman"/>
                <w:sz w:val="14"/>
                <w:szCs w:val="14"/>
                <w:color w:val="auto"/>
              </w:rPr>
              <w:t>Name</w:t>
            </w:r>
          </w:p>
        </w:tc>
        <w:tc>
          <w:tcPr>
            <w:tcW w:w="8020" w:type="dxa"/>
            <w:vAlign w:val="bottom"/>
          </w:tcPr>
          <w:p>
            <w:pPr>
              <w:jc w:val="center"/>
              <w:ind w:left="5118"/>
              <w:spacing w:after="0" w:line="133" w:lineRule="exact"/>
              <w:rPr>
                <w:sz w:val="20"/>
                <w:szCs w:val="20"/>
                <w:color w:val="auto"/>
              </w:rPr>
            </w:pPr>
            <w:r>
              <w:rPr>
                <w:rFonts w:ascii="Times New Roman" w:cs="Times New Roman" w:eastAsia="Times New Roman" w:hAnsi="Times New Roman"/>
                <w:sz w:val="14"/>
                <w:szCs w:val="14"/>
                <w:color w:val="auto"/>
              </w:rPr>
              <w:t>Number of</w:t>
            </w:r>
          </w:p>
        </w:tc>
        <w:tc>
          <w:tcPr>
            <w:tcW w:w="1260" w:type="dxa"/>
            <w:vAlign w:val="bottom"/>
          </w:tcPr>
          <w:p>
            <w:pPr>
              <w:jc w:val="center"/>
              <w:ind w:right="417"/>
              <w:spacing w:after="0" w:line="133" w:lineRule="exact"/>
              <w:rPr>
                <w:sz w:val="20"/>
                <w:szCs w:val="20"/>
                <w:color w:val="auto"/>
              </w:rPr>
            </w:pPr>
            <w:r>
              <w:rPr>
                <w:rFonts w:ascii="Times New Roman" w:cs="Times New Roman" w:eastAsia="Times New Roman" w:hAnsi="Times New Roman"/>
                <w:sz w:val="14"/>
                <w:szCs w:val="14"/>
                <w:color w:val="auto"/>
                <w:w w:val="95"/>
              </w:rPr>
              <w:t>Value</w:t>
            </w:r>
          </w:p>
        </w:tc>
      </w:tr>
      <w:tr>
        <w:trPr>
          <w:trHeight w:val="149"/>
        </w:trPr>
        <w:tc>
          <w:tcPr>
            <w:tcW w:w="1840" w:type="dxa"/>
            <w:vAlign w:val="bottom"/>
          </w:tcPr>
          <w:p>
            <w:pPr>
              <w:spacing w:after="0"/>
              <w:rPr>
                <w:sz w:val="12"/>
                <w:szCs w:val="12"/>
                <w:color w:val="auto"/>
              </w:rPr>
            </w:pPr>
          </w:p>
        </w:tc>
        <w:tc>
          <w:tcPr>
            <w:tcW w:w="8020" w:type="dxa"/>
            <w:vAlign w:val="bottom"/>
          </w:tcPr>
          <w:p>
            <w:pPr>
              <w:jc w:val="center"/>
              <w:ind w:left="5118"/>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1260" w:type="dxa"/>
            <w:vAlign w:val="bottom"/>
          </w:tcPr>
          <w:p>
            <w:pPr>
              <w:jc w:val="center"/>
              <w:ind w:right="437"/>
              <w:spacing w:after="0" w:line="149" w:lineRule="exact"/>
              <w:rPr>
                <w:sz w:val="20"/>
                <w:szCs w:val="20"/>
                <w:color w:val="auto"/>
              </w:rPr>
            </w:pPr>
            <w:r>
              <w:rPr>
                <w:rFonts w:ascii="Times New Roman" w:cs="Times New Roman" w:eastAsia="Times New Roman" w:hAnsi="Times New Roman"/>
                <w:sz w:val="14"/>
                <w:szCs w:val="14"/>
                <w:color w:val="auto"/>
              </w:rPr>
              <w:t>Realized</w:t>
            </w:r>
          </w:p>
        </w:tc>
      </w:tr>
      <w:tr>
        <w:trPr>
          <w:trHeight w:val="148"/>
        </w:trPr>
        <w:tc>
          <w:tcPr>
            <w:tcW w:w="1840" w:type="dxa"/>
            <w:vAlign w:val="bottom"/>
          </w:tcPr>
          <w:p>
            <w:pPr>
              <w:spacing w:after="0"/>
              <w:rPr>
                <w:sz w:val="12"/>
                <w:szCs w:val="12"/>
                <w:color w:val="auto"/>
              </w:rPr>
            </w:pPr>
          </w:p>
        </w:tc>
        <w:tc>
          <w:tcPr>
            <w:tcW w:w="8020" w:type="dxa"/>
            <w:vAlign w:val="bottom"/>
          </w:tcPr>
          <w:p>
            <w:pPr>
              <w:jc w:val="center"/>
              <w:ind w:left="5118"/>
              <w:spacing w:after="0" w:line="149" w:lineRule="exact"/>
              <w:rPr>
                <w:sz w:val="20"/>
                <w:szCs w:val="20"/>
                <w:color w:val="auto"/>
              </w:rPr>
            </w:pPr>
            <w:r>
              <w:rPr>
                <w:rFonts w:ascii="Times New Roman" w:cs="Times New Roman" w:eastAsia="Times New Roman" w:hAnsi="Times New Roman"/>
                <w:sz w:val="14"/>
                <w:szCs w:val="14"/>
                <w:color w:val="auto"/>
              </w:rPr>
              <w:t>Acquired</w:t>
            </w:r>
          </w:p>
        </w:tc>
        <w:tc>
          <w:tcPr>
            <w:tcW w:w="1260" w:type="dxa"/>
            <w:vAlign w:val="bottom"/>
          </w:tcPr>
          <w:p>
            <w:pPr>
              <w:jc w:val="center"/>
              <w:ind w:right="437"/>
              <w:spacing w:after="0" w:line="149" w:lineRule="exact"/>
              <w:rPr>
                <w:sz w:val="20"/>
                <w:szCs w:val="20"/>
                <w:color w:val="auto"/>
              </w:rPr>
            </w:pPr>
            <w:r>
              <w:rPr>
                <w:rFonts w:ascii="Times New Roman" w:cs="Times New Roman" w:eastAsia="Times New Roman" w:hAnsi="Times New Roman"/>
                <w:sz w:val="14"/>
                <w:szCs w:val="14"/>
                <w:color w:val="auto"/>
              </w:rPr>
              <w:t>on Vesting</w:t>
            </w:r>
          </w:p>
        </w:tc>
      </w:tr>
      <w:tr>
        <w:trPr>
          <w:trHeight w:val="148"/>
        </w:trPr>
        <w:tc>
          <w:tcPr>
            <w:tcW w:w="1840" w:type="dxa"/>
            <w:vAlign w:val="bottom"/>
          </w:tcPr>
          <w:p>
            <w:pPr>
              <w:spacing w:after="0"/>
              <w:rPr>
                <w:sz w:val="12"/>
                <w:szCs w:val="12"/>
                <w:color w:val="auto"/>
              </w:rPr>
            </w:pPr>
          </w:p>
        </w:tc>
        <w:tc>
          <w:tcPr>
            <w:tcW w:w="8020" w:type="dxa"/>
            <w:vAlign w:val="bottom"/>
          </w:tcPr>
          <w:p>
            <w:pPr>
              <w:jc w:val="center"/>
              <w:ind w:left="5118"/>
              <w:spacing w:after="0" w:line="149" w:lineRule="exact"/>
              <w:rPr>
                <w:sz w:val="20"/>
                <w:szCs w:val="20"/>
                <w:color w:val="auto"/>
              </w:rPr>
            </w:pPr>
            <w:r>
              <w:rPr>
                <w:rFonts w:ascii="Times New Roman" w:cs="Times New Roman" w:eastAsia="Times New Roman" w:hAnsi="Times New Roman"/>
                <w:sz w:val="14"/>
                <w:szCs w:val="14"/>
                <w:color w:val="auto"/>
              </w:rPr>
              <w:t>on Vesting</w:t>
            </w:r>
          </w:p>
        </w:tc>
        <w:tc>
          <w:tcPr>
            <w:tcW w:w="1260" w:type="dxa"/>
            <w:vAlign w:val="bottom"/>
          </w:tcPr>
          <w:p>
            <w:pPr>
              <w:jc w:val="center"/>
              <w:ind w:right="417"/>
              <w:spacing w:after="0" w:line="149" w:lineRule="exact"/>
              <w:rPr>
                <w:sz w:val="20"/>
                <w:szCs w:val="20"/>
                <w:color w:val="auto"/>
              </w:rPr>
            </w:pPr>
            <w:r>
              <w:rPr>
                <w:rFonts w:ascii="Times New Roman" w:cs="Times New Roman" w:eastAsia="Times New Roman" w:hAnsi="Times New Roman"/>
                <w:sz w:val="14"/>
                <w:szCs w:val="14"/>
                <w:color w:val="auto"/>
                <w:w w:val="97"/>
              </w:rPr>
              <w:t>($)</w:t>
            </w:r>
          </w:p>
        </w:tc>
      </w:tr>
      <w:tr>
        <w:trPr>
          <w:trHeight w:val="185"/>
        </w:trPr>
        <w:tc>
          <w:tcPr>
            <w:tcW w:w="1840" w:type="dxa"/>
            <w:vAlign w:val="bottom"/>
          </w:tcPr>
          <w:p>
            <w:pPr>
              <w:spacing w:after="0"/>
              <w:rPr>
                <w:sz w:val="16"/>
                <w:szCs w:val="16"/>
                <w:color w:val="auto"/>
              </w:rPr>
            </w:pPr>
          </w:p>
        </w:tc>
        <w:tc>
          <w:tcPr>
            <w:tcW w:w="8020" w:type="dxa"/>
            <w:vAlign w:val="bottom"/>
          </w:tcPr>
          <w:p>
            <w:pPr>
              <w:jc w:val="center"/>
              <w:ind w:left="5118"/>
              <w:spacing w:after="0"/>
              <w:rPr>
                <w:sz w:val="20"/>
                <w:szCs w:val="20"/>
                <w:color w:val="auto"/>
              </w:rPr>
            </w:pPr>
            <w:r>
              <w:rPr>
                <w:rFonts w:ascii="Times New Roman" w:cs="Times New Roman" w:eastAsia="Times New Roman" w:hAnsi="Times New Roman"/>
                <w:sz w:val="14"/>
                <w:szCs w:val="14"/>
                <w:color w:val="auto"/>
              </w:rPr>
              <w:t>(#)</w:t>
            </w:r>
          </w:p>
        </w:tc>
        <w:tc>
          <w:tcPr>
            <w:tcW w:w="1260" w:type="dxa"/>
            <w:vAlign w:val="bottom"/>
          </w:tcPr>
          <w:p>
            <w:pPr>
              <w:spacing w:after="0"/>
              <w:rPr>
                <w:sz w:val="16"/>
                <w:szCs w:val="16"/>
                <w:color w:val="auto"/>
              </w:rPr>
            </w:pPr>
          </w:p>
        </w:tc>
      </w:tr>
      <w:tr>
        <w:trPr>
          <w:trHeight w:val="243"/>
        </w:trPr>
        <w:tc>
          <w:tcPr>
            <w:tcW w:w="1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Michael E. Castagna</w:t>
            </w:r>
          </w:p>
        </w:tc>
        <w:tc>
          <w:tcPr>
            <w:tcW w:w="8020" w:type="dxa"/>
            <w:vAlign w:val="bottom"/>
            <w:shd w:val="clear" w:color="auto" w:fill="CFF0FC"/>
          </w:tcPr>
          <w:p>
            <w:pPr>
              <w:jc w:val="right"/>
              <w:ind w:right="638"/>
              <w:spacing w:after="0"/>
              <w:rPr>
                <w:sz w:val="20"/>
                <w:szCs w:val="20"/>
                <w:color w:val="auto"/>
              </w:rPr>
            </w:pPr>
            <w:r>
              <w:rPr>
                <w:rFonts w:ascii="Times New Roman" w:cs="Times New Roman" w:eastAsia="Times New Roman" w:hAnsi="Times New Roman"/>
                <w:sz w:val="18"/>
                <w:szCs w:val="18"/>
                <w:color w:val="auto"/>
              </w:rPr>
              <w:t>149,773</w:t>
            </w:r>
          </w:p>
        </w:tc>
        <w:tc>
          <w:tcPr>
            <w:tcW w:w="126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8"/>
                <w:szCs w:val="18"/>
                <w:color w:val="auto"/>
              </w:rPr>
              <w:t>532,991</w:t>
            </w:r>
          </w:p>
        </w:tc>
      </w:tr>
      <w:tr>
        <w:trPr>
          <w:trHeight w:val="239"/>
        </w:trPr>
        <w:tc>
          <w:tcPr>
            <w:tcW w:w="1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Steven B. Binder</w:t>
            </w:r>
          </w:p>
        </w:tc>
        <w:tc>
          <w:tcPr>
            <w:tcW w:w="8020" w:type="dxa"/>
            <w:vAlign w:val="bottom"/>
          </w:tcPr>
          <w:p>
            <w:pPr>
              <w:jc w:val="right"/>
              <w:ind w:right="638"/>
              <w:spacing w:after="0"/>
              <w:rPr>
                <w:sz w:val="20"/>
                <w:szCs w:val="20"/>
                <w:color w:val="auto"/>
              </w:rPr>
            </w:pPr>
            <w:r>
              <w:rPr>
                <w:rFonts w:ascii="Times New Roman" w:cs="Times New Roman" w:eastAsia="Times New Roman" w:hAnsi="Times New Roman"/>
                <w:sz w:val="18"/>
                <w:szCs w:val="18"/>
                <w:color w:val="auto"/>
              </w:rPr>
              <w:t>58,269</w:t>
            </w:r>
          </w:p>
        </w:tc>
        <w:tc>
          <w:tcPr>
            <w:tcW w:w="126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208,018</w:t>
            </w:r>
          </w:p>
        </w:tc>
      </w:tr>
      <w:tr>
        <w:trPr>
          <w:trHeight w:val="247"/>
        </w:trPr>
        <w:tc>
          <w:tcPr>
            <w:tcW w:w="1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Alejandro Galindo</w:t>
            </w:r>
          </w:p>
        </w:tc>
        <w:tc>
          <w:tcPr>
            <w:tcW w:w="8020" w:type="dxa"/>
            <w:vAlign w:val="bottom"/>
            <w:shd w:val="clear" w:color="auto" w:fill="CFF0FC"/>
          </w:tcPr>
          <w:p>
            <w:pPr>
              <w:jc w:val="right"/>
              <w:ind w:right="638"/>
              <w:spacing w:after="0"/>
              <w:rPr>
                <w:sz w:val="20"/>
                <w:szCs w:val="20"/>
                <w:color w:val="auto"/>
              </w:rPr>
            </w:pPr>
            <w:r>
              <w:rPr>
                <w:rFonts w:ascii="Times New Roman" w:cs="Times New Roman" w:eastAsia="Times New Roman" w:hAnsi="Times New Roman"/>
                <w:sz w:val="18"/>
                <w:szCs w:val="18"/>
                <w:color w:val="auto"/>
              </w:rPr>
              <w:t>57,250</w:t>
            </w:r>
          </w:p>
        </w:tc>
        <w:tc>
          <w:tcPr>
            <w:tcW w:w="126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8"/>
                <w:szCs w:val="18"/>
                <w:color w:val="auto"/>
              </w:rPr>
              <w:t>204,768</w:t>
            </w:r>
          </w:p>
        </w:tc>
      </w:tr>
      <w:tr>
        <w:trPr>
          <w:trHeight w:val="239"/>
        </w:trPr>
        <w:tc>
          <w:tcPr>
            <w:tcW w:w="1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Joseph Kocinsky</w:t>
            </w:r>
          </w:p>
        </w:tc>
        <w:tc>
          <w:tcPr>
            <w:tcW w:w="8020" w:type="dxa"/>
            <w:vAlign w:val="bottom"/>
          </w:tcPr>
          <w:p>
            <w:pPr>
              <w:jc w:val="right"/>
              <w:ind w:right="638"/>
              <w:spacing w:after="0"/>
              <w:rPr>
                <w:sz w:val="20"/>
                <w:szCs w:val="20"/>
                <w:color w:val="auto"/>
              </w:rPr>
            </w:pPr>
            <w:r>
              <w:rPr>
                <w:rFonts w:ascii="Times New Roman" w:cs="Times New Roman" w:eastAsia="Times New Roman" w:hAnsi="Times New Roman"/>
                <w:sz w:val="18"/>
                <w:szCs w:val="18"/>
                <w:color w:val="auto"/>
              </w:rPr>
              <w:t>58,224</w:t>
            </w:r>
          </w:p>
        </w:tc>
        <w:tc>
          <w:tcPr>
            <w:tcW w:w="126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207,875</w:t>
            </w:r>
          </w:p>
        </w:tc>
      </w:tr>
      <w:tr>
        <w:trPr>
          <w:trHeight w:val="247"/>
        </w:trPr>
        <w:tc>
          <w:tcPr>
            <w:tcW w:w="1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Sanjay Singh</w:t>
            </w:r>
          </w:p>
        </w:tc>
        <w:tc>
          <w:tcPr>
            <w:tcW w:w="8020" w:type="dxa"/>
            <w:vAlign w:val="bottom"/>
            <w:shd w:val="clear" w:color="auto" w:fill="CFF0FC"/>
          </w:tcPr>
          <w:p>
            <w:pPr>
              <w:jc w:val="right"/>
              <w:ind w:right="638"/>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1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David B. Thomson</w:t>
            </w:r>
          </w:p>
        </w:tc>
        <w:tc>
          <w:tcPr>
            <w:tcW w:w="8020" w:type="dxa"/>
            <w:vAlign w:val="bottom"/>
          </w:tcPr>
          <w:p>
            <w:pPr>
              <w:jc w:val="right"/>
              <w:ind w:right="638"/>
              <w:spacing w:after="0"/>
              <w:rPr>
                <w:sz w:val="20"/>
                <w:szCs w:val="20"/>
                <w:color w:val="auto"/>
              </w:rPr>
            </w:pPr>
            <w:r>
              <w:rPr>
                <w:rFonts w:ascii="Times New Roman" w:cs="Times New Roman" w:eastAsia="Times New Roman" w:hAnsi="Times New Roman"/>
                <w:sz w:val="18"/>
                <w:szCs w:val="18"/>
                <w:color w:val="auto"/>
              </w:rPr>
              <w:t>58,353</w:t>
            </w:r>
          </w:p>
        </w:tc>
        <w:tc>
          <w:tcPr>
            <w:tcW w:w="126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208,286</w:t>
            </w:r>
          </w:p>
        </w:tc>
      </w:tr>
      <w:tr>
        <w:trPr>
          <w:trHeight w:val="247"/>
        </w:trPr>
        <w:tc>
          <w:tcPr>
            <w:tcW w:w="18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Stuart Tross</w:t>
            </w:r>
          </w:p>
        </w:tc>
        <w:tc>
          <w:tcPr>
            <w:tcW w:w="8020" w:type="dxa"/>
            <w:vAlign w:val="bottom"/>
            <w:shd w:val="clear" w:color="auto" w:fill="CFF0FC"/>
          </w:tcPr>
          <w:p>
            <w:pPr>
              <w:jc w:val="right"/>
              <w:ind w:right="638"/>
              <w:spacing w:after="0"/>
              <w:rPr>
                <w:sz w:val="20"/>
                <w:szCs w:val="20"/>
                <w:color w:val="auto"/>
              </w:rPr>
            </w:pPr>
            <w:r>
              <w:rPr>
                <w:rFonts w:ascii="Times New Roman" w:cs="Times New Roman" w:eastAsia="Times New Roman" w:hAnsi="Times New Roman"/>
                <w:sz w:val="18"/>
                <w:szCs w:val="18"/>
                <w:color w:val="auto"/>
              </w:rPr>
              <w:t>58,179</w:t>
            </w:r>
          </w:p>
        </w:tc>
        <w:tc>
          <w:tcPr>
            <w:tcW w:w="1260" w:type="dxa"/>
            <w:vAlign w:val="bottom"/>
            <w:shd w:val="clear" w:color="auto" w:fill="CFF0FC"/>
          </w:tcPr>
          <w:p>
            <w:pPr>
              <w:jc w:val="right"/>
              <w:ind w:right="117"/>
              <w:spacing w:after="0"/>
              <w:rPr>
                <w:sz w:val="20"/>
                <w:szCs w:val="20"/>
                <w:color w:val="auto"/>
              </w:rPr>
            </w:pPr>
            <w:r>
              <w:rPr>
                <w:rFonts w:ascii="Times New Roman" w:cs="Times New Roman" w:eastAsia="Times New Roman" w:hAnsi="Times New Roman"/>
                <w:sz w:val="18"/>
                <w:szCs w:val="18"/>
                <w:color w:val="auto"/>
              </w:rPr>
              <w:t>207,731</w:t>
            </w:r>
          </w:p>
        </w:tc>
      </w:tr>
      <w:tr>
        <w:trPr>
          <w:trHeight w:val="135"/>
        </w:trPr>
        <w:tc>
          <w:tcPr>
            <w:tcW w:w="1840" w:type="dxa"/>
            <w:vAlign w:val="bottom"/>
            <w:tcBorders>
              <w:bottom w:val="single" w:sz="8" w:color="auto"/>
            </w:tcBorders>
          </w:tcPr>
          <w:p>
            <w:pPr>
              <w:spacing w:after="0"/>
              <w:rPr>
                <w:sz w:val="11"/>
                <w:szCs w:val="11"/>
                <w:color w:val="auto"/>
              </w:rPr>
            </w:pPr>
          </w:p>
        </w:tc>
        <w:tc>
          <w:tcPr>
            <w:tcW w:w="8020" w:type="dxa"/>
            <w:vAlign w:val="bottom"/>
          </w:tcPr>
          <w:p>
            <w:pPr>
              <w:spacing w:after="0"/>
              <w:rPr>
                <w:sz w:val="11"/>
                <w:szCs w:val="11"/>
                <w:color w:val="auto"/>
              </w:rPr>
            </w:pPr>
          </w:p>
        </w:tc>
        <w:tc>
          <w:tcPr>
            <w:tcW w:w="1260" w:type="dxa"/>
            <w:vAlign w:val="bottom"/>
          </w:tcPr>
          <w:p>
            <w:pPr>
              <w:spacing w:after="0"/>
              <w:rPr>
                <w:sz w:val="11"/>
                <w:szCs w:val="11"/>
                <w:color w:val="auto"/>
              </w:rPr>
            </w:pPr>
          </w:p>
        </w:tc>
      </w:tr>
    </w:tbl>
    <w:p>
      <w:pPr>
        <w:spacing w:after="0" w:line="139" w:lineRule="exact"/>
        <w:rPr>
          <w:sz w:val="20"/>
          <w:szCs w:val="20"/>
          <w:color w:val="auto"/>
        </w:rPr>
      </w:pPr>
    </w:p>
    <w:p>
      <w:pPr>
        <w:ind w:left="440" w:hanging="419"/>
        <w:spacing w:after="0"/>
        <w:tabs>
          <w:tab w:leader="none" w:pos="4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acquired on vesting represent restricted stock awards that vested during the one-year period.</w:t>
      </w:r>
    </w:p>
    <w:p>
      <w:pPr>
        <w:spacing w:after="0" w:line="3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CEO Pay Ratio</w:t>
      </w:r>
    </w:p>
    <w:p>
      <w:pPr>
        <w:spacing w:after="0" w:line="121" w:lineRule="exact"/>
        <w:rPr>
          <w:sz w:val="20"/>
          <w:szCs w:val="20"/>
          <w:color w:val="auto"/>
        </w:rPr>
      </w:pPr>
    </w:p>
    <w:p>
      <w:pPr>
        <w:ind w:right="120" w:firstLine="416"/>
        <w:spacing w:after="0" w:line="266"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and Item 402(u) of Regulation S-K, we are providing the following information about the relationship of the annual total compensation of our median employee and the annual total compensation of Mr. Michael Castagna, our Chief Executive Officer.</w:t>
      </w:r>
    </w:p>
    <w:p>
      <w:pPr>
        <w:spacing w:after="0" w:line="176" w:lineRule="exact"/>
        <w:rPr>
          <w:sz w:val="20"/>
          <w:szCs w:val="20"/>
          <w:color w:val="auto"/>
        </w:rPr>
      </w:pPr>
    </w:p>
    <w:p>
      <w:pPr>
        <w:ind w:right="140" w:firstLine="416"/>
        <w:spacing w:after="0" w:line="261" w:lineRule="auto"/>
        <w:rPr>
          <w:sz w:val="20"/>
          <w:szCs w:val="20"/>
          <w:color w:val="auto"/>
        </w:rPr>
      </w:pPr>
      <w:r>
        <w:rPr>
          <w:rFonts w:ascii="Times New Roman" w:cs="Times New Roman" w:eastAsia="Times New Roman" w:hAnsi="Times New Roman"/>
          <w:sz w:val="18"/>
          <w:szCs w:val="18"/>
          <w:color w:val="auto"/>
        </w:rPr>
        <w:t>In calculating the annual total compensation, we used the actual base salary in 2022, the actual cash short-term incentive compensation paid in 2023 for performance in 2022, the grant date fair value of the equity awards granted in 2022, and the value of all other compensation, contributions under the 401(k) plan and medical benefits. We identified the median employee by examining the 2022 total compensation for all individuals, excluding our CEO, who were employed by us on December 31, 2022. We included all employees, as all our employees are U.S.-based.</w:t>
      </w:r>
    </w:p>
    <w:p>
      <w:pPr>
        <w:spacing w:after="0" w:line="180" w:lineRule="exact"/>
        <w:rPr>
          <w:sz w:val="20"/>
          <w:szCs w:val="20"/>
          <w:color w:val="auto"/>
        </w:rPr>
      </w:pPr>
    </w:p>
    <w:p>
      <w:pPr>
        <w:ind w:right="180" w:firstLine="416"/>
        <w:spacing w:after="0" w:line="282" w:lineRule="auto"/>
        <w:rPr>
          <w:sz w:val="20"/>
          <w:szCs w:val="20"/>
          <w:color w:val="auto"/>
        </w:rPr>
      </w:pPr>
      <w:r>
        <w:rPr>
          <w:rFonts w:ascii="Times New Roman" w:cs="Times New Roman" w:eastAsia="Times New Roman" w:hAnsi="Times New Roman"/>
          <w:sz w:val="18"/>
          <w:szCs w:val="18"/>
          <w:color w:val="auto"/>
        </w:rPr>
        <w:t>The annual total compensation for 2022 was $152,263 for our median employee and $3,905,058 for Mr. Castagna. The resulting ratio of our CEO’s pay to the pay of our median employee for 2022 is approximately 25.6 to 1.</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color w:val="auto"/>
        </w:rPr>
        <w:t>Item 402(v) Pay Versus Performance</w:t>
      </w:r>
    </w:p>
    <w:p>
      <w:pPr>
        <w:spacing w:after="0" w:line="229" w:lineRule="exact"/>
        <w:rPr>
          <w:sz w:val="20"/>
          <w:szCs w:val="20"/>
          <w:color w:val="auto"/>
        </w:rPr>
      </w:pPr>
    </w:p>
    <w:p>
      <w:pPr>
        <w:ind w:right="240" w:firstLine="419"/>
        <w:spacing w:after="0" w:line="261" w:lineRule="auto"/>
        <w:rPr>
          <w:sz w:val="20"/>
          <w:szCs w:val="20"/>
          <w:color w:val="auto"/>
        </w:rPr>
      </w:pPr>
      <w:r>
        <w:rPr>
          <w:rFonts w:ascii="Times New Roman" w:cs="Times New Roman" w:eastAsia="Times New Roman" w:hAnsi="Times New Roman"/>
          <w:sz w:val="18"/>
          <w:szCs w:val="18"/>
          <w:color w:val="auto"/>
        </w:rPr>
        <w:t>The disclosure included in this section is prescribed by SEC rules and does not necessarily align with how the Company or the Compensation Committee view the link between the Company’s performance and named executive officer (“NEO”) pay. For additional information about our pay-for-performance philosophy and how we align executive compensation with Company performance, refer to the Compensation Discussion and Analysis beginning on page 51.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Tabular Disclosure of Pay Versus Performance</w:t>
      </w:r>
    </w:p>
    <w:p>
      <w:pPr>
        <w:spacing w:after="0" w:line="229" w:lineRule="exact"/>
        <w:rPr>
          <w:sz w:val="20"/>
          <w:szCs w:val="20"/>
          <w:color w:val="auto"/>
        </w:rPr>
      </w:pPr>
    </w:p>
    <w:p>
      <w:pPr>
        <w:ind w:right="20" w:firstLine="419"/>
        <w:spacing w:after="0" w:line="261" w:lineRule="auto"/>
        <w:rPr>
          <w:sz w:val="20"/>
          <w:szCs w:val="20"/>
          <w:color w:val="auto"/>
        </w:rPr>
      </w:pPr>
      <w:r>
        <w:rPr>
          <w:rFonts w:ascii="Times New Roman" w:cs="Times New Roman" w:eastAsia="Times New Roman" w:hAnsi="Times New Roman"/>
          <w:sz w:val="18"/>
          <w:szCs w:val="18"/>
          <w:color w:val="auto"/>
        </w:rPr>
        <w:t>The amounts set forth below under the headings “Compensation Actually Paid to PEO” and “Average Compensation Actually Paid for Non-PEO NEOs” have been calculated in a manner consistent with Item 402(v) of Regulation S-K. Use of the term “compensation actually paid” (“CAP”) is required by the SEC’s rules and as a result of the calculation methodology required by the SEC, such amounts differ from compensation actually received by the individuals and the compensation decisions described in the “Compensation Discussion and Analysis” section above.</w:t>
      </w:r>
    </w:p>
    <w:p>
      <w:pPr>
        <w:spacing w:after="0" w:line="200" w:lineRule="exact"/>
        <w:rPr>
          <w:sz w:val="20"/>
          <w:szCs w:val="20"/>
          <w:color w:val="auto"/>
        </w:rPr>
      </w:pPr>
    </w:p>
    <w:p>
      <w:pPr>
        <w:spacing w:after="0" w:line="218" w:lineRule="exact"/>
        <w:rPr>
          <w:sz w:val="20"/>
          <w:szCs w:val="20"/>
          <w:color w:val="auto"/>
        </w:rPr>
      </w:pPr>
    </w:p>
    <w:tbl>
      <w:tblPr>
        <w:tblLayout w:type="fixed"/>
        <w:tblInd w:w="10" w:type="dxa"/>
        <w:tblCellMar>
          <w:top w:w="0" w:type="dxa"/>
          <w:left w:w="0" w:type="dxa"/>
          <w:bottom w:w="0" w:type="dxa"/>
          <w:right w:w="0" w:type="dxa"/>
        </w:tblCellMar>
      </w:tblPr>
      <w:tr>
        <w:trPr>
          <w:trHeight w:val="263"/>
        </w:trPr>
        <w:tc>
          <w:tcPr>
            <w:tcW w:w="740" w:type="dxa"/>
            <w:vAlign w:val="bottom"/>
            <w:tcBorders>
              <w:top w:val="single" w:sz="8" w:color="auto"/>
              <w:left w:val="single" w:sz="8" w:color="auto"/>
              <w:bottom w:val="single" w:sz="8" w:color="auto"/>
              <w:right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(a)</w:t>
            </w:r>
          </w:p>
        </w:tc>
        <w:tc>
          <w:tcPr>
            <w:tcW w:w="1280" w:type="dxa"/>
            <w:vAlign w:val="bottom"/>
            <w:tcBorders>
              <w:top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(b)</w:t>
            </w:r>
          </w:p>
        </w:tc>
        <w:tc>
          <w:tcPr>
            <w:tcW w:w="1200" w:type="dxa"/>
            <w:vAlign w:val="bottom"/>
            <w:tcBorders>
              <w:top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(c)</w:t>
            </w:r>
          </w:p>
        </w:tc>
        <w:tc>
          <w:tcPr>
            <w:tcW w:w="1540" w:type="dxa"/>
            <w:vAlign w:val="bottom"/>
            <w:tcBorders>
              <w:top w:val="single" w:sz="8" w:color="auto"/>
              <w:bottom w:val="single" w:sz="8" w:color="auto"/>
              <w:right w:val="single" w:sz="8" w:color="auto"/>
            </w:tcBorders>
          </w:tcPr>
          <w:p>
            <w:pPr>
              <w:ind w:left="640"/>
              <w:spacing w:after="0"/>
              <w:rPr>
                <w:sz w:val="20"/>
                <w:szCs w:val="20"/>
                <w:color w:val="auto"/>
              </w:rPr>
            </w:pPr>
            <w:r>
              <w:rPr>
                <w:rFonts w:ascii="Times New Roman" w:cs="Times New Roman" w:eastAsia="Times New Roman" w:hAnsi="Times New Roman"/>
                <w:sz w:val="14"/>
                <w:szCs w:val="14"/>
                <w:b w:val="1"/>
                <w:bCs w:val="1"/>
                <w:color w:val="auto"/>
              </w:rPr>
              <w:t>(d)</w:t>
            </w:r>
          </w:p>
        </w:tc>
        <w:tc>
          <w:tcPr>
            <w:tcW w:w="14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1000" w:type="dxa"/>
            <w:vAlign w:val="bottom"/>
            <w:tcBorders>
              <w:top w:val="single" w:sz="8" w:color="auto"/>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(f)</w:t>
            </w:r>
          </w:p>
        </w:tc>
        <w:tc>
          <w:tcPr>
            <w:tcW w:w="180" w:type="dxa"/>
            <w:vAlign w:val="bottom"/>
            <w:tcBorders>
              <w:top w:val="single" w:sz="8" w:color="auto"/>
              <w:bottom w:val="single" w:sz="8" w:color="auto"/>
              <w:right w:val="single" w:sz="8" w:color="auto"/>
            </w:tcBorders>
          </w:tcPr>
          <w:p>
            <w:pPr>
              <w:spacing w:after="0"/>
              <w:rPr>
                <w:sz w:val="22"/>
                <w:szCs w:val="22"/>
                <w:color w:val="auto"/>
              </w:rPr>
            </w:pPr>
          </w:p>
        </w:tc>
        <w:tc>
          <w:tcPr>
            <w:tcW w:w="1580" w:type="dxa"/>
            <w:vAlign w:val="bottom"/>
            <w:tcBorders>
              <w:top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(g)</w:t>
            </w:r>
          </w:p>
        </w:tc>
        <w:tc>
          <w:tcPr>
            <w:tcW w:w="11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w:t>
            </w:r>
          </w:p>
        </w:tc>
        <w:tc>
          <w:tcPr>
            <w:tcW w:w="11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0"/>
              </w:rPr>
              <w:t>(i)</w:t>
            </w:r>
          </w:p>
        </w:tc>
        <w:tc>
          <w:tcPr>
            <w:tcW w:w="0" w:type="dxa"/>
            <w:vAlign w:val="bottom"/>
          </w:tcPr>
          <w:p>
            <w:pPr>
              <w:spacing w:after="0"/>
              <w:rPr>
                <w:sz w:val="1"/>
                <w:szCs w:val="1"/>
                <w:color w:val="auto"/>
              </w:rPr>
            </w:pPr>
          </w:p>
        </w:tc>
      </w:tr>
      <w:tr>
        <w:trPr>
          <w:trHeight w:val="411"/>
        </w:trPr>
        <w:tc>
          <w:tcPr>
            <w:tcW w:w="7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1540" w:type="dxa"/>
            <w:vAlign w:val="bottom"/>
            <w:tcBorders>
              <w:right w:val="single" w:sz="8" w:color="auto"/>
            </w:tcBorders>
          </w:tcPr>
          <w:p>
            <w:pPr>
              <w:spacing w:after="0"/>
              <w:rPr>
                <w:sz w:val="24"/>
                <w:szCs w:val="24"/>
                <w:color w:val="auto"/>
              </w:rPr>
            </w:pPr>
          </w:p>
        </w:tc>
        <w:tc>
          <w:tcPr>
            <w:tcW w:w="1460" w:type="dxa"/>
            <w:vAlign w:val="bottom"/>
            <w:tcBorders>
              <w:right w:val="single" w:sz="8" w:color="auto"/>
            </w:tcBorders>
          </w:tcPr>
          <w:p>
            <w:pPr>
              <w:spacing w:after="0"/>
              <w:rPr>
                <w:sz w:val="24"/>
                <w:szCs w:val="24"/>
                <w:color w:val="auto"/>
              </w:rPr>
            </w:pPr>
          </w:p>
        </w:tc>
        <w:tc>
          <w:tcPr>
            <w:tcW w:w="276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Value of Initial Fixed $100 Investment</w:t>
            </w:r>
          </w:p>
        </w:tc>
        <w:tc>
          <w:tcPr>
            <w:tcW w:w="1120" w:type="dxa"/>
            <w:vAlign w:val="bottom"/>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74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tcPr>
          <w:p>
            <w:pPr>
              <w:spacing w:after="0"/>
              <w:rPr>
                <w:sz w:val="16"/>
                <w:szCs w:val="16"/>
                <w:color w:val="auto"/>
              </w:rPr>
            </w:pPr>
          </w:p>
        </w:tc>
        <w:tc>
          <w:tcPr>
            <w:tcW w:w="120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1460" w:type="dxa"/>
            <w:vAlign w:val="bottom"/>
            <w:tcBorders>
              <w:right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60" w:type="dxa"/>
            <w:vAlign w:val="bottom"/>
            <w:tcBorders>
              <w:bottom w:val="single" w:sz="8" w:color="auto"/>
              <w:right w:val="single" w:sz="8" w:color="auto"/>
            </w:tcBorders>
            <w:gridSpan w:val="2"/>
          </w:tcPr>
          <w:p>
            <w:pPr>
              <w:jc w:val="center"/>
              <w:ind w:right="848"/>
              <w:spacing w:after="0"/>
              <w:rPr>
                <w:sz w:val="20"/>
                <w:szCs w:val="20"/>
                <w:color w:val="auto"/>
              </w:rPr>
            </w:pPr>
            <w:r>
              <w:rPr>
                <w:rFonts w:ascii="Times New Roman" w:cs="Times New Roman" w:eastAsia="Times New Roman" w:hAnsi="Times New Roman"/>
                <w:sz w:val="14"/>
                <w:szCs w:val="14"/>
                <w:b w:val="1"/>
                <w:bCs w:val="1"/>
                <w:color w:val="auto"/>
              </w:rPr>
              <w:t>Based on:(4)</w:t>
            </w:r>
          </w:p>
        </w:tc>
        <w:tc>
          <w:tcPr>
            <w:tcW w:w="1120" w:type="dxa"/>
            <w:vAlign w:val="bottom"/>
          </w:tcPr>
          <w:p>
            <w:pPr>
              <w:spacing w:after="0"/>
              <w:rPr>
                <w:sz w:val="16"/>
                <w:szCs w:val="16"/>
                <w:color w:val="auto"/>
              </w:rPr>
            </w:pPr>
          </w:p>
        </w:tc>
        <w:tc>
          <w:tcPr>
            <w:tcW w:w="11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401"/>
        </w:trPr>
        <w:tc>
          <w:tcPr>
            <w:tcW w:w="740" w:type="dxa"/>
            <w:vAlign w:val="bottom"/>
            <w:tcBorders>
              <w:right w:val="single" w:sz="8" w:color="auto"/>
            </w:tcBorders>
          </w:tcPr>
          <w:p>
            <w:pPr>
              <w:spacing w:after="0"/>
              <w:rPr>
                <w:sz w:val="24"/>
                <w:szCs w:val="24"/>
                <w:color w:val="auto"/>
              </w:rPr>
            </w:pPr>
          </w:p>
        </w:tc>
        <w:tc>
          <w:tcPr>
            <w:tcW w:w="1280" w:type="dxa"/>
            <w:vAlign w:val="bottom"/>
            <w:tcBorders>
              <w:right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200" w:type="dxa"/>
            <w:vAlign w:val="bottom"/>
            <w:tcBorders>
              <w:right w:val="single" w:sz="8" w:color="auto"/>
            </w:tcBorders>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5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000" w:type="dxa"/>
            <w:vAlign w:val="bottom"/>
            <w:vMerge w:val="restart"/>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80" w:type="dxa"/>
            <w:vAlign w:val="bottom"/>
            <w:tcBorders>
              <w:right w:val="single" w:sz="8" w:color="auto"/>
            </w:tcBorders>
          </w:tcPr>
          <w:p>
            <w:pPr>
              <w:spacing w:after="0"/>
              <w:rPr>
                <w:sz w:val="24"/>
                <w:szCs w:val="24"/>
                <w:color w:val="auto"/>
              </w:rPr>
            </w:pPr>
          </w:p>
        </w:tc>
        <w:tc>
          <w:tcPr>
            <w:tcW w:w="1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NASDAQ</w:t>
            </w:r>
          </w:p>
        </w:tc>
        <w:tc>
          <w:tcPr>
            <w:tcW w:w="1120" w:type="dxa"/>
            <w:vAlign w:val="bottom"/>
            <w:tcBorders>
              <w:right w:val="single" w:sz="8" w:color="auto"/>
            </w:tcBorders>
          </w:tcPr>
          <w:p>
            <w:pPr>
              <w:spacing w:after="0"/>
              <w:rPr>
                <w:sz w:val="24"/>
                <w:szCs w:val="24"/>
                <w:color w:val="auto"/>
              </w:rPr>
            </w:pPr>
          </w:p>
        </w:tc>
        <w:tc>
          <w:tcPr>
            <w:tcW w:w="11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74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200" w:type="dxa"/>
            <w:vAlign w:val="bottom"/>
            <w:tcBorders>
              <w:right w:val="single" w:sz="8" w:color="auto"/>
            </w:tcBorders>
            <w:vMerge w:val="continue"/>
          </w:tcPr>
          <w:p>
            <w:pPr>
              <w:spacing w:after="0"/>
              <w:rPr>
                <w:sz w:val="12"/>
                <w:szCs w:val="12"/>
                <w:color w:val="auto"/>
              </w:rPr>
            </w:pP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 Table</w:t>
            </w:r>
          </w:p>
        </w:tc>
        <w:tc>
          <w:tcPr>
            <w:tcW w:w="14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0" w:type="dxa"/>
            <w:vAlign w:val="bottom"/>
            <w:vMerge w:val="continue"/>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Biotechnology Index</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Net Loss</w:t>
            </w:r>
          </w:p>
        </w:tc>
        <w:tc>
          <w:tcPr>
            <w:tcW w:w="11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74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Table Total for</w:t>
            </w:r>
          </w:p>
        </w:tc>
        <w:tc>
          <w:tcPr>
            <w:tcW w:w="120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for Non-PEO</w:t>
            </w:r>
          </w:p>
        </w:tc>
        <w:tc>
          <w:tcPr>
            <w:tcW w:w="14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 to</w:t>
            </w:r>
          </w:p>
        </w:tc>
        <w:tc>
          <w:tcPr>
            <w:tcW w:w="1000" w:type="dxa"/>
            <w:vAlign w:val="bottom"/>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8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Shareholder</w:t>
            </w:r>
          </w:p>
        </w:tc>
        <w:tc>
          <w:tcPr>
            <w:tcW w:w="1120" w:type="dxa"/>
            <w:vAlign w:val="bottom"/>
            <w:tcBorders>
              <w:right w:val="single" w:sz="8" w:color="auto"/>
            </w:tcBorders>
            <w:vMerge w:val="continue"/>
          </w:tcPr>
          <w:p>
            <w:pPr>
              <w:spacing w:after="0"/>
              <w:rPr>
                <w:sz w:val="12"/>
                <w:szCs w:val="12"/>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0" w:type="dxa"/>
            <w:vAlign w:val="bottom"/>
          </w:tcPr>
          <w:p>
            <w:pPr>
              <w:spacing w:after="0"/>
              <w:rPr>
                <w:sz w:val="1"/>
                <w:szCs w:val="1"/>
                <w:color w:val="auto"/>
              </w:rPr>
            </w:pPr>
          </w:p>
        </w:tc>
      </w:tr>
      <w:tr>
        <w:trPr>
          <w:trHeight w:val="149"/>
        </w:trPr>
        <w:tc>
          <w:tcPr>
            <w:tcW w:w="74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2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PEO</w:t>
            </w:r>
          </w:p>
        </w:tc>
        <w:tc>
          <w:tcPr>
            <w:tcW w:w="12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PEO</w:t>
            </w:r>
          </w:p>
        </w:tc>
        <w:tc>
          <w:tcPr>
            <w:tcW w:w="15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14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Non-PEO NEOs</w:t>
            </w:r>
          </w:p>
        </w:tc>
        <w:tc>
          <w:tcPr>
            <w:tcW w:w="1000" w:type="dxa"/>
            <w:vAlign w:val="bottom"/>
          </w:tcPr>
          <w:p>
            <w:pPr>
              <w:jc w:val="center"/>
              <w:ind w:left="128"/>
              <w:spacing w:after="0" w:line="149" w:lineRule="exact"/>
              <w:rPr>
                <w:sz w:val="20"/>
                <w:szCs w:val="20"/>
                <w:color w:val="auto"/>
              </w:rPr>
            </w:pPr>
            <w:r>
              <w:rPr>
                <w:rFonts w:ascii="Times New Roman" w:cs="Times New Roman" w:eastAsia="Times New Roman" w:hAnsi="Times New Roman"/>
                <w:sz w:val="14"/>
                <w:szCs w:val="14"/>
                <w:b w:val="1"/>
                <w:bCs w:val="1"/>
                <w:color w:val="auto"/>
              </w:rPr>
              <w:t>Return</w:t>
            </w:r>
          </w:p>
        </w:tc>
        <w:tc>
          <w:tcPr>
            <w:tcW w:w="180" w:type="dxa"/>
            <w:vAlign w:val="bottom"/>
            <w:tcBorders>
              <w:right w:val="single" w:sz="8" w:color="auto"/>
            </w:tcBorders>
          </w:tcPr>
          <w:p>
            <w:pPr>
              <w:spacing w:after="0"/>
              <w:rPr>
                <w:sz w:val="12"/>
                <w:szCs w:val="12"/>
                <w:color w:val="auto"/>
              </w:rPr>
            </w:pPr>
          </w:p>
        </w:tc>
        <w:tc>
          <w:tcPr>
            <w:tcW w:w="15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Return</w:t>
            </w:r>
          </w:p>
        </w:tc>
        <w:tc>
          <w:tcPr>
            <w:tcW w:w="11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(thousands)</w:t>
            </w:r>
          </w:p>
        </w:tc>
        <w:tc>
          <w:tcPr>
            <w:tcW w:w="11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740" w:type="dxa"/>
            <w:vAlign w:val="bottom"/>
            <w:tcBorders>
              <w:bottom w:val="single" w:sz="8" w:color="auto"/>
              <w:right w:val="single" w:sz="8" w:color="auto"/>
            </w:tcBorders>
            <w:vMerge w:val="continue"/>
          </w:tcPr>
          <w:p>
            <w:pPr>
              <w:spacing w:after="0"/>
              <w:rPr>
                <w:sz w:val="16"/>
                <w:szCs w:val="16"/>
                <w:color w:val="auto"/>
              </w:rPr>
            </w:pPr>
          </w:p>
        </w:tc>
        <w:tc>
          <w:tcPr>
            <w:tcW w:w="12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w:t>
            </w:r>
          </w:p>
        </w:tc>
        <w:tc>
          <w:tcPr>
            <w:tcW w:w="1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($)(1)(2)</w:t>
            </w:r>
          </w:p>
        </w:tc>
        <w:tc>
          <w:tcPr>
            <w:tcW w:w="10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auto"/>
              <w:right w:val="single" w:sz="8" w:color="auto"/>
            </w:tcBorders>
          </w:tcPr>
          <w:p>
            <w:pPr>
              <w:spacing w:after="0"/>
              <w:rPr>
                <w:sz w:val="16"/>
                <w:szCs w:val="16"/>
                <w:color w:val="auto"/>
              </w:rPr>
            </w:pPr>
          </w:p>
        </w:tc>
        <w:tc>
          <w:tcPr>
            <w:tcW w:w="1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(5)</w:t>
            </w:r>
          </w:p>
        </w:tc>
        <w:tc>
          <w:tcPr>
            <w:tcW w:w="1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(thousands)(6)</w:t>
            </w:r>
          </w:p>
        </w:tc>
        <w:tc>
          <w:tcPr>
            <w:tcW w:w="0" w:type="dxa"/>
            <w:vAlign w:val="bottom"/>
          </w:tcPr>
          <w:p>
            <w:pPr>
              <w:spacing w:after="0"/>
              <w:rPr>
                <w:sz w:val="1"/>
                <w:szCs w:val="1"/>
                <w:color w:val="auto"/>
              </w:rPr>
            </w:pPr>
          </w:p>
        </w:tc>
      </w:tr>
      <w:tr>
        <w:trPr>
          <w:trHeight w:val="209"/>
        </w:trPr>
        <w:tc>
          <w:tcPr>
            <w:tcW w:w="740" w:type="dxa"/>
            <w:vAlign w:val="bottom"/>
            <w:tcBorders>
              <w:left w:val="single" w:sz="8" w:color="CFF0FC"/>
              <w:bottom w:val="single" w:sz="8" w:color="auto"/>
              <w:right w:val="single" w:sz="8" w:color="auto"/>
            </w:tcBorders>
            <w:shd w:val="clear" w:color="auto" w:fill="CFF0FC"/>
          </w:tcPr>
          <w:p>
            <w:pPr>
              <w:ind w:left="220"/>
              <w:spacing w:after="0"/>
              <w:rPr>
                <w:sz w:val="20"/>
                <w:szCs w:val="20"/>
                <w:color w:val="auto"/>
              </w:rPr>
            </w:pPr>
            <w:r>
              <w:rPr>
                <w:rFonts w:ascii="Times New Roman" w:cs="Times New Roman" w:eastAsia="Times New Roman" w:hAnsi="Times New Roman"/>
                <w:sz w:val="14"/>
                <w:szCs w:val="14"/>
                <w:color w:val="auto"/>
              </w:rPr>
              <w:t>2022</w:t>
            </w:r>
          </w:p>
        </w:tc>
        <w:tc>
          <w:tcPr>
            <w:tcW w:w="128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$3,905,058</w:t>
            </w:r>
          </w:p>
        </w:tc>
        <w:tc>
          <w:tcPr>
            <w:tcW w:w="120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$9,653,678</w:t>
            </w:r>
          </w:p>
        </w:tc>
        <w:tc>
          <w:tcPr>
            <w:tcW w:w="154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$1,481,321</w:t>
            </w:r>
          </w:p>
        </w:tc>
        <w:tc>
          <w:tcPr>
            <w:tcW w:w="146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$2,201,087</w:t>
            </w:r>
          </w:p>
        </w:tc>
        <w:tc>
          <w:tcPr>
            <w:tcW w:w="1000" w:type="dxa"/>
            <w:vAlign w:val="bottom"/>
            <w:tcBorders>
              <w:bottom w:val="single" w:sz="8" w:color="auto"/>
            </w:tcBorders>
            <w:shd w:val="clear" w:color="auto" w:fill="CFF0FC"/>
          </w:tcPr>
          <w:p>
            <w:pPr>
              <w:jc w:val="center"/>
              <w:ind w:left="108"/>
              <w:spacing w:after="0"/>
              <w:rPr>
                <w:sz w:val="20"/>
                <w:szCs w:val="20"/>
                <w:color w:val="auto"/>
              </w:rPr>
            </w:pPr>
            <w:r>
              <w:rPr>
                <w:rFonts w:ascii="Times New Roman" w:cs="Times New Roman" w:eastAsia="Times New Roman" w:hAnsi="Times New Roman"/>
                <w:sz w:val="14"/>
                <w:szCs w:val="14"/>
                <w:color w:val="auto"/>
              </w:rPr>
              <w:t>$408.53</w:t>
            </w:r>
          </w:p>
        </w:tc>
        <w:tc>
          <w:tcPr>
            <w:tcW w:w="180" w:type="dxa"/>
            <w:vAlign w:val="bottom"/>
            <w:tcBorders>
              <w:bottom w:val="single" w:sz="8" w:color="auto"/>
              <w:right w:val="single" w:sz="8" w:color="auto"/>
            </w:tcBorders>
            <w:shd w:val="clear" w:color="auto" w:fill="CFF0FC"/>
          </w:tcPr>
          <w:p>
            <w:pPr>
              <w:spacing w:after="0"/>
              <w:rPr>
                <w:sz w:val="18"/>
                <w:szCs w:val="18"/>
                <w:color w:val="auto"/>
              </w:rPr>
            </w:pPr>
          </w:p>
        </w:tc>
        <w:tc>
          <w:tcPr>
            <w:tcW w:w="158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$113.65</w:t>
            </w:r>
          </w:p>
        </w:tc>
        <w:tc>
          <w:tcPr>
            <w:tcW w:w="1120" w:type="dxa"/>
            <w:vAlign w:val="bottom"/>
            <w:tcBorders>
              <w:bottom w:val="single" w:sz="8" w:color="CFF0FC"/>
              <w:right w:val="single" w:sz="8" w:color="CFF0FC"/>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($87,400)</w:t>
            </w:r>
          </w:p>
        </w:tc>
        <w:tc>
          <w:tcPr>
            <w:tcW w:w="114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$99,770</w:t>
            </w:r>
          </w:p>
        </w:tc>
        <w:tc>
          <w:tcPr>
            <w:tcW w:w="0" w:type="dxa"/>
            <w:vAlign w:val="bottom"/>
          </w:tcPr>
          <w:p>
            <w:pPr>
              <w:spacing w:after="0"/>
              <w:rPr>
                <w:sz w:val="1"/>
                <w:szCs w:val="1"/>
                <w:color w:val="auto"/>
              </w:rPr>
            </w:pPr>
          </w:p>
        </w:tc>
      </w:tr>
      <w:tr>
        <w:trPr>
          <w:trHeight w:val="164"/>
        </w:trPr>
        <w:tc>
          <w:tcPr>
            <w:tcW w:w="740" w:type="dxa"/>
            <w:vAlign w:val="bottom"/>
            <w:tcBorders>
              <w:left w:val="single" w:sz="8" w:color="auto"/>
              <w:bottom w:val="single" w:sz="8" w:color="auto"/>
              <w:right w:val="single" w:sz="8" w:color="auto"/>
            </w:tcBorders>
          </w:tcPr>
          <w:p>
            <w:pPr>
              <w:ind w:left="220"/>
              <w:spacing w:after="0" w:line="139" w:lineRule="exact"/>
              <w:rPr>
                <w:sz w:val="20"/>
                <w:szCs w:val="20"/>
                <w:color w:val="auto"/>
              </w:rPr>
            </w:pPr>
            <w:r>
              <w:rPr>
                <w:rFonts w:ascii="Times New Roman" w:cs="Times New Roman" w:eastAsia="Times New Roman" w:hAnsi="Times New Roman"/>
                <w:sz w:val="14"/>
                <w:szCs w:val="14"/>
                <w:color w:val="auto"/>
              </w:rPr>
              <w:t>2021</w:t>
            </w:r>
          </w:p>
        </w:tc>
        <w:tc>
          <w:tcPr>
            <w:tcW w:w="1280" w:type="dxa"/>
            <w:vAlign w:val="bottom"/>
            <w:tcBorders>
              <w:bottom w:val="single" w:sz="8" w:color="auto"/>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$4,030,833</w:t>
            </w:r>
          </w:p>
        </w:tc>
        <w:tc>
          <w:tcPr>
            <w:tcW w:w="1200" w:type="dxa"/>
            <w:vAlign w:val="bottom"/>
            <w:tcBorders>
              <w:bottom w:val="single" w:sz="8" w:color="auto"/>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$7,317,812</w:t>
            </w:r>
          </w:p>
        </w:tc>
        <w:tc>
          <w:tcPr>
            <w:tcW w:w="1540" w:type="dxa"/>
            <w:vAlign w:val="bottom"/>
            <w:tcBorders>
              <w:bottom w:val="single" w:sz="8" w:color="auto"/>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$1,730,384</w:t>
            </w:r>
          </w:p>
        </w:tc>
        <w:tc>
          <w:tcPr>
            <w:tcW w:w="1460" w:type="dxa"/>
            <w:vAlign w:val="bottom"/>
            <w:tcBorders>
              <w:bottom w:val="single" w:sz="8" w:color="auto"/>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$3,037,694</w:t>
            </w:r>
          </w:p>
        </w:tc>
        <w:tc>
          <w:tcPr>
            <w:tcW w:w="1000" w:type="dxa"/>
            <w:vAlign w:val="bottom"/>
            <w:tcBorders>
              <w:bottom w:val="single" w:sz="8" w:color="auto"/>
            </w:tcBorders>
          </w:tcPr>
          <w:p>
            <w:pPr>
              <w:jc w:val="center"/>
              <w:ind w:left="108"/>
              <w:spacing w:after="0" w:line="139" w:lineRule="exact"/>
              <w:rPr>
                <w:sz w:val="20"/>
                <w:szCs w:val="20"/>
                <w:color w:val="auto"/>
              </w:rPr>
            </w:pPr>
            <w:r>
              <w:rPr>
                <w:rFonts w:ascii="Times New Roman" w:cs="Times New Roman" w:eastAsia="Times New Roman" w:hAnsi="Times New Roman"/>
                <w:sz w:val="14"/>
                <w:szCs w:val="14"/>
                <w:color w:val="auto"/>
              </w:rPr>
              <w:t>$338.76</w:t>
            </w:r>
          </w:p>
        </w:tc>
        <w:tc>
          <w:tcPr>
            <w:tcW w:w="180" w:type="dxa"/>
            <w:vAlign w:val="bottom"/>
            <w:tcBorders>
              <w:bottom w:val="single" w:sz="8" w:color="auto"/>
              <w:right w:val="single" w:sz="8" w:color="auto"/>
            </w:tcBorders>
          </w:tcPr>
          <w:p>
            <w:pPr>
              <w:spacing w:after="0"/>
              <w:rPr>
                <w:sz w:val="13"/>
                <w:szCs w:val="13"/>
                <w:color w:val="auto"/>
              </w:rPr>
            </w:pPr>
          </w:p>
        </w:tc>
        <w:tc>
          <w:tcPr>
            <w:tcW w:w="1580" w:type="dxa"/>
            <w:vAlign w:val="bottom"/>
            <w:tcBorders>
              <w:bottom w:val="single" w:sz="8" w:color="auto"/>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$126.45</w:t>
            </w:r>
          </w:p>
        </w:tc>
        <w:tc>
          <w:tcPr>
            <w:tcW w:w="1120" w:type="dxa"/>
            <w:vAlign w:val="bottom"/>
            <w:tcBorders>
              <w:bottom w:val="single" w:sz="8" w:color="auto"/>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($80,926)</w:t>
            </w:r>
          </w:p>
        </w:tc>
        <w:tc>
          <w:tcPr>
            <w:tcW w:w="1140" w:type="dxa"/>
            <w:vAlign w:val="bottom"/>
            <w:tcBorders>
              <w:bottom w:val="single" w:sz="8" w:color="auto"/>
              <w:right w:val="single" w:sz="8" w:color="auto"/>
            </w:tcBorders>
          </w:tcPr>
          <w:p>
            <w:pPr>
              <w:jc w:val="center"/>
              <w:spacing w:after="0" w:line="139" w:lineRule="exact"/>
              <w:rPr>
                <w:sz w:val="20"/>
                <w:szCs w:val="20"/>
                <w:color w:val="auto"/>
              </w:rPr>
            </w:pPr>
            <w:r>
              <w:rPr>
                <w:rFonts w:ascii="Times New Roman" w:cs="Times New Roman" w:eastAsia="Times New Roman" w:hAnsi="Times New Roman"/>
                <w:sz w:val="14"/>
                <w:szCs w:val="14"/>
                <w:color w:val="auto"/>
              </w:rPr>
              <w:t>$75,442</w:t>
            </w:r>
          </w:p>
        </w:tc>
        <w:tc>
          <w:tcPr>
            <w:tcW w:w="0" w:type="dxa"/>
            <w:vAlign w:val="bottom"/>
          </w:tcPr>
          <w:p>
            <w:pPr>
              <w:spacing w:after="0"/>
              <w:rPr>
                <w:sz w:val="1"/>
                <w:szCs w:val="1"/>
                <w:color w:val="auto"/>
              </w:rPr>
            </w:pPr>
          </w:p>
        </w:tc>
      </w:tr>
      <w:tr>
        <w:trPr>
          <w:trHeight w:val="152"/>
        </w:trPr>
        <w:tc>
          <w:tcPr>
            <w:tcW w:w="740" w:type="dxa"/>
            <w:vAlign w:val="bottom"/>
            <w:tcBorders>
              <w:top w:val="single" w:sz="8" w:color="CFF0FC"/>
              <w:left w:val="single" w:sz="8" w:color="CFF0FC"/>
              <w:bottom w:val="single" w:sz="8" w:color="auto"/>
              <w:right w:val="single" w:sz="8" w:color="auto"/>
            </w:tcBorders>
            <w:shd w:val="clear" w:color="auto" w:fill="CFF0FC"/>
          </w:tcPr>
          <w:p>
            <w:pPr>
              <w:ind w:left="220"/>
              <w:spacing w:after="0" w:line="152" w:lineRule="exact"/>
              <w:rPr>
                <w:sz w:val="20"/>
                <w:szCs w:val="20"/>
                <w:color w:val="auto"/>
              </w:rPr>
            </w:pPr>
            <w:r>
              <w:rPr>
                <w:rFonts w:ascii="Times New Roman" w:cs="Times New Roman" w:eastAsia="Times New Roman" w:hAnsi="Times New Roman"/>
                <w:sz w:val="14"/>
                <w:szCs w:val="14"/>
                <w:color w:val="auto"/>
              </w:rPr>
              <w:t>2020</w:t>
            </w:r>
          </w:p>
        </w:tc>
        <w:tc>
          <w:tcPr>
            <w:tcW w:w="1280" w:type="dxa"/>
            <w:vAlign w:val="bottom"/>
            <w:tcBorders>
              <w:top w:val="single" w:sz="8" w:color="CFF0FC"/>
              <w:bottom w:val="single" w:sz="8" w:color="auto"/>
              <w:right w:val="single" w:sz="8" w:color="auto"/>
            </w:tcBorders>
            <w:shd w:val="clear" w:color="auto" w:fill="CFF0FC"/>
          </w:tcPr>
          <w:p>
            <w:pPr>
              <w:jc w:val="center"/>
              <w:spacing w:after="0" w:line="152" w:lineRule="exact"/>
              <w:rPr>
                <w:sz w:val="20"/>
                <w:szCs w:val="20"/>
                <w:color w:val="auto"/>
              </w:rPr>
            </w:pPr>
            <w:r>
              <w:rPr>
                <w:rFonts w:ascii="Times New Roman" w:cs="Times New Roman" w:eastAsia="Times New Roman" w:hAnsi="Times New Roman"/>
                <w:sz w:val="14"/>
                <w:szCs w:val="14"/>
                <w:color w:val="auto"/>
              </w:rPr>
              <w:t>$3,563,295</w:t>
            </w:r>
          </w:p>
        </w:tc>
        <w:tc>
          <w:tcPr>
            <w:tcW w:w="1200" w:type="dxa"/>
            <w:vAlign w:val="bottom"/>
            <w:tcBorders>
              <w:top w:val="single" w:sz="8" w:color="CFF0FC"/>
              <w:bottom w:val="single" w:sz="8" w:color="auto"/>
              <w:right w:val="single" w:sz="8" w:color="auto"/>
            </w:tcBorders>
            <w:shd w:val="clear" w:color="auto" w:fill="CFF0FC"/>
          </w:tcPr>
          <w:p>
            <w:pPr>
              <w:jc w:val="center"/>
              <w:spacing w:after="0" w:line="152" w:lineRule="exact"/>
              <w:rPr>
                <w:sz w:val="20"/>
                <w:szCs w:val="20"/>
                <w:color w:val="auto"/>
              </w:rPr>
            </w:pPr>
            <w:r>
              <w:rPr>
                <w:rFonts w:ascii="Times New Roman" w:cs="Times New Roman" w:eastAsia="Times New Roman" w:hAnsi="Times New Roman"/>
                <w:sz w:val="14"/>
                <w:szCs w:val="14"/>
                <w:color w:val="auto"/>
              </w:rPr>
              <w:t>$7,424,884</w:t>
            </w:r>
          </w:p>
        </w:tc>
        <w:tc>
          <w:tcPr>
            <w:tcW w:w="1540" w:type="dxa"/>
            <w:vAlign w:val="bottom"/>
            <w:tcBorders>
              <w:top w:val="single" w:sz="8" w:color="CFF0FC"/>
              <w:bottom w:val="single" w:sz="8" w:color="auto"/>
              <w:right w:val="single" w:sz="8" w:color="auto"/>
            </w:tcBorders>
            <w:shd w:val="clear" w:color="auto" w:fill="CFF0FC"/>
          </w:tcPr>
          <w:p>
            <w:pPr>
              <w:jc w:val="center"/>
              <w:spacing w:after="0" w:line="152" w:lineRule="exact"/>
              <w:rPr>
                <w:sz w:val="20"/>
                <w:szCs w:val="20"/>
                <w:color w:val="auto"/>
              </w:rPr>
            </w:pPr>
            <w:r>
              <w:rPr>
                <w:rFonts w:ascii="Times New Roman" w:cs="Times New Roman" w:eastAsia="Times New Roman" w:hAnsi="Times New Roman"/>
                <w:sz w:val="14"/>
                <w:szCs w:val="14"/>
                <w:color w:val="auto"/>
              </w:rPr>
              <w:t>$1,613,615</w:t>
            </w:r>
          </w:p>
        </w:tc>
        <w:tc>
          <w:tcPr>
            <w:tcW w:w="1460" w:type="dxa"/>
            <w:vAlign w:val="bottom"/>
            <w:tcBorders>
              <w:top w:val="single" w:sz="8" w:color="CFF0FC"/>
              <w:bottom w:val="single" w:sz="8" w:color="auto"/>
              <w:right w:val="single" w:sz="8" w:color="auto"/>
            </w:tcBorders>
            <w:shd w:val="clear" w:color="auto" w:fill="CFF0FC"/>
          </w:tcPr>
          <w:p>
            <w:pPr>
              <w:jc w:val="center"/>
              <w:spacing w:after="0" w:line="152" w:lineRule="exact"/>
              <w:rPr>
                <w:sz w:val="20"/>
                <w:szCs w:val="20"/>
                <w:color w:val="auto"/>
              </w:rPr>
            </w:pPr>
            <w:r>
              <w:rPr>
                <w:rFonts w:ascii="Times New Roman" w:cs="Times New Roman" w:eastAsia="Times New Roman" w:hAnsi="Times New Roman"/>
                <w:sz w:val="14"/>
                <w:szCs w:val="14"/>
                <w:color w:val="auto"/>
              </w:rPr>
              <w:t>$3,137,880</w:t>
            </w:r>
          </w:p>
        </w:tc>
        <w:tc>
          <w:tcPr>
            <w:tcW w:w="1000" w:type="dxa"/>
            <w:vAlign w:val="bottom"/>
            <w:tcBorders>
              <w:top w:val="single" w:sz="8" w:color="CFF0FC"/>
              <w:bottom w:val="single" w:sz="8" w:color="auto"/>
            </w:tcBorders>
            <w:shd w:val="clear" w:color="auto" w:fill="CFF0FC"/>
          </w:tcPr>
          <w:p>
            <w:pPr>
              <w:jc w:val="center"/>
              <w:ind w:left="108"/>
              <w:spacing w:after="0" w:line="152" w:lineRule="exact"/>
              <w:rPr>
                <w:sz w:val="20"/>
                <w:szCs w:val="20"/>
                <w:color w:val="auto"/>
              </w:rPr>
            </w:pPr>
            <w:r>
              <w:rPr>
                <w:rFonts w:ascii="Times New Roman" w:cs="Times New Roman" w:eastAsia="Times New Roman" w:hAnsi="Times New Roman"/>
                <w:sz w:val="14"/>
                <w:szCs w:val="14"/>
                <w:color w:val="auto"/>
              </w:rPr>
              <w:t>$242.64</w:t>
            </w:r>
          </w:p>
        </w:tc>
        <w:tc>
          <w:tcPr>
            <w:tcW w:w="180" w:type="dxa"/>
            <w:vAlign w:val="bottom"/>
            <w:tcBorders>
              <w:top w:val="single" w:sz="8" w:color="CFF0FC"/>
              <w:bottom w:val="single" w:sz="8" w:color="auto"/>
              <w:right w:val="single" w:sz="8" w:color="auto"/>
            </w:tcBorders>
            <w:shd w:val="clear" w:color="auto" w:fill="CFF0FC"/>
          </w:tcPr>
          <w:p>
            <w:pPr>
              <w:spacing w:after="0"/>
              <w:rPr>
                <w:sz w:val="13"/>
                <w:szCs w:val="13"/>
                <w:color w:val="auto"/>
              </w:rPr>
            </w:pPr>
          </w:p>
        </w:tc>
        <w:tc>
          <w:tcPr>
            <w:tcW w:w="1580" w:type="dxa"/>
            <w:vAlign w:val="bottom"/>
            <w:tcBorders>
              <w:top w:val="single" w:sz="8" w:color="CFF0FC"/>
              <w:bottom w:val="single" w:sz="8" w:color="auto"/>
              <w:right w:val="single" w:sz="8" w:color="auto"/>
            </w:tcBorders>
            <w:shd w:val="clear" w:color="auto" w:fill="CFF0FC"/>
          </w:tcPr>
          <w:p>
            <w:pPr>
              <w:jc w:val="center"/>
              <w:spacing w:after="0" w:line="152" w:lineRule="exact"/>
              <w:rPr>
                <w:sz w:val="20"/>
                <w:szCs w:val="20"/>
                <w:color w:val="auto"/>
              </w:rPr>
            </w:pPr>
            <w:r>
              <w:rPr>
                <w:rFonts w:ascii="Times New Roman" w:cs="Times New Roman" w:eastAsia="Times New Roman" w:hAnsi="Times New Roman"/>
                <w:sz w:val="14"/>
                <w:szCs w:val="14"/>
                <w:color w:val="auto"/>
              </w:rPr>
              <w:t>$126.42</w:t>
            </w:r>
          </w:p>
        </w:tc>
        <w:tc>
          <w:tcPr>
            <w:tcW w:w="1120" w:type="dxa"/>
            <w:vAlign w:val="bottom"/>
            <w:tcBorders>
              <w:top w:val="single" w:sz="8" w:color="CFF0FC"/>
              <w:bottom w:val="single" w:sz="8" w:color="auto"/>
              <w:right w:val="single" w:sz="8" w:color="auto"/>
            </w:tcBorders>
            <w:shd w:val="clear" w:color="auto" w:fill="CFF0FC"/>
          </w:tcPr>
          <w:p>
            <w:pPr>
              <w:jc w:val="center"/>
              <w:spacing w:after="0" w:line="152" w:lineRule="exact"/>
              <w:rPr>
                <w:sz w:val="20"/>
                <w:szCs w:val="20"/>
                <w:color w:val="auto"/>
              </w:rPr>
            </w:pPr>
            <w:r>
              <w:rPr>
                <w:rFonts w:ascii="Times New Roman" w:cs="Times New Roman" w:eastAsia="Times New Roman" w:hAnsi="Times New Roman"/>
                <w:sz w:val="14"/>
                <w:szCs w:val="14"/>
                <w:color w:val="auto"/>
              </w:rPr>
              <w:t>($57,240)</w:t>
            </w:r>
          </w:p>
        </w:tc>
        <w:tc>
          <w:tcPr>
            <w:tcW w:w="1140" w:type="dxa"/>
            <w:vAlign w:val="bottom"/>
            <w:tcBorders>
              <w:top w:val="single" w:sz="8" w:color="CFF0FC"/>
              <w:bottom w:val="single" w:sz="8" w:color="auto"/>
              <w:right w:val="single" w:sz="8" w:color="auto"/>
            </w:tcBorders>
            <w:shd w:val="clear" w:color="auto" w:fill="CFF0FC"/>
          </w:tcPr>
          <w:p>
            <w:pPr>
              <w:jc w:val="center"/>
              <w:spacing w:after="0" w:line="152" w:lineRule="exact"/>
              <w:rPr>
                <w:sz w:val="20"/>
                <w:szCs w:val="20"/>
                <w:color w:val="auto"/>
              </w:rPr>
            </w:pPr>
            <w:r>
              <w:rPr>
                <w:rFonts w:ascii="Times New Roman" w:cs="Times New Roman" w:eastAsia="Times New Roman" w:hAnsi="Times New Roman"/>
                <w:sz w:val="14"/>
                <w:szCs w:val="14"/>
                <w:color w:val="auto"/>
              </w:rPr>
              <w:t>$65,144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6387465</wp:posOffset>
            </wp:positionH>
            <wp:positionV relativeFrom="paragraph">
              <wp:posOffset>-1452245</wp:posOffset>
            </wp:positionV>
            <wp:extent cx="33655" cy="4286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2862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-381000</wp:posOffset>
            </wp:positionV>
            <wp:extent cx="723900" cy="1454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3900" cy="145415"/>
                    </a:xfrm>
                    <a:prstGeom prst="rect">
                      <a:avLst/>
                    </a:prstGeom>
                    <a:noFill/>
                  </pic:spPr>
                </pic:pic>
              </a:graphicData>
            </a:graphic>
          </wp:anchor>
        </w:drawing>
      </w:r>
    </w:p>
    <w:p>
      <w:pPr>
        <w:spacing w:after="0" w:line="286" w:lineRule="exact"/>
        <w:rPr>
          <w:sz w:val="20"/>
          <w:szCs w:val="20"/>
          <w:color w:val="auto"/>
        </w:rPr>
      </w:pPr>
    </w:p>
    <w:p>
      <w:pPr>
        <w:ind w:left="380"/>
        <w:spacing w:after="0"/>
        <w:tabs>
          <w:tab w:leader="none" w:pos="740" w:val="left"/>
        </w:tabs>
        <w:rPr>
          <w:sz w:val="20"/>
          <w:szCs w:val="20"/>
          <w:color w:val="auto"/>
        </w:rPr>
      </w:pP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7"/>
          <w:szCs w:val="17"/>
          <w:color w:val="auto"/>
        </w:rPr>
        <w:t>The following individuals are our PEO and other non-PEO NEOs for each fiscal year:</w:t>
      </w:r>
    </w:p>
    <w:p>
      <w:pPr>
        <w:spacing w:after="0" w:line="237" w:lineRule="exact"/>
        <w:rPr>
          <w:sz w:val="20"/>
          <w:szCs w:val="20"/>
          <w:color w:val="auto"/>
        </w:rPr>
      </w:pPr>
    </w:p>
    <w:tbl>
      <w:tblPr>
        <w:tblLayout w:type="fixed"/>
        <w:tblInd w:w="2710" w:type="dxa"/>
        <w:tblCellMar>
          <w:top w:w="0" w:type="dxa"/>
          <w:left w:w="0" w:type="dxa"/>
          <w:bottom w:w="0" w:type="dxa"/>
          <w:right w:w="0" w:type="dxa"/>
        </w:tblCellMar>
      </w:tblPr>
      <w:tr>
        <w:trPr>
          <w:trHeight w:val="500"/>
        </w:trPr>
        <w:tc>
          <w:tcPr>
            <w:tcW w:w="40" w:type="dxa"/>
            <w:vAlign w:val="bottom"/>
            <w:tcBorders>
              <w:top w:val="single" w:sz="8" w:color="auto"/>
              <w:left w:val="single" w:sz="8" w:color="auto"/>
            </w:tcBorders>
          </w:tcPr>
          <w:p>
            <w:pPr>
              <w:spacing w:after="0"/>
              <w:rPr>
                <w:sz w:val="24"/>
                <w:szCs w:val="24"/>
                <w:color w:val="auto"/>
              </w:rPr>
            </w:pPr>
          </w:p>
        </w:tc>
        <w:tc>
          <w:tcPr>
            <w:tcW w:w="880" w:type="dxa"/>
            <w:vAlign w:val="bottom"/>
            <w:tcBorders>
              <w:top w:val="single" w:sz="8" w:color="auto"/>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60" w:type="dxa"/>
            <w:vAlign w:val="bottom"/>
            <w:tcBorders>
              <w:top w:val="single" w:sz="8" w:color="auto"/>
            </w:tcBorders>
          </w:tcPr>
          <w:p>
            <w:pPr>
              <w:spacing w:after="0"/>
              <w:rPr>
                <w:sz w:val="24"/>
                <w:szCs w:val="24"/>
                <w:color w:val="auto"/>
              </w:rPr>
            </w:pPr>
          </w:p>
        </w:tc>
        <w:tc>
          <w:tcPr>
            <w:tcW w:w="1540" w:type="dxa"/>
            <w:vAlign w:val="bottom"/>
            <w:tcBorders>
              <w:top w:val="single" w:sz="8" w:color="auto"/>
              <w:bottom w:val="single" w:sz="8" w:color="auto"/>
              <w:right w:val="single" w:sz="8" w:color="auto"/>
            </w:tcBorders>
          </w:tcPr>
          <w:p>
            <w:pPr>
              <w:ind w:left="480"/>
              <w:spacing w:after="0"/>
              <w:rPr>
                <w:sz w:val="20"/>
                <w:szCs w:val="20"/>
                <w:color w:val="auto"/>
              </w:rPr>
            </w:pPr>
            <w:r>
              <w:rPr>
                <w:rFonts w:ascii="Times New Roman" w:cs="Times New Roman" w:eastAsia="Times New Roman" w:hAnsi="Times New Roman"/>
                <w:sz w:val="14"/>
                <w:szCs w:val="14"/>
                <w:b w:val="1"/>
                <w:bCs w:val="1"/>
                <w:color w:val="auto"/>
              </w:rPr>
              <w:t>PEO(s)</w:t>
            </w:r>
          </w:p>
        </w:tc>
        <w:tc>
          <w:tcPr>
            <w:tcW w:w="40" w:type="dxa"/>
            <w:vAlign w:val="bottom"/>
            <w:tcBorders>
              <w:top w:val="single" w:sz="8" w:color="auto"/>
            </w:tcBorders>
          </w:tcPr>
          <w:p>
            <w:pPr>
              <w:spacing w:after="0"/>
              <w:rPr>
                <w:sz w:val="24"/>
                <w:szCs w:val="24"/>
                <w:color w:val="auto"/>
              </w:rPr>
            </w:pPr>
          </w:p>
        </w:tc>
        <w:tc>
          <w:tcPr>
            <w:tcW w:w="3160" w:type="dxa"/>
            <w:vAlign w:val="bottom"/>
            <w:tcBorders>
              <w:top w:val="single" w:sz="8" w:color="auto"/>
              <w:bottom w:val="single" w:sz="8" w:color="auto"/>
            </w:tcBorders>
          </w:tcPr>
          <w:p>
            <w:pPr>
              <w:ind w:left="1080"/>
              <w:spacing w:after="0"/>
              <w:rPr>
                <w:sz w:val="20"/>
                <w:szCs w:val="20"/>
                <w:color w:val="auto"/>
              </w:rPr>
            </w:pPr>
            <w:r>
              <w:rPr>
                <w:rFonts w:ascii="Times New Roman" w:cs="Times New Roman" w:eastAsia="Times New Roman" w:hAnsi="Times New Roman"/>
                <w:sz w:val="14"/>
                <w:szCs w:val="14"/>
                <w:b w:val="1"/>
                <w:bCs w:val="1"/>
                <w:color w:val="auto"/>
              </w:rPr>
              <w:t>Non-PEO NEOs</w:t>
            </w:r>
          </w:p>
        </w:tc>
        <w:tc>
          <w:tcPr>
            <w:tcW w:w="80" w:type="dxa"/>
            <w:vAlign w:val="bottom"/>
            <w:tcBorders>
              <w:top w:val="single" w:sz="8" w:color="auto"/>
              <w:right w:val="single" w:sz="8" w:color="auto"/>
            </w:tcBorders>
          </w:tcPr>
          <w:p>
            <w:pPr>
              <w:spacing w:after="0"/>
              <w:rPr>
                <w:sz w:val="24"/>
                <w:szCs w:val="24"/>
                <w:color w:val="auto"/>
              </w:rPr>
            </w:pPr>
          </w:p>
        </w:tc>
      </w:tr>
      <w:tr>
        <w:trPr>
          <w:trHeight w:val="61"/>
        </w:trPr>
        <w:tc>
          <w:tcPr>
            <w:tcW w:w="40" w:type="dxa"/>
            <w:vAlign w:val="bottom"/>
            <w:tcBorders>
              <w:left w:val="single" w:sz="8" w:color="auto"/>
            </w:tcBorders>
          </w:tcPr>
          <w:p>
            <w:pPr>
              <w:spacing w:after="0"/>
              <w:rPr>
                <w:sz w:val="5"/>
                <w:szCs w:val="5"/>
                <w:color w:val="auto"/>
              </w:rPr>
            </w:pPr>
          </w:p>
        </w:tc>
        <w:tc>
          <w:tcPr>
            <w:tcW w:w="880" w:type="dxa"/>
            <w:vAlign w:val="bottom"/>
            <w:tcBorders>
              <w:right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1540" w:type="dxa"/>
            <w:vAlign w:val="bottom"/>
            <w:tcBorders>
              <w:right w:val="single" w:sz="8" w:color="auto"/>
            </w:tcBorders>
          </w:tcPr>
          <w:p>
            <w:pPr>
              <w:spacing w:after="0"/>
              <w:rPr>
                <w:sz w:val="5"/>
                <w:szCs w:val="5"/>
                <w:color w:val="auto"/>
              </w:rPr>
            </w:pPr>
          </w:p>
        </w:tc>
        <w:tc>
          <w:tcPr>
            <w:tcW w:w="3280" w:type="dxa"/>
            <w:vAlign w:val="bottom"/>
            <w:tcBorders>
              <w:right w:val="single" w:sz="8" w:color="auto"/>
            </w:tcBorders>
            <w:gridSpan w:val="3"/>
          </w:tcPr>
          <w:p>
            <w:pPr>
              <w:spacing w:after="0"/>
              <w:rPr>
                <w:sz w:val="5"/>
                <w:szCs w:val="5"/>
                <w:color w:val="auto"/>
              </w:rPr>
            </w:pPr>
          </w:p>
        </w:tc>
      </w:tr>
      <w:tr>
        <w:trPr>
          <w:trHeight w:val="139"/>
        </w:trPr>
        <w:tc>
          <w:tcPr>
            <w:tcW w:w="40" w:type="dxa"/>
            <w:vAlign w:val="bottom"/>
            <w:tcBorders>
              <w:left w:val="single" w:sz="8" w:color="auto"/>
            </w:tcBorders>
            <w:shd w:val="clear" w:color="auto" w:fill="CFF0FC"/>
          </w:tcPr>
          <w:p>
            <w:pPr>
              <w:spacing w:after="0"/>
              <w:rPr>
                <w:sz w:val="12"/>
                <w:szCs w:val="12"/>
                <w:color w:val="auto"/>
              </w:rPr>
            </w:pPr>
          </w:p>
        </w:tc>
        <w:tc>
          <w:tcPr>
            <w:tcW w:w="880" w:type="dxa"/>
            <w:vAlign w:val="bottom"/>
            <w:tcBorders>
              <w:right w:val="single" w:sz="8" w:color="auto"/>
            </w:tcBorders>
            <w:shd w:val="clear" w:color="auto" w:fill="CFF0FC"/>
          </w:tcPr>
          <w:p>
            <w:pPr>
              <w:ind w:left="280"/>
              <w:spacing w:after="0" w:line="139" w:lineRule="exact"/>
              <w:rPr>
                <w:sz w:val="20"/>
                <w:szCs w:val="20"/>
                <w:color w:val="auto"/>
              </w:rPr>
            </w:pPr>
            <w:r>
              <w:rPr>
                <w:rFonts w:ascii="Times New Roman" w:cs="Times New Roman" w:eastAsia="Times New Roman" w:hAnsi="Times New Roman"/>
                <w:sz w:val="14"/>
                <w:szCs w:val="14"/>
                <w:color w:val="auto"/>
              </w:rPr>
              <w:t>2022</w:t>
            </w:r>
          </w:p>
        </w:tc>
        <w:tc>
          <w:tcPr>
            <w:tcW w:w="60" w:type="dxa"/>
            <w:vAlign w:val="bottom"/>
            <w:shd w:val="clear" w:color="auto" w:fill="CFF0FC"/>
          </w:tcPr>
          <w:p>
            <w:pPr>
              <w:spacing w:after="0"/>
              <w:rPr>
                <w:sz w:val="12"/>
                <w:szCs w:val="12"/>
                <w:color w:val="auto"/>
              </w:rPr>
            </w:pPr>
          </w:p>
        </w:tc>
        <w:tc>
          <w:tcPr>
            <w:tcW w:w="1540" w:type="dxa"/>
            <w:vAlign w:val="bottom"/>
            <w:tcBorders>
              <w:right w:val="single" w:sz="8" w:color="auto"/>
            </w:tcBorders>
            <w:shd w:val="clear" w:color="auto" w:fill="CFF0FC"/>
          </w:tcPr>
          <w:p>
            <w:pPr>
              <w:ind w:left="80"/>
              <w:spacing w:after="0" w:line="139" w:lineRule="exact"/>
              <w:rPr>
                <w:sz w:val="20"/>
                <w:szCs w:val="20"/>
                <w:color w:val="auto"/>
              </w:rPr>
            </w:pPr>
            <w:r>
              <w:rPr>
                <w:rFonts w:ascii="Times New Roman" w:cs="Times New Roman" w:eastAsia="Times New Roman" w:hAnsi="Times New Roman"/>
                <w:sz w:val="14"/>
                <w:szCs w:val="14"/>
                <w:color w:val="auto"/>
              </w:rPr>
              <w:t>Michael E. Castagna</w:t>
            </w:r>
          </w:p>
        </w:tc>
        <w:tc>
          <w:tcPr>
            <w:tcW w:w="3280" w:type="dxa"/>
            <w:vAlign w:val="bottom"/>
            <w:tcBorders>
              <w:right w:val="single" w:sz="8" w:color="auto"/>
            </w:tcBorders>
            <w:gridSpan w:val="3"/>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Steven B. Binder, Alejandro Galindo, Joseph Kocinsky,</w:t>
            </w:r>
          </w:p>
        </w:tc>
      </w:tr>
      <w:tr>
        <w:trPr>
          <w:trHeight w:val="185"/>
        </w:trPr>
        <w:tc>
          <w:tcPr>
            <w:tcW w:w="40" w:type="dxa"/>
            <w:vAlign w:val="bottom"/>
            <w:tcBorders>
              <w:left w:val="single" w:sz="8" w:color="auto"/>
              <w:bottom w:val="single" w:sz="8" w:color="auto"/>
            </w:tcBorders>
            <w:shd w:val="clear" w:color="auto" w:fill="CFF0FC"/>
          </w:tcPr>
          <w:p>
            <w:pPr>
              <w:spacing w:after="0"/>
              <w:rPr>
                <w:sz w:val="16"/>
                <w:szCs w:val="16"/>
                <w:color w:val="auto"/>
              </w:rPr>
            </w:pPr>
          </w:p>
        </w:tc>
        <w:tc>
          <w:tcPr>
            <w:tcW w:w="880" w:type="dxa"/>
            <w:vAlign w:val="bottom"/>
            <w:tcBorders>
              <w:bottom w:val="single" w:sz="8" w:color="auto"/>
              <w:right w:val="single" w:sz="8" w:color="auto"/>
            </w:tcBorders>
            <w:shd w:val="clear" w:color="auto" w:fill="CFF0FC"/>
          </w:tcPr>
          <w:p>
            <w:pPr>
              <w:spacing w:after="0"/>
              <w:rPr>
                <w:sz w:val="16"/>
                <w:szCs w:val="16"/>
                <w:color w:val="auto"/>
              </w:rPr>
            </w:pPr>
          </w:p>
        </w:tc>
        <w:tc>
          <w:tcPr>
            <w:tcW w:w="60" w:type="dxa"/>
            <w:vAlign w:val="bottom"/>
            <w:tcBorders>
              <w:bottom w:val="single" w:sz="8" w:color="auto"/>
            </w:tcBorders>
            <w:shd w:val="clear" w:color="auto" w:fill="CFF0FC"/>
          </w:tcPr>
          <w:p>
            <w:pPr>
              <w:spacing w:after="0"/>
              <w:rPr>
                <w:sz w:val="16"/>
                <w:szCs w:val="16"/>
                <w:color w:val="auto"/>
              </w:rPr>
            </w:pPr>
          </w:p>
        </w:tc>
        <w:tc>
          <w:tcPr>
            <w:tcW w:w="1540" w:type="dxa"/>
            <w:vAlign w:val="bottom"/>
            <w:tcBorders>
              <w:bottom w:val="single" w:sz="8" w:color="auto"/>
              <w:right w:val="single" w:sz="8" w:color="auto"/>
            </w:tcBorders>
            <w:shd w:val="clear" w:color="auto" w:fill="CFF0FC"/>
          </w:tcPr>
          <w:p>
            <w:pPr>
              <w:spacing w:after="0"/>
              <w:rPr>
                <w:sz w:val="16"/>
                <w:szCs w:val="16"/>
                <w:color w:val="auto"/>
              </w:rPr>
            </w:pPr>
          </w:p>
        </w:tc>
        <w:tc>
          <w:tcPr>
            <w:tcW w:w="3280" w:type="dxa"/>
            <w:vAlign w:val="bottom"/>
            <w:tcBorders>
              <w:bottom w:val="single" w:sz="8" w:color="auto"/>
              <w:right w:val="single" w:sz="8" w:color="auto"/>
            </w:tcBorders>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Sanjay Singh, David B. Thomson, and Stuart Tross</w:t>
            </w:r>
          </w:p>
        </w:tc>
      </w:tr>
      <w:tr>
        <w:trPr>
          <w:trHeight w:val="133"/>
        </w:trPr>
        <w:tc>
          <w:tcPr>
            <w:tcW w:w="40" w:type="dxa"/>
            <w:vAlign w:val="bottom"/>
            <w:tcBorders>
              <w:left w:val="single" w:sz="8" w:color="auto"/>
            </w:tcBorders>
          </w:tcPr>
          <w:p>
            <w:pPr>
              <w:spacing w:after="0"/>
              <w:rPr>
                <w:sz w:val="11"/>
                <w:szCs w:val="11"/>
                <w:color w:val="auto"/>
              </w:rPr>
            </w:pPr>
          </w:p>
        </w:tc>
        <w:tc>
          <w:tcPr>
            <w:tcW w:w="880" w:type="dxa"/>
            <w:vAlign w:val="bottom"/>
            <w:tcBorders>
              <w:right w:val="single" w:sz="8" w:color="auto"/>
            </w:tcBorders>
          </w:tcPr>
          <w:p>
            <w:pPr>
              <w:ind w:left="280"/>
              <w:spacing w:after="0" w:line="133" w:lineRule="exact"/>
              <w:rPr>
                <w:sz w:val="20"/>
                <w:szCs w:val="20"/>
                <w:color w:val="auto"/>
              </w:rPr>
            </w:pPr>
            <w:r>
              <w:rPr>
                <w:rFonts w:ascii="Times New Roman" w:cs="Times New Roman" w:eastAsia="Times New Roman" w:hAnsi="Times New Roman"/>
                <w:sz w:val="14"/>
                <w:szCs w:val="14"/>
                <w:color w:val="auto"/>
              </w:rPr>
              <w:t>2021</w:t>
            </w:r>
          </w:p>
        </w:tc>
        <w:tc>
          <w:tcPr>
            <w:tcW w:w="60" w:type="dxa"/>
            <w:vAlign w:val="bottom"/>
          </w:tcPr>
          <w:p>
            <w:pPr>
              <w:spacing w:after="0"/>
              <w:rPr>
                <w:sz w:val="11"/>
                <w:szCs w:val="11"/>
                <w:color w:val="auto"/>
              </w:rPr>
            </w:pPr>
          </w:p>
        </w:tc>
        <w:tc>
          <w:tcPr>
            <w:tcW w:w="1540" w:type="dxa"/>
            <w:vAlign w:val="bottom"/>
            <w:tcBorders>
              <w:right w:val="single" w:sz="8" w:color="auto"/>
            </w:tcBorders>
          </w:tcPr>
          <w:p>
            <w:pPr>
              <w:ind w:left="80"/>
              <w:spacing w:after="0" w:line="133" w:lineRule="exact"/>
              <w:rPr>
                <w:sz w:val="20"/>
                <w:szCs w:val="20"/>
                <w:color w:val="auto"/>
              </w:rPr>
            </w:pPr>
            <w:r>
              <w:rPr>
                <w:rFonts w:ascii="Times New Roman" w:cs="Times New Roman" w:eastAsia="Times New Roman" w:hAnsi="Times New Roman"/>
                <w:sz w:val="14"/>
                <w:szCs w:val="14"/>
                <w:color w:val="auto"/>
              </w:rPr>
              <w:t>Michael E. Castagna</w:t>
            </w:r>
          </w:p>
        </w:tc>
        <w:tc>
          <w:tcPr>
            <w:tcW w:w="3280" w:type="dxa"/>
            <w:vAlign w:val="bottom"/>
            <w:tcBorders>
              <w:right w:val="single" w:sz="8" w:color="auto"/>
            </w:tcBorders>
            <w:gridSpan w:val="3"/>
          </w:tcPr>
          <w:p>
            <w:pPr>
              <w:spacing w:after="0" w:line="133" w:lineRule="exact"/>
              <w:rPr>
                <w:sz w:val="20"/>
                <w:szCs w:val="20"/>
                <w:color w:val="auto"/>
              </w:rPr>
            </w:pPr>
            <w:r>
              <w:rPr>
                <w:rFonts w:ascii="Times New Roman" w:cs="Times New Roman" w:eastAsia="Times New Roman" w:hAnsi="Times New Roman"/>
                <w:sz w:val="14"/>
                <w:szCs w:val="14"/>
                <w:color w:val="auto"/>
              </w:rPr>
              <w:t>Steven B. Binder, Joseph Kocinsky, David B. Thomson,</w:t>
            </w:r>
          </w:p>
        </w:tc>
      </w:tr>
      <w:tr>
        <w:trPr>
          <w:trHeight w:val="185"/>
        </w:trPr>
        <w:tc>
          <w:tcPr>
            <w:tcW w:w="40" w:type="dxa"/>
            <w:vAlign w:val="bottom"/>
            <w:tcBorders>
              <w:left w:val="single" w:sz="8" w:color="auto"/>
              <w:bottom w:val="single" w:sz="8" w:color="auto"/>
            </w:tcBorders>
          </w:tcPr>
          <w:p>
            <w:pPr>
              <w:spacing w:after="0"/>
              <w:rPr>
                <w:sz w:val="16"/>
                <w:szCs w:val="16"/>
                <w:color w:val="auto"/>
              </w:rPr>
            </w:pPr>
          </w:p>
        </w:tc>
        <w:tc>
          <w:tcPr>
            <w:tcW w:w="880" w:type="dxa"/>
            <w:vAlign w:val="bottom"/>
            <w:tcBorders>
              <w:bottom w:val="single" w:sz="8" w:color="auto"/>
              <w:right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540" w:type="dxa"/>
            <w:vAlign w:val="bottom"/>
            <w:tcBorders>
              <w:bottom w:val="single" w:sz="8" w:color="auto"/>
              <w:right w:val="single" w:sz="8" w:color="auto"/>
            </w:tcBorders>
          </w:tcPr>
          <w:p>
            <w:pPr>
              <w:spacing w:after="0"/>
              <w:rPr>
                <w:sz w:val="16"/>
                <w:szCs w:val="16"/>
                <w:color w:val="auto"/>
              </w:rPr>
            </w:pPr>
          </w:p>
        </w:tc>
        <w:tc>
          <w:tcPr>
            <w:tcW w:w="3280" w:type="dxa"/>
            <w:vAlign w:val="bottom"/>
            <w:tcBorders>
              <w:bottom w:val="single" w:sz="8" w:color="auto"/>
              <w:right w:val="single" w:sz="8" w:color="auto"/>
            </w:tcBorders>
            <w:gridSpan w:val="3"/>
          </w:tcPr>
          <w:p>
            <w:pPr>
              <w:spacing w:after="0"/>
              <w:rPr>
                <w:sz w:val="20"/>
                <w:szCs w:val="20"/>
                <w:color w:val="auto"/>
              </w:rPr>
            </w:pPr>
            <w:r>
              <w:rPr>
                <w:rFonts w:ascii="Times New Roman" w:cs="Times New Roman" w:eastAsia="Times New Roman" w:hAnsi="Times New Roman"/>
                <w:sz w:val="14"/>
                <w:szCs w:val="14"/>
                <w:color w:val="auto"/>
              </w:rPr>
              <w:t>and Stuart Tross</w:t>
            </w:r>
          </w:p>
        </w:tc>
      </w:tr>
      <w:tr>
        <w:trPr>
          <w:trHeight w:val="133"/>
        </w:trPr>
        <w:tc>
          <w:tcPr>
            <w:tcW w:w="40" w:type="dxa"/>
            <w:vAlign w:val="bottom"/>
            <w:tcBorders>
              <w:left w:val="single" w:sz="8" w:color="auto"/>
            </w:tcBorders>
            <w:shd w:val="clear" w:color="auto" w:fill="CFF0FC"/>
          </w:tcPr>
          <w:p>
            <w:pPr>
              <w:spacing w:after="0"/>
              <w:rPr>
                <w:sz w:val="11"/>
                <w:szCs w:val="11"/>
                <w:color w:val="auto"/>
              </w:rPr>
            </w:pPr>
          </w:p>
        </w:tc>
        <w:tc>
          <w:tcPr>
            <w:tcW w:w="880" w:type="dxa"/>
            <w:vAlign w:val="bottom"/>
            <w:tcBorders>
              <w:right w:val="single" w:sz="8" w:color="auto"/>
            </w:tcBorders>
            <w:shd w:val="clear" w:color="auto" w:fill="CFF0FC"/>
          </w:tcPr>
          <w:p>
            <w:pPr>
              <w:ind w:left="280"/>
              <w:spacing w:after="0" w:line="133" w:lineRule="exact"/>
              <w:rPr>
                <w:sz w:val="20"/>
                <w:szCs w:val="20"/>
                <w:color w:val="auto"/>
              </w:rPr>
            </w:pPr>
            <w:r>
              <w:rPr>
                <w:rFonts w:ascii="Times New Roman" w:cs="Times New Roman" w:eastAsia="Times New Roman" w:hAnsi="Times New Roman"/>
                <w:sz w:val="14"/>
                <w:szCs w:val="14"/>
                <w:color w:val="auto"/>
              </w:rPr>
              <w:t>2020</w:t>
            </w:r>
          </w:p>
        </w:tc>
        <w:tc>
          <w:tcPr>
            <w:tcW w:w="60" w:type="dxa"/>
            <w:vAlign w:val="bottom"/>
            <w:shd w:val="clear" w:color="auto" w:fill="CFF0FC"/>
          </w:tcPr>
          <w:p>
            <w:pPr>
              <w:spacing w:after="0"/>
              <w:rPr>
                <w:sz w:val="11"/>
                <w:szCs w:val="11"/>
                <w:color w:val="auto"/>
              </w:rPr>
            </w:pPr>
          </w:p>
        </w:tc>
        <w:tc>
          <w:tcPr>
            <w:tcW w:w="1540" w:type="dxa"/>
            <w:vAlign w:val="bottom"/>
            <w:tcBorders>
              <w:right w:val="single" w:sz="8" w:color="auto"/>
            </w:tcBorders>
            <w:shd w:val="clear" w:color="auto" w:fill="CFF0FC"/>
          </w:tcPr>
          <w:p>
            <w:pPr>
              <w:ind w:left="80"/>
              <w:spacing w:after="0" w:line="133" w:lineRule="exact"/>
              <w:rPr>
                <w:sz w:val="20"/>
                <w:szCs w:val="20"/>
                <w:color w:val="auto"/>
              </w:rPr>
            </w:pPr>
            <w:r>
              <w:rPr>
                <w:rFonts w:ascii="Times New Roman" w:cs="Times New Roman" w:eastAsia="Times New Roman" w:hAnsi="Times New Roman"/>
                <w:sz w:val="14"/>
                <w:szCs w:val="14"/>
                <w:color w:val="auto"/>
              </w:rPr>
              <w:t>Michael E. Castagna</w:t>
            </w:r>
          </w:p>
        </w:tc>
        <w:tc>
          <w:tcPr>
            <w:tcW w:w="3280" w:type="dxa"/>
            <w:vAlign w:val="bottom"/>
            <w:tcBorders>
              <w:right w:val="single" w:sz="8" w:color="auto"/>
            </w:tcBorders>
            <w:gridSpan w:val="3"/>
            <w:shd w:val="clear" w:color="auto" w:fill="CFF0FC"/>
          </w:tcPr>
          <w:p>
            <w:pPr>
              <w:spacing w:after="0" w:line="133" w:lineRule="exact"/>
              <w:rPr>
                <w:sz w:val="20"/>
                <w:szCs w:val="20"/>
                <w:color w:val="auto"/>
              </w:rPr>
            </w:pPr>
            <w:r>
              <w:rPr>
                <w:rFonts w:ascii="Times New Roman" w:cs="Times New Roman" w:eastAsia="Times New Roman" w:hAnsi="Times New Roman"/>
                <w:sz w:val="14"/>
                <w:szCs w:val="14"/>
                <w:color w:val="auto"/>
              </w:rPr>
              <w:t>Steven B. Binder, Joseph Kocinsky, David B. Thomson,</w:t>
            </w:r>
          </w:p>
        </w:tc>
      </w:tr>
      <w:tr>
        <w:trPr>
          <w:trHeight w:val="185"/>
        </w:trPr>
        <w:tc>
          <w:tcPr>
            <w:tcW w:w="40" w:type="dxa"/>
            <w:vAlign w:val="bottom"/>
            <w:tcBorders>
              <w:left w:val="single" w:sz="8" w:color="auto"/>
              <w:bottom w:val="single" w:sz="8" w:color="auto"/>
            </w:tcBorders>
            <w:shd w:val="clear" w:color="auto" w:fill="CFF0FC"/>
          </w:tcPr>
          <w:p>
            <w:pPr>
              <w:spacing w:after="0"/>
              <w:rPr>
                <w:sz w:val="16"/>
                <w:szCs w:val="16"/>
                <w:color w:val="auto"/>
              </w:rPr>
            </w:pPr>
          </w:p>
        </w:tc>
        <w:tc>
          <w:tcPr>
            <w:tcW w:w="880" w:type="dxa"/>
            <w:vAlign w:val="bottom"/>
            <w:tcBorders>
              <w:bottom w:val="single" w:sz="8" w:color="auto"/>
              <w:right w:val="single" w:sz="8" w:color="auto"/>
            </w:tcBorders>
            <w:shd w:val="clear" w:color="auto" w:fill="CFF0FC"/>
          </w:tcPr>
          <w:p>
            <w:pPr>
              <w:spacing w:after="0"/>
              <w:rPr>
                <w:sz w:val="16"/>
                <w:szCs w:val="16"/>
                <w:color w:val="auto"/>
              </w:rPr>
            </w:pPr>
          </w:p>
        </w:tc>
        <w:tc>
          <w:tcPr>
            <w:tcW w:w="60" w:type="dxa"/>
            <w:vAlign w:val="bottom"/>
            <w:tcBorders>
              <w:bottom w:val="single" w:sz="8" w:color="auto"/>
            </w:tcBorders>
            <w:shd w:val="clear" w:color="auto" w:fill="CFF0FC"/>
          </w:tcPr>
          <w:p>
            <w:pPr>
              <w:spacing w:after="0"/>
              <w:rPr>
                <w:sz w:val="16"/>
                <w:szCs w:val="16"/>
                <w:color w:val="auto"/>
              </w:rPr>
            </w:pPr>
          </w:p>
        </w:tc>
        <w:tc>
          <w:tcPr>
            <w:tcW w:w="1540" w:type="dxa"/>
            <w:vAlign w:val="bottom"/>
            <w:tcBorders>
              <w:bottom w:val="single" w:sz="8" w:color="auto"/>
              <w:right w:val="single" w:sz="8" w:color="auto"/>
            </w:tcBorders>
            <w:shd w:val="clear" w:color="auto" w:fill="CFF0FC"/>
          </w:tcPr>
          <w:p>
            <w:pPr>
              <w:spacing w:after="0"/>
              <w:rPr>
                <w:sz w:val="16"/>
                <w:szCs w:val="16"/>
                <w:color w:val="auto"/>
              </w:rPr>
            </w:pPr>
          </w:p>
        </w:tc>
        <w:tc>
          <w:tcPr>
            <w:tcW w:w="3280" w:type="dxa"/>
            <w:vAlign w:val="bottom"/>
            <w:tcBorders>
              <w:bottom w:val="single" w:sz="8" w:color="auto"/>
              <w:right w:val="single" w:sz="8" w:color="auto"/>
            </w:tcBorders>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and Stuart Tross</w:t>
            </w:r>
          </w:p>
        </w:tc>
      </w:tr>
    </w:tbl>
    <w:p>
      <w:pPr>
        <w:spacing w:after="0" w:line="319" w:lineRule="exact"/>
        <w:rPr>
          <w:sz w:val="20"/>
          <w:szCs w:val="20"/>
          <w:color w:val="auto"/>
        </w:rPr>
      </w:pPr>
    </w:p>
    <w:p>
      <w:pPr>
        <w:jc w:val="both"/>
        <w:ind w:left="760" w:hanging="378"/>
        <w:spacing w:after="0" w:line="266"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(b) and (d) are the amounts of total compensation reported for Mr. Castagna (our Chief Executive Officer and PEO) and the average total compensation for our non-PEO NEOs for each corresponding year in the “Total” column of the Summary Compensation Table. Refer to “Executive Compensation—Summary Compensation Table.”</w:t>
      </w:r>
    </w:p>
    <w:p>
      <w:pPr>
        <w:spacing w:after="0" w:line="67" w:lineRule="exact"/>
        <w:rPr>
          <w:rFonts w:ascii="Times New Roman" w:cs="Times New Roman" w:eastAsia="Times New Roman" w:hAnsi="Times New Roman"/>
          <w:sz w:val="18"/>
          <w:szCs w:val="18"/>
          <w:color w:val="auto"/>
        </w:rPr>
      </w:pPr>
    </w:p>
    <w:p>
      <w:pPr>
        <w:jc w:val="both"/>
        <w:ind w:left="760" w:hanging="378"/>
        <w:spacing w:after="0" w:line="261"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(c) and (e) represent the amount of CAP to Mr. Castagna and the average amount of CAP to our Non-PEO NEOs, respectively, as computed in accordance with Item 402(v) of Regulation S-K. The dollar amounts do not reflect the actual amount of compensation earned by or paid to our NEOs during the applicable year. In accordance with the requirements of Item 402(v) of Regulation S-K, the following adjustments were made to the reported total compensation for each year to determine the CAP:</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7" w:right="339" w:bottom="1440" w:gutter="0" w:footer="0" w:header="0"/>
        </w:sectPr>
      </w:pPr>
    </w:p>
    <w:bookmarkStart w:id="70" w:name="page71"/>
    <w:bookmarkEnd w:id="70"/>
    <w:tbl>
      <w:tblPr>
        <w:tblLayout w:type="fixed"/>
        <w:tblInd w:w="250" w:type="dxa"/>
        <w:tblCellMar>
          <w:top w:w="0" w:type="dxa"/>
          <w:left w:w="0" w:type="dxa"/>
          <w:bottom w:w="0" w:type="dxa"/>
          <w:right w:w="0" w:type="dxa"/>
        </w:tblCellMar>
      </w:tblPr>
      <w:tr>
        <w:trPr>
          <w:trHeight w:val="373"/>
        </w:trPr>
        <w:tc>
          <w:tcPr>
            <w:tcW w:w="2740" w:type="dxa"/>
            <w:vAlign w:val="bottom"/>
          </w:tcPr>
          <w:p>
            <w:pPr>
              <w:spacing w:after="0"/>
              <w:rPr>
                <w:sz w:val="24"/>
                <w:szCs w:val="24"/>
                <w:color w:val="auto"/>
              </w:rPr>
            </w:pPr>
          </w:p>
        </w:tc>
        <w:tc>
          <w:tcPr>
            <w:tcW w:w="1000" w:type="dxa"/>
            <w:vAlign w:val="bottom"/>
            <w:tcBorders>
              <w:top w:val="single" w:sz="8" w:color="auto"/>
              <w:bottom w:val="single" w:sz="8" w:color="auto"/>
            </w:tcBorders>
          </w:tcPr>
          <w:p>
            <w:pPr>
              <w:spacing w:after="0"/>
              <w:rPr>
                <w:sz w:val="24"/>
                <w:szCs w:val="24"/>
                <w:color w:val="auto"/>
              </w:rPr>
            </w:pPr>
          </w:p>
        </w:tc>
        <w:tc>
          <w:tcPr>
            <w:tcW w:w="1280" w:type="dxa"/>
            <w:vAlign w:val="bottom"/>
            <w:tcBorders>
              <w:top w:val="single" w:sz="8" w:color="auto"/>
              <w:bottom w:val="single" w:sz="8" w:color="auto"/>
              <w:right w:val="single" w:sz="8" w:color="auto"/>
            </w:tcBorders>
            <w:gridSpan w:val="2"/>
          </w:tcPr>
          <w:p>
            <w:pPr>
              <w:jc w:val="right"/>
              <w:ind w:right="889"/>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80" w:type="dxa"/>
            <w:vAlign w:val="bottom"/>
            <w:tcBorders>
              <w:top w:val="single" w:sz="8" w:color="auto"/>
              <w:bottom w:val="single" w:sz="8" w:color="auto"/>
            </w:tcBorders>
          </w:tcPr>
          <w:p>
            <w:pPr>
              <w:spacing w:after="0"/>
              <w:rPr>
                <w:sz w:val="24"/>
                <w:szCs w:val="24"/>
                <w:color w:val="auto"/>
              </w:rPr>
            </w:pPr>
          </w:p>
        </w:tc>
        <w:tc>
          <w:tcPr>
            <w:tcW w:w="1440" w:type="dxa"/>
            <w:vAlign w:val="bottom"/>
            <w:tcBorders>
              <w:top w:val="single" w:sz="8" w:color="auto"/>
              <w:bottom w:val="single" w:sz="8" w:color="auto"/>
              <w:right w:val="single" w:sz="8" w:color="auto"/>
            </w:tcBorders>
            <w:gridSpan w:val="2"/>
          </w:tcPr>
          <w:p>
            <w:pPr>
              <w:jc w:val="right"/>
              <w:ind w:right="1069"/>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20" w:type="dxa"/>
            <w:vAlign w:val="bottom"/>
            <w:tcBorders>
              <w:top w:val="single" w:sz="8" w:color="auto"/>
              <w:bottom w:val="single" w:sz="8" w:color="auto"/>
            </w:tcBorders>
          </w:tcPr>
          <w:p>
            <w:pPr>
              <w:spacing w:after="0"/>
              <w:rPr>
                <w:sz w:val="24"/>
                <w:szCs w:val="24"/>
                <w:color w:val="auto"/>
              </w:rPr>
            </w:pPr>
          </w:p>
        </w:tc>
        <w:tc>
          <w:tcPr>
            <w:tcW w:w="1440" w:type="dxa"/>
            <w:vAlign w:val="bottom"/>
            <w:tcBorders>
              <w:top w:val="single" w:sz="8" w:color="auto"/>
              <w:bottom w:val="single" w:sz="8" w:color="auto"/>
              <w:right w:val="single" w:sz="8" w:color="auto"/>
            </w:tcBorders>
            <w:gridSpan w:val="2"/>
          </w:tcPr>
          <w:p>
            <w:pPr>
              <w:jc w:val="right"/>
              <w:ind w:right="1029"/>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8"/>
        </w:trPr>
        <w:tc>
          <w:tcPr>
            <w:tcW w:w="2740" w:type="dxa"/>
            <w:vAlign w:val="bottom"/>
            <w:tcBorders>
              <w:left w:val="single" w:sz="8" w:color="auto"/>
              <w:right w:val="single" w:sz="8" w:color="auto"/>
            </w:tcBorders>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Average Non-</w:t>
            </w:r>
          </w:p>
        </w:tc>
        <w:tc>
          <w:tcPr>
            <w:tcW w:w="108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Average Non-PEO</w:t>
            </w:r>
          </w:p>
        </w:tc>
        <w:tc>
          <w:tcPr>
            <w:tcW w:w="1020" w:type="dxa"/>
            <w:vAlign w:val="bottom"/>
          </w:tcPr>
          <w:p>
            <w:pPr>
              <w:spacing w:after="0"/>
              <w:rPr>
                <w:sz w:val="17"/>
                <w:szCs w:val="17"/>
                <w:color w:val="auto"/>
              </w:rPr>
            </w:pPr>
          </w:p>
        </w:tc>
        <w:tc>
          <w:tcPr>
            <w:tcW w:w="22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jc w:val="center"/>
              <w:ind w:right="9"/>
              <w:spacing w:after="0"/>
              <w:rPr>
                <w:sz w:val="20"/>
                <w:szCs w:val="20"/>
                <w:color w:val="auto"/>
              </w:rPr>
            </w:pPr>
            <w:r>
              <w:rPr>
                <w:rFonts w:ascii="Times New Roman" w:cs="Times New Roman" w:eastAsia="Times New Roman" w:hAnsi="Times New Roman"/>
                <w:sz w:val="13"/>
                <w:szCs w:val="13"/>
                <w:b w:val="1"/>
                <w:bCs w:val="1"/>
                <w:color w:val="auto"/>
              </w:rPr>
              <w:t>Average Non-PEO</w:t>
            </w:r>
          </w:p>
        </w:tc>
        <w:tc>
          <w:tcPr>
            <w:tcW w:w="0" w:type="dxa"/>
            <w:vAlign w:val="bottom"/>
          </w:tcPr>
          <w:p>
            <w:pPr>
              <w:spacing w:after="0"/>
              <w:rPr>
                <w:sz w:val="1"/>
                <w:szCs w:val="1"/>
                <w:color w:val="auto"/>
              </w:rPr>
            </w:pPr>
          </w:p>
        </w:tc>
      </w:tr>
      <w:tr>
        <w:trPr>
          <w:trHeight w:val="179"/>
        </w:trPr>
        <w:tc>
          <w:tcPr>
            <w:tcW w:w="2740" w:type="dxa"/>
            <w:vAlign w:val="bottom"/>
            <w:tcBorders>
              <w:left w:val="single" w:sz="8" w:color="auto"/>
              <w:bottom w:val="single" w:sz="8" w:color="auto"/>
              <w:right w:val="single" w:sz="8" w:color="auto"/>
            </w:tcBorders>
          </w:tcPr>
          <w:p>
            <w:pPr>
              <w:spacing w:after="0"/>
              <w:rPr>
                <w:sz w:val="15"/>
                <w:szCs w:val="15"/>
                <w:color w:val="auto"/>
              </w:rPr>
            </w:pPr>
          </w:p>
        </w:tc>
        <w:tc>
          <w:tcPr>
            <w:tcW w:w="1000" w:type="dxa"/>
            <w:vAlign w:val="bottom"/>
            <w:tcBorders>
              <w:bottom w:val="single" w:sz="8" w:color="auto"/>
            </w:tcBorders>
          </w:tcPr>
          <w:p>
            <w:pPr>
              <w:ind w:left="440"/>
              <w:spacing w:after="0"/>
              <w:rPr>
                <w:sz w:val="20"/>
                <w:szCs w:val="20"/>
                <w:color w:val="auto"/>
              </w:rPr>
            </w:pPr>
            <w:r>
              <w:rPr>
                <w:rFonts w:ascii="Times New Roman" w:cs="Times New Roman" w:eastAsia="Times New Roman" w:hAnsi="Times New Roman"/>
                <w:sz w:val="13"/>
                <w:szCs w:val="13"/>
                <w:b w:val="1"/>
                <w:bCs w:val="1"/>
                <w:color w:val="auto"/>
              </w:rPr>
              <w:t>PEO</w:t>
            </w:r>
          </w:p>
        </w:tc>
        <w:tc>
          <w:tcPr>
            <w:tcW w:w="18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PEO NEOs</w:t>
            </w:r>
          </w:p>
        </w:tc>
        <w:tc>
          <w:tcPr>
            <w:tcW w:w="10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3"/>
                <w:szCs w:val="13"/>
                <w:b w:val="1"/>
                <w:bCs w:val="1"/>
                <w:color w:val="auto"/>
              </w:rPr>
              <w:t>PEO</w:t>
            </w:r>
          </w:p>
        </w:tc>
        <w:tc>
          <w:tcPr>
            <w:tcW w:w="20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NEOs</w:t>
            </w:r>
          </w:p>
        </w:tc>
        <w:tc>
          <w:tcPr>
            <w:tcW w:w="102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3"/>
                <w:szCs w:val="13"/>
                <w:b w:val="1"/>
                <w:bCs w:val="1"/>
                <w:color w:val="auto"/>
              </w:rPr>
              <w:t>PEO</w:t>
            </w:r>
          </w:p>
        </w:tc>
        <w:tc>
          <w:tcPr>
            <w:tcW w:w="220" w:type="dxa"/>
            <w:vAlign w:val="bottom"/>
            <w:tcBorders>
              <w:bottom w:val="single" w:sz="8" w:color="auto"/>
              <w:right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NEOs</w:t>
            </w:r>
          </w:p>
        </w:tc>
        <w:tc>
          <w:tcPr>
            <w:tcW w:w="0" w:type="dxa"/>
            <w:vAlign w:val="bottom"/>
          </w:tcPr>
          <w:p>
            <w:pPr>
              <w:spacing w:after="0"/>
              <w:rPr>
                <w:sz w:val="1"/>
                <w:szCs w:val="1"/>
                <w:color w:val="auto"/>
              </w:rPr>
            </w:pPr>
          </w:p>
        </w:tc>
      </w:tr>
      <w:tr>
        <w:trPr>
          <w:trHeight w:val="169"/>
        </w:trPr>
        <w:tc>
          <w:tcPr>
            <w:tcW w:w="2740" w:type="dxa"/>
            <w:vAlign w:val="bottom"/>
            <w:tcBorders>
              <w:left w:val="single" w:sz="8" w:color="auto"/>
              <w:bottom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3"/>
                <w:szCs w:val="13"/>
                <w:b w:val="1"/>
                <w:bCs w:val="1"/>
                <w:color w:val="auto"/>
              </w:rPr>
              <w:t>Summary Compensation Table Total</w:t>
            </w:r>
          </w:p>
        </w:tc>
        <w:tc>
          <w:tcPr>
            <w:tcW w:w="1000" w:type="dxa"/>
            <w:vAlign w:val="bottom"/>
            <w:tcBorders>
              <w:bottom w:val="single" w:sz="8" w:color="auto"/>
            </w:tcBorders>
            <w:shd w:val="clear" w:color="auto" w:fill="CFF0FC"/>
          </w:tcPr>
          <w:p>
            <w:pPr>
              <w:jc w:val="center"/>
              <w:ind w:left="89"/>
              <w:spacing w:after="0"/>
              <w:rPr>
                <w:sz w:val="20"/>
                <w:szCs w:val="20"/>
                <w:color w:val="auto"/>
              </w:rPr>
            </w:pPr>
            <w:r>
              <w:rPr>
                <w:rFonts w:ascii="Times New Roman" w:cs="Times New Roman" w:eastAsia="Times New Roman" w:hAnsi="Times New Roman"/>
                <w:sz w:val="14"/>
                <w:szCs w:val="14"/>
                <w:color w:val="auto"/>
              </w:rPr>
              <w:t>$3,563,295</w:t>
            </w:r>
          </w:p>
        </w:tc>
        <w:tc>
          <w:tcPr>
            <w:tcW w:w="180" w:type="dxa"/>
            <w:vAlign w:val="bottom"/>
            <w:tcBorders>
              <w:bottom w:val="single" w:sz="8" w:color="auto"/>
              <w:right w:val="single" w:sz="8" w:color="auto"/>
            </w:tcBorders>
            <w:shd w:val="clear" w:color="auto" w:fill="CFF0FC"/>
          </w:tcPr>
          <w:p>
            <w:pPr>
              <w:spacing w:after="0"/>
              <w:rPr>
                <w:sz w:val="14"/>
                <w:szCs w:val="14"/>
                <w:color w:val="auto"/>
              </w:rPr>
            </w:pPr>
          </w:p>
        </w:tc>
        <w:tc>
          <w:tcPr>
            <w:tcW w:w="110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$1,613,615</w:t>
            </w:r>
          </w:p>
        </w:tc>
        <w:tc>
          <w:tcPr>
            <w:tcW w:w="1080" w:type="dxa"/>
            <w:vAlign w:val="bottom"/>
            <w:tcBorders>
              <w:bottom w:val="single" w:sz="8" w:color="auto"/>
            </w:tcBorders>
            <w:shd w:val="clear" w:color="auto" w:fill="CFF0FC"/>
          </w:tcPr>
          <w:p>
            <w:pPr>
              <w:jc w:val="center"/>
              <w:ind w:left="229"/>
              <w:spacing w:after="0"/>
              <w:rPr>
                <w:sz w:val="20"/>
                <w:szCs w:val="20"/>
                <w:color w:val="auto"/>
              </w:rPr>
            </w:pPr>
            <w:r>
              <w:rPr>
                <w:rFonts w:ascii="Times New Roman" w:cs="Times New Roman" w:eastAsia="Times New Roman" w:hAnsi="Times New Roman"/>
                <w:sz w:val="14"/>
                <w:szCs w:val="14"/>
                <w:color w:val="auto"/>
              </w:rPr>
              <w:t>$4,030,833</w:t>
            </w:r>
          </w:p>
        </w:tc>
        <w:tc>
          <w:tcPr>
            <w:tcW w:w="200" w:type="dxa"/>
            <w:vAlign w:val="bottom"/>
            <w:tcBorders>
              <w:bottom w:val="single" w:sz="8" w:color="auto"/>
              <w:right w:val="single" w:sz="8" w:color="auto"/>
            </w:tcBorders>
            <w:shd w:val="clear" w:color="auto" w:fill="CFF0FC"/>
          </w:tcPr>
          <w:p>
            <w:pPr>
              <w:spacing w:after="0"/>
              <w:rPr>
                <w:sz w:val="14"/>
                <w:szCs w:val="14"/>
                <w:color w:val="auto"/>
              </w:rPr>
            </w:pPr>
          </w:p>
        </w:tc>
        <w:tc>
          <w:tcPr>
            <w:tcW w:w="124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$1,730,384</w:t>
            </w:r>
          </w:p>
        </w:tc>
        <w:tc>
          <w:tcPr>
            <w:tcW w:w="1020" w:type="dxa"/>
            <w:vAlign w:val="bottom"/>
            <w:tcBorders>
              <w:bottom w:val="single" w:sz="8" w:color="auto"/>
            </w:tcBorders>
            <w:shd w:val="clear" w:color="auto" w:fill="CFF0FC"/>
          </w:tcPr>
          <w:p>
            <w:pPr>
              <w:jc w:val="center"/>
              <w:ind w:left="129"/>
              <w:spacing w:after="0"/>
              <w:rPr>
                <w:sz w:val="20"/>
                <w:szCs w:val="20"/>
                <w:color w:val="auto"/>
              </w:rPr>
            </w:pPr>
            <w:r>
              <w:rPr>
                <w:rFonts w:ascii="Times New Roman" w:cs="Times New Roman" w:eastAsia="Times New Roman" w:hAnsi="Times New Roman"/>
                <w:sz w:val="14"/>
                <w:szCs w:val="14"/>
                <w:color w:val="auto"/>
              </w:rPr>
              <w:t>$3,905,058</w:t>
            </w:r>
          </w:p>
        </w:tc>
        <w:tc>
          <w:tcPr>
            <w:tcW w:w="220" w:type="dxa"/>
            <w:vAlign w:val="bottom"/>
            <w:tcBorders>
              <w:bottom w:val="single" w:sz="8" w:color="auto"/>
              <w:right w:val="single" w:sz="8" w:color="auto"/>
            </w:tcBorders>
            <w:shd w:val="clear" w:color="auto" w:fill="CFF0FC"/>
          </w:tcPr>
          <w:p>
            <w:pPr>
              <w:spacing w:after="0"/>
              <w:rPr>
                <w:sz w:val="14"/>
                <w:szCs w:val="14"/>
                <w:color w:val="auto"/>
              </w:rPr>
            </w:pPr>
          </w:p>
        </w:tc>
        <w:tc>
          <w:tcPr>
            <w:tcW w:w="1220" w:type="dxa"/>
            <w:vAlign w:val="bottom"/>
            <w:tcBorders>
              <w:bottom w:val="single" w:sz="8" w:color="auto"/>
              <w:right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$1,481,321</w:t>
            </w:r>
          </w:p>
        </w:tc>
        <w:tc>
          <w:tcPr>
            <w:tcW w:w="0" w:type="dxa"/>
            <w:vAlign w:val="bottom"/>
          </w:tcPr>
          <w:p>
            <w:pPr>
              <w:spacing w:after="0"/>
              <w:rPr>
                <w:sz w:val="1"/>
                <w:szCs w:val="1"/>
                <w:color w:val="auto"/>
              </w:rPr>
            </w:pPr>
          </w:p>
        </w:tc>
      </w:tr>
      <w:tr>
        <w:trPr>
          <w:trHeight w:val="143"/>
        </w:trPr>
        <w:tc>
          <w:tcPr>
            <w:tcW w:w="2740" w:type="dxa"/>
            <w:vAlign w:val="bottom"/>
            <w:tcBorders>
              <w:left w:val="single" w:sz="8" w:color="auto"/>
              <w:right w:val="single" w:sz="8" w:color="auto"/>
            </w:tcBorders>
          </w:tcPr>
          <w:p>
            <w:pPr>
              <w:ind w:left="60"/>
              <w:spacing w:after="0" w:line="143" w:lineRule="exact"/>
              <w:rPr>
                <w:sz w:val="20"/>
                <w:szCs w:val="20"/>
                <w:color w:val="auto"/>
              </w:rPr>
            </w:pPr>
            <w:r>
              <w:rPr>
                <w:rFonts w:ascii="Times New Roman" w:cs="Times New Roman" w:eastAsia="Times New Roman" w:hAnsi="Times New Roman"/>
                <w:sz w:val="13"/>
                <w:szCs w:val="13"/>
                <w:color w:val="auto"/>
              </w:rPr>
              <w:t>Deduct: Grant Date Fair Value of "Stock</w:t>
            </w:r>
          </w:p>
        </w:tc>
        <w:tc>
          <w:tcPr>
            <w:tcW w:w="10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Awards” Column in the Summary</w:t>
            </w:r>
          </w:p>
        </w:tc>
        <w:tc>
          <w:tcPr>
            <w:tcW w:w="1000" w:type="dxa"/>
            <w:vAlign w:val="bottom"/>
            <w:vMerge w:val="restart"/>
          </w:tcPr>
          <w:p>
            <w:pPr>
              <w:jc w:val="center"/>
              <w:ind w:left="89"/>
              <w:spacing w:after="0"/>
              <w:rPr>
                <w:sz w:val="20"/>
                <w:szCs w:val="20"/>
                <w:color w:val="auto"/>
              </w:rPr>
            </w:pPr>
            <w:r>
              <w:rPr>
                <w:rFonts w:ascii="Times New Roman" w:cs="Times New Roman" w:eastAsia="Times New Roman" w:hAnsi="Times New Roman"/>
                <w:sz w:val="14"/>
                <w:szCs w:val="14"/>
                <w:color w:val="auto"/>
              </w:rPr>
              <w:t>($2,580,300)</w:t>
            </w:r>
          </w:p>
        </w:tc>
        <w:tc>
          <w:tcPr>
            <w:tcW w:w="18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($1,032,800)</w:t>
            </w:r>
          </w:p>
        </w:tc>
        <w:tc>
          <w:tcPr>
            <w:tcW w:w="1080" w:type="dxa"/>
            <w:vAlign w:val="bottom"/>
            <w:vMerge w:val="restart"/>
          </w:tcPr>
          <w:p>
            <w:pPr>
              <w:jc w:val="center"/>
              <w:ind w:left="229"/>
              <w:spacing w:after="0"/>
              <w:rPr>
                <w:sz w:val="20"/>
                <w:szCs w:val="20"/>
                <w:color w:val="auto"/>
              </w:rPr>
            </w:pPr>
            <w:r>
              <w:rPr>
                <w:rFonts w:ascii="Times New Roman" w:cs="Times New Roman" w:eastAsia="Times New Roman" w:hAnsi="Times New Roman"/>
                <w:sz w:val="14"/>
                <w:szCs w:val="14"/>
                <w:color w:val="auto"/>
              </w:rPr>
              <w:t>($2,911,592)</w:t>
            </w:r>
          </w:p>
        </w:tc>
        <w:tc>
          <w:tcPr>
            <w:tcW w:w="20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($1,028,744)</w:t>
            </w:r>
          </w:p>
        </w:tc>
        <w:tc>
          <w:tcPr>
            <w:tcW w:w="1020" w:type="dxa"/>
            <w:vAlign w:val="bottom"/>
            <w:vMerge w:val="restart"/>
          </w:tcPr>
          <w:p>
            <w:pPr>
              <w:jc w:val="center"/>
              <w:ind w:left="129"/>
              <w:spacing w:after="0"/>
              <w:rPr>
                <w:sz w:val="20"/>
                <w:szCs w:val="20"/>
                <w:color w:val="auto"/>
              </w:rPr>
            </w:pPr>
            <w:r>
              <w:rPr>
                <w:rFonts w:ascii="Times New Roman" w:cs="Times New Roman" w:eastAsia="Times New Roman" w:hAnsi="Times New Roman"/>
                <w:sz w:val="14"/>
                <w:szCs w:val="14"/>
                <w:color w:val="auto"/>
              </w:rPr>
              <w:t>($2,646,400)</w:t>
            </w:r>
          </w:p>
        </w:tc>
        <w:tc>
          <w:tcPr>
            <w:tcW w:w="22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($906,783)</w:t>
            </w:r>
          </w:p>
        </w:tc>
        <w:tc>
          <w:tcPr>
            <w:tcW w:w="0" w:type="dxa"/>
            <w:vAlign w:val="bottom"/>
          </w:tcPr>
          <w:p>
            <w:pPr>
              <w:spacing w:after="0"/>
              <w:rPr>
                <w:sz w:val="1"/>
                <w:szCs w:val="1"/>
                <w:color w:val="auto"/>
              </w:rPr>
            </w:pPr>
          </w:p>
        </w:tc>
      </w:tr>
      <w:tr>
        <w:trPr>
          <w:trHeight w:val="97"/>
        </w:trPr>
        <w:tc>
          <w:tcPr>
            <w:tcW w:w="274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3"/>
                <w:szCs w:val="13"/>
                <w:color w:val="auto"/>
              </w:rPr>
              <w:t>Compensation Table for Applicable FY</w:t>
            </w:r>
          </w:p>
        </w:tc>
        <w:tc>
          <w:tcPr>
            <w:tcW w:w="1000" w:type="dxa"/>
            <w:vAlign w:val="bottom"/>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740" w:type="dxa"/>
            <w:vAlign w:val="bottom"/>
            <w:tcBorders>
              <w:left w:val="single" w:sz="8" w:color="auto"/>
              <w:right w:val="single" w:sz="8" w:color="auto"/>
            </w:tcBorders>
            <w:vMerge w:val="continue"/>
          </w:tcPr>
          <w:p>
            <w:pPr>
              <w:spacing w:after="0"/>
              <w:rPr>
                <w:sz w:val="6"/>
                <w:szCs w:val="6"/>
                <w:color w:val="auto"/>
              </w:rPr>
            </w:pPr>
          </w:p>
        </w:tc>
        <w:tc>
          <w:tcPr>
            <w:tcW w:w="1000" w:type="dxa"/>
            <w:vAlign w:val="bottom"/>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1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740" w:type="dxa"/>
            <w:vAlign w:val="bottom"/>
            <w:tcBorders>
              <w:left w:val="single" w:sz="8" w:color="auto"/>
              <w:bottom w:val="single" w:sz="8" w:color="auto"/>
              <w:right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740" w:type="dxa"/>
            <w:vAlign w:val="bottom"/>
            <w:tcBorders>
              <w:left w:val="single" w:sz="8" w:color="auto"/>
              <w:right w:val="single" w:sz="8" w:color="auto"/>
            </w:tcBorders>
            <w:shd w:val="clear" w:color="auto" w:fill="CFF0FC"/>
          </w:tcPr>
          <w:p>
            <w:pPr>
              <w:ind w:left="60"/>
              <w:spacing w:after="0" w:line="143" w:lineRule="exact"/>
              <w:rPr>
                <w:sz w:val="20"/>
                <w:szCs w:val="20"/>
                <w:color w:val="auto"/>
              </w:rPr>
            </w:pPr>
            <w:r>
              <w:rPr>
                <w:rFonts w:ascii="Times New Roman" w:cs="Times New Roman" w:eastAsia="Times New Roman" w:hAnsi="Times New Roman"/>
                <w:sz w:val="13"/>
                <w:szCs w:val="13"/>
                <w:color w:val="auto"/>
              </w:rPr>
              <w:t>Add: Fair Value at Applicable FY End of</w:t>
            </w:r>
          </w:p>
        </w:tc>
        <w:tc>
          <w:tcPr>
            <w:tcW w:w="1000" w:type="dxa"/>
            <w:vAlign w:val="bottom"/>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1100" w:type="dxa"/>
            <w:vAlign w:val="bottom"/>
            <w:tcBorders>
              <w:right w:val="single" w:sz="8" w:color="auto"/>
            </w:tcBorders>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1240" w:type="dxa"/>
            <w:vAlign w:val="bottom"/>
            <w:tcBorders>
              <w:right w:val="single" w:sz="8" w:color="auto"/>
            </w:tcBorders>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12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Awards Granted during Applicable FY that</w:t>
            </w:r>
          </w:p>
        </w:tc>
        <w:tc>
          <w:tcPr>
            <w:tcW w:w="1000" w:type="dxa"/>
            <w:vAlign w:val="bottom"/>
            <w:vMerge w:val="restart"/>
            <w:shd w:val="clear" w:color="auto" w:fill="CFF0FC"/>
          </w:tcPr>
          <w:p>
            <w:pPr>
              <w:jc w:val="center"/>
              <w:ind w:left="89"/>
              <w:spacing w:after="0"/>
              <w:rPr>
                <w:sz w:val="20"/>
                <w:szCs w:val="20"/>
                <w:color w:val="auto"/>
              </w:rPr>
            </w:pPr>
            <w:r>
              <w:rPr>
                <w:rFonts w:ascii="Times New Roman" w:cs="Times New Roman" w:eastAsia="Times New Roman" w:hAnsi="Times New Roman"/>
                <w:sz w:val="14"/>
                <w:szCs w:val="14"/>
                <w:color w:val="auto"/>
              </w:rPr>
              <w:t>$5,130,170</w:t>
            </w:r>
          </w:p>
        </w:tc>
        <w:tc>
          <w:tcPr>
            <w:tcW w:w="180" w:type="dxa"/>
            <w:vAlign w:val="bottom"/>
            <w:tcBorders>
              <w:right w:val="single" w:sz="8" w:color="auto"/>
            </w:tcBorders>
            <w:shd w:val="clear" w:color="auto" w:fill="CFF0FC"/>
          </w:tcPr>
          <w:p>
            <w:pPr>
              <w:spacing w:after="0"/>
              <w:rPr>
                <w:sz w:val="12"/>
                <w:szCs w:val="12"/>
                <w:color w:val="auto"/>
              </w:rPr>
            </w:pPr>
          </w:p>
        </w:tc>
        <w:tc>
          <w:tcPr>
            <w:tcW w:w="110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$2,053,320</w:t>
            </w:r>
          </w:p>
        </w:tc>
        <w:tc>
          <w:tcPr>
            <w:tcW w:w="1080" w:type="dxa"/>
            <w:vAlign w:val="bottom"/>
            <w:vMerge w:val="restart"/>
            <w:shd w:val="clear" w:color="auto" w:fill="CFF0FC"/>
          </w:tcPr>
          <w:p>
            <w:pPr>
              <w:jc w:val="center"/>
              <w:ind w:left="229"/>
              <w:spacing w:after="0"/>
              <w:rPr>
                <w:sz w:val="20"/>
                <w:szCs w:val="20"/>
                <w:color w:val="auto"/>
              </w:rPr>
            </w:pPr>
            <w:r>
              <w:rPr>
                <w:rFonts w:ascii="Times New Roman" w:cs="Times New Roman" w:eastAsia="Times New Roman" w:hAnsi="Times New Roman"/>
                <w:sz w:val="14"/>
                <w:szCs w:val="14"/>
                <w:color w:val="auto"/>
              </w:rPr>
              <w:t>$2,832,800</w:t>
            </w:r>
          </w:p>
        </w:tc>
        <w:tc>
          <w:tcPr>
            <w:tcW w:w="200" w:type="dxa"/>
            <w:vAlign w:val="bottom"/>
            <w:tcBorders>
              <w:right w:val="single" w:sz="8" w:color="auto"/>
            </w:tcBorders>
            <w:shd w:val="clear" w:color="auto" w:fill="CFF0FC"/>
          </w:tcPr>
          <w:p>
            <w:pPr>
              <w:spacing w:after="0"/>
              <w:rPr>
                <w:sz w:val="12"/>
                <w:szCs w:val="12"/>
                <w:color w:val="auto"/>
              </w:rPr>
            </w:pPr>
          </w:p>
        </w:tc>
        <w:tc>
          <w:tcPr>
            <w:tcW w:w="124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$1,001,485</w:t>
            </w:r>
          </w:p>
        </w:tc>
        <w:tc>
          <w:tcPr>
            <w:tcW w:w="1020" w:type="dxa"/>
            <w:vAlign w:val="bottom"/>
            <w:vMerge w:val="restart"/>
            <w:shd w:val="clear" w:color="auto" w:fill="CFF0FC"/>
          </w:tcPr>
          <w:p>
            <w:pPr>
              <w:jc w:val="center"/>
              <w:ind w:left="129"/>
              <w:spacing w:after="0"/>
              <w:rPr>
                <w:sz w:val="20"/>
                <w:szCs w:val="20"/>
                <w:color w:val="auto"/>
              </w:rPr>
            </w:pPr>
            <w:r>
              <w:rPr>
                <w:rFonts w:ascii="Times New Roman" w:cs="Times New Roman" w:eastAsia="Times New Roman" w:hAnsi="Times New Roman"/>
                <w:sz w:val="14"/>
                <w:szCs w:val="14"/>
                <w:color w:val="auto"/>
              </w:rPr>
              <w:t>$5,338,040</w:t>
            </w:r>
          </w:p>
        </w:tc>
        <w:tc>
          <w:tcPr>
            <w:tcW w:w="220" w:type="dxa"/>
            <w:vAlign w:val="bottom"/>
            <w:tcBorders>
              <w:right w:val="single" w:sz="8" w:color="auto"/>
            </w:tcBorders>
            <w:shd w:val="clear" w:color="auto" w:fill="CFF0FC"/>
          </w:tcPr>
          <w:p>
            <w:pPr>
              <w:spacing w:after="0"/>
              <w:rPr>
                <w:sz w:val="12"/>
                <w:szCs w:val="12"/>
                <w:color w:val="auto"/>
              </w:rPr>
            </w:pPr>
          </w:p>
        </w:tc>
        <w:tc>
          <w:tcPr>
            <w:tcW w:w="122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$1,451,183</w:t>
            </w:r>
          </w:p>
        </w:tc>
        <w:tc>
          <w:tcPr>
            <w:tcW w:w="0" w:type="dxa"/>
            <w:vAlign w:val="bottom"/>
          </w:tcPr>
          <w:p>
            <w:pPr>
              <w:spacing w:after="0"/>
              <w:rPr>
                <w:sz w:val="1"/>
                <w:szCs w:val="1"/>
                <w:color w:val="auto"/>
              </w:rPr>
            </w:pPr>
          </w:p>
        </w:tc>
      </w:tr>
      <w:tr>
        <w:trPr>
          <w:trHeight w:val="97"/>
        </w:trPr>
        <w:tc>
          <w:tcPr>
            <w:tcW w:w="2740" w:type="dxa"/>
            <w:vAlign w:val="bottom"/>
            <w:tcBorders>
              <w:left w:val="single" w:sz="8" w:color="auto"/>
              <w:right w:val="single" w:sz="8" w:color="auto"/>
            </w:tcBorders>
            <w:vMerge w:val="restart"/>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Remain Unvested as of Applicable FY End</w:t>
            </w:r>
          </w:p>
        </w:tc>
        <w:tc>
          <w:tcPr>
            <w:tcW w:w="1000" w:type="dxa"/>
            <w:vAlign w:val="bottom"/>
            <w:vMerge w:val="continue"/>
            <w:shd w:val="clear" w:color="auto" w:fill="CFF0FC"/>
          </w:tcPr>
          <w:p>
            <w:pPr>
              <w:spacing w:after="0"/>
              <w:rPr>
                <w:sz w:val="8"/>
                <w:szCs w:val="8"/>
                <w:color w:val="auto"/>
              </w:rPr>
            </w:pPr>
          </w:p>
        </w:tc>
        <w:tc>
          <w:tcPr>
            <w:tcW w:w="180" w:type="dxa"/>
            <w:vAlign w:val="bottom"/>
            <w:tcBorders>
              <w:right w:val="single" w:sz="8" w:color="auto"/>
            </w:tcBorders>
            <w:shd w:val="clear" w:color="auto" w:fill="CFF0FC"/>
          </w:tcPr>
          <w:p>
            <w:pPr>
              <w:spacing w:after="0"/>
              <w:rPr>
                <w:sz w:val="8"/>
                <w:szCs w:val="8"/>
                <w:color w:val="auto"/>
              </w:rPr>
            </w:pPr>
          </w:p>
        </w:tc>
        <w:tc>
          <w:tcPr>
            <w:tcW w:w="1100" w:type="dxa"/>
            <w:vAlign w:val="bottom"/>
            <w:tcBorders>
              <w:right w:val="single" w:sz="8" w:color="auto"/>
            </w:tcBorders>
            <w:vMerge w:val="continue"/>
            <w:shd w:val="clear" w:color="auto" w:fill="CFF0FC"/>
          </w:tcPr>
          <w:p>
            <w:pPr>
              <w:spacing w:after="0"/>
              <w:rPr>
                <w:sz w:val="8"/>
                <w:szCs w:val="8"/>
                <w:color w:val="auto"/>
              </w:rPr>
            </w:pPr>
          </w:p>
        </w:tc>
        <w:tc>
          <w:tcPr>
            <w:tcW w:w="1080" w:type="dxa"/>
            <w:vAlign w:val="bottom"/>
            <w:vMerge w:val="continue"/>
            <w:shd w:val="clear" w:color="auto" w:fill="CFF0FC"/>
          </w:tcPr>
          <w:p>
            <w:pPr>
              <w:spacing w:after="0"/>
              <w:rPr>
                <w:sz w:val="8"/>
                <w:szCs w:val="8"/>
                <w:color w:val="auto"/>
              </w:rPr>
            </w:pPr>
          </w:p>
        </w:tc>
        <w:tc>
          <w:tcPr>
            <w:tcW w:w="200" w:type="dxa"/>
            <w:vAlign w:val="bottom"/>
            <w:tcBorders>
              <w:right w:val="single" w:sz="8" w:color="auto"/>
            </w:tcBorders>
            <w:shd w:val="clear" w:color="auto" w:fill="CFF0FC"/>
          </w:tcPr>
          <w:p>
            <w:pPr>
              <w:spacing w:after="0"/>
              <w:rPr>
                <w:sz w:val="8"/>
                <w:szCs w:val="8"/>
                <w:color w:val="auto"/>
              </w:rPr>
            </w:pPr>
          </w:p>
        </w:tc>
        <w:tc>
          <w:tcPr>
            <w:tcW w:w="1240" w:type="dxa"/>
            <w:vAlign w:val="bottom"/>
            <w:tcBorders>
              <w:right w:val="single" w:sz="8" w:color="auto"/>
            </w:tcBorders>
            <w:vMerge w:val="continue"/>
            <w:shd w:val="clear" w:color="auto" w:fill="CFF0FC"/>
          </w:tcPr>
          <w:p>
            <w:pPr>
              <w:spacing w:after="0"/>
              <w:rPr>
                <w:sz w:val="8"/>
                <w:szCs w:val="8"/>
                <w:color w:val="auto"/>
              </w:rPr>
            </w:pPr>
          </w:p>
        </w:tc>
        <w:tc>
          <w:tcPr>
            <w:tcW w:w="1020" w:type="dxa"/>
            <w:vAlign w:val="bottom"/>
            <w:vMerge w:val="continue"/>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1220" w:type="dxa"/>
            <w:vAlign w:val="bottom"/>
            <w:tcBorders>
              <w:right w:val="single" w:sz="8" w:color="auto"/>
            </w:tcBorders>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740" w:type="dxa"/>
            <w:vAlign w:val="bottom"/>
            <w:tcBorders>
              <w:left w:val="single" w:sz="8" w:color="auto"/>
              <w:right w:val="single" w:sz="8" w:color="auto"/>
            </w:tcBorders>
            <w:vMerge w:val="continue"/>
            <w:shd w:val="clear" w:color="auto" w:fill="CFF0FC"/>
          </w:tcPr>
          <w:p>
            <w:pPr>
              <w:spacing w:after="0"/>
              <w:rPr>
                <w:sz w:val="6"/>
                <w:szCs w:val="6"/>
                <w:color w:val="auto"/>
              </w:rPr>
            </w:pPr>
          </w:p>
        </w:tc>
        <w:tc>
          <w:tcPr>
            <w:tcW w:w="1000" w:type="dxa"/>
            <w:vAlign w:val="bottom"/>
            <w:shd w:val="clear" w:color="auto" w:fill="CFF0FC"/>
          </w:tcPr>
          <w:p>
            <w:pPr>
              <w:spacing w:after="0"/>
              <w:rPr>
                <w:sz w:val="6"/>
                <w:szCs w:val="6"/>
                <w:color w:val="auto"/>
              </w:rPr>
            </w:pPr>
          </w:p>
        </w:tc>
        <w:tc>
          <w:tcPr>
            <w:tcW w:w="180" w:type="dxa"/>
            <w:vAlign w:val="bottom"/>
            <w:tcBorders>
              <w:right w:val="single" w:sz="8" w:color="auto"/>
            </w:tcBorders>
            <w:shd w:val="clear" w:color="auto" w:fill="CFF0FC"/>
          </w:tcPr>
          <w:p>
            <w:pPr>
              <w:spacing w:after="0"/>
              <w:rPr>
                <w:sz w:val="6"/>
                <w:szCs w:val="6"/>
                <w:color w:val="auto"/>
              </w:rPr>
            </w:pPr>
          </w:p>
        </w:tc>
        <w:tc>
          <w:tcPr>
            <w:tcW w:w="1100" w:type="dxa"/>
            <w:vAlign w:val="bottom"/>
            <w:tcBorders>
              <w:right w:val="single" w:sz="8" w:color="auto"/>
            </w:tcBorders>
            <w:shd w:val="clear" w:color="auto" w:fill="CFF0FC"/>
          </w:tcPr>
          <w:p>
            <w:pPr>
              <w:spacing w:after="0"/>
              <w:rPr>
                <w:sz w:val="6"/>
                <w:szCs w:val="6"/>
                <w:color w:val="auto"/>
              </w:rPr>
            </w:pPr>
          </w:p>
        </w:tc>
        <w:tc>
          <w:tcPr>
            <w:tcW w:w="1080" w:type="dxa"/>
            <w:vAlign w:val="bottom"/>
            <w:shd w:val="clear" w:color="auto" w:fill="CFF0FC"/>
          </w:tcPr>
          <w:p>
            <w:pPr>
              <w:spacing w:after="0"/>
              <w:rPr>
                <w:sz w:val="6"/>
                <w:szCs w:val="6"/>
                <w:color w:val="auto"/>
              </w:rPr>
            </w:pPr>
          </w:p>
        </w:tc>
        <w:tc>
          <w:tcPr>
            <w:tcW w:w="200" w:type="dxa"/>
            <w:vAlign w:val="bottom"/>
            <w:tcBorders>
              <w:right w:val="single" w:sz="8" w:color="auto"/>
            </w:tcBorders>
            <w:shd w:val="clear" w:color="auto" w:fill="CFF0FC"/>
          </w:tcPr>
          <w:p>
            <w:pPr>
              <w:spacing w:after="0"/>
              <w:rPr>
                <w:sz w:val="6"/>
                <w:szCs w:val="6"/>
                <w:color w:val="auto"/>
              </w:rPr>
            </w:pPr>
          </w:p>
        </w:tc>
        <w:tc>
          <w:tcPr>
            <w:tcW w:w="1240" w:type="dxa"/>
            <w:vAlign w:val="bottom"/>
            <w:tcBorders>
              <w:right w:val="single" w:sz="8" w:color="auto"/>
            </w:tcBorders>
            <w:shd w:val="clear" w:color="auto" w:fill="CFF0FC"/>
          </w:tcPr>
          <w:p>
            <w:pPr>
              <w:spacing w:after="0"/>
              <w:rPr>
                <w:sz w:val="6"/>
                <w:szCs w:val="6"/>
                <w:color w:val="auto"/>
              </w:rPr>
            </w:pPr>
          </w:p>
        </w:tc>
        <w:tc>
          <w:tcPr>
            <w:tcW w:w="1020" w:type="dxa"/>
            <w:vAlign w:val="bottom"/>
            <w:shd w:val="clear" w:color="auto" w:fill="CFF0FC"/>
          </w:tcPr>
          <w:p>
            <w:pPr>
              <w:spacing w:after="0"/>
              <w:rPr>
                <w:sz w:val="6"/>
                <w:szCs w:val="6"/>
                <w:color w:val="auto"/>
              </w:rPr>
            </w:pPr>
          </w:p>
        </w:tc>
        <w:tc>
          <w:tcPr>
            <w:tcW w:w="220" w:type="dxa"/>
            <w:vAlign w:val="bottom"/>
            <w:tcBorders>
              <w:right w:val="single" w:sz="8" w:color="auto"/>
            </w:tcBorders>
            <w:shd w:val="clear" w:color="auto" w:fill="CFF0FC"/>
          </w:tcPr>
          <w:p>
            <w:pPr>
              <w:spacing w:after="0"/>
              <w:rPr>
                <w:sz w:val="6"/>
                <w:szCs w:val="6"/>
                <w:color w:val="auto"/>
              </w:rPr>
            </w:pPr>
          </w:p>
        </w:tc>
        <w:tc>
          <w:tcPr>
            <w:tcW w:w="1220" w:type="dxa"/>
            <w:vAlign w:val="bottom"/>
            <w:tcBorders>
              <w:right w:val="single" w:sz="8" w:color="auto"/>
            </w:tcBorders>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740" w:type="dxa"/>
            <w:vAlign w:val="bottom"/>
            <w:tcBorders>
              <w:left w:val="single" w:sz="8" w:color="auto"/>
              <w:bottom w:val="single" w:sz="8" w:color="auto"/>
              <w:right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auto"/>
              <w:right w:val="single" w:sz="8" w:color="auto"/>
            </w:tcBorders>
            <w:shd w:val="clear" w:color="auto" w:fill="CFF0FC"/>
          </w:tcPr>
          <w:p>
            <w:pPr>
              <w:spacing w:after="0"/>
              <w:rPr>
                <w:sz w:val="12"/>
                <w:szCs w:val="12"/>
                <w:color w:val="auto"/>
              </w:rPr>
            </w:pPr>
          </w:p>
        </w:tc>
        <w:tc>
          <w:tcPr>
            <w:tcW w:w="1100" w:type="dxa"/>
            <w:vAlign w:val="bottom"/>
            <w:tcBorders>
              <w:bottom w:val="single" w:sz="8" w:color="auto"/>
              <w:right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auto"/>
              <w:right w:val="single" w:sz="8" w:color="auto"/>
            </w:tcBorders>
            <w:shd w:val="clear" w:color="auto" w:fill="CFF0FC"/>
          </w:tcPr>
          <w:p>
            <w:pPr>
              <w:spacing w:after="0"/>
              <w:rPr>
                <w:sz w:val="12"/>
                <w:szCs w:val="12"/>
                <w:color w:val="auto"/>
              </w:rPr>
            </w:pPr>
          </w:p>
        </w:tc>
        <w:tc>
          <w:tcPr>
            <w:tcW w:w="1240" w:type="dxa"/>
            <w:vAlign w:val="bottom"/>
            <w:tcBorders>
              <w:bottom w:val="single" w:sz="8" w:color="auto"/>
              <w:right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auto"/>
              <w:right w:val="single" w:sz="8" w:color="auto"/>
            </w:tcBorders>
            <w:shd w:val="clear" w:color="auto" w:fill="CFF0FC"/>
          </w:tcPr>
          <w:p>
            <w:pPr>
              <w:spacing w:after="0"/>
              <w:rPr>
                <w:sz w:val="12"/>
                <w:szCs w:val="12"/>
                <w:color w:val="auto"/>
              </w:rPr>
            </w:pPr>
          </w:p>
        </w:tc>
        <w:tc>
          <w:tcPr>
            <w:tcW w:w="1220" w:type="dxa"/>
            <w:vAlign w:val="bottom"/>
            <w:tcBorders>
              <w:bottom w:val="single" w:sz="8" w:color="auto"/>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740" w:type="dxa"/>
            <w:vAlign w:val="bottom"/>
            <w:tcBorders>
              <w:left w:val="single" w:sz="8" w:color="auto"/>
              <w:right w:val="single" w:sz="8" w:color="auto"/>
            </w:tcBorders>
          </w:tcPr>
          <w:p>
            <w:pPr>
              <w:ind w:left="60"/>
              <w:spacing w:after="0" w:line="143" w:lineRule="exact"/>
              <w:rPr>
                <w:sz w:val="20"/>
                <w:szCs w:val="20"/>
                <w:color w:val="auto"/>
              </w:rPr>
            </w:pPr>
            <w:r>
              <w:rPr>
                <w:rFonts w:ascii="Times New Roman" w:cs="Times New Roman" w:eastAsia="Times New Roman" w:hAnsi="Times New Roman"/>
                <w:sz w:val="13"/>
                <w:szCs w:val="13"/>
                <w:color w:val="auto"/>
              </w:rPr>
              <w:t>Add: Year over Year Change in Fair Value of</w:t>
            </w:r>
          </w:p>
        </w:tc>
        <w:tc>
          <w:tcPr>
            <w:tcW w:w="10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Awards Granted during Prior FY that were</w:t>
            </w:r>
          </w:p>
        </w:tc>
        <w:tc>
          <w:tcPr>
            <w:tcW w:w="1000" w:type="dxa"/>
            <w:vAlign w:val="bottom"/>
            <w:vMerge w:val="restart"/>
          </w:tcPr>
          <w:p>
            <w:pPr>
              <w:jc w:val="center"/>
              <w:ind w:left="89"/>
              <w:spacing w:after="0"/>
              <w:rPr>
                <w:sz w:val="20"/>
                <w:szCs w:val="20"/>
                <w:color w:val="auto"/>
              </w:rPr>
            </w:pPr>
            <w:r>
              <w:rPr>
                <w:rFonts w:ascii="Times New Roman" w:cs="Times New Roman" w:eastAsia="Times New Roman" w:hAnsi="Times New Roman"/>
                <w:sz w:val="14"/>
                <w:szCs w:val="14"/>
                <w:color w:val="auto"/>
              </w:rPr>
              <w:t>$1,206,319</w:t>
            </w:r>
          </w:p>
        </w:tc>
        <w:tc>
          <w:tcPr>
            <w:tcW w:w="18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$460,190</w:t>
            </w:r>
          </w:p>
        </w:tc>
        <w:tc>
          <w:tcPr>
            <w:tcW w:w="1080" w:type="dxa"/>
            <w:vAlign w:val="bottom"/>
            <w:vMerge w:val="restart"/>
          </w:tcPr>
          <w:p>
            <w:pPr>
              <w:jc w:val="center"/>
              <w:ind w:left="229"/>
              <w:spacing w:after="0"/>
              <w:rPr>
                <w:sz w:val="20"/>
                <w:szCs w:val="20"/>
                <w:color w:val="auto"/>
              </w:rPr>
            </w:pPr>
            <w:r>
              <w:rPr>
                <w:rFonts w:ascii="Times New Roman" w:cs="Times New Roman" w:eastAsia="Times New Roman" w:hAnsi="Times New Roman"/>
                <w:sz w:val="14"/>
                <w:szCs w:val="14"/>
                <w:color w:val="auto"/>
              </w:rPr>
              <w:t>$2,859,986</w:t>
            </w:r>
          </w:p>
        </w:tc>
        <w:tc>
          <w:tcPr>
            <w:tcW w:w="20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$1,140,698</w:t>
            </w:r>
          </w:p>
        </w:tc>
        <w:tc>
          <w:tcPr>
            <w:tcW w:w="1020" w:type="dxa"/>
            <w:vAlign w:val="bottom"/>
            <w:vMerge w:val="restart"/>
          </w:tcPr>
          <w:p>
            <w:pPr>
              <w:jc w:val="center"/>
              <w:ind w:left="129"/>
              <w:spacing w:after="0"/>
              <w:rPr>
                <w:sz w:val="20"/>
                <w:szCs w:val="20"/>
                <w:color w:val="auto"/>
              </w:rPr>
            </w:pPr>
            <w:r>
              <w:rPr>
                <w:rFonts w:ascii="Times New Roman" w:cs="Times New Roman" w:eastAsia="Times New Roman" w:hAnsi="Times New Roman"/>
                <w:sz w:val="14"/>
                <w:szCs w:val="14"/>
                <w:color w:val="auto"/>
              </w:rPr>
              <w:t>$3,289,447</w:t>
            </w:r>
          </w:p>
        </w:tc>
        <w:tc>
          <w:tcPr>
            <w:tcW w:w="22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$846,513</w:t>
            </w:r>
          </w:p>
        </w:tc>
        <w:tc>
          <w:tcPr>
            <w:tcW w:w="0" w:type="dxa"/>
            <w:vAlign w:val="bottom"/>
          </w:tcPr>
          <w:p>
            <w:pPr>
              <w:spacing w:after="0"/>
              <w:rPr>
                <w:sz w:val="1"/>
                <w:szCs w:val="1"/>
                <w:color w:val="auto"/>
              </w:rPr>
            </w:pPr>
          </w:p>
        </w:tc>
      </w:tr>
      <w:tr>
        <w:trPr>
          <w:trHeight w:val="97"/>
        </w:trPr>
        <w:tc>
          <w:tcPr>
            <w:tcW w:w="274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3"/>
                <w:szCs w:val="13"/>
                <w:color w:val="auto"/>
              </w:rPr>
              <w:t>Outstanding and Unvested as of Applicable FY</w:t>
            </w:r>
          </w:p>
        </w:tc>
        <w:tc>
          <w:tcPr>
            <w:tcW w:w="1000" w:type="dxa"/>
            <w:vAlign w:val="bottom"/>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740" w:type="dxa"/>
            <w:vAlign w:val="bottom"/>
            <w:tcBorders>
              <w:left w:val="single" w:sz="8" w:color="auto"/>
              <w:right w:val="single" w:sz="8" w:color="auto"/>
            </w:tcBorders>
            <w:vMerge w:val="continue"/>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Borders>
              <w:right w:val="single" w:sz="8" w:color="auto"/>
            </w:tcBorders>
          </w:tcPr>
          <w:p>
            <w:pPr>
              <w:spacing w:after="0"/>
              <w:rPr>
                <w:sz w:val="4"/>
                <w:szCs w:val="4"/>
                <w:color w:val="auto"/>
              </w:rPr>
            </w:pPr>
          </w:p>
        </w:tc>
        <w:tc>
          <w:tcPr>
            <w:tcW w:w="1100" w:type="dxa"/>
            <w:vAlign w:val="bottom"/>
            <w:tcBorders>
              <w:right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200" w:type="dxa"/>
            <w:vAlign w:val="bottom"/>
            <w:tcBorders>
              <w:right w:val="single" w:sz="8" w:color="auto"/>
            </w:tcBorders>
          </w:tcPr>
          <w:p>
            <w:pPr>
              <w:spacing w:after="0"/>
              <w:rPr>
                <w:sz w:val="4"/>
                <w:szCs w:val="4"/>
                <w:color w:val="auto"/>
              </w:rPr>
            </w:pPr>
          </w:p>
        </w:tc>
        <w:tc>
          <w:tcPr>
            <w:tcW w:w="1240" w:type="dxa"/>
            <w:vAlign w:val="bottom"/>
            <w:tcBorders>
              <w:right w:val="single" w:sz="8" w:color="auto"/>
            </w:tcBorders>
          </w:tcPr>
          <w:p>
            <w:pPr>
              <w:spacing w:after="0"/>
              <w:rPr>
                <w:sz w:val="4"/>
                <w:szCs w:val="4"/>
                <w:color w:val="auto"/>
              </w:rPr>
            </w:pPr>
          </w:p>
        </w:tc>
        <w:tc>
          <w:tcPr>
            <w:tcW w:w="102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12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7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End</w:t>
            </w:r>
          </w:p>
        </w:tc>
        <w:tc>
          <w:tcPr>
            <w:tcW w:w="1000" w:type="dxa"/>
            <w:vAlign w:val="bottom"/>
            <w:tcBorders>
              <w:bottom w:val="single" w:sz="8" w:color="auto"/>
            </w:tcBorders>
          </w:tcPr>
          <w:p>
            <w:pPr>
              <w:spacing w:after="0"/>
              <w:rPr>
                <w:sz w:val="15"/>
                <w:szCs w:val="15"/>
                <w:color w:val="auto"/>
              </w:rPr>
            </w:pPr>
          </w:p>
        </w:tc>
        <w:tc>
          <w:tcPr>
            <w:tcW w:w="180" w:type="dxa"/>
            <w:vAlign w:val="bottom"/>
            <w:tcBorders>
              <w:bottom w:val="single" w:sz="8" w:color="auto"/>
              <w:right w:val="single" w:sz="8" w:color="auto"/>
            </w:tcBorders>
          </w:tcPr>
          <w:p>
            <w:pPr>
              <w:spacing w:after="0"/>
              <w:rPr>
                <w:sz w:val="15"/>
                <w:szCs w:val="15"/>
                <w:color w:val="auto"/>
              </w:rPr>
            </w:pPr>
          </w:p>
        </w:tc>
        <w:tc>
          <w:tcPr>
            <w:tcW w:w="1100" w:type="dxa"/>
            <w:vAlign w:val="bottom"/>
            <w:tcBorders>
              <w:bottom w:val="single" w:sz="8" w:color="auto"/>
              <w:right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20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20" w:type="dxa"/>
            <w:vAlign w:val="bottom"/>
            <w:tcBorders>
              <w:bottom w:val="single" w:sz="8" w:color="auto"/>
              <w:right w:val="single" w:sz="8" w:color="auto"/>
            </w:tcBorders>
          </w:tcPr>
          <w:p>
            <w:pPr>
              <w:spacing w:after="0"/>
              <w:rPr>
                <w:sz w:val="15"/>
                <w:szCs w:val="15"/>
                <w:color w:val="auto"/>
              </w:rPr>
            </w:pPr>
          </w:p>
        </w:tc>
        <w:tc>
          <w:tcPr>
            <w:tcW w:w="12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740" w:type="dxa"/>
            <w:vAlign w:val="bottom"/>
            <w:tcBorders>
              <w:left w:val="single" w:sz="8" w:color="auto"/>
              <w:right w:val="single" w:sz="8" w:color="auto"/>
            </w:tcBorders>
            <w:shd w:val="clear" w:color="auto" w:fill="CFF0FC"/>
          </w:tcPr>
          <w:p>
            <w:pPr>
              <w:ind w:left="60"/>
              <w:spacing w:after="0" w:line="143" w:lineRule="exact"/>
              <w:rPr>
                <w:sz w:val="20"/>
                <w:szCs w:val="20"/>
                <w:color w:val="auto"/>
              </w:rPr>
            </w:pPr>
            <w:r>
              <w:rPr>
                <w:rFonts w:ascii="Times New Roman" w:cs="Times New Roman" w:eastAsia="Times New Roman" w:hAnsi="Times New Roman"/>
                <w:sz w:val="13"/>
                <w:szCs w:val="13"/>
                <w:color w:val="auto"/>
              </w:rPr>
              <w:t>Add: Vesting Date Fair Value of Awards</w:t>
            </w:r>
          </w:p>
        </w:tc>
        <w:tc>
          <w:tcPr>
            <w:tcW w:w="1000" w:type="dxa"/>
            <w:vAlign w:val="bottom"/>
            <w:shd w:val="clear" w:color="auto" w:fill="CFF0FC"/>
          </w:tcPr>
          <w:p>
            <w:pPr>
              <w:spacing w:after="0"/>
              <w:rPr>
                <w:sz w:val="12"/>
                <w:szCs w:val="12"/>
                <w:color w:val="auto"/>
              </w:rPr>
            </w:pPr>
          </w:p>
        </w:tc>
        <w:tc>
          <w:tcPr>
            <w:tcW w:w="180" w:type="dxa"/>
            <w:vAlign w:val="bottom"/>
            <w:tcBorders>
              <w:right w:val="single" w:sz="8" w:color="auto"/>
            </w:tcBorders>
            <w:shd w:val="clear" w:color="auto" w:fill="CFF0FC"/>
          </w:tcPr>
          <w:p>
            <w:pPr>
              <w:spacing w:after="0"/>
              <w:rPr>
                <w:sz w:val="12"/>
                <w:szCs w:val="12"/>
                <w:color w:val="auto"/>
              </w:rPr>
            </w:pPr>
          </w:p>
        </w:tc>
        <w:tc>
          <w:tcPr>
            <w:tcW w:w="1100" w:type="dxa"/>
            <w:vAlign w:val="bottom"/>
            <w:tcBorders>
              <w:right w:val="single" w:sz="8" w:color="auto"/>
            </w:tcBorders>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200" w:type="dxa"/>
            <w:vAlign w:val="bottom"/>
            <w:tcBorders>
              <w:right w:val="single" w:sz="8" w:color="auto"/>
            </w:tcBorders>
            <w:shd w:val="clear" w:color="auto" w:fill="CFF0FC"/>
          </w:tcPr>
          <w:p>
            <w:pPr>
              <w:spacing w:after="0"/>
              <w:rPr>
                <w:sz w:val="12"/>
                <w:szCs w:val="12"/>
                <w:color w:val="auto"/>
              </w:rPr>
            </w:pPr>
          </w:p>
        </w:tc>
        <w:tc>
          <w:tcPr>
            <w:tcW w:w="1240" w:type="dxa"/>
            <w:vAlign w:val="bottom"/>
            <w:tcBorders>
              <w:right w:val="single" w:sz="8" w:color="auto"/>
            </w:tcBorders>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20" w:type="dxa"/>
            <w:vAlign w:val="bottom"/>
            <w:tcBorders>
              <w:right w:val="single" w:sz="8" w:color="auto"/>
            </w:tcBorders>
            <w:shd w:val="clear" w:color="auto" w:fill="CFF0FC"/>
          </w:tcPr>
          <w:p>
            <w:pPr>
              <w:spacing w:after="0"/>
              <w:rPr>
                <w:sz w:val="12"/>
                <w:szCs w:val="12"/>
                <w:color w:val="auto"/>
              </w:rPr>
            </w:pPr>
          </w:p>
        </w:tc>
        <w:tc>
          <w:tcPr>
            <w:tcW w:w="1220" w:type="dxa"/>
            <w:vAlign w:val="bottom"/>
            <w:tcBorders>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Granted during Prior FY that Vested During</w:t>
            </w:r>
          </w:p>
        </w:tc>
        <w:tc>
          <w:tcPr>
            <w:tcW w:w="1000" w:type="dxa"/>
            <w:vAlign w:val="bottom"/>
            <w:vMerge w:val="restart"/>
            <w:shd w:val="clear" w:color="auto" w:fill="CFF0FC"/>
          </w:tcPr>
          <w:p>
            <w:pPr>
              <w:jc w:val="center"/>
              <w:ind w:left="109"/>
              <w:spacing w:after="0"/>
              <w:rPr>
                <w:sz w:val="20"/>
                <w:szCs w:val="20"/>
                <w:color w:val="auto"/>
              </w:rPr>
            </w:pPr>
            <w:r>
              <w:rPr>
                <w:rFonts w:ascii="Times New Roman" w:cs="Times New Roman" w:eastAsia="Times New Roman" w:hAnsi="Times New Roman"/>
                <w:sz w:val="14"/>
                <w:szCs w:val="14"/>
                <w:color w:val="auto"/>
              </w:rPr>
              <w:t>$105,400</w:t>
            </w:r>
          </w:p>
        </w:tc>
        <w:tc>
          <w:tcPr>
            <w:tcW w:w="180" w:type="dxa"/>
            <w:vAlign w:val="bottom"/>
            <w:tcBorders>
              <w:right w:val="single" w:sz="8" w:color="auto"/>
            </w:tcBorders>
            <w:shd w:val="clear" w:color="auto" w:fill="CFF0FC"/>
          </w:tcPr>
          <w:p>
            <w:pPr>
              <w:spacing w:after="0"/>
              <w:rPr>
                <w:sz w:val="12"/>
                <w:szCs w:val="12"/>
                <w:color w:val="auto"/>
              </w:rPr>
            </w:pPr>
          </w:p>
        </w:tc>
        <w:tc>
          <w:tcPr>
            <w:tcW w:w="110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$43,555</w:t>
            </w:r>
          </w:p>
        </w:tc>
        <w:tc>
          <w:tcPr>
            <w:tcW w:w="1080" w:type="dxa"/>
            <w:vAlign w:val="bottom"/>
            <w:vMerge w:val="restart"/>
            <w:shd w:val="clear" w:color="auto" w:fill="CFF0FC"/>
          </w:tcPr>
          <w:p>
            <w:pPr>
              <w:jc w:val="center"/>
              <w:ind w:left="229"/>
              <w:spacing w:after="0"/>
              <w:rPr>
                <w:sz w:val="20"/>
                <w:szCs w:val="20"/>
                <w:color w:val="auto"/>
              </w:rPr>
            </w:pPr>
            <w:r>
              <w:rPr>
                <w:rFonts w:ascii="Times New Roman" w:cs="Times New Roman" w:eastAsia="Times New Roman" w:hAnsi="Times New Roman"/>
                <w:sz w:val="14"/>
                <w:szCs w:val="14"/>
                <w:color w:val="auto"/>
              </w:rPr>
              <w:t>$505,786</w:t>
            </w:r>
          </w:p>
        </w:tc>
        <w:tc>
          <w:tcPr>
            <w:tcW w:w="200" w:type="dxa"/>
            <w:vAlign w:val="bottom"/>
            <w:tcBorders>
              <w:right w:val="single" w:sz="8" w:color="auto"/>
            </w:tcBorders>
            <w:shd w:val="clear" w:color="auto" w:fill="CFF0FC"/>
          </w:tcPr>
          <w:p>
            <w:pPr>
              <w:spacing w:after="0"/>
              <w:rPr>
                <w:sz w:val="12"/>
                <w:szCs w:val="12"/>
                <w:color w:val="auto"/>
              </w:rPr>
            </w:pPr>
          </w:p>
        </w:tc>
        <w:tc>
          <w:tcPr>
            <w:tcW w:w="124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$193,871</w:t>
            </w:r>
          </w:p>
        </w:tc>
        <w:tc>
          <w:tcPr>
            <w:tcW w:w="1020" w:type="dxa"/>
            <w:vAlign w:val="bottom"/>
            <w:vMerge w:val="restart"/>
            <w:shd w:val="clear" w:color="auto" w:fill="CFF0FC"/>
          </w:tcPr>
          <w:p>
            <w:pPr>
              <w:jc w:val="center"/>
              <w:ind w:left="109"/>
              <w:spacing w:after="0"/>
              <w:rPr>
                <w:sz w:val="20"/>
                <w:szCs w:val="20"/>
                <w:color w:val="auto"/>
              </w:rPr>
            </w:pPr>
            <w:r>
              <w:rPr>
                <w:rFonts w:ascii="Times New Roman" w:cs="Times New Roman" w:eastAsia="Times New Roman" w:hAnsi="Times New Roman"/>
                <w:sz w:val="14"/>
                <w:szCs w:val="14"/>
                <w:color w:val="auto"/>
              </w:rPr>
              <w:t>($232,467)</w:t>
            </w:r>
          </w:p>
        </w:tc>
        <w:tc>
          <w:tcPr>
            <w:tcW w:w="220" w:type="dxa"/>
            <w:vAlign w:val="bottom"/>
            <w:tcBorders>
              <w:right w:val="single" w:sz="8" w:color="auto"/>
            </w:tcBorders>
            <w:shd w:val="clear" w:color="auto" w:fill="CFF0FC"/>
          </w:tcPr>
          <w:p>
            <w:pPr>
              <w:spacing w:after="0"/>
              <w:rPr>
                <w:sz w:val="12"/>
                <w:szCs w:val="12"/>
                <w:color w:val="auto"/>
              </w:rPr>
            </w:pPr>
          </w:p>
        </w:tc>
        <w:tc>
          <w:tcPr>
            <w:tcW w:w="122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($68,276)</w:t>
            </w:r>
          </w:p>
        </w:tc>
        <w:tc>
          <w:tcPr>
            <w:tcW w:w="0" w:type="dxa"/>
            <w:vAlign w:val="bottom"/>
          </w:tcPr>
          <w:p>
            <w:pPr>
              <w:spacing w:after="0"/>
              <w:rPr>
                <w:sz w:val="1"/>
                <w:szCs w:val="1"/>
                <w:color w:val="auto"/>
              </w:rPr>
            </w:pPr>
          </w:p>
        </w:tc>
      </w:tr>
      <w:tr>
        <w:trPr>
          <w:trHeight w:val="97"/>
        </w:trPr>
        <w:tc>
          <w:tcPr>
            <w:tcW w:w="2740" w:type="dxa"/>
            <w:vAlign w:val="bottom"/>
            <w:tcBorders>
              <w:left w:val="single" w:sz="8" w:color="auto"/>
              <w:right w:val="single" w:sz="8" w:color="auto"/>
            </w:tcBorders>
            <w:vMerge w:val="restart"/>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Applicable FY</w:t>
            </w:r>
          </w:p>
        </w:tc>
        <w:tc>
          <w:tcPr>
            <w:tcW w:w="1000" w:type="dxa"/>
            <w:vAlign w:val="bottom"/>
            <w:vMerge w:val="continue"/>
            <w:shd w:val="clear" w:color="auto" w:fill="CFF0FC"/>
          </w:tcPr>
          <w:p>
            <w:pPr>
              <w:spacing w:after="0"/>
              <w:rPr>
                <w:sz w:val="8"/>
                <w:szCs w:val="8"/>
                <w:color w:val="auto"/>
              </w:rPr>
            </w:pPr>
          </w:p>
        </w:tc>
        <w:tc>
          <w:tcPr>
            <w:tcW w:w="180" w:type="dxa"/>
            <w:vAlign w:val="bottom"/>
            <w:tcBorders>
              <w:right w:val="single" w:sz="8" w:color="auto"/>
            </w:tcBorders>
            <w:shd w:val="clear" w:color="auto" w:fill="CFF0FC"/>
          </w:tcPr>
          <w:p>
            <w:pPr>
              <w:spacing w:after="0"/>
              <w:rPr>
                <w:sz w:val="8"/>
                <w:szCs w:val="8"/>
                <w:color w:val="auto"/>
              </w:rPr>
            </w:pPr>
          </w:p>
        </w:tc>
        <w:tc>
          <w:tcPr>
            <w:tcW w:w="1100" w:type="dxa"/>
            <w:vAlign w:val="bottom"/>
            <w:tcBorders>
              <w:right w:val="single" w:sz="8" w:color="auto"/>
            </w:tcBorders>
            <w:vMerge w:val="continue"/>
            <w:shd w:val="clear" w:color="auto" w:fill="CFF0FC"/>
          </w:tcPr>
          <w:p>
            <w:pPr>
              <w:spacing w:after="0"/>
              <w:rPr>
                <w:sz w:val="8"/>
                <w:szCs w:val="8"/>
                <w:color w:val="auto"/>
              </w:rPr>
            </w:pPr>
          </w:p>
        </w:tc>
        <w:tc>
          <w:tcPr>
            <w:tcW w:w="1080" w:type="dxa"/>
            <w:vAlign w:val="bottom"/>
            <w:vMerge w:val="continue"/>
            <w:shd w:val="clear" w:color="auto" w:fill="CFF0FC"/>
          </w:tcPr>
          <w:p>
            <w:pPr>
              <w:spacing w:after="0"/>
              <w:rPr>
                <w:sz w:val="8"/>
                <w:szCs w:val="8"/>
                <w:color w:val="auto"/>
              </w:rPr>
            </w:pPr>
          </w:p>
        </w:tc>
        <w:tc>
          <w:tcPr>
            <w:tcW w:w="200" w:type="dxa"/>
            <w:vAlign w:val="bottom"/>
            <w:tcBorders>
              <w:right w:val="single" w:sz="8" w:color="auto"/>
            </w:tcBorders>
            <w:shd w:val="clear" w:color="auto" w:fill="CFF0FC"/>
          </w:tcPr>
          <w:p>
            <w:pPr>
              <w:spacing w:after="0"/>
              <w:rPr>
                <w:sz w:val="8"/>
                <w:szCs w:val="8"/>
                <w:color w:val="auto"/>
              </w:rPr>
            </w:pPr>
          </w:p>
        </w:tc>
        <w:tc>
          <w:tcPr>
            <w:tcW w:w="1240" w:type="dxa"/>
            <w:vAlign w:val="bottom"/>
            <w:tcBorders>
              <w:right w:val="single" w:sz="8" w:color="auto"/>
            </w:tcBorders>
            <w:vMerge w:val="continue"/>
            <w:shd w:val="clear" w:color="auto" w:fill="CFF0FC"/>
          </w:tcPr>
          <w:p>
            <w:pPr>
              <w:spacing w:after="0"/>
              <w:rPr>
                <w:sz w:val="8"/>
                <w:szCs w:val="8"/>
                <w:color w:val="auto"/>
              </w:rPr>
            </w:pPr>
          </w:p>
        </w:tc>
        <w:tc>
          <w:tcPr>
            <w:tcW w:w="1020" w:type="dxa"/>
            <w:vAlign w:val="bottom"/>
            <w:vMerge w:val="continue"/>
            <w:shd w:val="clear" w:color="auto" w:fill="CFF0FC"/>
          </w:tcPr>
          <w:p>
            <w:pPr>
              <w:spacing w:after="0"/>
              <w:rPr>
                <w:sz w:val="8"/>
                <w:szCs w:val="8"/>
                <w:color w:val="auto"/>
              </w:rPr>
            </w:pPr>
          </w:p>
        </w:tc>
        <w:tc>
          <w:tcPr>
            <w:tcW w:w="220" w:type="dxa"/>
            <w:vAlign w:val="bottom"/>
            <w:tcBorders>
              <w:right w:val="single" w:sz="8" w:color="auto"/>
            </w:tcBorders>
            <w:shd w:val="clear" w:color="auto" w:fill="CFF0FC"/>
          </w:tcPr>
          <w:p>
            <w:pPr>
              <w:spacing w:after="0"/>
              <w:rPr>
                <w:sz w:val="8"/>
                <w:szCs w:val="8"/>
                <w:color w:val="auto"/>
              </w:rPr>
            </w:pPr>
          </w:p>
        </w:tc>
        <w:tc>
          <w:tcPr>
            <w:tcW w:w="1220" w:type="dxa"/>
            <w:vAlign w:val="bottom"/>
            <w:tcBorders>
              <w:right w:val="single" w:sz="8" w:color="auto"/>
            </w:tcBorders>
            <w:vMerge w:val="continue"/>
            <w:shd w:val="clear" w:color="auto" w:fill="CFF0FC"/>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740" w:type="dxa"/>
            <w:vAlign w:val="bottom"/>
            <w:tcBorders>
              <w:left w:val="single" w:sz="8" w:color="auto"/>
              <w:right w:val="single" w:sz="8" w:color="auto"/>
            </w:tcBorders>
            <w:vMerge w:val="continue"/>
            <w:shd w:val="clear" w:color="auto" w:fill="CFF0FC"/>
          </w:tcPr>
          <w:p>
            <w:pPr>
              <w:spacing w:after="0"/>
              <w:rPr>
                <w:sz w:val="6"/>
                <w:szCs w:val="6"/>
                <w:color w:val="auto"/>
              </w:rPr>
            </w:pPr>
          </w:p>
        </w:tc>
        <w:tc>
          <w:tcPr>
            <w:tcW w:w="1000" w:type="dxa"/>
            <w:vAlign w:val="bottom"/>
            <w:shd w:val="clear" w:color="auto" w:fill="CFF0FC"/>
          </w:tcPr>
          <w:p>
            <w:pPr>
              <w:spacing w:after="0"/>
              <w:rPr>
                <w:sz w:val="6"/>
                <w:szCs w:val="6"/>
                <w:color w:val="auto"/>
              </w:rPr>
            </w:pPr>
          </w:p>
        </w:tc>
        <w:tc>
          <w:tcPr>
            <w:tcW w:w="180" w:type="dxa"/>
            <w:vAlign w:val="bottom"/>
            <w:tcBorders>
              <w:right w:val="single" w:sz="8" w:color="auto"/>
            </w:tcBorders>
            <w:shd w:val="clear" w:color="auto" w:fill="CFF0FC"/>
          </w:tcPr>
          <w:p>
            <w:pPr>
              <w:spacing w:after="0"/>
              <w:rPr>
                <w:sz w:val="6"/>
                <w:szCs w:val="6"/>
                <w:color w:val="auto"/>
              </w:rPr>
            </w:pPr>
          </w:p>
        </w:tc>
        <w:tc>
          <w:tcPr>
            <w:tcW w:w="1100" w:type="dxa"/>
            <w:vAlign w:val="bottom"/>
            <w:tcBorders>
              <w:right w:val="single" w:sz="8" w:color="auto"/>
            </w:tcBorders>
            <w:shd w:val="clear" w:color="auto" w:fill="CFF0FC"/>
          </w:tcPr>
          <w:p>
            <w:pPr>
              <w:spacing w:after="0"/>
              <w:rPr>
                <w:sz w:val="6"/>
                <w:szCs w:val="6"/>
                <w:color w:val="auto"/>
              </w:rPr>
            </w:pPr>
          </w:p>
        </w:tc>
        <w:tc>
          <w:tcPr>
            <w:tcW w:w="1080" w:type="dxa"/>
            <w:vAlign w:val="bottom"/>
            <w:shd w:val="clear" w:color="auto" w:fill="CFF0FC"/>
          </w:tcPr>
          <w:p>
            <w:pPr>
              <w:spacing w:after="0"/>
              <w:rPr>
                <w:sz w:val="6"/>
                <w:szCs w:val="6"/>
                <w:color w:val="auto"/>
              </w:rPr>
            </w:pPr>
          </w:p>
        </w:tc>
        <w:tc>
          <w:tcPr>
            <w:tcW w:w="200" w:type="dxa"/>
            <w:vAlign w:val="bottom"/>
            <w:tcBorders>
              <w:right w:val="single" w:sz="8" w:color="auto"/>
            </w:tcBorders>
            <w:shd w:val="clear" w:color="auto" w:fill="CFF0FC"/>
          </w:tcPr>
          <w:p>
            <w:pPr>
              <w:spacing w:after="0"/>
              <w:rPr>
                <w:sz w:val="6"/>
                <w:szCs w:val="6"/>
                <w:color w:val="auto"/>
              </w:rPr>
            </w:pPr>
          </w:p>
        </w:tc>
        <w:tc>
          <w:tcPr>
            <w:tcW w:w="1240" w:type="dxa"/>
            <w:vAlign w:val="bottom"/>
            <w:tcBorders>
              <w:right w:val="single" w:sz="8" w:color="auto"/>
            </w:tcBorders>
            <w:shd w:val="clear" w:color="auto" w:fill="CFF0FC"/>
          </w:tcPr>
          <w:p>
            <w:pPr>
              <w:spacing w:after="0"/>
              <w:rPr>
                <w:sz w:val="6"/>
                <w:szCs w:val="6"/>
                <w:color w:val="auto"/>
              </w:rPr>
            </w:pPr>
          </w:p>
        </w:tc>
        <w:tc>
          <w:tcPr>
            <w:tcW w:w="1020" w:type="dxa"/>
            <w:vAlign w:val="bottom"/>
            <w:shd w:val="clear" w:color="auto" w:fill="CFF0FC"/>
          </w:tcPr>
          <w:p>
            <w:pPr>
              <w:spacing w:after="0"/>
              <w:rPr>
                <w:sz w:val="6"/>
                <w:szCs w:val="6"/>
                <w:color w:val="auto"/>
              </w:rPr>
            </w:pPr>
          </w:p>
        </w:tc>
        <w:tc>
          <w:tcPr>
            <w:tcW w:w="220" w:type="dxa"/>
            <w:vAlign w:val="bottom"/>
            <w:tcBorders>
              <w:right w:val="single" w:sz="8" w:color="auto"/>
            </w:tcBorders>
            <w:shd w:val="clear" w:color="auto" w:fill="CFF0FC"/>
          </w:tcPr>
          <w:p>
            <w:pPr>
              <w:spacing w:after="0"/>
              <w:rPr>
                <w:sz w:val="6"/>
                <w:szCs w:val="6"/>
                <w:color w:val="auto"/>
              </w:rPr>
            </w:pPr>
          </w:p>
        </w:tc>
        <w:tc>
          <w:tcPr>
            <w:tcW w:w="1220" w:type="dxa"/>
            <w:vAlign w:val="bottom"/>
            <w:tcBorders>
              <w:right w:val="single" w:sz="8" w:color="auto"/>
            </w:tcBorders>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740" w:type="dxa"/>
            <w:vAlign w:val="bottom"/>
            <w:tcBorders>
              <w:left w:val="single" w:sz="8" w:color="auto"/>
              <w:bottom w:val="single" w:sz="8" w:color="auto"/>
              <w:right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auto"/>
              <w:right w:val="single" w:sz="8" w:color="auto"/>
            </w:tcBorders>
            <w:shd w:val="clear" w:color="auto" w:fill="CFF0FC"/>
          </w:tcPr>
          <w:p>
            <w:pPr>
              <w:spacing w:after="0"/>
              <w:rPr>
                <w:sz w:val="12"/>
                <w:szCs w:val="12"/>
                <w:color w:val="auto"/>
              </w:rPr>
            </w:pPr>
          </w:p>
        </w:tc>
        <w:tc>
          <w:tcPr>
            <w:tcW w:w="1100" w:type="dxa"/>
            <w:vAlign w:val="bottom"/>
            <w:tcBorders>
              <w:bottom w:val="single" w:sz="8" w:color="auto"/>
              <w:right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auto"/>
              <w:right w:val="single" w:sz="8" w:color="auto"/>
            </w:tcBorders>
            <w:shd w:val="clear" w:color="auto" w:fill="CFF0FC"/>
          </w:tcPr>
          <w:p>
            <w:pPr>
              <w:spacing w:after="0"/>
              <w:rPr>
                <w:sz w:val="12"/>
                <w:szCs w:val="12"/>
                <w:color w:val="auto"/>
              </w:rPr>
            </w:pPr>
          </w:p>
        </w:tc>
        <w:tc>
          <w:tcPr>
            <w:tcW w:w="1240" w:type="dxa"/>
            <w:vAlign w:val="bottom"/>
            <w:tcBorders>
              <w:bottom w:val="single" w:sz="8" w:color="auto"/>
              <w:right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auto"/>
              <w:right w:val="single" w:sz="8" w:color="auto"/>
            </w:tcBorders>
            <w:shd w:val="clear" w:color="auto" w:fill="CFF0FC"/>
          </w:tcPr>
          <w:p>
            <w:pPr>
              <w:spacing w:after="0"/>
              <w:rPr>
                <w:sz w:val="12"/>
                <w:szCs w:val="12"/>
                <w:color w:val="auto"/>
              </w:rPr>
            </w:pPr>
          </w:p>
        </w:tc>
        <w:tc>
          <w:tcPr>
            <w:tcW w:w="1220" w:type="dxa"/>
            <w:vAlign w:val="bottom"/>
            <w:tcBorders>
              <w:bottom w:val="single" w:sz="8" w:color="auto"/>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740" w:type="dxa"/>
            <w:vAlign w:val="bottom"/>
            <w:tcBorders>
              <w:left w:val="single" w:sz="8" w:color="auto"/>
              <w:right w:val="single" w:sz="8" w:color="auto"/>
            </w:tcBorders>
          </w:tcPr>
          <w:p>
            <w:pPr>
              <w:ind w:left="60"/>
              <w:spacing w:after="0" w:line="143" w:lineRule="exact"/>
              <w:rPr>
                <w:sz w:val="20"/>
                <w:szCs w:val="20"/>
                <w:color w:val="auto"/>
              </w:rPr>
            </w:pPr>
            <w:r>
              <w:rPr>
                <w:rFonts w:ascii="Times New Roman" w:cs="Times New Roman" w:eastAsia="Times New Roman" w:hAnsi="Times New Roman"/>
                <w:sz w:val="13"/>
                <w:szCs w:val="13"/>
                <w:color w:val="auto"/>
              </w:rPr>
              <w:t>Deduct: Fair Value at Prior Year End of Awards</w:t>
            </w:r>
          </w:p>
        </w:tc>
        <w:tc>
          <w:tcPr>
            <w:tcW w:w="1000" w:type="dxa"/>
            <w:vAlign w:val="bottom"/>
          </w:tcPr>
          <w:p>
            <w:pPr>
              <w:spacing w:after="0"/>
              <w:rPr>
                <w:sz w:val="12"/>
                <w:szCs w:val="12"/>
                <w:color w:val="auto"/>
              </w:rPr>
            </w:pPr>
          </w:p>
        </w:tc>
        <w:tc>
          <w:tcPr>
            <w:tcW w:w="18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tcPr>
          <w:p>
            <w:pPr>
              <w:spacing w:after="0"/>
              <w:rPr>
                <w:sz w:val="12"/>
                <w:szCs w:val="12"/>
                <w:color w:val="auto"/>
              </w:rPr>
            </w:pPr>
          </w:p>
        </w:tc>
        <w:tc>
          <w:tcPr>
            <w:tcW w:w="1080" w:type="dxa"/>
            <w:vAlign w:val="bottom"/>
          </w:tcPr>
          <w:p>
            <w:pPr>
              <w:spacing w:after="0"/>
              <w:rPr>
                <w:sz w:val="12"/>
                <w:szCs w:val="12"/>
                <w:color w:val="auto"/>
              </w:rPr>
            </w:pPr>
          </w:p>
        </w:tc>
        <w:tc>
          <w:tcPr>
            <w:tcW w:w="20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spacing w:after="0"/>
              <w:rPr>
                <w:sz w:val="12"/>
                <w:szCs w:val="12"/>
                <w:color w:val="auto"/>
              </w:rPr>
            </w:pPr>
          </w:p>
        </w:tc>
        <w:tc>
          <w:tcPr>
            <w:tcW w:w="102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color w:val="auto"/>
              </w:rPr>
              <w:t>Granted during Prior FY that were Forfeited</w:t>
            </w:r>
          </w:p>
        </w:tc>
        <w:tc>
          <w:tcPr>
            <w:tcW w:w="1000" w:type="dxa"/>
            <w:vAlign w:val="bottom"/>
            <w:vMerge w:val="restart"/>
          </w:tcPr>
          <w:p>
            <w:pPr>
              <w:jc w:val="center"/>
              <w:ind w:left="109"/>
              <w:spacing w:after="0"/>
              <w:rPr>
                <w:sz w:val="20"/>
                <w:szCs w:val="20"/>
                <w:color w:val="auto"/>
              </w:rPr>
            </w:pPr>
            <w:r>
              <w:rPr>
                <w:rFonts w:ascii="Times New Roman" w:cs="Times New Roman" w:eastAsia="Times New Roman" w:hAnsi="Times New Roman"/>
                <w:sz w:val="14"/>
                <w:szCs w:val="14"/>
                <w:color w:val="auto"/>
                <w:w w:val="99"/>
              </w:rPr>
              <w:t>$0</w:t>
            </w:r>
          </w:p>
        </w:tc>
        <w:tc>
          <w:tcPr>
            <w:tcW w:w="180" w:type="dxa"/>
            <w:vAlign w:val="bottom"/>
            <w:tcBorders>
              <w:right w:val="single" w:sz="8" w:color="auto"/>
            </w:tcBorders>
          </w:tcPr>
          <w:p>
            <w:pPr>
              <w:spacing w:after="0"/>
              <w:rPr>
                <w:sz w:val="12"/>
                <w:szCs w:val="12"/>
                <w:color w:val="auto"/>
              </w:rPr>
            </w:pPr>
          </w:p>
        </w:tc>
        <w:tc>
          <w:tcPr>
            <w:tcW w:w="11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1080" w:type="dxa"/>
            <w:vAlign w:val="bottom"/>
            <w:vMerge w:val="restart"/>
          </w:tcPr>
          <w:p>
            <w:pPr>
              <w:jc w:val="center"/>
              <w:ind w:left="229"/>
              <w:spacing w:after="0"/>
              <w:rPr>
                <w:sz w:val="20"/>
                <w:szCs w:val="20"/>
                <w:color w:val="auto"/>
              </w:rPr>
            </w:pPr>
            <w:r>
              <w:rPr>
                <w:rFonts w:ascii="Times New Roman" w:cs="Times New Roman" w:eastAsia="Times New Roman" w:hAnsi="Times New Roman"/>
                <w:sz w:val="14"/>
                <w:szCs w:val="14"/>
                <w:color w:val="auto"/>
                <w:w w:val="99"/>
              </w:rPr>
              <w:t>$0</w:t>
            </w:r>
          </w:p>
        </w:tc>
        <w:tc>
          <w:tcPr>
            <w:tcW w:w="20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020" w:type="dxa"/>
            <w:vAlign w:val="bottom"/>
            <w:vMerge w:val="restart"/>
          </w:tcPr>
          <w:p>
            <w:pPr>
              <w:jc w:val="center"/>
              <w:ind w:left="129"/>
              <w:spacing w:after="0"/>
              <w:rPr>
                <w:sz w:val="20"/>
                <w:szCs w:val="20"/>
                <w:color w:val="auto"/>
              </w:rPr>
            </w:pPr>
            <w:r>
              <w:rPr>
                <w:rFonts w:ascii="Times New Roman" w:cs="Times New Roman" w:eastAsia="Times New Roman" w:hAnsi="Times New Roman"/>
                <w:sz w:val="14"/>
                <w:szCs w:val="14"/>
                <w:color w:val="auto"/>
                <w:w w:val="99"/>
              </w:rPr>
              <w:t>$0</w:t>
            </w:r>
          </w:p>
        </w:tc>
        <w:tc>
          <w:tcPr>
            <w:tcW w:w="220" w:type="dxa"/>
            <w:vAlign w:val="bottom"/>
            <w:tcBorders>
              <w:right w:val="single" w:sz="8" w:color="auto"/>
            </w:tcBorders>
          </w:tcPr>
          <w:p>
            <w:pPr>
              <w:spacing w:after="0"/>
              <w:rPr>
                <w:sz w:val="12"/>
                <w:szCs w:val="12"/>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($602,871)</w:t>
            </w:r>
          </w:p>
        </w:tc>
        <w:tc>
          <w:tcPr>
            <w:tcW w:w="0" w:type="dxa"/>
            <w:vAlign w:val="bottom"/>
          </w:tcPr>
          <w:p>
            <w:pPr>
              <w:spacing w:after="0"/>
              <w:rPr>
                <w:sz w:val="1"/>
                <w:szCs w:val="1"/>
                <w:color w:val="auto"/>
              </w:rPr>
            </w:pPr>
          </w:p>
        </w:tc>
      </w:tr>
      <w:tr>
        <w:trPr>
          <w:trHeight w:val="97"/>
        </w:trPr>
        <w:tc>
          <w:tcPr>
            <w:tcW w:w="2740" w:type="dxa"/>
            <w:vAlign w:val="bottom"/>
            <w:tcBorders>
              <w:left w:val="single" w:sz="8" w:color="auto"/>
              <w:right w:val="single" w:sz="8" w:color="auto"/>
            </w:tcBorders>
            <w:vMerge w:val="restart"/>
          </w:tcPr>
          <w:p>
            <w:pPr>
              <w:ind w:left="60"/>
              <w:spacing w:after="0"/>
              <w:rPr>
                <w:sz w:val="20"/>
                <w:szCs w:val="20"/>
                <w:color w:val="auto"/>
              </w:rPr>
            </w:pPr>
            <w:r>
              <w:rPr>
                <w:rFonts w:ascii="Times New Roman" w:cs="Times New Roman" w:eastAsia="Times New Roman" w:hAnsi="Times New Roman"/>
                <w:sz w:val="13"/>
                <w:szCs w:val="13"/>
                <w:color w:val="auto"/>
              </w:rPr>
              <w:t>during Applicable FY</w:t>
            </w:r>
          </w:p>
        </w:tc>
        <w:tc>
          <w:tcPr>
            <w:tcW w:w="1000" w:type="dxa"/>
            <w:vAlign w:val="bottom"/>
            <w:vMerge w:val="continue"/>
          </w:tcPr>
          <w:p>
            <w:pPr>
              <w:spacing w:after="0"/>
              <w:rPr>
                <w:sz w:val="8"/>
                <w:szCs w:val="8"/>
                <w:color w:val="auto"/>
              </w:rPr>
            </w:pPr>
          </w:p>
        </w:tc>
        <w:tc>
          <w:tcPr>
            <w:tcW w:w="180" w:type="dxa"/>
            <w:vAlign w:val="bottom"/>
            <w:tcBorders>
              <w:right w:val="single" w:sz="8" w:color="auto"/>
            </w:tcBorders>
          </w:tcPr>
          <w:p>
            <w:pPr>
              <w:spacing w:after="0"/>
              <w:rPr>
                <w:sz w:val="8"/>
                <w:szCs w:val="8"/>
                <w:color w:val="auto"/>
              </w:rPr>
            </w:pPr>
          </w:p>
        </w:tc>
        <w:tc>
          <w:tcPr>
            <w:tcW w:w="1100" w:type="dxa"/>
            <w:vAlign w:val="bottom"/>
            <w:tcBorders>
              <w:right w:val="single" w:sz="8" w:color="auto"/>
            </w:tcBorders>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20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1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740" w:type="dxa"/>
            <w:vAlign w:val="bottom"/>
            <w:tcBorders>
              <w:left w:val="single" w:sz="8" w:color="auto"/>
              <w:right w:val="single" w:sz="8" w:color="auto"/>
            </w:tcBorders>
            <w:vMerge w:val="continue"/>
          </w:tcPr>
          <w:p>
            <w:pPr>
              <w:spacing w:after="0"/>
              <w:rPr>
                <w:sz w:val="6"/>
                <w:szCs w:val="6"/>
                <w:color w:val="auto"/>
              </w:rPr>
            </w:pPr>
          </w:p>
        </w:tc>
        <w:tc>
          <w:tcPr>
            <w:tcW w:w="1000" w:type="dxa"/>
            <w:vAlign w:val="bottom"/>
          </w:tcPr>
          <w:p>
            <w:pPr>
              <w:spacing w:after="0"/>
              <w:rPr>
                <w:sz w:val="6"/>
                <w:szCs w:val="6"/>
                <w:color w:val="auto"/>
              </w:rPr>
            </w:pPr>
          </w:p>
        </w:tc>
        <w:tc>
          <w:tcPr>
            <w:tcW w:w="180" w:type="dxa"/>
            <w:vAlign w:val="bottom"/>
            <w:tcBorders>
              <w:right w:val="single" w:sz="8" w:color="auto"/>
            </w:tcBorders>
          </w:tcPr>
          <w:p>
            <w:pPr>
              <w:spacing w:after="0"/>
              <w:rPr>
                <w:sz w:val="6"/>
                <w:szCs w:val="6"/>
                <w:color w:val="auto"/>
              </w:rPr>
            </w:pPr>
          </w:p>
        </w:tc>
        <w:tc>
          <w:tcPr>
            <w:tcW w:w="1100" w:type="dxa"/>
            <w:vAlign w:val="bottom"/>
            <w:tcBorders>
              <w:right w:val="single" w:sz="8" w:color="auto"/>
            </w:tcBorders>
          </w:tcPr>
          <w:p>
            <w:pPr>
              <w:spacing w:after="0"/>
              <w:rPr>
                <w:sz w:val="6"/>
                <w:szCs w:val="6"/>
                <w:color w:val="auto"/>
              </w:rPr>
            </w:pPr>
          </w:p>
        </w:tc>
        <w:tc>
          <w:tcPr>
            <w:tcW w:w="1080" w:type="dxa"/>
            <w:vAlign w:val="bottom"/>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1240" w:type="dxa"/>
            <w:vAlign w:val="bottom"/>
            <w:tcBorders>
              <w:right w:val="single" w:sz="8" w:color="auto"/>
            </w:tcBorders>
          </w:tcPr>
          <w:p>
            <w:pPr>
              <w:spacing w:after="0"/>
              <w:rPr>
                <w:sz w:val="6"/>
                <w:szCs w:val="6"/>
                <w:color w:val="auto"/>
              </w:rPr>
            </w:pPr>
          </w:p>
        </w:tc>
        <w:tc>
          <w:tcPr>
            <w:tcW w:w="1020" w:type="dxa"/>
            <w:vAlign w:val="bottom"/>
          </w:tcPr>
          <w:p>
            <w:pPr>
              <w:spacing w:after="0"/>
              <w:rPr>
                <w:sz w:val="6"/>
                <w:szCs w:val="6"/>
                <w:color w:val="auto"/>
              </w:rPr>
            </w:pPr>
          </w:p>
        </w:tc>
        <w:tc>
          <w:tcPr>
            <w:tcW w:w="220" w:type="dxa"/>
            <w:vAlign w:val="bottom"/>
            <w:tcBorders>
              <w:right w:val="single" w:sz="8" w:color="auto"/>
            </w:tcBorders>
          </w:tcPr>
          <w:p>
            <w:pPr>
              <w:spacing w:after="0"/>
              <w:rPr>
                <w:sz w:val="6"/>
                <w:szCs w:val="6"/>
                <w:color w:val="auto"/>
              </w:rPr>
            </w:pPr>
          </w:p>
        </w:tc>
        <w:tc>
          <w:tcPr>
            <w:tcW w:w="12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740" w:type="dxa"/>
            <w:vAlign w:val="bottom"/>
            <w:tcBorders>
              <w:left w:val="single" w:sz="8" w:color="auto"/>
              <w:bottom w:val="single" w:sz="8" w:color="auto"/>
              <w:right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80" w:type="dxa"/>
            <w:vAlign w:val="bottom"/>
            <w:tcBorders>
              <w:bottom w:val="single" w:sz="8" w:color="auto"/>
              <w:right w:val="single" w:sz="8" w:color="auto"/>
            </w:tcBorders>
          </w:tcPr>
          <w:p>
            <w:pPr>
              <w:spacing w:after="0"/>
              <w:rPr>
                <w:sz w:val="12"/>
                <w:szCs w:val="12"/>
                <w:color w:val="auto"/>
              </w:rPr>
            </w:pPr>
          </w:p>
        </w:tc>
        <w:tc>
          <w:tcPr>
            <w:tcW w:w="1100" w:type="dxa"/>
            <w:vAlign w:val="bottom"/>
            <w:tcBorders>
              <w:bottom w:val="single" w:sz="8" w:color="auto"/>
              <w:right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200" w:type="dxa"/>
            <w:vAlign w:val="bottom"/>
            <w:tcBorders>
              <w:bottom w:val="single" w:sz="8" w:color="auto"/>
              <w:right w:val="single" w:sz="8" w:color="auto"/>
            </w:tcBorders>
          </w:tcPr>
          <w:p>
            <w:pPr>
              <w:spacing w:after="0"/>
              <w:rPr>
                <w:sz w:val="12"/>
                <w:szCs w:val="12"/>
                <w:color w:val="auto"/>
              </w:rPr>
            </w:pPr>
          </w:p>
        </w:tc>
        <w:tc>
          <w:tcPr>
            <w:tcW w:w="1240" w:type="dxa"/>
            <w:vAlign w:val="bottom"/>
            <w:tcBorders>
              <w:bottom w:val="single" w:sz="8" w:color="auto"/>
              <w:right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c>
          <w:tcPr>
            <w:tcW w:w="220" w:type="dxa"/>
            <w:vAlign w:val="bottom"/>
            <w:tcBorders>
              <w:bottom w:val="single" w:sz="8" w:color="auto"/>
              <w:right w:val="single" w:sz="8" w:color="auto"/>
            </w:tcBorders>
          </w:tcPr>
          <w:p>
            <w:pPr>
              <w:spacing w:after="0"/>
              <w:rPr>
                <w:sz w:val="12"/>
                <w:szCs w:val="12"/>
                <w:color w:val="auto"/>
              </w:rPr>
            </w:pPr>
          </w:p>
        </w:tc>
        <w:tc>
          <w:tcPr>
            <w:tcW w:w="12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740" w:type="dxa"/>
            <w:vAlign w:val="bottom"/>
            <w:tcBorders>
              <w:left w:val="single" w:sz="8" w:color="auto"/>
              <w:right w:val="single" w:sz="8" w:color="auto"/>
            </w:tcBorders>
            <w:shd w:val="clear" w:color="auto" w:fill="CFF0FC"/>
          </w:tcPr>
          <w:p>
            <w:pPr>
              <w:ind w:left="60"/>
              <w:spacing w:after="0" w:line="143" w:lineRule="exact"/>
              <w:rPr>
                <w:sz w:val="20"/>
                <w:szCs w:val="20"/>
                <w:color w:val="auto"/>
              </w:rPr>
            </w:pPr>
            <w:r>
              <w:rPr>
                <w:rFonts w:ascii="Times New Roman" w:cs="Times New Roman" w:eastAsia="Times New Roman" w:hAnsi="Times New Roman"/>
                <w:sz w:val="13"/>
                <w:szCs w:val="13"/>
                <w:color w:val="auto"/>
              </w:rPr>
              <w:t>Add: Dividends or Other Earnings Paid during</w:t>
            </w:r>
          </w:p>
        </w:tc>
        <w:tc>
          <w:tcPr>
            <w:tcW w:w="1000" w:type="dxa"/>
            <w:vAlign w:val="bottom"/>
            <w:vMerge w:val="restart"/>
            <w:shd w:val="clear" w:color="auto" w:fill="CFF0FC"/>
          </w:tcPr>
          <w:p>
            <w:pPr>
              <w:jc w:val="center"/>
              <w:ind w:left="89"/>
              <w:spacing w:after="0"/>
              <w:rPr>
                <w:sz w:val="20"/>
                <w:szCs w:val="20"/>
                <w:color w:val="auto"/>
              </w:rPr>
            </w:pPr>
            <w:r>
              <w:rPr>
                <w:rFonts w:ascii="Times New Roman" w:cs="Times New Roman" w:eastAsia="Times New Roman" w:hAnsi="Times New Roman"/>
                <w:sz w:val="14"/>
                <w:szCs w:val="14"/>
                <w:color w:val="auto"/>
              </w:rPr>
              <w:t>$0</w:t>
            </w:r>
          </w:p>
        </w:tc>
        <w:tc>
          <w:tcPr>
            <w:tcW w:w="180" w:type="dxa"/>
            <w:vAlign w:val="bottom"/>
            <w:tcBorders>
              <w:right w:val="single" w:sz="8" w:color="auto"/>
            </w:tcBorders>
            <w:shd w:val="clear" w:color="auto" w:fill="CFF0FC"/>
          </w:tcPr>
          <w:p>
            <w:pPr>
              <w:spacing w:after="0"/>
              <w:rPr>
                <w:sz w:val="12"/>
                <w:szCs w:val="12"/>
                <w:color w:val="auto"/>
              </w:rPr>
            </w:pPr>
          </w:p>
        </w:tc>
        <w:tc>
          <w:tcPr>
            <w:tcW w:w="110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1080" w:type="dxa"/>
            <w:vAlign w:val="bottom"/>
            <w:vMerge w:val="restart"/>
            <w:shd w:val="clear" w:color="auto" w:fill="CFF0FC"/>
          </w:tcPr>
          <w:p>
            <w:pPr>
              <w:jc w:val="center"/>
              <w:ind w:left="229"/>
              <w:spacing w:after="0"/>
              <w:rPr>
                <w:sz w:val="20"/>
                <w:szCs w:val="20"/>
                <w:color w:val="auto"/>
              </w:rPr>
            </w:pPr>
            <w:r>
              <w:rPr>
                <w:rFonts w:ascii="Times New Roman" w:cs="Times New Roman" w:eastAsia="Times New Roman" w:hAnsi="Times New Roman"/>
                <w:sz w:val="14"/>
                <w:szCs w:val="14"/>
                <w:color w:val="auto"/>
                <w:w w:val="99"/>
              </w:rPr>
              <w:t>$0</w:t>
            </w:r>
          </w:p>
        </w:tc>
        <w:tc>
          <w:tcPr>
            <w:tcW w:w="200" w:type="dxa"/>
            <w:vAlign w:val="bottom"/>
            <w:tcBorders>
              <w:right w:val="single" w:sz="8" w:color="auto"/>
            </w:tcBorders>
            <w:shd w:val="clear" w:color="auto" w:fill="CFF0FC"/>
          </w:tcPr>
          <w:p>
            <w:pPr>
              <w:spacing w:after="0"/>
              <w:rPr>
                <w:sz w:val="12"/>
                <w:szCs w:val="12"/>
                <w:color w:val="auto"/>
              </w:rPr>
            </w:pPr>
          </w:p>
        </w:tc>
        <w:tc>
          <w:tcPr>
            <w:tcW w:w="124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$0</w:t>
            </w:r>
          </w:p>
        </w:tc>
        <w:tc>
          <w:tcPr>
            <w:tcW w:w="1020" w:type="dxa"/>
            <w:vAlign w:val="bottom"/>
            <w:vMerge w:val="restart"/>
            <w:shd w:val="clear" w:color="auto" w:fill="CFF0FC"/>
          </w:tcPr>
          <w:p>
            <w:pPr>
              <w:jc w:val="center"/>
              <w:ind w:left="129"/>
              <w:spacing w:after="0"/>
              <w:rPr>
                <w:sz w:val="20"/>
                <w:szCs w:val="20"/>
                <w:color w:val="auto"/>
              </w:rPr>
            </w:pPr>
            <w:r>
              <w:rPr>
                <w:rFonts w:ascii="Times New Roman" w:cs="Times New Roman" w:eastAsia="Times New Roman" w:hAnsi="Times New Roman"/>
                <w:sz w:val="14"/>
                <w:szCs w:val="14"/>
                <w:color w:val="auto"/>
                <w:w w:val="99"/>
              </w:rPr>
              <w:t>$0</w:t>
            </w:r>
          </w:p>
        </w:tc>
        <w:tc>
          <w:tcPr>
            <w:tcW w:w="220" w:type="dxa"/>
            <w:vAlign w:val="bottom"/>
            <w:tcBorders>
              <w:right w:val="single" w:sz="8" w:color="auto"/>
            </w:tcBorders>
            <w:shd w:val="clear" w:color="auto" w:fill="CFF0FC"/>
          </w:tcPr>
          <w:p>
            <w:pPr>
              <w:spacing w:after="0"/>
              <w:rPr>
                <w:sz w:val="12"/>
                <w:szCs w:val="12"/>
                <w:color w:val="auto"/>
              </w:rPr>
            </w:pPr>
          </w:p>
        </w:tc>
        <w:tc>
          <w:tcPr>
            <w:tcW w:w="1220" w:type="dxa"/>
            <w:vAlign w:val="bottom"/>
            <w:tcBorders>
              <w:right w:val="single" w:sz="8" w:color="auto"/>
            </w:tcBorders>
            <w:vMerge w:val="restart"/>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$0</w:t>
            </w:r>
          </w:p>
        </w:tc>
        <w:tc>
          <w:tcPr>
            <w:tcW w:w="0" w:type="dxa"/>
            <w:vAlign w:val="bottom"/>
          </w:tcPr>
          <w:p>
            <w:pPr>
              <w:spacing w:after="0"/>
              <w:rPr>
                <w:sz w:val="1"/>
                <w:szCs w:val="1"/>
                <w:color w:val="auto"/>
              </w:rPr>
            </w:pPr>
          </w:p>
        </w:tc>
      </w:tr>
      <w:tr>
        <w:trPr>
          <w:trHeight w:val="178"/>
        </w:trPr>
        <w:tc>
          <w:tcPr>
            <w:tcW w:w="2740" w:type="dxa"/>
            <w:vAlign w:val="bottom"/>
            <w:tcBorders>
              <w:left w:val="single" w:sz="8" w:color="auto"/>
              <w:right w:val="single" w:sz="8" w:color="auto"/>
            </w:tcBorders>
            <w:shd w:val="clear" w:color="auto" w:fill="CFF0FC"/>
          </w:tcPr>
          <w:p>
            <w:pPr>
              <w:ind w:left="60"/>
              <w:spacing w:after="0"/>
              <w:rPr>
                <w:sz w:val="20"/>
                <w:szCs w:val="20"/>
                <w:color w:val="auto"/>
              </w:rPr>
            </w:pPr>
            <w:r>
              <w:rPr>
                <w:rFonts w:ascii="Times New Roman" w:cs="Times New Roman" w:eastAsia="Times New Roman" w:hAnsi="Times New Roman"/>
                <w:sz w:val="13"/>
                <w:szCs w:val="13"/>
                <w:color w:val="auto"/>
              </w:rPr>
              <w:t>Applicable FY prior to Vesting Date</w:t>
            </w:r>
          </w:p>
        </w:tc>
        <w:tc>
          <w:tcPr>
            <w:tcW w:w="1000" w:type="dxa"/>
            <w:vAlign w:val="bottom"/>
            <w:vMerge w:val="continue"/>
            <w:shd w:val="clear" w:color="auto" w:fill="CFF0FC"/>
          </w:tcPr>
          <w:p>
            <w:pPr>
              <w:spacing w:after="0"/>
              <w:rPr>
                <w:sz w:val="15"/>
                <w:szCs w:val="15"/>
                <w:color w:val="auto"/>
              </w:rPr>
            </w:pPr>
          </w:p>
        </w:tc>
        <w:tc>
          <w:tcPr>
            <w:tcW w:w="180" w:type="dxa"/>
            <w:vAlign w:val="bottom"/>
            <w:tcBorders>
              <w:right w:val="single" w:sz="8" w:color="auto"/>
            </w:tcBorders>
            <w:shd w:val="clear" w:color="auto" w:fill="CFF0FC"/>
          </w:tcPr>
          <w:p>
            <w:pPr>
              <w:spacing w:after="0"/>
              <w:rPr>
                <w:sz w:val="15"/>
                <w:szCs w:val="15"/>
                <w:color w:val="auto"/>
              </w:rPr>
            </w:pPr>
          </w:p>
        </w:tc>
        <w:tc>
          <w:tcPr>
            <w:tcW w:w="1100" w:type="dxa"/>
            <w:vAlign w:val="bottom"/>
            <w:tcBorders>
              <w:right w:val="single" w:sz="8" w:color="auto"/>
            </w:tcBorders>
            <w:vMerge w:val="continue"/>
            <w:shd w:val="clear" w:color="auto" w:fill="CFF0FC"/>
          </w:tcPr>
          <w:p>
            <w:pPr>
              <w:spacing w:after="0"/>
              <w:rPr>
                <w:sz w:val="15"/>
                <w:szCs w:val="15"/>
                <w:color w:val="auto"/>
              </w:rPr>
            </w:pPr>
          </w:p>
        </w:tc>
        <w:tc>
          <w:tcPr>
            <w:tcW w:w="1080" w:type="dxa"/>
            <w:vAlign w:val="bottom"/>
            <w:vMerge w:val="continue"/>
            <w:shd w:val="clear" w:color="auto" w:fill="CFF0FC"/>
          </w:tcPr>
          <w:p>
            <w:pPr>
              <w:spacing w:after="0"/>
              <w:rPr>
                <w:sz w:val="15"/>
                <w:szCs w:val="15"/>
                <w:color w:val="auto"/>
              </w:rPr>
            </w:pPr>
          </w:p>
        </w:tc>
        <w:tc>
          <w:tcPr>
            <w:tcW w:w="200" w:type="dxa"/>
            <w:vAlign w:val="bottom"/>
            <w:tcBorders>
              <w:right w:val="single" w:sz="8" w:color="auto"/>
            </w:tcBorders>
            <w:shd w:val="clear" w:color="auto" w:fill="CFF0FC"/>
          </w:tcPr>
          <w:p>
            <w:pPr>
              <w:spacing w:after="0"/>
              <w:rPr>
                <w:sz w:val="15"/>
                <w:szCs w:val="15"/>
                <w:color w:val="auto"/>
              </w:rPr>
            </w:pPr>
          </w:p>
        </w:tc>
        <w:tc>
          <w:tcPr>
            <w:tcW w:w="1240" w:type="dxa"/>
            <w:vAlign w:val="bottom"/>
            <w:tcBorders>
              <w:right w:val="single" w:sz="8" w:color="auto"/>
            </w:tcBorders>
            <w:vMerge w:val="continue"/>
            <w:shd w:val="clear" w:color="auto" w:fill="CFF0FC"/>
          </w:tcPr>
          <w:p>
            <w:pPr>
              <w:spacing w:after="0"/>
              <w:rPr>
                <w:sz w:val="15"/>
                <w:szCs w:val="15"/>
                <w:color w:val="auto"/>
              </w:rPr>
            </w:pPr>
          </w:p>
        </w:tc>
        <w:tc>
          <w:tcPr>
            <w:tcW w:w="1020" w:type="dxa"/>
            <w:vAlign w:val="bottom"/>
            <w:vMerge w:val="continue"/>
            <w:shd w:val="clear" w:color="auto" w:fill="CFF0FC"/>
          </w:tcPr>
          <w:p>
            <w:pPr>
              <w:spacing w:after="0"/>
              <w:rPr>
                <w:sz w:val="15"/>
                <w:szCs w:val="15"/>
                <w:color w:val="auto"/>
              </w:rPr>
            </w:pPr>
          </w:p>
        </w:tc>
        <w:tc>
          <w:tcPr>
            <w:tcW w:w="220" w:type="dxa"/>
            <w:vAlign w:val="bottom"/>
            <w:tcBorders>
              <w:right w:val="single" w:sz="8" w:color="auto"/>
            </w:tcBorders>
            <w:shd w:val="clear" w:color="auto" w:fill="CFF0FC"/>
          </w:tcPr>
          <w:p>
            <w:pPr>
              <w:spacing w:after="0"/>
              <w:rPr>
                <w:sz w:val="15"/>
                <w:szCs w:val="15"/>
                <w:color w:val="auto"/>
              </w:rPr>
            </w:pPr>
          </w:p>
        </w:tc>
        <w:tc>
          <w:tcPr>
            <w:tcW w:w="1220" w:type="dxa"/>
            <w:vAlign w:val="bottom"/>
            <w:tcBorders>
              <w:right w:val="single" w:sz="8" w:color="auto"/>
            </w:tcBorders>
            <w:vMerge w:val="continue"/>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2740" w:type="dxa"/>
            <w:vAlign w:val="bottom"/>
            <w:tcBorders>
              <w:left w:val="single" w:sz="8" w:color="auto"/>
              <w:bottom w:val="single" w:sz="8" w:color="auto"/>
              <w:right w:val="single" w:sz="8" w:color="auto"/>
            </w:tcBorders>
            <w:shd w:val="clear" w:color="auto" w:fill="CFF0FC"/>
          </w:tcPr>
          <w:p>
            <w:pPr>
              <w:spacing w:after="0"/>
              <w:rPr>
                <w:sz w:val="12"/>
                <w:szCs w:val="12"/>
                <w:color w:val="auto"/>
              </w:rPr>
            </w:pPr>
          </w:p>
        </w:tc>
        <w:tc>
          <w:tcPr>
            <w:tcW w:w="1000" w:type="dxa"/>
            <w:vAlign w:val="bottom"/>
            <w:tcBorders>
              <w:bottom w:val="single" w:sz="8" w:color="auto"/>
            </w:tcBorders>
            <w:shd w:val="clear" w:color="auto" w:fill="CFF0FC"/>
          </w:tcPr>
          <w:p>
            <w:pPr>
              <w:spacing w:after="0"/>
              <w:rPr>
                <w:sz w:val="12"/>
                <w:szCs w:val="12"/>
                <w:color w:val="auto"/>
              </w:rPr>
            </w:pPr>
          </w:p>
        </w:tc>
        <w:tc>
          <w:tcPr>
            <w:tcW w:w="180" w:type="dxa"/>
            <w:vAlign w:val="bottom"/>
            <w:tcBorders>
              <w:bottom w:val="single" w:sz="8" w:color="auto"/>
              <w:right w:val="single" w:sz="8" w:color="auto"/>
            </w:tcBorders>
            <w:shd w:val="clear" w:color="auto" w:fill="CFF0FC"/>
          </w:tcPr>
          <w:p>
            <w:pPr>
              <w:spacing w:after="0"/>
              <w:rPr>
                <w:sz w:val="12"/>
                <w:szCs w:val="12"/>
                <w:color w:val="auto"/>
              </w:rPr>
            </w:pPr>
          </w:p>
        </w:tc>
        <w:tc>
          <w:tcPr>
            <w:tcW w:w="1100" w:type="dxa"/>
            <w:vAlign w:val="bottom"/>
            <w:tcBorders>
              <w:bottom w:val="single" w:sz="8" w:color="auto"/>
              <w:right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spacing w:after="0"/>
              <w:rPr>
                <w:sz w:val="12"/>
                <w:szCs w:val="12"/>
                <w:color w:val="auto"/>
              </w:rPr>
            </w:pPr>
          </w:p>
        </w:tc>
        <w:tc>
          <w:tcPr>
            <w:tcW w:w="200" w:type="dxa"/>
            <w:vAlign w:val="bottom"/>
            <w:tcBorders>
              <w:bottom w:val="single" w:sz="8" w:color="auto"/>
              <w:right w:val="single" w:sz="8" w:color="auto"/>
            </w:tcBorders>
            <w:shd w:val="clear" w:color="auto" w:fill="CFF0FC"/>
          </w:tcPr>
          <w:p>
            <w:pPr>
              <w:spacing w:after="0"/>
              <w:rPr>
                <w:sz w:val="12"/>
                <w:szCs w:val="12"/>
                <w:color w:val="auto"/>
              </w:rPr>
            </w:pPr>
          </w:p>
        </w:tc>
        <w:tc>
          <w:tcPr>
            <w:tcW w:w="1240" w:type="dxa"/>
            <w:vAlign w:val="bottom"/>
            <w:tcBorders>
              <w:bottom w:val="single" w:sz="8" w:color="auto"/>
              <w:right w:val="single" w:sz="8" w:color="auto"/>
            </w:tcBorders>
            <w:shd w:val="clear" w:color="auto" w:fill="CFF0FC"/>
          </w:tcPr>
          <w:p>
            <w:pPr>
              <w:spacing w:after="0"/>
              <w:rPr>
                <w:sz w:val="12"/>
                <w:szCs w:val="12"/>
                <w:color w:val="auto"/>
              </w:rPr>
            </w:pPr>
          </w:p>
        </w:tc>
        <w:tc>
          <w:tcPr>
            <w:tcW w:w="1020" w:type="dxa"/>
            <w:vAlign w:val="bottom"/>
            <w:tcBorders>
              <w:bottom w:val="single" w:sz="8" w:color="auto"/>
            </w:tcBorders>
            <w:shd w:val="clear" w:color="auto" w:fill="CFF0FC"/>
          </w:tcPr>
          <w:p>
            <w:pPr>
              <w:spacing w:after="0"/>
              <w:rPr>
                <w:sz w:val="12"/>
                <w:szCs w:val="12"/>
                <w:color w:val="auto"/>
              </w:rPr>
            </w:pPr>
          </w:p>
        </w:tc>
        <w:tc>
          <w:tcPr>
            <w:tcW w:w="220" w:type="dxa"/>
            <w:vAlign w:val="bottom"/>
            <w:tcBorders>
              <w:bottom w:val="single" w:sz="8" w:color="auto"/>
              <w:right w:val="single" w:sz="8" w:color="auto"/>
            </w:tcBorders>
            <w:shd w:val="clear" w:color="auto" w:fill="CFF0FC"/>
          </w:tcPr>
          <w:p>
            <w:pPr>
              <w:spacing w:after="0"/>
              <w:rPr>
                <w:sz w:val="12"/>
                <w:szCs w:val="12"/>
                <w:color w:val="auto"/>
              </w:rPr>
            </w:pPr>
          </w:p>
        </w:tc>
        <w:tc>
          <w:tcPr>
            <w:tcW w:w="1220" w:type="dxa"/>
            <w:vAlign w:val="bottom"/>
            <w:tcBorders>
              <w:bottom w:val="single" w:sz="8" w:color="auto"/>
              <w:right w:val="single" w:sz="8" w:color="auto"/>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53"/>
        </w:trPr>
        <w:tc>
          <w:tcPr>
            <w:tcW w:w="27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3"/>
                <w:szCs w:val="13"/>
                <w:b w:val="1"/>
                <w:bCs w:val="1"/>
                <w:color w:val="auto"/>
              </w:rPr>
              <w:t>CAP</w:t>
            </w:r>
          </w:p>
        </w:tc>
        <w:tc>
          <w:tcPr>
            <w:tcW w:w="1000" w:type="dxa"/>
            <w:vAlign w:val="bottom"/>
          </w:tcPr>
          <w:p>
            <w:pPr>
              <w:jc w:val="center"/>
              <w:ind w:left="89"/>
              <w:spacing w:after="0"/>
              <w:rPr>
                <w:sz w:val="20"/>
                <w:szCs w:val="20"/>
                <w:color w:val="auto"/>
              </w:rPr>
            </w:pPr>
            <w:r>
              <w:rPr>
                <w:rFonts w:ascii="Times New Roman" w:cs="Times New Roman" w:eastAsia="Times New Roman" w:hAnsi="Times New Roman"/>
                <w:sz w:val="14"/>
                <w:szCs w:val="14"/>
                <w:b w:val="1"/>
                <w:bCs w:val="1"/>
                <w:color w:val="auto"/>
              </w:rPr>
              <w:t>$7,424,884</w:t>
            </w:r>
          </w:p>
        </w:tc>
        <w:tc>
          <w:tcPr>
            <w:tcW w:w="180" w:type="dxa"/>
            <w:vAlign w:val="bottom"/>
            <w:tcBorders>
              <w:right w:val="single" w:sz="8" w:color="auto"/>
            </w:tcBorders>
          </w:tcPr>
          <w:p>
            <w:pPr>
              <w:spacing w:after="0"/>
              <w:rPr>
                <w:sz w:val="22"/>
                <w:szCs w:val="22"/>
                <w:color w:val="auto"/>
              </w:rPr>
            </w:pPr>
          </w:p>
        </w:tc>
        <w:tc>
          <w:tcPr>
            <w:tcW w:w="11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$3,137,880</w:t>
            </w:r>
          </w:p>
        </w:tc>
        <w:tc>
          <w:tcPr>
            <w:tcW w:w="1080" w:type="dxa"/>
            <w:vAlign w:val="bottom"/>
          </w:tcPr>
          <w:p>
            <w:pPr>
              <w:jc w:val="center"/>
              <w:ind w:left="229"/>
              <w:spacing w:after="0"/>
              <w:rPr>
                <w:sz w:val="20"/>
                <w:szCs w:val="20"/>
                <w:color w:val="auto"/>
              </w:rPr>
            </w:pPr>
            <w:r>
              <w:rPr>
                <w:rFonts w:ascii="Times New Roman" w:cs="Times New Roman" w:eastAsia="Times New Roman" w:hAnsi="Times New Roman"/>
                <w:sz w:val="14"/>
                <w:szCs w:val="14"/>
                <w:b w:val="1"/>
                <w:bCs w:val="1"/>
                <w:color w:val="auto"/>
              </w:rPr>
              <w:t>$7,317,812</w:t>
            </w:r>
          </w:p>
        </w:tc>
        <w:tc>
          <w:tcPr>
            <w:tcW w:w="200" w:type="dxa"/>
            <w:vAlign w:val="bottom"/>
            <w:tcBorders>
              <w:right w:val="single" w:sz="8" w:color="auto"/>
            </w:tcBorders>
          </w:tcPr>
          <w:p>
            <w:pPr>
              <w:spacing w:after="0"/>
              <w:rPr>
                <w:sz w:val="22"/>
                <w:szCs w:val="22"/>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$3,037,694</w:t>
            </w:r>
          </w:p>
        </w:tc>
        <w:tc>
          <w:tcPr>
            <w:tcW w:w="1020" w:type="dxa"/>
            <w:vAlign w:val="bottom"/>
          </w:tcPr>
          <w:p>
            <w:pPr>
              <w:jc w:val="center"/>
              <w:ind w:left="129"/>
              <w:spacing w:after="0"/>
              <w:rPr>
                <w:sz w:val="20"/>
                <w:szCs w:val="20"/>
                <w:color w:val="auto"/>
              </w:rPr>
            </w:pPr>
            <w:r>
              <w:rPr>
                <w:rFonts w:ascii="Times New Roman" w:cs="Times New Roman" w:eastAsia="Times New Roman" w:hAnsi="Times New Roman"/>
                <w:sz w:val="14"/>
                <w:szCs w:val="14"/>
                <w:b w:val="1"/>
                <w:bCs w:val="1"/>
                <w:color w:val="auto"/>
              </w:rPr>
              <w:t>$9,653,678</w:t>
            </w:r>
          </w:p>
        </w:tc>
        <w:tc>
          <w:tcPr>
            <w:tcW w:w="220" w:type="dxa"/>
            <w:vAlign w:val="bottom"/>
            <w:tcBorders>
              <w:right w:val="single" w:sz="8" w:color="auto"/>
            </w:tcBorders>
          </w:tcPr>
          <w:p>
            <w:pPr>
              <w:spacing w:after="0"/>
              <w:rPr>
                <w:sz w:val="22"/>
                <w:szCs w:val="22"/>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$2,201,087</w:t>
            </w:r>
          </w:p>
        </w:tc>
        <w:tc>
          <w:tcPr>
            <w:tcW w:w="0" w:type="dxa"/>
            <w:vAlign w:val="bottom"/>
          </w:tcPr>
          <w:p>
            <w:pPr>
              <w:spacing w:after="0"/>
              <w:rPr>
                <w:sz w:val="1"/>
                <w:szCs w:val="1"/>
                <w:color w:val="auto"/>
              </w:rPr>
            </w:pPr>
          </w:p>
        </w:tc>
      </w:tr>
      <w:tr>
        <w:trPr>
          <w:trHeight w:val="112"/>
        </w:trPr>
        <w:tc>
          <w:tcPr>
            <w:tcW w:w="2740" w:type="dxa"/>
            <w:vAlign w:val="bottom"/>
            <w:tcBorders>
              <w:left w:val="single" w:sz="8" w:color="auto"/>
              <w:bottom w:val="single" w:sz="8" w:color="auto"/>
              <w:right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80" w:type="dxa"/>
            <w:vAlign w:val="bottom"/>
            <w:tcBorders>
              <w:bottom w:val="single" w:sz="8" w:color="auto"/>
              <w:right w:val="single" w:sz="8" w:color="auto"/>
            </w:tcBorders>
          </w:tcPr>
          <w:p>
            <w:pPr>
              <w:spacing w:after="0"/>
              <w:rPr>
                <w:sz w:val="9"/>
                <w:szCs w:val="9"/>
                <w:color w:val="auto"/>
              </w:rPr>
            </w:pPr>
          </w:p>
        </w:tc>
        <w:tc>
          <w:tcPr>
            <w:tcW w:w="1100" w:type="dxa"/>
            <w:vAlign w:val="bottom"/>
            <w:tcBorders>
              <w:bottom w:val="single" w:sz="8" w:color="auto"/>
              <w:right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1240" w:type="dxa"/>
            <w:vAlign w:val="bottom"/>
            <w:tcBorders>
              <w:bottom w:val="single" w:sz="8" w:color="auto"/>
              <w:right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Borders>
              <w:bottom w:val="single" w:sz="8" w:color="auto"/>
              <w:right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589915</wp:posOffset>
            </wp:positionH>
            <wp:positionV relativeFrom="page">
              <wp:posOffset>222250</wp:posOffset>
            </wp:positionV>
            <wp:extent cx="1765300" cy="2736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765300" cy="273685"/>
                    </a:xfrm>
                    <a:prstGeom prst="rect">
                      <a:avLst/>
                    </a:prstGeom>
                    <a:noFill/>
                  </pic:spPr>
                </pic:pic>
              </a:graphicData>
            </a:graphic>
          </wp:anchor>
        </w:drawing>
      </w:r>
    </w:p>
    <w:p>
      <w:pPr>
        <w:jc w:val="both"/>
        <w:ind w:left="380" w:hanging="378"/>
        <w:spacing w:after="0" w:line="266"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reflect the cumulative total shareholder return of our common stock (column (f)) and the NASDAQ Biotechnology Index (column (g)) at the end of each fiscal year. In each case, assume an initial investment of $100 on December 31, 2019, and reinvestment of dividends, if any.</w:t>
      </w:r>
    </w:p>
    <w:p>
      <w:pPr>
        <w:spacing w:after="0" w:line="67" w:lineRule="exact"/>
        <w:rPr>
          <w:rFonts w:ascii="Times New Roman" w:cs="Times New Roman" w:eastAsia="Times New Roman" w:hAnsi="Times New Roman"/>
          <w:sz w:val="18"/>
          <w:szCs w:val="18"/>
          <w:color w:val="auto"/>
        </w:rPr>
      </w:pPr>
    </w:p>
    <w:p>
      <w:pPr>
        <w:ind w:left="380" w:hanging="378"/>
        <w:spacing w:after="0" w:line="282" w:lineRule="auto"/>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dollar amounts reported in column (h) represent the net loss as reported in the Company’s audited financial statements for the applicable year.</w:t>
      </w:r>
    </w:p>
    <w:p>
      <w:pPr>
        <w:spacing w:after="0" w:line="53" w:lineRule="exact"/>
        <w:rPr>
          <w:rFonts w:ascii="Times New Roman" w:cs="Times New Roman" w:eastAsia="Times New Roman" w:hAnsi="Times New Roman"/>
          <w:sz w:val="18"/>
          <w:szCs w:val="18"/>
          <w:color w:val="auto"/>
        </w:rPr>
      </w:pPr>
    </w:p>
    <w:p>
      <w:pPr>
        <w:ind w:left="380" w:hanging="378"/>
        <w:spacing w:after="0"/>
        <w:tabs>
          <w:tab w:leader="none" w:pos="3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required by Item 402(v) of Regulation S-K, we have determined that Total Revenue is the Company-Selected Measure.</w:t>
      </w:r>
    </w:p>
    <w:p>
      <w:pPr>
        <w:spacing w:after="0" w:line="200" w:lineRule="exact"/>
        <w:rPr>
          <w:sz w:val="20"/>
          <w:szCs w:val="20"/>
          <w:color w:val="auto"/>
        </w:rPr>
      </w:pPr>
    </w:p>
    <w:p>
      <w:pPr>
        <w:spacing w:after="0" w:line="237"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-248285</wp:posOffset>
            </wp:positionH>
            <wp:positionV relativeFrom="paragraph">
              <wp:posOffset>69850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60"/>
          </w:cols>
          <w:pgMar w:left="700" w:top="349" w:right="339" w:bottom="1440" w:gutter="0" w:footer="0" w:header="0"/>
        </w:sectPr>
      </w:pPr>
    </w:p>
    <w:bookmarkStart w:id="71" w:name="page72"/>
    <w:bookmarkEnd w:id="71"/>
    <w:p>
      <w:pPr>
        <w:ind w:left="420"/>
        <w:spacing w:after="0"/>
        <w:rPr>
          <w:sz w:val="20"/>
          <w:szCs w:val="20"/>
          <w:color w:val="auto"/>
        </w:rPr>
      </w:pPr>
      <w:r>
        <w:rPr>
          <w:rFonts w:ascii="Times New Roman" w:cs="Times New Roman" w:eastAsia="Times New Roman" w:hAnsi="Times New Roman"/>
          <w:sz w:val="18"/>
          <w:szCs w:val="18"/>
          <w:b w:val="1"/>
          <w:bCs w:val="1"/>
          <w:color w:val="auto"/>
        </w:rPr>
        <w:t>Required Disclosure of the Relationship Between Compensation Actually Paid and Financial Performance Measures</w:t>
      </w:r>
    </w:p>
    <w:p>
      <w:pPr>
        <w:spacing w:after="0" w:line="243" w:lineRule="exact"/>
        <w:rPr>
          <w:sz w:val="20"/>
          <w:szCs w:val="20"/>
          <w:color w:val="auto"/>
        </w:rPr>
      </w:pPr>
    </w:p>
    <w:p>
      <w:pPr>
        <w:ind w:firstLine="419"/>
        <w:spacing w:after="0" w:line="258" w:lineRule="auto"/>
        <w:rPr>
          <w:sz w:val="20"/>
          <w:szCs w:val="20"/>
          <w:color w:val="auto"/>
        </w:rPr>
      </w:pPr>
      <w:r>
        <w:rPr>
          <w:rFonts w:ascii="Times New Roman" w:cs="Times New Roman" w:eastAsia="Times New Roman" w:hAnsi="Times New Roman"/>
          <w:sz w:val="18"/>
          <w:szCs w:val="18"/>
          <w:color w:val="auto"/>
        </w:rPr>
        <w:t>As required by Item 402(v) of Regulation S-K, we are providing the following graphs to illustrate the relationship between the pay and performance figures that are included in the pay versus performance tabular disclosure above. In addition, the first graph below further illustrates the relationship between Company total shareholder return and that of the NASDAQ Biotechnology Index. As noted above, CAP for purposes of the tabular disclosure and the following graphs were calculated in accordance with SEC rules and does not represent the compensation actually earned by or paid to our NEOs during the applicable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1256665</wp:posOffset>
            </wp:positionH>
            <wp:positionV relativeFrom="paragraph">
              <wp:posOffset>136525</wp:posOffset>
            </wp:positionV>
            <wp:extent cx="4603115" cy="540067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603115" cy="5400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47" w:right="379" w:bottom="1440" w:gutter="0" w:footer="0" w:header="0"/>
        </w:sectPr>
      </w:pPr>
    </w:p>
    <w:bookmarkStart w:id="72" w:name="page73"/>
    <w:bookmarkEnd w:id="7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1494155</wp:posOffset>
            </wp:positionH>
            <wp:positionV relativeFrom="page">
              <wp:posOffset>234950</wp:posOffset>
            </wp:positionV>
            <wp:extent cx="4526280" cy="25800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4526280" cy="2580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right="160" w:firstLine="419"/>
        <w:spacing w:after="0" w:line="266" w:lineRule="auto"/>
        <w:rPr>
          <w:sz w:val="20"/>
          <w:szCs w:val="20"/>
          <w:color w:val="auto"/>
        </w:rPr>
      </w:pPr>
      <w:r>
        <w:rPr>
          <w:rFonts w:ascii="Times New Roman" w:cs="Times New Roman" w:eastAsia="Times New Roman" w:hAnsi="Times New Roman"/>
          <w:sz w:val="18"/>
          <w:szCs w:val="18"/>
          <w:color w:val="auto"/>
        </w:rPr>
        <w:t>The most important financial and non-financial performance measures used by the Company to link CAP to the Company’s NEOs for the most recently completed fiscal year to the company’s performance are set forth below. For further information regarding these performance metrics and their function in our executive compensation program, please see “Compensation Discussion and Analysis” beginning on page 51.</w:t>
      </w:r>
    </w:p>
    <w:p>
      <w:pPr>
        <w:spacing w:after="0" w:line="184" w:lineRule="exact"/>
        <w:rPr>
          <w:sz w:val="20"/>
          <w:szCs w:val="20"/>
          <w:color w:val="auto"/>
        </w:rPr>
      </w:pPr>
    </w:p>
    <w:p>
      <w:pPr>
        <w:ind w:left="760" w:hanging="378"/>
        <w:spacing w:after="0"/>
        <w:tabs>
          <w:tab w:leader="none" w:pos="7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Total revenue;</w:t>
      </w:r>
    </w:p>
    <w:p>
      <w:pPr>
        <w:spacing w:after="0" w:line="11"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Total shareholder return;</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Deliver on Tyvaso DPI launch;</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Drive endocrinology business; and</w:t>
      </w:r>
    </w:p>
    <w:p>
      <w:pPr>
        <w:spacing w:after="0" w:line="12" w:lineRule="exact"/>
        <w:rPr>
          <w:rFonts w:ascii="Times New Roman" w:cs="Times New Roman" w:eastAsia="Times New Roman" w:hAnsi="Times New Roman"/>
          <w:sz w:val="22"/>
          <w:szCs w:val="22"/>
          <w:color w:val="auto"/>
        </w:rPr>
      </w:pPr>
    </w:p>
    <w:p>
      <w:pPr>
        <w:ind w:left="760" w:hanging="378"/>
        <w:spacing w:after="0" w:line="219" w:lineRule="auto"/>
        <w:tabs>
          <w:tab w:leader="none" w:pos="7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Advance pipeline opportunities.</w:t>
      </w:r>
    </w:p>
    <w:p>
      <w:pPr>
        <w:spacing w:after="0" w:line="20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i w:val="1"/>
          <w:iCs w:val="1"/>
          <w:color w:val="auto"/>
        </w:rPr>
        <w:t>All information provided above under the “Item 402(v) Pay Versus Performance” heading will not be deemed to be incorporated by reference into any filing of the Company under the Securities Act of 1933, as amended, or the Securities Exchange Act of 1934, as amended, whether made before or after the date hereof and irrespective of any general incorporation language in any such filing, except to the extent the Company specifically incorporates such information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of Control</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Estimated Potential Payments</w:t>
      </w:r>
    </w:p>
    <w:p>
      <w:pPr>
        <w:spacing w:after="0" w:line="229" w:lineRule="exact"/>
        <w:rPr>
          <w:sz w:val="20"/>
          <w:szCs w:val="20"/>
          <w:color w:val="auto"/>
        </w:rPr>
      </w:pPr>
    </w:p>
    <w:p>
      <w:pPr>
        <w:ind w:right="120" w:firstLine="419"/>
        <w:spacing w:after="0" w:line="258" w:lineRule="auto"/>
        <w:rPr>
          <w:sz w:val="20"/>
          <w:szCs w:val="20"/>
          <w:color w:val="auto"/>
        </w:rPr>
      </w:pPr>
      <w:r>
        <w:rPr>
          <w:rFonts w:ascii="Times New Roman" w:cs="Times New Roman" w:eastAsia="Times New Roman" w:hAnsi="Times New Roman"/>
          <w:sz w:val="18"/>
          <w:szCs w:val="18"/>
          <w:color w:val="auto"/>
        </w:rPr>
        <w:t>We have entered into a severance agreement with Mr. Thomson, and change of control agreements with each named executive officer. The table below sets forth the estimated current value of payments and benefits to each of the named executive officers upon certain terminations or upon certain terminations in connection with a change of control, as described following the table below. The amounts shown assume that the triggering event occurred on December 31, 2022 and do not include other benefits earned during the term of the named executive officer’s employment that are available to all salaried employees, such as accrued vacation and benefits paid by insurance providers under life and disability policies.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820" w:type="dxa"/>
            <w:vAlign w:val="bottom"/>
          </w:tcPr>
          <w:p>
            <w:pPr>
              <w:spacing w:after="0"/>
              <w:rPr>
                <w:sz w:val="16"/>
                <w:szCs w:val="16"/>
                <w:color w:val="auto"/>
              </w:rPr>
            </w:pPr>
          </w:p>
        </w:tc>
        <w:tc>
          <w:tcPr>
            <w:tcW w:w="6200" w:type="dxa"/>
            <w:vAlign w:val="bottom"/>
          </w:tcPr>
          <w:p>
            <w:pPr>
              <w:spacing w:after="0"/>
              <w:rPr>
                <w:sz w:val="16"/>
                <w:szCs w:val="16"/>
                <w:color w:val="auto"/>
              </w:rPr>
            </w:pPr>
          </w:p>
        </w:tc>
        <w:tc>
          <w:tcPr>
            <w:tcW w:w="3120" w:type="dxa"/>
            <w:vAlign w:val="bottom"/>
            <w:tcBorders>
              <w:bottom w:val="single" w:sz="8" w:color="auto"/>
            </w:tcBorders>
            <w:gridSpan w:val="3"/>
          </w:tcPr>
          <w:p>
            <w:pPr>
              <w:jc w:val="right"/>
              <w:ind w:right="964"/>
              <w:spacing w:after="0"/>
              <w:rPr>
                <w:sz w:val="20"/>
                <w:szCs w:val="20"/>
                <w:color w:val="auto"/>
              </w:rPr>
            </w:pPr>
            <w:r>
              <w:rPr>
                <w:rFonts w:ascii="Times New Roman" w:cs="Times New Roman" w:eastAsia="Times New Roman" w:hAnsi="Times New Roman"/>
                <w:sz w:val="14"/>
                <w:szCs w:val="14"/>
                <w:b w:val="1"/>
                <w:bCs w:val="1"/>
                <w:color w:val="auto"/>
              </w:rPr>
              <w:t>Triggering Event</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182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1240" w:type="dxa"/>
            <w:vAlign w:val="bottom"/>
            <w:vMerge w:val="restart"/>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Termination</w:t>
            </w:r>
          </w:p>
        </w:tc>
        <w:tc>
          <w:tcPr>
            <w:tcW w:w="220" w:type="dxa"/>
            <w:vAlign w:val="bottom"/>
          </w:tcPr>
          <w:p>
            <w:pPr>
              <w:spacing w:after="0"/>
              <w:rPr>
                <w:sz w:val="10"/>
                <w:szCs w:val="10"/>
                <w:color w:val="auto"/>
              </w:rPr>
            </w:pPr>
          </w:p>
        </w:tc>
        <w:tc>
          <w:tcPr>
            <w:tcW w:w="16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Change in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Control</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8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Michael E. Castagna</w:t>
            </w:r>
          </w:p>
        </w:tc>
        <w:tc>
          <w:tcPr>
            <w:tcW w:w="620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Salary continuation and annual STI consideration</w:t>
            </w:r>
          </w:p>
        </w:tc>
        <w:tc>
          <w:tcPr>
            <w:tcW w:w="124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w:t>
            </w:r>
          </w:p>
        </w:tc>
        <w:tc>
          <w:tcPr>
            <w:tcW w:w="1880" w:type="dxa"/>
            <w:vAlign w:val="bottom"/>
            <w:gridSpan w:val="2"/>
          </w:tcPr>
          <w:p>
            <w:pPr>
              <w:jc w:val="center"/>
              <w:ind w:left="111"/>
              <w:spacing w:after="0"/>
              <w:rPr>
                <w:sz w:val="20"/>
                <w:szCs w:val="20"/>
                <w:color w:val="auto"/>
              </w:rPr>
            </w:pPr>
            <w:r>
              <w:rPr>
                <w:rFonts w:ascii="Times New Roman" w:cs="Times New Roman" w:eastAsia="Times New Roman" w:hAnsi="Times New Roman"/>
                <w:sz w:val="14"/>
                <w:szCs w:val="14"/>
                <w:b w:val="1"/>
                <w:bCs w:val="1"/>
                <w:color w:val="auto"/>
                <w:w w:val="97"/>
              </w:rPr>
              <w:t>($)(3)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820" w:type="dxa"/>
            <w:vAlign w:val="bottom"/>
            <w:vMerge w:val="continue"/>
          </w:tcPr>
          <w:p>
            <w:pPr>
              <w:spacing w:after="0"/>
              <w:rPr>
                <w:sz w:val="14"/>
                <w:szCs w:val="14"/>
                <w:color w:val="auto"/>
              </w:rPr>
            </w:pPr>
          </w:p>
        </w:tc>
        <w:tc>
          <w:tcPr>
            <w:tcW w:w="6200" w:type="dxa"/>
            <w:vAlign w:val="bottom"/>
            <w:vMerge w:val="continue"/>
          </w:tcPr>
          <w:p>
            <w:pPr>
              <w:spacing w:after="0"/>
              <w:rPr>
                <w:sz w:val="14"/>
                <w:szCs w:val="14"/>
                <w:color w:val="auto"/>
              </w:rPr>
            </w:pPr>
          </w:p>
        </w:tc>
        <w:tc>
          <w:tcPr>
            <w:tcW w:w="124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4"/>
                <w:szCs w:val="14"/>
                <w:color w:val="auto"/>
              </w:rPr>
            </w:pPr>
          </w:p>
        </w:tc>
        <w:tc>
          <w:tcPr>
            <w:tcW w:w="1660" w:type="dxa"/>
            <w:vAlign w:val="bottom"/>
            <w:tcBorders>
              <w:top w:val="single" w:sz="8" w:color="auto"/>
            </w:tcBorders>
          </w:tcPr>
          <w:p>
            <w:pPr>
              <w:jc w:val="right"/>
              <w:spacing w:after="0" w:line="171" w:lineRule="exact"/>
              <w:rPr>
                <w:sz w:val="20"/>
                <w:szCs w:val="20"/>
                <w:color w:val="auto"/>
              </w:rPr>
            </w:pPr>
            <w:r>
              <w:rPr>
                <w:rFonts w:ascii="Times New Roman" w:cs="Times New Roman" w:eastAsia="Times New Roman" w:hAnsi="Times New Roman"/>
                <w:sz w:val="18"/>
                <w:szCs w:val="18"/>
                <w:color w:val="auto"/>
              </w:rPr>
              <w:t>2,521,242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1820" w:type="dxa"/>
            <w:vAlign w:val="bottom"/>
          </w:tcPr>
          <w:p>
            <w:pPr>
              <w:spacing w:after="0"/>
              <w:rPr>
                <w:sz w:val="19"/>
                <w:szCs w:val="19"/>
                <w:color w:val="auto"/>
              </w:rPr>
            </w:pPr>
          </w:p>
        </w:tc>
        <w:tc>
          <w:tcPr>
            <w:tcW w:w="6200" w:type="dxa"/>
            <w:vAlign w:val="bottom"/>
          </w:tcPr>
          <w:p>
            <w:pPr>
              <w:ind w:left="300"/>
              <w:spacing w:after="0" w:line="229" w:lineRule="exact"/>
              <w:rPr>
                <w:sz w:val="20"/>
                <w:szCs w:val="20"/>
                <w:color w:val="auto"/>
              </w:rPr>
            </w:pPr>
            <w:r>
              <w:rPr>
                <w:rFonts w:ascii="Times New Roman" w:cs="Times New Roman" w:eastAsia="Times New Roman" w:hAnsi="Times New Roman"/>
                <w:sz w:val="18"/>
                <w:szCs w:val="18"/>
                <w:color w:val="auto"/>
              </w:rPr>
              <w:t>Continuing health and welfare benefits</w:t>
            </w:r>
            <w:r>
              <w:rPr>
                <w:rFonts w:ascii="Times New Roman" w:cs="Times New Roman" w:eastAsia="Times New Roman" w:hAnsi="Times New Roman"/>
                <w:sz w:val="24"/>
                <w:szCs w:val="24"/>
                <w:color w:val="auto"/>
                <w:vertAlign w:val="superscript"/>
              </w:rPr>
              <w:t>(1)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1820" w:type="dxa"/>
            <w:vAlign w:val="bottom"/>
          </w:tcPr>
          <w:p>
            <w:pPr>
              <w:spacing w:after="0"/>
              <w:rPr>
                <w:sz w:val="24"/>
                <w:szCs w:val="24"/>
                <w:color w:val="auto"/>
              </w:rPr>
            </w:pPr>
          </w:p>
        </w:tc>
        <w:tc>
          <w:tcPr>
            <w:tcW w:w="6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Value of accelerated unvested equity awards</w:t>
            </w:r>
            <w:r>
              <w:rPr>
                <w:rFonts w:ascii="Times New Roman" w:cs="Times New Roman" w:eastAsia="Times New Roman" w:hAnsi="Times New Roman"/>
                <w:sz w:val="24"/>
                <w:szCs w:val="24"/>
                <w:color w:val="auto"/>
                <w:vertAlign w:val="superscript"/>
              </w:rPr>
              <w:t>(2)(4)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19,512,817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20" w:type="dxa"/>
            <w:vAlign w:val="bottom"/>
          </w:tcPr>
          <w:p>
            <w:pPr>
              <w:spacing w:after="0"/>
              <w:rPr>
                <w:sz w:val="19"/>
                <w:szCs w:val="19"/>
                <w:color w:val="auto"/>
              </w:rPr>
            </w:pPr>
          </w:p>
        </w:tc>
        <w:tc>
          <w:tcPr>
            <w:tcW w:w="6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22,073,215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20" w:type="dxa"/>
            <w:vAlign w:val="bottom"/>
            <w:shd w:val="clear" w:color="auto" w:fill="CFF0FC"/>
          </w:tcPr>
          <w:p>
            <w:pPr>
              <w:spacing w:after="0"/>
              <w:rPr>
                <w:sz w:val="19"/>
                <w:szCs w:val="19"/>
                <w:color w:val="auto"/>
              </w:rPr>
            </w:pPr>
          </w:p>
        </w:tc>
        <w:tc>
          <w:tcPr>
            <w:tcW w:w="6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Steven B. Binder</w:t>
            </w:r>
          </w:p>
        </w:tc>
        <w:tc>
          <w:tcPr>
            <w:tcW w:w="6200" w:type="dxa"/>
            <w:vAlign w:val="bottom"/>
          </w:tcPr>
          <w:p>
            <w:pPr>
              <w:ind w:left="300"/>
              <w:spacing w:after="0" w:line="177" w:lineRule="exact"/>
              <w:rPr>
                <w:sz w:val="20"/>
                <w:szCs w:val="20"/>
                <w:color w:val="auto"/>
              </w:rPr>
            </w:pPr>
            <w:r>
              <w:rPr>
                <w:rFonts w:ascii="Times New Roman" w:cs="Times New Roman" w:eastAsia="Times New Roman" w:hAnsi="Times New Roman"/>
                <w:sz w:val="18"/>
                <w:szCs w:val="18"/>
                <w:color w:val="auto"/>
              </w:rPr>
              <w:t>Salary continuation and annual STI consideration</w:t>
            </w:r>
          </w:p>
        </w:tc>
        <w:tc>
          <w:tcPr>
            <w:tcW w:w="12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8"/>
                <w:szCs w:val="18"/>
                <w:color w:val="auto"/>
              </w:rPr>
              <w:t>1,617,969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20" w:type="dxa"/>
            <w:vAlign w:val="bottom"/>
          </w:tcPr>
          <w:p>
            <w:pPr>
              <w:spacing w:after="0"/>
              <w:rPr>
                <w:sz w:val="19"/>
                <w:szCs w:val="19"/>
                <w:color w:val="auto"/>
              </w:rPr>
            </w:pPr>
          </w:p>
        </w:tc>
        <w:tc>
          <w:tcPr>
            <w:tcW w:w="6200" w:type="dxa"/>
            <w:vAlign w:val="bottom"/>
          </w:tcPr>
          <w:p>
            <w:pPr>
              <w:ind w:left="300"/>
              <w:spacing w:after="0" w:line="229" w:lineRule="exact"/>
              <w:rPr>
                <w:sz w:val="20"/>
                <w:szCs w:val="20"/>
                <w:color w:val="auto"/>
              </w:rPr>
            </w:pPr>
            <w:r>
              <w:rPr>
                <w:rFonts w:ascii="Times New Roman" w:cs="Times New Roman" w:eastAsia="Times New Roman" w:hAnsi="Times New Roman"/>
                <w:sz w:val="18"/>
                <w:szCs w:val="18"/>
                <w:color w:val="auto"/>
              </w:rPr>
              <w:t>Continuing health and welfare benefits</w:t>
            </w:r>
            <w:r>
              <w:rPr>
                <w:rFonts w:ascii="Times New Roman" w:cs="Times New Roman" w:eastAsia="Times New Roman" w:hAnsi="Times New Roman"/>
                <w:sz w:val="24"/>
                <w:szCs w:val="24"/>
                <w:color w:val="auto"/>
                <w:vertAlign w:val="superscript"/>
              </w:rPr>
              <w:t>(1)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33,416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1820" w:type="dxa"/>
            <w:vAlign w:val="bottom"/>
          </w:tcPr>
          <w:p>
            <w:pPr>
              <w:spacing w:after="0"/>
              <w:rPr>
                <w:sz w:val="24"/>
                <w:szCs w:val="24"/>
                <w:color w:val="auto"/>
              </w:rPr>
            </w:pPr>
          </w:p>
        </w:tc>
        <w:tc>
          <w:tcPr>
            <w:tcW w:w="6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Value of accelerated unvested equity awards</w:t>
            </w:r>
            <w:r>
              <w:rPr>
                <w:rFonts w:ascii="Times New Roman" w:cs="Times New Roman" w:eastAsia="Times New Roman" w:hAnsi="Times New Roman"/>
                <w:sz w:val="24"/>
                <w:szCs w:val="24"/>
                <w:color w:val="auto"/>
                <w:vertAlign w:val="superscript"/>
              </w:rPr>
              <w:t>(2)(5)</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7,387,414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820" w:type="dxa"/>
            <w:vAlign w:val="bottom"/>
            <w:shd w:val="clear" w:color="auto" w:fill="CFF0FC"/>
          </w:tcPr>
          <w:p>
            <w:pPr>
              <w:spacing w:after="0"/>
              <w:rPr>
                <w:sz w:val="19"/>
                <w:szCs w:val="19"/>
                <w:color w:val="auto"/>
              </w:rPr>
            </w:pPr>
          </w:p>
        </w:tc>
        <w:tc>
          <w:tcPr>
            <w:tcW w:w="62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9,038,799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Joseph Kocinsky</w:t>
            </w:r>
          </w:p>
        </w:tc>
        <w:tc>
          <w:tcPr>
            <w:tcW w:w="6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Salary continuation and annual STI consideration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1,318,932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20" w:type="dxa"/>
            <w:vAlign w:val="bottom"/>
          </w:tcPr>
          <w:p>
            <w:pPr>
              <w:spacing w:after="0"/>
              <w:rPr>
                <w:sz w:val="19"/>
                <w:szCs w:val="19"/>
                <w:color w:val="auto"/>
              </w:rPr>
            </w:pPr>
          </w:p>
        </w:tc>
        <w:tc>
          <w:tcPr>
            <w:tcW w:w="6200" w:type="dxa"/>
            <w:vAlign w:val="bottom"/>
          </w:tcPr>
          <w:p>
            <w:pPr>
              <w:ind w:left="300"/>
              <w:spacing w:after="0" w:line="229" w:lineRule="exact"/>
              <w:rPr>
                <w:sz w:val="20"/>
                <w:szCs w:val="20"/>
                <w:color w:val="auto"/>
              </w:rPr>
            </w:pPr>
            <w:r>
              <w:rPr>
                <w:rFonts w:ascii="Times New Roman" w:cs="Times New Roman" w:eastAsia="Times New Roman" w:hAnsi="Times New Roman"/>
                <w:sz w:val="18"/>
                <w:szCs w:val="18"/>
                <w:color w:val="auto"/>
              </w:rPr>
              <w:t>Continuing health and welfare benefits</w:t>
            </w:r>
            <w:r>
              <w:rPr>
                <w:rFonts w:ascii="Times New Roman" w:cs="Times New Roman" w:eastAsia="Times New Roman" w:hAnsi="Times New Roman"/>
                <w:sz w:val="24"/>
                <w:szCs w:val="24"/>
                <w:color w:val="auto"/>
                <w:vertAlign w:val="superscript"/>
              </w:rPr>
              <w:t>(1)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23,295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1820" w:type="dxa"/>
            <w:vAlign w:val="bottom"/>
          </w:tcPr>
          <w:p>
            <w:pPr>
              <w:spacing w:after="0"/>
              <w:rPr>
                <w:sz w:val="24"/>
                <w:szCs w:val="24"/>
                <w:color w:val="auto"/>
              </w:rPr>
            </w:pPr>
          </w:p>
        </w:tc>
        <w:tc>
          <w:tcPr>
            <w:tcW w:w="6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Value of accelerated unvested equity awards</w:t>
            </w:r>
            <w:r>
              <w:rPr>
                <w:rFonts w:ascii="Times New Roman" w:cs="Times New Roman" w:eastAsia="Times New Roman" w:hAnsi="Times New Roman"/>
                <w:sz w:val="24"/>
                <w:szCs w:val="24"/>
                <w:color w:val="auto"/>
                <w:vertAlign w:val="superscript"/>
              </w:rPr>
              <w:t>(2)(6)</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7,362,261</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820" w:type="dxa"/>
            <w:vAlign w:val="bottom"/>
          </w:tcPr>
          <w:p>
            <w:pPr>
              <w:spacing w:after="0"/>
              <w:rPr>
                <w:sz w:val="19"/>
                <w:szCs w:val="19"/>
                <w:color w:val="auto"/>
              </w:rPr>
            </w:pPr>
          </w:p>
        </w:tc>
        <w:tc>
          <w:tcPr>
            <w:tcW w:w="6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8,704,488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20" w:type="dxa"/>
            <w:vAlign w:val="bottom"/>
            <w:shd w:val="clear" w:color="auto" w:fill="CFF0FC"/>
          </w:tcPr>
          <w:p>
            <w:pPr>
              <w:spacing w:after="0"/>
              <w:rPr>
                <w:sz w:val="19"/>
                <w:szCs w:val="19"/>
                <w:color w:val="auto"/>
              </w:rPr>
            </w:pPr>
          </w:p>
        </w:tc>
        <w:tc>
          <w:tcPr>
            <w:tcW w:w="6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Sanjay Singh</w:t>
            </w:r>
          </w:p>
        </w:tc>
        <w:tc>
          <w:tcPr>
            <w:tcW w:w="6200" w:type="dxa"/>
            <w:vAlign w:val="bottom"/>
          </w:tcPr>
          <w:p>
            <w:pPr>
              <w:ind w:left="300"/>
              <w:spacing w:after="0" w:line="177" w:lineRule="exact"/>
              <w:rPr>
                <w:sz w:val="20"/>
                <w:szCs w:val="20"/>
                <w:color w:val="auto"/>
              </w:rPr>
            </w:pPr>
            <w:r>
              <w:rPr>
                <w:rFonts w:ascii="Times New Roman" w:cs="Times New Roman" w:eastAsia="Times New Roman" w:hAnsi="Times New Roman"/>
                <w:sz w:val="18"/>
                <w:szCs w:val="18"/>
                <w:color w:val="auto"/>
              </w:rPr>
              <w:t>Salary continuation and annual STI consideration</w:t>
            </w:r>
          </w:p>
        </w:tc>
        <w:tc>
          <w:tcPr>
            <w:tcW w:w="12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8"/>
                <w:szCs w:val="18"/>
                <w:color w:val="auto"/>
              </w:rPr>
              <w:t>626,923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20" w:type="dxa"/>
            <w:vAlign w:val="bottom"/>
          </w:tcPr>
          <w:p>
            <w:pPr>
              <w:spacing w:after="0"/>
              <w:rPr>
                <w:sz w:val="19"/>
                <w:szCs w:val="19"/>
                <w:color w:val="auto"/>
              </w:rPr>
            </w:pPr>
          </w:p>
        </w:tc>
        <w:tc>
          <w:tcPr>
            <w:tcW w:w="6200" w:type="dxa"/>
            <w:vAlign w:val="bottom"/>
          </w:tcPr>
          <w:p>
            <w:pPr>
              <w:ind w:left="300"/>
              <w:spacing w:after="0" w:line="229" w:lineRule="exact"/>
              <w:rPr>
                <w:sz w:val="20"/>
                <w:szCs w:val="20"/>
                <w:color w:val="auto"/>
              </w:rPr>
            </w:pPr>
            <w:r>
              <w:rPr>
                <w:rFonts w:ascii="Times New Roman" w:cs="Times New Roman" w:eastAsia="Times New Roman" w:hAnsi="Times New Roman"/>
                <w:sz w:val="18"/>
                <w:szCs w:val="18"/>
                <w:color w:val="auto"/>
              </w:rPr>
              <w:t>Continuing health and welfare benefits</w:t>
            </w:r>
            <w:r>
              <w:rPr>
                <w:rFonts w:ascii="Times New Roman" w:cs="Times New Roman" w:eastAsia="Times New Roman" w:hAnsi="Times New Roman"/>
                <w:sz w:val="24"/>
                <w:szCs w:val="24"/>
                <w:color w:val="auto"/>
                <w:vertAlign w:val="superscript"/>
              </w:rPr>
              <w:t>(1)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1820" w:type="dxa"/>
            <w:vAlign w:val="bottom"/>
          </w:tcPr>
          <w:p>
            <w:pPr>
              <w:spacing w:after="0"/>
              <w:rPr>
                <w:sz w:val="24"/>
                <w:szCs w:val="24"/>
                <w:color w:val="auto"/>
              </w:rPr>
            </w:pPr>
          </w:p>
        </w:tc>
        <w:tc>
          <w:tcPr>
            <w:tcW w:w="6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Value of accelerated unvested equity awards</w:t>
            </w:r>
            <w:r>
              <w:rPr>
                <w:rFonts w:ascii="Times New Roman" w:cs="Times New Roman" w:eastAsia="Times New Roman" w:hAnsi="Times New Roman"/>
                <w:sz w:val="24"/>
                <w:szCs w:val="24"/>
                <w:color w:val="auto"/>
                <w:vertAlign w:val="superscript"/>
              </w:rPr>
              <w:t>(2)(7)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1,151,495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1820" w:type="dxa"/>
            <w:vAlign w:val="bottom"/>
            <w:shd w:val="clear" w:color="auto" w:fill="CFF0FC"/>
          </w:tcPr>
          <w:p>
            <w:pPr>
              <w:spacing w:after="0"/>
              <w:rPr>
                <w:sz w:val="19"/>
                <w:szCs w:val="19"/>
                <w:color w:val="auto"/>
              </w:rPr>
            </w:pPr>
          </w:p>
        </w:tc>
        <w:tc>
          <w:tcPr>
            <w:tcW w:w="62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1,817,979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07"/>
        </w:trPr>
        <w:tc>
          <w:tcPr>
            <w:tcW w:w="1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B. Thomson</w:t>
            </w:r>
          </w:p>
        </w:tc>
        <w:tc>
          <w:tcPr>
            <w:tcW w:w="6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Salary continuation and annual STI consideration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1,276,343</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1,666,786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20" w:type="dxa"/>
            <w:vAlign w:val="bottom"/>
          </w:tcPr>
          <w:p>
            <w:pPr>
              <w:spacing w:after="0"/>
              <w:rPr>
                <w:sz w:val="19"/>
                <w:szCs w:val="19"/>
                <w:color w:val="auto"/>
              </w:rPr>
            </w:pPr>
          </w:p>
        </w:tc>
        <w:tc>
          <w:tcPr>
            <w:tcW w:w="6200" w:type="dxa"/>
            <w:vAlign w:val="bottom"/>
          </w:tcPr>
          <w:p>
            <w:pPr>
              <w:ind w:left="300"/>
              <w:spacing w:after="0" w:line="229" w:lineRule="exact"/>
              <w:rPr>
                <w:sz w:val="20"/>
                <w:szCs w:val="20"/>
                <w:color w:val="auto"/>
              </w:rPr>
            </w:pPr>
            <w:r>
              <w:rPr>
                <w:rFonts w:ascii="Times New Roman" w:cs="Times New Roman" w:eastAsia="Times New Roman" w:hAnsi="Times New Roman"/>
                <w:sz w:val="18"/>
                <w:szCs w:val="18"/>
                <w:color w:val="auto"/>
              </w:rPr>
              <w:t>Continuing health and welfare benefits</w:t>
            </w:r>
            <w:r>
              <w:rPr>
                <w:rFonts w:ascii="Times New Roman" w:cs="Times New Roman" w:eastAsia="Times New Roman" w:hAnsi="Times New Roman"/>
                <w:sz w:val="24"/>
                <w:szCs w:val="24"/>
                <w:color w:val="auto"/>
                <w:vertAlign w:val="superscript"/>
              </w:rPr>
              <w:t>(1)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39,451</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39,451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1820" w:type="dxa"/>
            <w:vAlign w:val="bottom"/>
          </w:tcPr>
          <w:p>
            <w:pPr>
              <w:spacing w:after="0"/>
              <w:rPr>
                <w:sz w:val="24"/>
                <w:szCs w:val="24"/>
                <w:color w:val="auto"/>
              </w:rPr>
            </w:pPr>
          </w:p>
        </w:tc>
        <w:tc>
          <w:tcPr>
            <w:tcW w:w="6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Value of accelerated unvested equity awards</w:t>
            </w:r>
            <w:r>
              <w:rPr>
                <w:rFonts w:ascii="Times New Roman" w:cs="Times New Roman" w:eastAsia="Times New Roman" w:hAnsi="Times New Roman"/>
                <w:sz w:val="24"/>
                <w:szCs w:val="24"/>
                <w:color w:val="auto"/>
                <w:vertAlign w:val="superscript"/>
              </w:rPr>
              <w:t>(2)(8)</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7,364,306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20" w:type="dxa"/>
            <w:vAlign w:val="bottom"/>
          </w:tcPr>
          <w:p>
            <w:pPr>
              <w:spacing w:after="0"/>
              <w:rPr>
                <w:sz w:val="19"/>
                <w:szCs w:val="19"/>
                <w:color w:val="auto"/>
              </w:rPr>
            </w:pPr>
          </w:p>
        </w:tc>
        <w:tc>
          <w:tcPr>
            <w:tcW w:w="6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1,315,904</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9,070,543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20" w:type="dxa"/>
            <w:vAlign w:val="bottom"/>
            <w:shd w:val="clear" w:color="auto" w:fill="CFF0FC"/>
          </w:tcPr>
          <w:p>
            <w:pPr>
              <w:spacing w:after="0"/>
              <w:rPr>
                <w:sz w:val="19"/>
                <w:szCs w:val="19"/>
                <w:color w:val="auto"/>
              </w:rPr>
            </w:pPr>
          </w:p>
        </w:tc>
        <w:tc>
          <w:tcPr>
            <w:tcW w:w="62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880" w:type="dxa"/>
            <w:vAlign w:val="bottom"/>
            <w:gridSpan w:val="2"/>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182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Stuart Tross</w:t>
            </w:r>
          </w:p>
        </w:tc>
        <w:tc>
          <w:tcPr>
            <w:tcW w:w="6200" w:type="dxa"/>
            <w:vAlign w:val="bottom"/>
          </w:tcPr>
          <w:p>
            <w:pPr>
              <w:ind w:left="300"/>
              <w:spacing w:after="0" w:line="177" w:lineRule="exact"/>
              <w:rPr>
                <w:sz w:val="20"/>
                <w:szCs w:val="20"/>
                <w:color w:val="auto"/>
              </w:rPr>
            </w:pPr>
            <w:r>
              <w:rPr>
                <w:rFonts w:ascii="Times New Roman" w:cs="Times New Roman" w:eastAsia="Times New Roman" w:hAnsi="Times New Roman"/>
                <w:sz w:val="18"/>
                <w:szCs w:val="18"/>
                <w:color w:val="auto"/>
              </w:rPr>
              <w:t>Salary continuation and annual STI consideration</w:t>
            </w:r>
          </w:p>
        </w:tc>
        <w:tc>
          <w:tcPr>
            <w:tcW w:w="124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spacing w:after="0" w:line="177" w:lineRule="exact"/>
              <w:rPr>
                <w:sz w:val="20"/>
                <w:szCs w:val="20"/>
                <w:color w:val="auto"/>
              </w:rPr>
            </w:pPr>
            <w:r>
              <w:rPr>
                <w:rFonts w:ascii="Times New Roman" w:cs="Times New Roman" w:eastAsia="Times New Roman" w:hAnsi="Times New Roman"/>
                <w:sz w:val="18"/>
                <w:szCs w:val="18"/>
                <w:color w:val="auto"/>
              </w:rPr>
              <w:t>1,408,738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820" w:type="dxa"/>
            <w:vAlign w:val="bottom"/>
          </w:tcPr>
          <w:p>
            <w:pPr>
              <w:spacing w:after="0"/>
              <w:rPr>
                <w:sz w:val="19"/>
                <w:szCs w:val="19"/>
                <w:color w:val="auto"/>
              </w:rPr>
            </w:pPr>
          </w:p>
        </w:tc>
        <w:tc>
          <w:tcPr>
            <w:tcW w:w="6200" w:type="dxa"/>
            <w:vAlign w:val="bottom"/>
          </w:tcPr>
          <w:p>
            <w:pPr>
              <w:ind w:left="300"/>
              <w:spacing w:after="0" w:line="229" w:lineRule="exact"/>
              <w:rPr>
                <w:sz w:val="20"/>
                <w:szCs w:val="20"/>
                <w:color w:val="auto"/>
              </w:rPr>
            </w:pPr>
            <w:r>
              <w:rPr>
                <w:rFonts w:ascii="Times New Roman" w:cs="Times New Roman" w:eastAsia="Times New Roman" w:hAnsi="Times New Roman"/>
                <w:sz w:val="18"/>
                <w:szCs w:val="18"/>
                <w:color w:val="auto"/>
              </w:rPr>
              <w:t>Continuing health and welfare benefits</w:t>
            </w:r>
            <w:r>
              <w:rPr>
                <w:rFonts w:ascii="Times New Roman" w:cs="Times New Roman" w:eastAsia="Times New Roman" w:hAnsi="Times New Roman"/>
                <w:sz w:val="24"/>
                <w:szCs w:val="24"/>
                <w:color w:val="auto"/>
                <w:vertAlign w:val="superscript"/>
              </w:rPr>
              <w:t>(1)</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39,561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1"/>
        </w:trPr>
        <w:tc>
          <w:tcPr>
            <w:tcW w:w="1820" w:type="dxa"/>
            <w:vAlign w:val="bottom"/>
          </w:tcPr>
          <w:p>
            <w:pPr>
              <w:spacing w:after="0"/>
              <w:rPr>
                <w:sz w:val="24"/>
                <w:szCs w:val="24"/>
                <w:color w:val="auto"/>
              </w:rPr>
            </w:pPr>
          </w:p>
        </w:tc>
        <w:tc>
          <w:tcPr>
            <w:tcW w:w="620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Value of accelerated unvested equity awards</w:t>
            </w:r>
            <w:r>
              <w:rPr>
                <w:rFonts w:ascii="Times New Roman" w:cs="Times New Roman" w:eastAsia="Times New Roman" w:hAnsi="Times New Roman"/>
                <w:sz w:val="24"/>
                <w:szCs w:val="24"/>
                <w:color w:val="auto"/>
                <w:vertAlign w:val="superscript"/>
              </w:rPr>
              <w:t>(2)(9)</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7,363,322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820" w:type="dxa"/>
            <w:vAlign w:val="bottom"/>
            <w:shd w:val="clear" w:color="auto" w:fill="CFF0FC"/>
          </w:tcPr>
          <w:p>
            <w:pPr>
              <w:spacing w:after="0"/>
              <w:rPr>
                <w:sz w:val="19"/>
                <w:szCs w:val="19"/>
                <w:color w:val="auto"/>
              </w:rPr>
            </w:pPr>
          </w:p>
        </w:tc>
        <w:tc>
          <w:tcPr>
            <w:tcW w:w="62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8,811,621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-4225290</wp:posOffset>
            </wp:positionV>
            <wp:extent cx="7132320" cy="145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-3933825</wp:posOffset>
            </wp:positionV>
            <wp:extent cx="7132320" cy="1454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-3350895</wp:posOffset>
            </wp:positionV>
            <wp:extent cx="7132320" cy="1460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-2767965</wp:posOffset>
            </wp:positionV>
            <wp:extent cx="7132320" cy="1454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-2476500</wp:posOffset>
            </wp:positionV>
            <wp:extent cx="7132320" cy="1454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-1893570</wp:posOffset>
            </wp:positionV>
            <wp:extent cx="7132320" cy="146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-1310640</wp:posOffset>
            </wp:positionV>
            <wp:extent cx="7132320" cy="14605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-1019175</wp:posOffset>
            </wp:positionV>
            <wp:extent cx="7132320" cy="1454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454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163195</wp:posOffset>
            </wp:positionV>
            <wp:extent cx="116586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95" w:lineRule="exact"/>
        <w:rPr>
          <w:sz w:val="20"/>
          <w:szCs w:val="20"/>
          <w:color w:val="auto"/>
        </w:rPr>
      </w:pPr>
    </w:p>
    <w:p>
      <w:pPr>
        <w:ind w:left="440" w:right="40" w:hanging="419"/>
        <w:spacing w:after="0" w:line="250" w:lineRule="auto"/>
        <w:tabs>
          <w:tab w:leader="none" w:pos="4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estimated cost of providing or paying for continuing medical and dental coverage for 18 months. The amounts for medical and dental insurance coverage are based on rates charged to our employees for post-employment coverage provided in accordance with the Consolidated Omnibus Reconciliation Act of 1985, or COBRA.</w:t>
      </w:r>
    </w:p>
    <w:p>
      <w:pPr>
        <w:spacing w:after="0" w:line="1" w:lineRule="exact"/>
        <w:rPr>
          <w:rFonts w:ascii="Times New Roman" w:cs="Times New Roman" w:eastAsia="Times New Roman" w:hAnsi="Times New Roman"/>
          <w:sz w:val="14"/>
          <w:szCs w:val="14"/>
          <w:color w:val="auto"/>
        </w:rPr>
      </w:pPr>
    </w:p>
    <w:p>
      <w:pPr>
        <w:ind w:left="440" w:right="80" w:hanging="419"/>
        <w:spacing w:after="0" w:line="234" w:lineRule="auto"/>
        <w:tabs>
          <w:tab w:leader="none" w:pos="4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 SEC rules, the intrinsic value of accelerated unvested stock options was calculated using the closing price of our common stock of $5.27 on December 30, 2022. The intrinsic value is the aggregate spread between $5.27 and the exercise price of the accelerated options, if less than $5.27. Accelerated options with exercise prices equal or greater than $5.27 have no intrinsic value. The full value awards are valued at the December 30, 2022 closing price of our common stock.</w:t>
      </w:r>
    </w:p>
    <w:p>
      <w:pPr>
        <w:spacing w:after="0" w:line="42" w:lineRule="exact"/>
        <w:rPr>
          <w:rFonts w:ascii="Times New Roman" w:cs="Times New Roman" w:eastAsia="Times New Roman" w:hAnsi="Times New Roman"/>
          <w:sz w:val="14"/>
          <w:szCs w:val="14"/>
          <w:color w:val="auto"/>
        </w:rPr>
      </w:pPr>
    </w:p>
    <w:p>
      <w:pPr>
        <w:ind w:left="440" w:right="60" w:hanging="419"/>
        <w:spacing w:after="0" w:line="180" w:lineRule="auto"/>
        <w:tabs>
          <w:tab w:leader="none" w:pos="440" w:val="left"/>
        </w:tabs>
        <w:numPr>
          <w:ilvl w:val="0"/>
          <w:numId w:val="3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3"/>
          <w:szCs w:val="13"/>
          <w:color w:val="auto"/>
        </w:rPr>
        <w:t>Represents estimated current value of payments and benefits payable upon termination without cause or resignation for good reason following a change of control. The terms of change of control agreements with our named executive officers are detailed under the heading “Change of Control Provisions”.</w:t>
      </w:r>
    </w:p>
    <w:p>
      <w:pPr>
        <w:spacing w:after="0" w:line="41" w:lineRule="exact"/>
        <w:rPr>
          <w:rFonts w:ascii="Times New Roman" w:cs="Times New Roman" w:eastAsia="Times New Roman" w:hAnsi="Times New Roman"/>
          <w:sz w:val="26"/>
          <w:szCs w:val="26"/>
          <w:color w:val="auto"/>
          <w:vertAlign w:val="superscript"/>
        </w:rPr>
      </w:pPr>
    </w:p>
    <w:p>
      <w:pPr>
        <w:ind w:left="440" w:right="60" w:hanging="419"/>
        <w:spacing w:after="0" w:line="180" w:lineRule="auto"/>
        <w:tabs>
          <w:tab w:leader="none" w:pos="440" w:val="left"/>
        </w:tabs>
        <w:numPr>
          <w:ilvl w:val="0"/>
          <w:numId w:val="3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3"/>
          <w:szCs w:val="13"/>
          <w:color w:val="auto"/>
        </w:rPr>
        <w:t>Includes the value of 351,383 unvested stock options, 601,069 shares subject to unvested restricted stock units and 2,905,280 shares subject to unvested performance restricted stock units based on an estimated share delivery assumption of 300%, 242% and 276% for awards issued in 2020, 2021 and 2022, respectively.</w:t>
      </w:r>
    </w:p>
    <w:p>
      <w:pPr>
        <w:ind w:left="440" w:right="80" w:hanging="419"/>
        <w:spacing w:after="0" w:line="238" w:lineRule="auto"/>
        <w:tabs>
          <w:tab w:leader="none" w:pos="4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value of 114,425 unvested stock options, 223,805 shares subject to unvested restricted stock units and 1,094,780 shares subject to unvested performance restricted stock units based on an estimated share delivery assumption of 300%, 242% and 276% for awards issued in 2020, 2021 and 2022, respectively.</w:t>
      </w:r>
    </w:p>
    <w:p>
      <w:pPr>
        <w:jc w:val="center"/>
        <w:spacing w:after="0"/>
        <w:rPr>
          <w:sz w:val="20"/>
          <w:szCs w:val="20"/>
          <w:color w:val="auto"/>
        </w:rPr>
      </w:pPr>
      <w:r>
        <w:rPr>
          <w:rFonts w:ascii="Times New Roman" w:cs="Times New Roman" w:eastAsia="Times New Roman" w:hAnsi="Times New Roman"/>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bookmarkStart w:id="74" w:name="page75"/>
    <w:bookmarkEnd w:id="74"/>
    <w:p>
      <w:pPr>
        <w:ind w:left="419" w:hanging="419"/>
        <w:spacing w:after="0" w:line="250" w:lineRule="auto"/>
        <w:tabs>
          <w:tab w:leader="none" w:pos="419"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value of 139,425 unvested stock options, 223,671 shares subject to unvested restricted stock units and 1,094,780 shares subject to unvested performance restricted stock units based on an estimated share delivery assumption of 300%, 242% and 276% for awards issued in 2020, 2021 and 2022, respectively.</w:t>
      </w:r>
    </w:p>
    <w:p>
      <w:pPr>
        <w:spacing w:after="0" w:line="1" w:lineRule="exact"/>
        <w:rPr>
          <w:rFonts w:ascii="Times New Roman" w:cs="Times New Roman" w:eastAsia="Times New Roman" w:hAnsi="Times New Roman"/>
          <w:sz w:val="14"/>
          <w:szCs w:val="14"/>
          <w:color w:val="auto"/>
        </w:rPr>
      </w:pPr>
    </w:p>
    <w:p>
      <w:pPr>
        <w:ind w:left="419" w:hanging="419"/>
        <w:spacing w:after="0"/>
        <w:tabs>
          <w:tab w:leader="none" w:pos="419"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218,500 shares subject to unvested restricted stock units.</w:t>
      </w:r>
    </w:p>
    <w:p>
      <w:pPr>
        <w:spacing w:after="0" w:line="14" w:lineRule="exact"/>
        <w:rPr>
          <w:rFonts w:ascii="Times New Roman" w:cs="Times New Roman" w:eastAsia="Times New Roman" w:hAnsi="Times New Roman"/>
          <w:sz w:val="14"/>
          <w:szCs w:val="14"/>
          <w:color w:val="auto"/>
        </w:rPr>
      </w:pPr>
    </w:p>
    <w:p>
      <w:pPr>
        <w:ind w:left="419" w:hanging="419"/>
        <w:spacing w:after="0" w:line="241" w:lineRule="auto"/>
        <w:tabs>
          <w:tab w:leader="none" w:pos="419"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value of 139,425 unvested stock options, 224,059 shares subject to unvested restricted stock units and 1,094,780 shares subject to unvested performance restricted stock units based on an estimated share delivery assumption of 300%, 242% and 276% for awards issued in 2020, 2021 and 2022, respectively.</w:t>
      </w:r>
    </w:p>
    <w:p>
      <w:pPr>
        <w:ind w:left="419" w:hanging="419"/>
        <w:spacing w:after="0" w:line="238" w:lineRule="auto"/>
        <w:tabs>
          <w:tab w:leader="none" w:pos="419"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the value of 120,662 unvested stock options, 223,538 shares subject to unvested restricted stock units and 1,094,780 shares subject to unvested performance restricted stock units based on an estimated share delivery assumption of 300%, 242% and 276% for awards issued in 2020, 2021 and 2022, respectively.</w:t>
      </w:r>
    </w:p>
    <w:p>
      <w:pPr>
        <w:jc w:val="center"/>
        <w:ind w:right="-58"/>
        <w:spacing w:after="0"/>
        <w:rPr>
          <w:sz w:val="20"/>
          <w:szCs w:val="20"/>
          <w:color w:val="auto"/>
        </w:rPr>
      </w:pPr>
      <w:r>
        <w:rPr>
          <w:rFonts w:ascii="Times New Roman" w:cs="Times New Roman" w:eastAsia="Times New Roman" w:hAnsi="Times New Roman"/>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55880</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9"/>
          </w:cols>
          <w:pgMar w:left="341" w:top="360" w:right="3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Severance Agreements</w:t>
      </w:r>
    </w:p>
    <w:p>
      <w:pPr>
        <w:spacing w:after="0" w:line="121" w:lineRule="exact"/>
        <w:rPr>
          <w:sz w:val="20"/>
          <w:szCs w:val="20"/>
          <w:color w:val="auto"/>
        </w:rPr>
      </w:pPr>
    </w:p>
    <w:p>
      <w:pPr>
        <w:ind w:right="160" w:firstLine="416"/>
        <w:spacing w:after="0" w:line="266" w:lineRule="auto"/>
        <w:rPr>
          <w:sz w:val="20"/>
          <w:szCs w:val="20"/>
          <w:color w:val="auto"/>
        </w:rPr>
      </w:pPr>
      <w:r>
        <w:rPr>
          <w:rFonts w:ascii="Times New Roman" w:cs="Times New Roman" w:eastAsia="Times New Roman" w:hAnsi="Times New Roman"/>
          <w:sz w:val="18"/>
          <w:szCs w:val="18"/>
          <w:color w:val="auto"/>
        </w:rPr>
        <w:t>In October 2007, we entered into an executive severance agreement with Mr. Thomson and with other then-active executive officers, none of which are currently employed by the Company. This agreement is for a period of two years and will be automatically renewed for additional one-year periods unless either party gives notice to terminate the agreement at least 90 days prior to the end of its initial term or any subsequent term.</w:t>
      </w:r>
    </w:p>
    <w:p>
      <w:pPr>
        <w:spacing w:after="0" w:line="68" w:lineRule="exact"/>
        <w:rPr>
          <w:sz w:val="20"/>
          <w:szCs w:val="20"/>
          <w:color w:val="auto"/>
        </w:rPr>
      </w:pPr>
    </w:p>
    <w:p>
      <w:pPr>
        <w:jc w:val="both"/>
        <w:ind w:right="60" w:firstLine="416"/>
        <w:spacing w:after="0" w:line="266" w:lineRule="auto"/>
        <w:rPr>
          <w:sz w:val="20"/>
          <w:szCs w:val="20"/>
          <w:color w:val="auto"/>
        </w:rPr>
      </w:pPr>
      <w:r>
        <w:rPr>
          <w:rFonts w:ascii="Times New Roman" w:cs="Times New Roman" w:eastAsia="Times New Roman" w:hAnsi="Times New Roman"/>
          <w:sz w:val="18"/>
          <w:szCs w:val="18"/>
          <w:color w:val="auto"/>
        </w:rPr>
        <w:t>The agreement provides that Mr. Thomson is an “at will” employee and that his employment with us may be terminated at any time by him or by us. Under the agreement, in the event we terminate Mr. Thomson’s employment without cause (as defined below) or he terminates his employment with us for good reason (as defined below), then he is generally entitled to receive the following:</w:t>
      </w:r>
    </w:p>
    <w:p>
      <w:pPr>
        <w:spacing w:after="0" w:line="68" w:lineRule="exact"/>
        <w:rPr>
          <w:sz w:val="20"/>
          <w:szCs w:val="20"/>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his annual base salary earned through the termination date that was not paid prior to his termination, if any;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compensation previously deferred by him and any accrued paid time-off to which he is entitled under our policy;</w:t>
      </w:r>
    </w:p>
    <w:p>
      <w:pPr>
        <w:spacing w:after="0" w:line="117" w:lineRule="exact"/>
        <w:rPr>
          <w:rFonts w:ascii="Times New Roman" w:cs="Times New Roman" w:eastAsia="Times New Roman" w:hAnsi="Times New Roman"/>
          <w:sz w:val="18"/>
          <w:szCs w:val="18"/>
          <w:color w:val="auto"/>
        </w:rPr>
      </w:pPr>
    </w:p>
    <w:p>
      <w:pPr>
        <w:ind w:left="760" w:right="32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he met the performance criteria for earning an annual bonus prior to his termination, a portion of the annual bonus earned for the year based on the number of days worked during the year;</w:t>
      </w:r>
    </w:p>
    <w:p>
      <w:pPr>
        <w:spacing w:after="0" w:line="53" w:lineRule="exact"/>
        <w:rPr>
          <w:rFonts w:ascii="Times New Roman" w:cs="Times New Roman" w:eastAsia="Times New Roman" w:hAnsi="Times New Roman"/>
          <w:sz w:val="18"/>
          <w:szCs w:val="18"/>
          <w:color w:val="auto"/>
        </w:rPr>
      </w:pPr>
    </w:p>
    <w:p>
      <w:pPr>
        <w:jc w:val="both"/>
        <w:ind w:left="760" w:right="180" w:hanging="378"/>
        <w:spacing w:after="0" w:line="266"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he did not meet the performance criteria for earning an annual bonus prior to his termination, but the Board determines that all such criteria could have been satisfied if he remained employed for the full fiscal year, then a portion of his average annual bonus for the three years prior to his termination, based on the number of days worked during the year;</w:t>
      </w:r>
    </w:p>
    <w:p>
      <w:pPr>
        <w:spacing w:after="0" w:line="67" w:lineRule="exact"/>
        <w:rPr>
          <w:rFonts w:ascii="Times New Roman" w:cs="Times New Roman" w:eastAsia="Times New Roman" w:hAnsi="Times New Roman"/>
          <w:sz w:val="18"/>
          <w:szCs w:val="18"/>
          <w:color w:val="auto"/>
        </w:rPr>
      </w:pPr>
    </w:p>
    <w:p>
      <w:pPr>
        <w:ind w:left="760" w:right="420" w:hanging="378"/>
        <w:spacing w:after="0" w:line="282" w:lineRule="auto"/>
        <w:tabs>
          <w:tab w:leader="none" w:pos="7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condition he executes and does not revoke a general release and settlement agreement, or release, in favor of us, then he will become entitled to receive:</w:t>
      </w:r>
    </w:p>
    <w:p>
      <w:pPr>
        <w:spacing w:after="0" w:line="53" w:lineRule="exact"/>
        <w:rPr>
          <w:rFonts w:ascii="Times New Roman" w:cs="Times New Roman" w:eastAsia="Times New Roman" w:hAnsi="Times New Roman"/>
          <w:sz w:val="18"/>
          <w:szCs w:val="18"/>
          <w:color w:val="auto"/>
        </w:rPr>
      </w:pPr>
    </w:p>
    <w:p>
      <w:pPr>
        <w:ind w:left="1540" w:hanging="514"/>
        <w:spacing w:after="0"/>
        <w:tabs>
          <w:tab w:leader="none" w:pos="15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annual base salary on the date of termination for a period of 18 months following his termination, subject to certain limitations;</w:t>
      </w:r>
    </w:p>
    <w:p>
      <w:pPr>
        <w:spacing w:after="0" w:line="117" w:lineRule="exact"/>
        <w:rPr>
          <w:rFonts w:ascii="Times New Roman" w:cs="Times New Roman" w:eastAsia="Times New Roman" w:hAnsi="Times New Roman"/>
          <w:sz w:val="18"/>
          <w:szCs w:val="18"/>
          <w:color w:val="auto"/>
        </w:rPr>
      </w:pPr>
    </w:p>
    <w:p>
      <w:pPr>
        <w:ind w:left="1540" w:right="360" w:hanging="514"/>
        <w:spacing w:after="0" w:line="282" w:lineRule="auto"/>
        <w:tabs>
          <w:tab w:leader="none" w:pos="15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average annual bonus received by him for the three years prior to his termination (or the prior period up to three years during which he was one of our executive officers and received a bonus); and</w:t>
      </w:r>
    </w:p>
    <w:p>
      <w:pPr>
        <w:spacing w:after="0" w:line="53" w:lineRule="exact"/>
        <w:rPr>
          <w:rFonts w:ascii="Times New Roman" w:cs="Times New Roman" w:eastAsia="Times New Roman" w:hAnsi="Times New Roman"/>
          <w:sz w:val="18"/>
          <w:szCs w:val="18"/>
          <w:color w:val="auto"/>
        </w:rPr>
      </w:pPr>
    </w:p>
    <w:p>
      <w:pPr>
        <w:ind w:left="1540" w:hanging="514"/>
        <w:spacing w:after="0" w:line="282" w:lineRule="auto"/>
        <w:tabs>
          <w:tab w:leader="none" w:pos="154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insurance and, under certain circumstances, life, disability and other insurance benefits for a period expiring on the earlier of 18 months following his termination or until he qualifies for related benefits from another employer.</w:t>
      </w:r>
    </w:p>
    <w:p>
      <w:pPr>
        <w:spacing w:after="0" w:line="162" w:lineRule="exact"/>
        <w:rPr>
          <w:sz w:val="20"/>
          <w:szCs w:val="20"/>
          <w:color w:val="auto"/>
        </w:rPr>
      </w:pPr>
    </w:p>
    <w:p>
      <w:pPr>
        <w:jc w:val="both"/>
        <w:ind w:right="80" w:firstLine="419"/>
        <w:spacing w:after="0" w:line="266" w:lineRule="auto"/>
        <w:rPr>
          <w:sz w:val="20"/>
          <w:szCs w:val="20"/>
          <w:color w:val="auto"/>
        </w:rPr>
      </w:pPr>
      <w:r>
        <w:rPr>
          <w:rFonts w:ascii="Times New Roman" w:cs="Times New Roman" w:eastAsia="Times New Roman" w:hAnsi="Times New Roman"/>
          <w:sz w:val="18"/>
          <w:szCs w:val="18"/>
          <w:color w:val="auto"/>
        </w:rPr>
        <w:t>In addition, the executive severance agreement provides that, on the condition that Mr. Thomson executes and does not revoke a release, each vested stock option held by him on the date of termination will be exercisable for a period ending on the earlier of 18 months following that date or the end of the original term of the option.</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Under his agreement, Mr. Thomson may be terminated for cause if he, among other things:</w:t>
      </w:r>
    </w:p>
    <w:p>
      <w:pPr>
        <w:spacing w:after="0" w:line="117" w:lineRule="exact"/>
        <w:rPr>
          <w:sz w:val="20"/>
          <w:szCs w:val="20"/>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refuses to carry out or satisfactorily perform any of his lawful duties or any lawful instruction of our Board of Directors or senior management;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violates any local, state or federal law involving the commission of a crime other than a minor traffic offense;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grossly negligent, engages in willful misconduct or breaches a fiduciary obligation to us;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in any act that materially compromises his reputation or ability to represent us with investors, customers or the public;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reaches a mandatory retirement age established by us.</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Under Mr. Thomson’s agreement, good reason includes, among other things:</w:t>
      </w:r>
    </w:p>
    <w:p>
      <w:pPr>
        <w:spacing w:after="0" w:line="117" w:lineRule="exact"/>
        <w:rPr>
          <w:sz w:val="20"/>
          <w:szCs w:val="20"/>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reduction of his annual base salary to a level below his salary as of October 10, 2007;</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his position, authority, duties or responsibilities with us, subject to certain limitations;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order by us to relocate him to an office located more than 50 miles from his current residence and worksite</w:t>
      </w:r>
    </w:p>
    <w:p>
      <w:pPr>
        <w:spacing w:after="0" w:line="117"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non-renewal of the executive severance agreement by us, on the condition that he may terminate the agreement for good reason only during the 30-day period after he receives notice from us that we intend to terminate the agreement;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violation of the executive severance agreement by us.</w:t>
      </w:r>
    </w:p>
    <w:p>
      <w:pPr>
        <w:spacing w:after="0" w:line="225" w:lineRule="exact"/>
        <w:rPr>
          <w:sz w:val="20"/>
          <w:szCs w:val="20"/>
          <w:color w:val="auto"/>
        </w:rPr>
      </w:pPr>
    </w:p>
    <w:p>
      <w:pPr>
        <w:ind w:right="380" w:firstLine="416"/>
        <w:spacing w:after="0" w:line="260" w:lineRule="auto"/>
        <w:rPr>
          <w:sz w:val="20"/>
          <w:szCs w:val="20"/>
          <w:color w:val="auto"/>
        </w:rPr>
      </w:pPr>
      <w:r>
        <w:rPr>
          <w:rFonts w:ascii="Times New Roman" w:cs="Times New Roman" w:eastAsia="Times New Roman" w:hAnsi="Times New Roman"/>
          <w:sz w:val="18"/>
          <w:szCs w:val="18"/>
          <w:color w:val="auto"/>
        </w:rPr>
        <w:t>Under Mr. Thomson’s agreement, he must inform us if he intends to terminate his agreement for good reason. We have 30 days from the date we receive notice of his intent to terminate the agreement for good reason to cure the default.</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8" w:right="3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 Agreements</w:t>
      </w:r>
    </w:p>
    <w:p>
      <w:pPr>
        <w:spacing w:after="0" w:line="121" w:lineRule="exact"/>
        <w:rPr>
          <w:sz w:val="20"/>
          <w:szCs w:val="20"/>
          <w:color w:val="auto"/>
        </w:rPr>
      </w:pPr>
    </w:p>
    <w:p>
      <w:pPr>
        <w:ind w:right="100" w:firstLine="416"/>
        <w:spacing w:after="0" w:line="266" w:lineRule="auto"/>
        <w:rPr>
          <w:sz w:val="20"/>
          <w:szCs w:val="20"/>
          <w:color w:val="auto"/>
        </w:rPr>
      </w:pPr>
      <w:r>
        <w:rPr>
          <w:rFonts w:ascii="Times New Roman" w:cs="Times New Roman" w:eastAsia="Times New Roman" w:hAnsi="Times New Roman"/>
          <w:sz w:val="18"/>
          <w:szCs w:val="18"/>
          <w:color w:val="auto"/>
        </w:rPr>
        <w:t>Starting in April 2017, we entered into change of control agreements with each named executive officer. Each agreement is for a period of two years and will be automatically renewed for additional one-year periods unless either party gives notice to terminate the agreement at least 90 days prior to the end of its initial term or any subsequent term.</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Under the agreements, a change of control will be deemed to occur upon:</w:t>
      </w:r>
    </w:p>
    <w:p>
      <w:pPr>
        <w:spacing w:after="0" w:line="117" w:lineRule="exact"/>
        <w:rPr>
          <w:sz w:val="20"/>
          <w:szCs w:val="20"/>
          <w:color w:val="auto"/>
        </w:rPr>
      </w:pPr>
    </w:p>
    <w:p>
      <w:pPr>
        <w:ind w:left="760" w:right="180" w:hanging="378"/>
        <w:spacing w:after="0" w:line="282"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that results in a person or group acquiring beneficial ownership of 50% or more of our voting stock, other than us or one of our employee benefit plans;</w:t>
      </w:r>
    </w:p>
    <w:p>
      <w:pPr>
        <w:spacing w:after="0" w:line="53"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consolidation or reorganization of us in which our stockholders immediately prior to the transaction hold less than 50% of the voting power of the surviving entity following the transaction, subject to certain limitations;</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 which we sell all or substantially all of our assets, subject to certain limitations;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liquidation; or</w:t>
      </w:r>
    </w:p>
    <w:p>
      <w:pPr>
        <w:spacing w:after="0" w:line="117" w:lineRule="exact"/>
        <w:rPr>
          <w:rFonts w:ascii="Times New Roman" w:cs="Times New Roman" w:eastAsia="Times New Roman" w:hAnsi="Times New Roman"/>
          <w:sz w:val="18"/>
          <w:szCs w:val="18"/>
          <w:color w:val="auto"/>
        </w:rPr>
      </w:pPr>
    </w:p>
    <w:p>
      <w:pPr>
        <w:ind w:left="760" w:right="40" w:hanging="378"/>
        <w:spacing w:after="0" w:line="282" w:lineRule="auto"/>
        <w:tabs>
          <w:tab w:leader="none" w:pos="76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reorganization of our Board of Directors in which our incumbent directors (as defined in the agreements) cease for any reason to constitute a majority of the members of our Board.</w:t>
      </w:r>
    </w:p>
    <w:p>
      <w:pPr>
        <w:spacing w:after="0" w:line="162" w:lineRule="exact"/>
        <w:rPr>
          <w:sz w:val="20"/>
          <w:szCs w:val="20"/>
          <w:color w:val="auto"/>
        </w:rPr>
      </w:pPr>
    </w:p>
    <w:p>
      <w:pPr>
        <w:ind w:right="180" w:firstLine="416"/>
        <w:spacing w:after="0" w:line="266" w:lineRule="auto"/>
        <w:rPr>
          <w:sz w:val="20"/>
          <w:szCs w:val="20"/>
          <w:color w:val="auto"/>
        </w:rPr>
      </w:pPr>
      <w:r>
        <w:rPr>
          <w:rFonts w:ascii="Times New Roman" w:cs="Times New Roman" w:eastAsia="Times New Roman" w:hAnsi="Times New Roman"/>
          <w:sz w:val="18"/>
          <w:szCs w:val="18"/>
          <w:color w:val="auto"/>
        </w:rPr>
        <w:t>The agreements provide that in the event of a change of control, the employee is generally entitled to maintain the same position, authority and responsibilities held before the change of control, as well as the following compensation and benefits during the period ending on the earlier of two years following the change of control or the termination of his or her employment with us:</w:t>
      </w:r>
    </w:p>
    <w:p>
      <w:pPr>
        <w:spacing w:after="0" w:line="68" w:lineRule="exact"/>
        <w:rPr>
          <w:sz w:val="20"/>
          <w:szCs w:val="20"/>
          <w:color w:val="auto"/>
        </w:rPr>
      </w:pPr>
    </w:p>
    <w:p>
      <w:pPr>
        <w:ind w:left="760" w:hanging="378"/>
        <w:spacing w:after="0"/>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or her annual base salary in an amount equal or greater to his or her annual salary as of the date the change of control occurs;</w:t>
      </w:r>
    </w:p>
    <w:p>
      <w:pPr>
        <w:spacing w:after="0" w:line="117"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bonus in an amount equal to the average annual bonus received by him or her for the three years prior to his or her termination (or the prior period up to three years during which he was one of our executive officers and received a bonus);</w:t>
      </w:r>
    </w:p>
    <w:p>
      <w:pPr>
        <w:spacing w:after="0" w:line="53" w:lineRule="exact"/>
        <w:rPr>
          <w:rFonts w:ascii="Times New Roman" w:cs="Times New Roman" w:eastAsia="Times New Roman" w:hAnsi="Times New Roman"/>
          <w:sz w:val="18"/>
          <w:szCs w:val="18"/>
          <w:color w:val="auto"/>
        </w:rPr>
      </w:pPr>
    </w:p>
    <w:p>
      <w:pPr>
        <w:ind w:left="760" w:right="620" w:hanging="378"/>
        <w:spacing w:after="0" w:line="282"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medical, dental and other insurance, and any other benefits we may offer to our executives; and prompt reimbursement for all reasonable employment expenses incurred by him or her in accordance with our policies and procedures.</w:t>
      </w:r>
    </w:p>
    <w:p>
      <w:pPr>
        <w:spacing w:after="0" w:line="162" w:lineRule="exact"/>
        <w:rPr>
          <w:sz w:val="20"/>
          <w:szCs w:val="20"/>
          <w:color w:val="auto"/>
        </w:rPr>
      </w:pPr>
    </w:p>
    <w:p>
      <w:pPr>
        <w:ind w:right="40" w:firstLine="416"/>
        <w:spacing w:after="0" w:line="261" w:lineRule="auto"/>
        <w:rPr>
          <w:sz w:val="20"/>
          <w:szCs w:val="20"/>
          <w:color w:val="auto"/>
        </w:rPr>
      </w:pPr>
      <w:r>
        <w:rPr>
          <w:rFonts w:ascii="Times New Roman" w:cs="Times New Roman" w:eastAsia="Times New Roman" w:hAnsi="Times New Roman"/>
          <w:sz w:val="18"/>
          <w:szCs w:val="18"/>
          <w:color w:val="auto"/>
        </w:rPr>
        <w:t>Under the change of control agreements, we may terminate an executive with or without cause (as defined below) and the executive may terminate his or her employment with us for good reason (as defined below) or any reason at any time during the two-year period following a change of control. In the event we terminate an executive without cause or an executive terminates his or her employment with us for good reason, he or she is generally entitled to receive the following:</w:t>
      </w:r>
    </w:p>
    <w:p>
      <w:pPr>
        <w:spacing w:after="0" w:line="72" w:lineRule="exact"/>
        <w:rPr>
          <w:sz w:val="20"/>
          <w:szCs w:val="20"/>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his or her annual base salary earned through the termination date that was not paid prior to his termination, if any;</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compensation previously deferred by the employee and any accrued paid time-off that the employee is entitled to under our policy;</w:t>
      </w:r>
    </w:p>
    <w:p>
      <w:pPr>
        <w:spacing w:after="0" w:line="117" w:lineRule="exact"/>
        <w:rPr>
          <w:rFonts w:ascii="Times New Roman" w:cs="Times New Roman" w:eastAsia="Times New Roman" w:hAnsi="Times New Roman"/>
          <w:sz w:val="18"/>
          <w:szCs w:val="18"/>
          <w:color w:val="auto"/>
        </w:rPr>
      </w:pPr>
    </w:p>
    <w:p>
      <w:pPr>
        <w:ind w:left="760" w:right="100" w:hanging="378"/>
        <w:spacing w:after="0" w:line="28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the employee met the performance criteria for earning an annual bonus prior to his or her termination, a portion of the annual bonus earned for the year based on the number of days worked during the year;</w:t>
      </w:r>
    </w:p>
    <w:p>
      <w:pPr>
        <w:spacing w:after="0" w:line="53" w:lineRule="exact"/>
        <w:rPr>
          <w:rFonts w:ascii="Times New Roman" w:cs="Times New Roman" w:eastAsia="Times New Roman" w:hAnsi="Times New Roman"/>
          <w:sz w:val="18"/>
          <w:szCs w:val="18"/>
          <w:color w:val="auto"/>
        </w:rPr>
      </w:pPr>
    </w:p>
    <w:p>
      <w:pPr>
        <w:ind w:left="760" w:right="100" w:hanging="378"/>
        <w:spacing w:after="0" w:line="266"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employee did not meet the performance criteria for earning an annual bonus prior to his or her termination, but the Board determines that all such criteria could have been satisfied if the employee remained employed for the full fiscal year, then a portion of his or her average annual bonus for the three years prior to his or her termination, based on the number of days worked during the year; and</w:t>
      </w:r>
    </w:p>
    <w:p>
      <w:pPr>
        <w:spacing w:after="0" w:line="6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condition the employee executes and does not revoke a release, then the employee will become entitled to received:</w:t>
      </w:r>
    </w:p>
    <w:p>
      <w:pPr>
        <w:spacing w:after="0" w:line="117" w:lineRule="exact"/>
        <w:rPr>
          <w:rFonts w:ascii="Times New Roman" w:cs="Times New Roman" w:eastAsia="Times New Roman" w:hAnsi="Times New Roman"/>
          <w:sz w:val="18"/>
          <w:szCs w:val="18"/>
          <w:color w:val="auto"/>
        </w:rPr>
      </w:pPr>
    </w:p>
    <w:p>
      <w:pPr>
        <w:ind w:left="1540" w:right="840" w:hanging="514"/>
        <w:spacing w:after="0" w:line="282" w:lineRule="auto"/>
        <w:tabs>
          <w:tab w:leader="none" w:pos="1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continuation of the employee’s annual base salary on the date of termination for a period of 18 months following his or her termination, subject to certain limitations;</w:t>
      </w:r>
    </w:p>
    <w:p>
      <w:pPr>
        <w:spacing w:after="0" w:line="53" w:lineRule="exact"/>
        <w:rPr>
          <w:rFonts w:ascii="Times New Roman" w:cs="Times New Roman" w:eastAsia="Times New Roman" w:hAnsi="Times New Roman"/>
          <w:sz w:val="18"/>
          <w:szCs w:val="18"/>
          <w:color w:val="auto"/>
        </w:rPr>
      </w:pPr>
    </w:p>
    <w:p>
      <w:pPr>
        <w:ind w:left="1540" w:right="80" w:hanging="514"/>
        <w:spacing w:after="0" w:line="266" w:lineRule="auto"/>
        <w:tabs>
          <w:tab w:leader="none" w:pos="1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150% of his or her average annual bonus received by the employee for the three years prior to his or her termination (or the prior period up to three years during which the employee was one of our executive officers and received a bonus); and</w:t>
      </w:r>
    </w:p>
    <w:p>
      <w:pPr>
        <w:spacing w:after="0" w:line="67" w:lineRule="exact"/>
        <w:rPr>
          <w:rFonts w:ascii="Times New Roman" w:cs="Times New Roman" w:eastAsia="Times New Roman" w:hAnsi="Times New Roman"/>
          <w:sz w:val="18"/>
          <w:szCs w:val="18"/>
          <w:color w:val="auto"/>
        </w:rPr>
      </w:pPr>
    </w:p>
    <w:p>
      <w:pPr>
        <w:ind w:left="1540" w:hanging="514"/>
        <w:spacing w:after="0" w:line="260" w:lineRule="auto"/>
        <w:tabs>
          <w:tab w:leader="none" w:pos="154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insurance and, under certain circumstances, life, disability and other insurance benefits for a period expiring on the earlier of 18 months following his or her termination or until he qualifies for related benefits from another employer.</w:t>
      </w:r>
    </w:p>
    <w:p>
      <w:pPr>
        <w:spacing w:after="0" w:line="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11" w:right="359" w:bottom="1440" w:gutter="0" w:footer="0" w:header="0"/>
        </w:sectPr>
      </w:pPr>
    </w:p>
    <w:bookmarkStart w:id="77" w:name="page78"/>
    <w:bookmarkEnd w:id="77"/>
    <w:p>
      <w:pPr>
        <w:ind w:right="40" w:firstLine="416"/>
        <w:spacing w:after="0" w:line="282" w:lineRule="auto"/>
        <w:rPr>
          <w:sz w:val="20"/>
          <w:szCs w:val="20"/>
          <w:color w:val="auto"/>
        </w:rPr>
      </w:pPr>
      <w:r>
        <w:rPr>
          <w:rFonts w:ascii="Times New Roman" w:cs="Times New Roman" w:eastAsia="Times New Roman" w:hAnsi="Times New Roman"/>
          <w:sz w:val="18"/>
          <w:szCs w:val="18"/>
          <w:color w:val="auto"/>
        </w:rPr>
        <w:t>In addition, the agreements provide that, on the condition the employee executes and does not revoke a release, each equity award held by him or her as of the termination date will become fully vested and exercisable at any point during the term of the option, subject to certain limitations.</w:t>
      </w:r>
    </w:p>
    <w:p>
      <w:pPr>
        <w:spacing w:after="0" w:line="162" w:lineRule="exact"/>
        <w:rPr>
          <w:sz w:val="20"/>
          <w:szCs w:val="20"/>
          <w:color w:val="auto"/>
        </w:rPr>
      </w:pPr>
    </w:p>
    <w:p>
      <w:pPr>
        <w:ind w:right="340" w:firstLine="416"/>
        <w:spacing w:after="0" w:line="282" w:lineRule="auto"/>
        <w:rPr>
          <w:sz w:val="20"/>
          <w:szCs w:val="20"/>
          <w:color w:val="auto"/>
        </w:rPr>
      </w:pPr>
      <w:r>
        <w:rPr>
          <w:rFonts w:ascii="Times New Roman" w:cs="Times New Roman" w:eastAsia="Times New Roman" w:hAnsi="Times New Roman"/>
          <w:sz w:val="18"/>
          <w:szCs w:val="18"/>
          <w:color w:val="auto"/>
        </w:rPr>
        <w:t>Under the agreements, in the event we terminate an employee with cause or an employee terminates his or her employment with us without good reason, his or her agreement will terminate without any further obligation to either party.</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change of control agreements provide that an employee may be terminated for cause if he or she, among other things:</w:t>
      </w:r>
    </w:p>
    <w:p>
      <w:pPr>
        <w:spacing w:after="0" w:line="117" w:lineRule="exact"/>
        <w:rPr>
          <w:sz w:val="20"/>
          <w:szCs w:val="20"/>
          <w:color w:val="auto"/>
        </w:rPr>
      </w:pPr>
    </w:p>
    <w:p>
      <w:pPr>
        <w:ind w:left="760" w:right="700" w:hanging="378"/>
        <w:spacing w:after="0" w:line="282" w:lineRule="auto"/>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refuses to carry out or satisfactorily perform any of his or her lawful duties or any lawful instruction of our Board of Directors or senior management;</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violates any local, state or federal law involving the commission of a crime other than a minor traffic offense;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grossly negligent, engages in willful misconduct or breaches a fiduciary obligation to us;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engages in any act that materially compromises his reputation or ability to represent us with investors, customers or the public; or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reaches a mandatory retirement age established by us before a change of control occurs.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Under the agreements, good reason includes, among other things:</w:t>
      </w:r>
    </w:p>
    <w:p>
      <w:pPr>
        <w:spacing w:after="0" w:line="117" w:lineRule="exact"/>
        <w:rPr>
          <w:sz w:val="20"/>
          <w:szCs w:val="20"/>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material diminution in the employee’s position, authority, duties or responsibilities with us;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order by us to relocate the employee to an office located more than 50 miles from the employee’s current residence and worksite;</w:t>
      </w:r>
    </w:p>
    <w:p>
      <w:pPr>
        <w:spacing w:after="0" w:line="117"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non-renewal of the change of control agreement by us, on the condition that the employee may terminate the agreement for good reason only during the 30-day period after he receives notice from us that we intend to terminate the agreement; and</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violation of the change of control agreement by us.</w:t>
      </w:r>
    </w:p>
    <w:p>
      <w:pPr>
        <w:spacing w:after="0" w:line="225" w:lineRule="exact"/>
        <w:rPr>
          <w:sz w:val="20"/>
          <w:szCs w:val="20"/>
          <w:color w:val="auto"/>
        </w:rPr>
      </w:pPr>
    </w:p>
    <w:p>
      <w:pPr>
        <w:ind w:right="20" w:firstLine="416"/>
        <w:spacing w:after="0" w:line="282" w:lineRule="auto"/>
        <w:rPr>
          <w:sz w:val="20"/>
          <w:szCs w:val="20"/>
          <w:color w:val="auto"/>
        </w:rPr>
      </w:pPr>
      <w:r>
        <w:rPr>
          <w:rFonts w:ascii="Times New Roman" w:cs="Times New Roman" w:eastAsia="Times New Roman" w:hAnsi="Times New Roman"/>
          <w:sz w:val="18"/>
          <w:szCs w:val="18"/>
          <w:color w:val="auto"/>
        </w:rPr>
        <w:t>Under the change of control agreements, an employee must inform us if he or she intends to terminate his or her agreement for good reason. We have 30 days from the date we receive notice of the employee’s intent to terminate the agreement for good reason to cure the default.</w:t>
      </w:r>
    </w:p>
    <w:p>
      <w:pPr>
        <w:spacing w:after="0" w:line="162" w:lineRule="exact"/>
        <w:rPr>
          <w:sz w:val="20"/>
          <w:szCs w:val="20"/>
          <w:color w:val="auto"/>
        </w:rPr>
      </w:pPr>
    </w:p>
    <w:p>
      <w:pPr>
        <w:ind w:right="120" w:firstLine="416"/>
        <w:spacing w:after="0" w:line="266" w:lineRule="auto"/>
        <w:rPr>
          <w:sz w:val="20"/>
          <w:szCs w:val="20"/>
          <w:color w:val="auto"/>
        </w:rPr>
      </w:pPr>
      <w:r>
        <w:rPr>
          <w:rFonts w:ascii="Times New Roman" w:cs="Times New Roman" w:eastAsia="Times New Roman" w:hAnsi="Times New Roman"/>
          <w:sz w:val="18"/>
          <w:szCs w:val="18"/>
          <w:color w:val="auto"/>
        </w:rPr>
        <w:t>The executive severance agreements and the change of control agreements with Mr. Thomson provide that in the event such executive becomes entitled to benefits under both agreements, compensation payments and other benefits will be coordinated to ensure the executive is entitled to receive the benefits described above without duplicating coverage.</w:t>
      </w:r>
    </w:p>
    <w:p>
      <w:pPr>
        <w:spacing w:after="0" w:line="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67" w:right="37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certain information with respect to all of our equity compensation plans in effect as of December 31, 2022.</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9"/>
        </w:trPr>
        <w:tc>
          <w:tcPr>
            <w:tcW w:w="6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20" w:type="dxa"/>
            <w:vAlign w:val="bottom"/>
          </w:tcPr>
          <w:p>
            <w:pPr>
              <w:spacing w:after="0"/>
              <w:rPr>
                <w:sz w:val="12"/>
                <w:szCs w:val="12"/>
                <w:color w:val="auto"/>
              </w:rPr>
            </w:pPr>
          </w:p>
        </w:tc>
        <w:tc>
          <w:tcPr>
            <w:tcW w:w="16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Issuance Under</w:t>
            </w: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22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w:t>
            </w:r>
          </w:p>
        </w:tc>
        <w:tc>
          <w:tcPr>
            <w:tcW w:w="2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6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2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2"/>
                <w:szCs w:val="12"/>
                <w:color w:val="auto"/>
              </w:rPr>
            </w:pPr>
          </w:p>
        </w:tc>
        <w:tc>
          <w:tcPr>
            <w:tcW w:w="16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0" w:type="dxa"/>
            <w:vAlign w:val="bottom"/>
          </w:tcPr>
          <w:p>
            <w:pPr>
              <w:spacing w:after="0"/>
              <w:rPr>
                <w:sz w:val="1"/>
                <w:szCs w:val="1"/>
                <w:color w:val="auto"/>
              </w:rPr>
            </w:pPr>
          </w:p>
        </w:tc>
      </w:tr>
      <w:tr>
        <w:trPr>
          <w:trHeight w:val="148"/>
        </w:trPr>
        <w:tc>
          <w:tcPr>
            <w:tcW w:w="6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Outstanding</w:t>
            </w:r>
          </w:p>
        </w:tc>
        <w:tc>
          <w:tcPr>
            <w:tcW w:w="220" w:type="dxa"/>
            <w:vAlign w:val="bottom"/>
          </w:tcPr>
          <w:p>
            <w:pPr>
              <w:spacing w:after="0"/>
              <w:rPr>
                <w:sz w:val="12"/>
                <w:szCs w:val="12"/>
                <w:color w:val="auto"/>
              </w:rPr>
            </w:pPr>
          </w:p>
        </w:tc>
        <w:tc>
          <w:tcPr>
            <w:tcW w:w="16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0" w:type="dxa"/>
            <w:vAlign w:val="bottom"/>
          </w:tcPr>
          <w:p>
            <w:pPr>
              <w:spacing w:after="0"/>
              <w:rPr>
                <w:sz w:val="1"/>
                <w:szCs w:val="1"/>
                <w:color w:val="auto"/>
              </w:rPr>
            </w:pPr>
          </w:p>
        </w:tc>
      </w:tr>
      <w:tr>
        <w:trPr>
          <w:trHeight w:val="149"/>
        </w:trPr>
        <w:tc>
          <w:tcPr>
            <w:tcW w:w="6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2"/>
                <w:szCs w:val="12"/>
                <w:color w:val="auto"/>
              </w:rPr>
            </w:pPr>
          </w:p>
        </w:tc>
        <w:tc>
          <w:tcPr>
            <w:tcW w:w="16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w:t>
            </w:r>
          </w:p>
        </w:tc>
        <w:tc>
          <w:tcPr>
            <w:tcW w:w="0" w:type="dxa"/>
            <w:vAlign w:val="bottom"/>
          </w:tcPr>
          <w:p>
            <w:pPr>
              <w:spacing w:after="0"/>
              <w:rPr>
                <w:sz w:val="1"/>
                <w:szCs w:val="1"/>
                <w:color w:val="auto"/>
              </w:rPr>
            </w:pPr>
          </w:p>
        </w:tc>
      </w:tr>
      <w:tr>
        <w:trPr>
          <w:trHeight w:val="148"/>
        </w:trPr>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20" w:type="dxa"/>
            <w:vAlign w:val="bottom"/>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2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w:t>
            </w:r>
          </w:p>
        </w:tc>
        <w:tc>
          <w:tcPr>
            <w:tcW w:w="220" w:type="dxa"/>
            <w:vAlign w:val="bottom"/>
          </w:tcPr>
          <w:p>
            <w:pPr>
              <w:spacing w:after="0"/>
              <w:rPr>
                <w:sz w:val="12"/>
                <w:szCs w:val="12"/>
                <w:color w:val="auto"/>
              </w:rPr>
            </w:pPr>
          </w:p>
        </w:tc>
        <w:tc>
          <w:tcPr>
            <w:tcW w:w="168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Column (a)</w:t>
            </w:r>
          </w:p>
        </w:tc>
        <w:tc>
          <w:tcPr>
            <w:tcW w:w="0" w:type="dxa"/>
            <w:vAlign w:val="bottom"/>
          </w:tcPr>
          <w:p>
            <w:pPr>
              <w:spacing w:after="0"/>
              <w:rPr>
                <w:sz w:val="1"/>
                <w:szCs w:val="1"/>
                <w:color w:val="auto"/>
              </w:rPr>
            </w:pPr>
          </w:p>
        </w:tc>
      </w:tr>
      <w:tr>
        <w:trPr>
          <w:trHeight w:val="187"/>
        </w:trPr>
        <w:tc>
          <w:tcPr>
            <w:tcW w:w="6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and Rights (#)(a)</w:t>
            </w:r>
          </w:p>
        </w:tc>
        <w:tc>
          <w:tcPr>
            <w:tcW w:w="2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Rights ($)(b)</w:t>
            </w:r>
          </w:p>
        </w:tc>
        <w:tc>
          <w:tcPr>
            <w:tcW w:w="220" w:type="dxa"/>
            <w:vAlign w:val="bottom"/>
          </w:tcPr>
          <w:p>
            <w:pPr>
              <w:spacing w:after="0"/>
              <w:rPr>
                <w:sz w:val="16"/>
                <w:szCs w:val="16"/>
                <w:color w:val="auto"/>
              </w:rPr>
            </w:pPr>
          </w:p>
        </w:tc>
        <w:tc>
          <w:tcPr>
            <w:tcW w:w="16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 )</w:t>
            </w:r>
          </w:p>
        </w:tc>
        <w:tc>
          <w:tcPr>
            <w:tcW w:w="0" w:type="dxa"/>
            <w:vAlign w:val="bottom"/>
          </w:tcPr>
          <w:p>
            <w:pPr>
              <w:spacing w:after="0"/>
              <w:rPr>
                <w:sz w:val="1"/>
                <w:szCs w:val="1"/>
                <w:color w:val="auto"/>
              </w:rPr>
            </w:pPr>
          </w:p>
        </w:tc>
      </w:tr>
      <w:tr>
        <w:trPr>
          <w:trHeight w:val="237"/>
        </w:trPr>
        <w:tc>
          <w:tcPr>
            <w:tcW w:w="632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compensation plans approved by security holders</w:t>
            </w:r>
          </w:p>
        </w:tc>
        <w:tc>
          <w:tcPr>
            <w:tcW w:w="120" w:type="dxa"/>
            <w:vAlign w:val="bottom"/>
            <w:shd w:val="clear" w:color="auto" w:fill="CFF0FC"/>
          </w:tcPr>
          <w:p>
            <w:pPr>
              <w:spacing w:after="0"/>
              <w:rPr>
                <w:sz w:val="20"/>
                <w:szCs w:val="20"/>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9,074,587</w:t>
            </w:r>
          </w:p>
        </w:tc>
        <w:tc>
          <w:tcPr>
            <w:tcW w:w="220" w:type="dxa"/>
            <w:vAlign w:val="bottom"/>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20" w:type="dxa"/>
            <w:vAlign w:val="bottom"/>
            <w:shd w:val="clear" w:color="auto" w:fill="CFF0FC"/>
          </w:tcPr>
          <w:p>
            <w:pPr>
              <w:spacing w:after="0"/>
              <w:rPr>
                <w:sz w:val="20"/>
                <w:szCs w:val="20"/>
                <w:color w:val="auto"/>
              </w:rPr>
            </w:pPr>
          </w:p>
        </w:tc>
        <w:tc>
          <w:tcPr>
            <w:tcW w:w="13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3,161,906</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(1)</w:t>
            </w:r>
          </w:p>
        </w:tc>
        <w:tc>
          <w:tcPr>
            <w:tcW w:w="0" w:type="dxa"/>
            <w:vAlign w:val="bottom"/>
          </w:tcPr>
          <w:p>
            <w:pPr>
              <w:spacing w:after="0"/>
              <w:rPr>
                <w:sz w:val="1"/>
                <w:szCs w:val="1"/>
                <w:color w:val="auto"/>
              </w:rPr>
            </w:pPr>
          </w:p>
        </w:tc>
      </w:tr>
      <w:tr>
        <w:trPr>
          <w:trHeight w:val="317"/>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compensation plans not approved by security holders</w:t>
            </w:r>
            <w:r>
              <w:rPr>
                <w:rFonts w:ascii="Times New Roman" w:cs="Times New Roman" w:eastAsia="Times New Roman" w:hAnsi="Times New Roman"/>
                <w:sz w:val="24"/>
                <w:szCs w:val="24"/>
                <w:color w:val="auto"/>
                <w:vertAlign w:val="superscript"/>
              </w:rPr>
              <w:t>(2)</w:t>
            </w:r>
          </w:p>
        </w:tc>
        <w:tc>
          <w:tcPr>
            <w:tcW w:w="12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4"/>
                <w:szCs w:val="24"/>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11658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127" w:lineRule="exact"/>
        <w:rPr>
          <w:sz w:val="20"/>
          <w:szCs w:val="20"/>
          <w:color w:val="auto"/>
        </w:rPr>
      </w:pPr>
    </w:p>
    <w:p>
      <w:pPr>
        <w:ind w:left="440" w:right="80" w:hanging="419"/>
        <w:spacing w:after="0" w:line="187" w:lineRule="auto"/>
        <w:tabs>
          <w:tab w:leader="none" w:pos="440" w:val="left"/>
        </w:tabs>
        <w:numPr>
          <w:ilvl w:val="0"/>
          <w:numId w:val="4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3"/>
          <w:szCs w:val="13"/>
          <w:color w:val="auto"/>
        </w:rPr>
        <w:t>Includes 2,802,796 shares available for issuance under the EIP and 406,015 shares available for purchase under our ESPP. The amount of shares available for issuance under the EIP was determined with a share delivery assumption of 300%, 242% and 276% for performance restricted stock units issued in 2020, 2021 and 2022, respectively.</w:t>
      </w:r>
    </w:p>
    <w:p>
      <w:pPr>
        <w:spacing w:after="0" w:line="42" w:lineRule="exact"/>
        <w:rPr>
          <w:rFonts w:ascii="Times New Roman" w:cs="Times New Roman" w:eastAsia="Times New Roman" w:hAnsi="Times New Roman"/>
          <w:sz w:val="26"/>
          <w:szCs w:val="26"/>
          <w:color w:val="auto"/>
          <w:vertAlign w:val="superscript"/>
        </w:rPr>
      </w:pPr>
    </w:p>
    <w:p>
      <w:pPr>
        <w:ind w:left="440" w:hanging="419"/>
        <w:spacing w:after="0"/>
        <w:tabs>
          <w:tab w:leader="none" w:pos="4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December 31, 2022, we did not have any equity compensation plans that were not approved by our security holders.</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227" w:lineRule="exact"/>
        <w:rPr>
          <w:sz w:val="20"/>
          <w:szCs w:val="20"/>
          <w:color w:val="auto"/>
        </w:rPr>
      </w:pPr>
    </w:p>
    <w:p>
      <w:pPr>
        <w:ind w:right="120" w:firstLine="416"/>
        <w:spacing w:after="0" w:line="284" w:lineRule="auto"/>
        <w:rPr>
          <w:sz w:val="20"/>
          <w:szCs w:val="20"/>
          <w:color w:val="auto"/>
        </w:rPr>
      </w:pPr>
      <w:r>
        <w:rPr>
          <w:rFonts w:ascii="Times New Roman" w:cs="Times New Roman" w:eastAsia="Times New Roman" w:hAnsi="Times New Roman"/>
          <w:sz w:val="18"/>
          <w:szCs w:val="18"/>
          <w:i w:val="1"/>
          <w:iCs w:val="1"/>
          <w:color w:val="auto"/>
        </w:rPr>
        <w:t>The material in this report is not “soliciting material,” is not deemed “filed” with the SEC and shall not be incorporated by reference into any filing of MannKind under the Securities Act or the Exchange Act, except to the extent MannKind specifically incorporates this report by reference.</w:t>
      </w:r>
    </w:p>
    <w:p>
      <w:pPr>
        <w:spacing w:after="0" w:line="160" w:lineRule="exact"/>
        <w:rPr>
          <w:sz w:val="20"/>
          <w:szCs w:val="20"/>
          <w:color w:val="auto"/>
        </w:rPr>
      </w:pPr>
    </w:p>
    <w:p>
      <w:pPr>
        <w:ind w:firstLine="416"/>
        <w:spacing w:after="0" w:line="261" w:lineRule="auto"/>
        <w:rPr>
          <w:sz w:val="20"/>
          <w:szCs w:val="20"/>
          <w:color w:val="auto"/>
        </w:rPr>
      </w:pPr>
      <w:r>
        <w:rPr>
          <w:rFonts w:ascii="Times New Roman" w:cs="Times New Roman" w:eastAsia="Times New Roman" w:hAnsi="Times New Roman"/>
          <w:sz w:val="18"/>
          <w:szCs w:val="18"/>
          <w:color w:val="auto"/>
        </w:rPr>
        <w:t>The Compensation Committee has reviewed and discussed with management the Compensation Discussion and Analysis contained in this proxy statement. Based on this review and discussion, the Compensation Committee has recommended to our Board of Directors that the Compensation Discussion and Analysis be included in this proxy statement and incorporated into our Annual Report on Form 10-K for the fiscal year ended December 31, 2022.</w:t>
      </w:r>
    </w:p>
    <w:p>
      <w:pPr>
        <w:spacing w:after="0" w:line="200" w:lineRule="exact"/>
        <w:rPr>
          <w:sz w:val="20"/>
          <w:szCs w:val="20"/>
          <w:color w:val="auto"/>
        </w:rPr>
      </w:pP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1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Kent Kresa, Compensation Committee Chair</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Michael A. Friedman, Compensation Committee Member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Anthony Hooper, Compensation Committee Member</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James S. Shannon, Compensation Committee Member</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0" w:name="page81"/>
    <w:bookmarkEnd w:id="8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29"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the Company’s common stock as of March 23, 2023 by: (i) each person, entity or group known to the Company to be the beneficial owner of more than 5% of the Company’s common stock; (ii) each director and nominee for director; (iii) each of the executive officers named in the Summary Compensation Table, who we refer to as the named executive officers; and (iv) all current executive officers and directors of the Company as a group. Unless otherwise indicated in the footnotes to the table below and subject to community property laws where applicable, we believe that each of the stockholders named in the table has sole voting and investment power with respect to the shares indicated as beneficially owned.</w:t>
      </w:r>
    </w:p>
    <w:p>
      <w:pPr>
        <w:spacing w:after="0" w:line="187" w:lineRule="exact"/>
        <w:rPr>
          <w:sz w:val="20"/>
          <w:szCs w:val="20"/>
          <w:color w:val="auto"/>
        </w:rPr>
      </w:pPr>
    </w:p>
    <w:p>
      <w:pPr>
        <w:ind w:right="100" w:firstLine="416"/>
        <w:spacing w:after="0" w:line="253" w:lineRule="auto"/>
        <w:rPr>
          <w:sz w:val="20"/>
          <w:szCs w:val="20"/>
          <w:color w:val="auto"/>
        </w:rPr>
      </w:pPr>
      <w:r>
        <w:rPr>
          <w:rFonts w:ascii="Times New Roman" w:cs="Times New Roman" w:eastAsia="Times New Roman" w:hAnsi="Times New Roman"/>
          <w:sz w:val="18"/>
          <w:szCs w:val="18"/>
          <w:color w:val="auto"/>
        </w:rPr>
        <w:t>Applicable percentages are based on 264,248,864 shares outstanding on March 23, 2023, adjusted as required by rules promulgated by the SEC. These rules generally attribute beneficial ownership of securities to persons who possess sole or shared voting power or investment power with respect to those securities. In addition, the rules include shares of common stock issuable pursuant to the exercise of stock options or warrants that are either immediately exercisable or exercisable on or before May 22, 2023, which is 60 days after March 23, 2023. These shares are deemed to be outstanding and beneficially owned by the person holding those options or warrants for the purpose of computing the percentage ownership of that person, but they are not treated as outstanding for the purpose of computing the percentage ownership of any other person. Unless otherwise indicated, the address for each person or entity listed in the table is c/o MannKind Corporation, 1 Casper Street, Danbury, Connecticut 06810.</w:t>
      </w:r>
    </w:p>
    <w:p>
      <w:pPr>
        <w:spacing w:after="0" w:line="5" w:lineRule="exact"/>
        <w:rPr>
          <w:sz w:val="20"/>
          <w:szCs w:val="20"/>
          <w:color w:val="auto"/>
        </w:rPr>
      </w:pPr>
    </w:p>
    <w:tbl>
      <w:tblPr>
        <w:tblLayout w:type="fixed"/>
        <w:tblInd w:w="240" w:type="dxa"/>
        <w:tblCellMar>
          <w:top w:w="0" w:type="dxa"/>
          <w:left w:w="0" w:type="dxa"/>
          <w:bottom w:w="0" w:type="dxa"/>
          <w:right w:w="0" w:type="dxa"/>
        </w:tblCellMar>
      </w:tblPr>
      <w:tr>
        <w:trPr>
          <w:trHeight w:val="187"/>
        </w:trPr>
        <w:tc>
          <w:tcPr>
            <w:tcW w:w="7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Identity of Owner or Group</w:t>
            </w:r>
          </w:p>
        </w:tc>
        <w:tc>
          <w:tcPr>
            <w:tcW w:w="3360" w:type="dxa"/>
            <w:vAlign w:val="bottom"/>
            <w:tcBorders>
              <w:bottom w:val="single" w:sz="8" w:color="auto"/>
            </w:tcBorders>
            <w:gridSpan w:val="3"/>
          </w:tcPr>
          <w:p>
            <w:pPr>
              <w:jc w:val="right"/>
              <w:ind w:right="948"/>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340" w:type="dxa"/>
            <w:vAlign w:val="bottom"/>
          </w:tcPr>
          <w:p>
            <w:pPr>
              <w:spacing w:after="0"/>
              <w:rPr>
                <w:sz w:val="16"/>
                <w:szCs w:val="16"/>
                <w:color w:val="auto"/>
              </w:rPr>
            </w:pPr>
          </w:p>
        </w:tc>
      </w:tr>
      <w:tr>
        <w:trPr>
          <w:trHeight w:val="169"/>
        </w:trPr>
        <w:tc>
          <w:tcPr>
            <w:tcW w:w="7080" w:type="dxa"/>
            <w:vAlign w:val="bottom"/>
          </w:tcPr>
          <w:p>
            <w:pPr>
              <w:spacing w:after="0"/>
              <w:rPr>
                <w:sz w:val="14"/>
                <w:szCs w:val="14"/>
                <w:color w:val="auto"/>
              </w:rPr>
            </w:pPr>
          </w:p>
        </w:tc>
        <w:tc>
          <w:tcPr>
            <w:tcW w:w="156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280" w:type="dxa"/>
            <w:vAlign w:val="bottom"/>
          </w:tcPr>
          <w:p>
            <w:pPr>
              <w:spacing w:after="0"/>
              <w:rPr>
                <w:sz w:val="14"/>
                <w:szCs w:val="14"/>
                <w:color w:val="auto"/>
              </w:rPr>
            </w:pPr>
          </w:p>
        </w:tc>
        <w:tc>
          <w:tcPr>
            <w:tcW w:w="152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Percent of Total</w:t>
            </w:r>
          </w:p>
        </w:tc>
        <w:tc>
          <w:tcPr>
            <w:tcW w:w="340" w:type="dxa"/>
            <w:vAlign w:val="bottom"/>
          </w:tcPr>
          <w:p>
            <w:pPr>
              <w:spacing w:after="0"/>
              <w:rPr>
                <w:sz w:val="14"/>
                <w:szCs w:val="14"/>
                <w:color w:val="auto"/>
              </w:rPr>
            </w:pPr>
          </w:p>
        </w:tc>
      </w:tr>
      <w:tr>
        <w:trPr>
          <w:trHeight w:val="237"/>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15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5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r>
      <w:tr>
        <w:trPr>
          <w:trHeight w:val="243"/>
        </w:trPr>
        <w:tc>
          <w:tcPr>
            <w:tcW w:w="70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BlackRock, Inc. </w:t>
            </w:r>
            <w:r>
              <w:rPr>
                <w:rFonts w:ascii="Times New Roman" w:cs="Times New Roman" w:eastAsia="Times New Roman" w:hAnsi="Times New Roman"/>
                <w:sz w:val="24"/>
                <w:szCs w:val="24"/>
                <w:color w:val="auto"/>
                <w:vertAlign w:val="superscript"/>
              </w:rPr>
              <w:t>(1)</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21,008,795</w:t>
            </w:r>
          </w:p>
        </w:tc>
        <w:tc>
          <w:tcPr>
            <w:tcW w:w="21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8.0 %</w:t>
            </w:r>
          </w:p>
        </w:tc>
      </w:tr>
      <w:tr>
        <w:trPr>
          <w:trHeight w:val="243"/>
        </w:trPr>
        <w:tc>
          <w:tcPr>
            <w:tcW w:w="708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State Street Corporation</w:t>
            </w:r>
            <w:r>
              <w:rPr>
                <w:rFonts w:ascii="Times New Roman" w:cs="Times New Roman" w:eastAsia="Times New Roman" w:hAnsi="Times New Roman"/>
                <w:sz w:val="24"/>
                <w:szCs w:val="24"/>
                <w:color w:val="auto"/>
                <w:vertAlign w:val="superscript"/>
              </w:rPr>
              <w:t>(2)</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17,258,797</w:t>
            </w:r>
          </w:p>
        </w:tc>
        <w:tc>
          <w:tcPr>
            <w:tcW w:w="2140" w:type="dxa"/>
            <w:vAlign w:val="bottom"/>
            <w:gridSpan w:val="3"/>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6.5 %</w:t>
            </w:r>
          </w:p>
        </w:tc>
      </w:tr>
      <w:tr>
        <w:trPr>
          <w:trHeight w:val="243"/>
        </w:trPr>
        <w:tc>
          <w:tcPr>
            <w:tcW w:w="70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Vanguard Group</w:t>
            </w:r>
            <w:r>
              <w:rPr>
                <w:rFonts w:ascii="Times New Roman" w:cs="Times New Roman" w:eastAsia="Times New Roman" w:hAnsi="Times New Roman"/>
                <w:sz w:val="24"/>
                <w:szCs w:val="24"/>
                <w:color w:val="auto"/>
                <w:vertAlign w:val="superscript"/>
              </w:rPr>
              <w:t>(3)</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13,664,228</w:t>
            </w:r>
          </w:p>
        </w:tc>
        <w:tc>
          <w:tcPr>
            <w:tcW w:w="214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5.2 %</w:t>
            </w:r>
          </w:p>
        </w:tc>
      </w:tr>
      <w:tr>
        <w:trPr>
          <w:trHeight w:val="243"/>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5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r>
      <w:tr>
        <w:trPr>
          <w:trHeight w:val="243"/>
        </w:trPr>
        <w:tc>
          <w:tcPr>
            <w:tcW w:w="70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Michael Castagna</w:t>
            </w:r>
            <w:r>
              <w:rPr>
                <w:rFonts w:ascii="Times New Roman" w:cs="Times New Roman" w:eastAsia="Times New Roman" w:hAnsi="Times New Roman"/>
                <w:sz w:val="24"/>
                <w:szCs w:val="24"/>
                <w:color w:val="auto"/>
                <w:vertAlign w:val="superscript"/>
              </w:rPr>
              <w:t>(4)</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3,678,472</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080" w:type="dxa"/>
            <w:vAlign w:val="bottom"/>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Steven B. Binder</w:t>
            </w:r>
            <w:r>
              <w:rPr>
                <w:rFonts w:ascii="Times New Roman" w:cs="Times New Roman" w:eastAsia="Times New Roman" w:hAnsi="Times New Roman"/>
                <w:sz w:val="24"/>
                <w:szCs w:val="24"/>
                <w:color w:val="auto"/>
                <w:vertAlign w:val="superscript"/>
              </w:rPr>
              <w:t>(5)</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1,280,485</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r>
      <w:tr>
        <w:trPr>
          <w:trHeight w:val="23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Sanjay Singh</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r>
      <w:tr>
        <w:trPr>
          <w:trHeight w:val="247"/>
        </w:trPr>
        <w:tc>
          <w:tcPr>
            <w:tcW w:w="7080" w:type="dxa"/>
            <w:vAlign w:val="bottom"/>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David Thomson</w:t>
            </w:r>
            <w:r>
              <w:rPr>
                <w:rFonts w:ascii="Times New Roman" w:cs="Times New Roman" w:eastAsia="Times New Roman" w:hAnsi="Times New Roman"/>
                <w:sz w:val="24"/>
                <w:szCs w:val="24"/>
                <w:color w:val="auto"/>
                <w:vertAlign w:val="superscript"/>
              </w:rPr>
              <w:t>(6)</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1,508,799</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r>
      <w:tr>
        <w:trPr>
          <w:trHeight w:val="243"/>
        </w:trPr>
        <w:tc>
          <w:tcPr>
            <w:tcW w:w="70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Stuart A. Tross</w:t>
            </w:r>
            <w:r>
              <w:rPr>
                <w:rFonts w:ascii="Times New Roman" w:cs="Times New Roman" w:eastAsia="Times New Roman" w:hAnsi="Times New Roman"/>
                <w:sz w:val="24"/>
                <w:szCs w:val="24"/>
                <w:color w:val="auto"/>
                <w:vertAlign w:val="superscript"/>
              </w:rPr>
              <w:t>(7)</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1,467,902</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r>
      <w:tr>
        <w:trPr>
          <w:trHeight w:val="243"/>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Ronald Consiglio</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142,569</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r>
      <w:tr>
        <w:trPr>
          <w:trHeight w:val="23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Friedman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77,606</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r>
      <w:tr>
        <w:trPr>
          <w:trHeight w:val="247"/>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Jennifer Grancio</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110,701</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r>
      <w:tr>
        <w:trPr>
          <w:trHeight w:val="23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Anthony Hooper</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136,153</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r>
      <w:tr>
        <w:trPr>
          <w:trHeight w:val="247"/>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Sabrina Kay</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r>
      <w:tr>
        <w:trPr>
          <w:trHeight w:val="23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Kent Kresa</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311,873</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r>
      <w:tr>
        <w:trPr>
          <w:trHeight w:val="247"/>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Christine Mundkur</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27,675</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r>
      <w:tr>
        <w:trPr>
          <w:trHeight w:val="239"/>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S. Shannon</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68,963</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r>
      <w:tr>
        <w:trPr>
          <w:trHeight w:val="247"/>
        </w:trPr>
        <w:tc>
          <w:tcPr>
            <w:tcW w:w="7080" w:type="dxa"/>
            <w:vAlign w:val="bottom"/>
            <w:shd w:val="clear" w:color="auto" w:fill="CFF0FC"/>
          </w:tcPr>
          <w:p>
            <w:pPr>
              <w:ind w:left="20"/>
              <w:spacing w:after="0" w:line="248" w:lineRule="exact"/>
              <w:rPr>
                <w:sz w:val="20"/>
                <w:szCs w:val="20"/>
                <w:color w:val="auto"/>
              </w:rPr>
            </w:pPr>
            <w:r>
              <w:rPr>
                <w:rFonts w:ascii="Times New Roman" w:cs="Times New Roman" w:eastAsia="Times New Roman" w:hAnsi="Times New Roman"/>
                <w:sz w:val="18"/>
                <w:szCs w:val="18"/>
                <w:color w:val="auto"/>
              </w:rPr>
              <w:t>Joseph Kocinsky</w:t>
            </w:r>
            <w:r>
              <w:rPr>
                <w:rFonts w:ascii="Times New Roman" w:cs="Times New Roman" w:eastAsia="Times New Roman" w:hAnsi="Times New Roman"/>
                <w:sz w:val="24"/>
                <w:szCs w:val="24"/>
                <w:color w:val="auto"/>
                <w:vertAlign w:val="superscript"/>
              </w:rPr>
              <w:t>(8)</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1,477,306</w:t>
            </w:r>
          </w:p>
        </w:tc>
        <w:tc>
          <w:tcPr>
            <w:tcW w:w="18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r>
      <w:tr>
        <w:trPr>
          <w:trHeight w:val="243"/>
        </w:trPr>
        <w:tc>
          <w:tcPr>
            <w:tcW w:w="7080" w:type="dxa"/>
            <w:vAlign w:val="bottom"/>
          </w:tcPr>
          <w:p>
            <w:pPr>
              <w:ind w:left="20"/>
              <w:spacing w:after="0" w:line="243" w:lineRule="exact"/>
              <w:rPr>
                <w:sz w:val="20"/>
                <w:szCs w:val="20"/>
                <w:color w:val="auto"/>
              </w:rPr>
            </w:pPr>
            <w:r>
              <w:rPr>
                <w:rFonts w:ascii="Times New Roman" w:cs="Times New Roman" w:eastAsia="Times New Roman" w:hAnsi="Times New Roman"/>
                <w:sz w:val="18"/>
                <w:szCs w:val="18"/>
                <w:color w:val="auto"/>
              </w:rPr>
              <w:t>Alejandro Galindo</w:t>
            </w:r>
            <w:r>
              <w:rPr>
                <w:rFonts w:ascii="Times New Roman" w:cs="Times New Roman" w:eastAsia="Times New Roman" w:hAnsi="Times New Roman"/>
                <w:sz w:val="24"/>
                <w:szCs w:val="24"/>
                <w:color w:val="auto"/>
                <w:vertAlign w:val="superscript"/>
              </w:rPr>
              <w:t>(9)</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167,325</w:t>
            </w: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r>
      <w:tr>
        <w:trPr>
          <w:trHeight w:val="243"/>
        </w:trPr>
        <w:tc>
          <w:tcPr>
            <w:tcW w:w="7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All current executive officers and directors as a group (14 persons)</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10,455,829</w:t>
            </w:r>
          </w:p>
        </w:tc>
        <w:tc>
          <w:tcPr>
            <w:tcW w:w="2140" w:type="dxa"/>
            <w:vAlign w:val="bottom"/>
            <w:gridSpan w:val="3"/>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4.0 %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145415</wp:posOffset>
            </wp:positionV>
            <wp:extent cx="116586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241" w:lineRule="exact"/>
        <w:rPr>
          <w:sz w:val="20"/>
          <w:szCs w:val="20"/>
          <w:color w:val="auto"/>
        </w:rPr>
      </w:pPr>
    </w:p>
    <w:p>
      <w:pPr>
        <w:ind w:left="460" w:hanging="439"/>
        <w:spacing w:after="0"/>
        <w:tabs>
          <w:tab w:leader="none" w:pos="46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123" w:lineRule="exact"/>
        <w:rPr>
          <w:sz w:val="20"/>
          <w:szCs w:val="20"/>
          <w:color w:val="auto"/>
        </w:rPr>
      </w:pPr>
    </w:p>
    <w:p>
      <w:pPr>
        <w:jc w:val="both"/>
        <w:ind w:left="480" w:right="140" w:hanging="459"/>
        <w:spacing w:after="0" w:line="224" w:lineRule="auto"/>
        <w:tabs>
          <w:tab w:leader="none" w:pos="480" w:val="left"/>
        </w:tabs>
        <w:numPr>
          <w:ilvl w:val="0"/>
          <w:numId w:val="49"/>
        </w:numPr>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4"/>
          <w:szCs w:val="14"/>
          <w:color w:val="auto"/>
        </w:rPr>
        <w:t>Based solely on information contained in Schedule 13G/A as filed with the SEC on February 3, 2023 by BlackRock, Inc. (“BlackRock”). According to the Schedule 13G/A, BlackRock has sole voting power with respect to 20,304,633 shares and sole dispositive power with respect to 21,008,795 shares. The address of BlackRock is 55 East 52nd Street, New York, NY 10055.</w:t>
      </w:r>
    </w:p>
    <w:p>
      <w:pPr>
        <w:ind w:left="480" w:right="420"/>
        <w:spacing w:after="0" w:line="239" w:lineRule="auto"/>
        <w:rPr>
          <w:rFonts w:ascii="Times New Roman" w:cs="Times New Roman" w:eastAsia="Times New Roman" w:hAnsi="Times New Roman"/>
          <w:sz w:val="29"/>
          <w:szCs w:val="29"/>
          <w:color w:val="auto"/>
          <w:vertAlign w:val="subscript"/>
        </w:rPr>
      </w:pPr>
      <w:r>
        <w:rPr>
          <w:rFonts w:ascii="Times New Roman" w:cs="Times New Roman" w:eastAsia="Times New Roman" w:hAnsi="Times New Roman"/>
          <w:sz w:val="14"/>
          <w:szCs w:val="14"/>
          <w:color w:val="auto"/>
        </w:rPr>
        <w:t>The Schedule 13G/A filed by BlackRock provides information only as of December 31, 2022. Because the information in the table above does not reflect any transactions between December 31, 2022 and March 23, 2023, BlackRock’s actual beneficial ownership of our common stock on March 23, 2023 may be different than reported in the table above.</w:t>
      </w:r>
    </w:p>
    <w:p>
      <w:pPr>
        <w:ind w:left="480" w:hanging="459"/>
        <w:spacing w:after="0" w:line="223" w:lineRule="auto"/>
        <w:tabs>
          <w:tab w:leader="none" w:pos="4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contained in Schedule 13G/A as filed with the SEC on February 8, 2023 by State Street Corporation (“State Street”). According to the Schedule 13G/A, State Street has shared voting power with respect to 16,868,061 shares and shared dispositive power with respect to 17,258,797 shares. The address of State Street is One Lincoln Street, Boston, MA 02111.</w:t>
      </w:r>
    </w:p>
    <w:p>
      <w:pPr>
        <w:ind w:left="480" w:right="400"/>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Schedule 13G/A filed by State Street provides information only as of December 31, 2022. Because the information in the table above does not reflect any transactions between December 31, 2022 and March 23, 2023, State Street’s actual beneficial ownership of our common stock on March 23, 2023 may be different than reported in the table above.</w:t>
      </w:r>
    </w:p>
    <w:p>
      <w:pPr>
        <w:ind w:left="480" w:right="20" w:hanging="459"/>
        <w:spacing w:after="0" w:line="223" w:lineRule="auto"/>
        <w:tabs>
          <w:tab w:leader="none" w:pos="4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solely on information contained in Schedule 13G/A as filed with the SEC on February 9, 2023 by Vanguard Group. (“Vanguard”). According to the Schedule 13G/A, Vanguard has shared voting power with respect to 195,007 shares, sole dispositive power with respect to 13,258,219 shares and shared dispositive power with respect to 406,009 shares. The address is Vanguard is 100 Vanguard Blvd., Malver, PA 19355.</w:t>
      </w:r>
    </w:p>
    <w:p>
      <w:pPr>
        <w:ind w:left="480" w:right="500"/>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Schedule 13G/A filed by Vanguard provides information only as of December 30, 2022. Because the information in the table above does not reflect any transactions between December 30, 2022 and March 23, 2023, Vanguard’s actual beneficial ownership of our common stock on March 23, 2023 may be different than reported in the table above.</w:t>
      </w:r>
    </w:p>
    <w:p>
      <w:pPr>
        <w:ind w:left="480" w:right="360" w:hanging="459"/>
        <w:spacing w:after="0" w:line="243" w:lineRule="auto"/>
        <w:tabs>
          <w:tab w:leader="none" w:pos="48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24,333 shares which Mr. Castagna has the right to acquire within 60 days of March 23, 2023 pursuant to the exercise of outstanding options, 111,023 shares pursuant to the vesting of time-based restricted stock units and 1,500,000 shares pursuant to the vesting of performance restricted stock units, which is the</w:t>
      </w:r>
    </w:p>
    <w:p>
      <w:pPr>
        <w:spacing w:after="0" w:line="1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55" w:right="359" w:bottom="1440" w:gutter="0" w:footer="0" w:header="0"/>
        </w:sectPr>
      </w:pPr>
    </w:p>
    <w:bookmarkStart w:id="81" w:name="page82"/>
    <w:bookmarkEnd w:id="81"/>
    <w:p>
      <w:pPr>
        <w:jc w:val="both"/>
        <w:ind w:left="459" w:right="220"/>
        <w:spacing w:after="0" w:line="241" w:lineRule="auto"/>
        <w:rPr>
          <w:sz w:val="20"/>
          <w:szCs w:val="20"/>
          <w:color w:val="auto"/>
        </w:rPr>
      </w:pPr>
      <w:r>
        <w:rPr>
          <w:rFonts w:ascii="Times New Roman" w:cs="Times New Roman" w:eastAsia="Times New Roman" w:hAnsi="Times New Roman"/>
          <w:sz w:val="14"/>
          <w:szCs w:val="14"/>
          <w:color w:val="auto"/>
        </w:rPr>
        <w:t>maximum (300%) share delivery that can potentially occur if the closing price of the Company’s common stock on May 22, 2023 is not less than the closing price on August 27, 2020 and the percentile ranking of the Company’s TSR over the period from August 27, 2020 until May 22, 2023 is in the 90th percentile or higher relative to the TSR of the Russell 3000 Pharmaceutical &amp; Biotechnology Index over the same period.</w:t>
      </w:r>
    </w:p>
    <w:p>
      <w:pPr>
        <w:ind w:left="459" w:hanging="459"/>
        <w:spacing w:after="0" w:line="231" w:lineRule="auto"/>
        <w:tabs>
          <w:tab w:leader="none" w:pos="459"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9,750 shares which Mr. Binder has the right to acquire within 60 days of March 23, 2023 pursuant to the exercise of outstanding options, 39,768 shares pursuant to the vesting of time-based restricted stock units and 600,000 shares pursuant to the vesting of performance restricted stock units, which is the maximum (300%) share delivery that can potentially occur if the closing price of the Company’s common stock on May 22, 2023 is not less than the closing price on August 27, 2020 and the percentile ranking of the Company’s TSR over the period from August 27, 2020 until May 22, 2023 is in the 90th percentile or higher relative to the TSR of the Russell 3000 Pharmaceutical &amp; Biotechnology Index over the same period.</w:t>
      </w:r>
    </w:p>
    <w:p>
      <w:pPr>
        <w:spacing w:after="0" w:line="1" w:lineRule="exact"/>
        <w:rPr>
          <w:rFonts w:ascii="Times New Roman" w:cs="Times New Roman" w:eastAsia="Times New Roman" w:hAnsi="Times New Roman"/>
          <w:sz w:val="14"/>
          <w:szCs w:val="14"/>
          <w:color w:val="auto"/>
        </w:rPr>
      </w:pPr>
    </w:p>
    <w:p>
      <w:pPr>
        <w:ind w:left="459" w:hanging="459"/>
        <w:spacing w:after="0" w:line="231" w:lineRule="auto"/>
        <w:tabs>
          <w:tab w:leader="none" w:pos="459"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9,750 shares which Mr. Thomson has the right to acquire within 60 days of March 23, 2023 pursuant to the exercise of outstanding options, 39,853 shares pursuant to the vesting of restricted stock units and 600,000 shares pursuant to the vesting of performance restricted stock units, which is the maximum (300%) share delivery that can potentially occur if the closing price of the Company’s common stock on May 22, 2023 is not less than the closing price on August 27, 2020 and the percentile ranking of the Company’s TSR over the period from August 27, 2020 until May 22, 2023 is in the 90th percentile or higher relative to the TSR of the Russell 3000 Pharmaceutical &amp; Biotechnology Index over the same period..</w:t>
      </w:r>
    </w:p>
    <w:p>
      <w:pPr>
        <w:spacing w:after="0" w:line="1" w:lineRule="exact"/>
        <w:rPr>
          <w:rFonts w:ascii="Times New Roman" w:cs="Times New Roman" w:eastAsia="Times New Roman" w:hAnsi="Times New Roman"/>
          <w:sz w:val="14"/>
          <w:szCs w:val="14"/>
          <w:color w:val="auto"/>
        </w:rPr>
      </w:pPr>
    </w:p>
    <w:p>
      <w:pPr>
        <w:ind w:left="459" w:right="80" w:hanging="459"/>
        <w:spacing w:after="0" w:line="231" w:lineRule="auto"/>
        <w:tabs>
          <w:tab w:leader="none" w:pos="459"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9,750 shares which Mr. Tross has the right to acquire within 60 days of March 23, 2023 pursuant to the exercise of outstanding options, 39,680 shares pursuant to the vesting of restricted stock units and 600,000 shares pursuant to the vesting of performance restricted stock units, which is the maximum (300%) share delivery that can potentially occur if the closing price of the Company’s common stock on May 22, 2023 is not less than the closing price on August 27, 2020 and the percentile ranking of the Company’s TSR over the period from August 27, 2020 until May 22, 2023 is in the 90th percentile or higher relative to the TSR of the Russell 3000 Pharmaceutical &amp; Biotechnology Index over the same period.</w:t>
      </w:r>
    </w:p>
    <w:p>
      <w:pPr>
        <w:spacing w:after="0" w:line="1" w:lineRule="exact"/>
        <w:rPr>
          <w:rFonts w:ascii="Times New Roman" w:cs="Times New Roman" w:eastAsia="Times New Roman" w:hAnsi="Times New Roman"/>
          <w:sz w:val="14"/>
          <w:szCs w:val="14"/>
          <w:color w:val="auto"/>
        </w:rPr>
      </w:pPr>
    </w:p>
    <w:p>
      <w:pPr>
        <w:ind w:left="459" w:hanging="459"/>
        <w:spacing w:after="0" w:line="229" w:lineRule="auto"/>
        <w:tabs>
          <w:tab w:leader="none" w:pos="459"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9,750 shares which Mr. Kocinsky has the right to acquire within 60 days of March 23, 2023 pursuant to the exercise of outstanding options, 39,724 shares pursuant to the vesting of restricted stock units and 600,000 shares pursuant to the vesting of performance restricted stock units, which is the maximum (300%) share delivery that can potentially occur if the closing price of the Company’s common stock on May 22, 2023 is not less than the closing price on August 27, 2020 and the percentile ranking of the Company’s TSR over the period from August 27, 2020 until May 22, 2023 is in the 90th percentile or higher relative to the TSR of the Russell 3000 Pharmaceutical &amp; Biotechnology Index over the same period. Mr. Kocinsky resigned from his position as Chief Technology Officer effective October 31, 2022. Mr. Kocinsky remains employed at MannKind with reduced responsibilities.</w:t>
      </w:r>
    </w:p>
    <w:p>
      <w:pPr>
        <w:spacing w:after="0" w:line="1" w:lineRule="exact"/>
        <w:rPr>
          <w:rFonts w:ascii="Times New Roman" w:cs="Times New Roman" w:eastAsia="Times New Roman" w:hAnsi="Times New Roman"/>
          <w:sz w:val="14"/>
          <w:szCs w:val="14"/>
          <w:color w:val="auto"/>
        </w:rPr>
      </w:pPr>
    </w:p>
    <w:p>
      <w:pPr>
        <w:ind w:left="459" w:hanging="459"/>
        <w:spacing w:after="0"/>
        <w:tabs>
          <w:tab w:leader="none" w:pos="459"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Galindo resigned from his position as Executive Vice President – Endocrine Business Unit effective October 21, 2022.</w:t>
      </w:r>
    </w:p>
    <w:p>
      <w:pPr>
        <w:spacing w:after="0" w:line="168" w:lineRule="exact"/>
        <w:rPr>
          <w:sz w:val="20"/>
          <w:szCs w:val="20"/>
          <w:color w:val="auto"/>
        </w:rPr>
      </w:pPr>
    </w:p>
    <w:p>
      <w:pPr>
        <w:jc w:val="center"/>
        <w:ind w:right="-18"/>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73025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9"/>
          </w:cols>
          <w:pgMar w:left="341" w:top="346" w:right="379" w:bottom="1440" w:gutter="0" w:footer="0" w:header="0"/>
        </w:sectPr>
      </w:pPr>
    </w:p>
    <w:bookmarkStart w:id="82" w:name="page83"/>
    <w:bookmarkEnd w:id="8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229" w:lineRule="exact"/>
        <w:rPr>
          <w:sz w:val="20"/>
          <w:szCs w:val="20"/>
          <w:color w:val="auto"/>
        </w:rPr>
      </w:pPr>
    </w:p>
    <w:p>
      <w:pPr>
        <w:ind w:firstLine="416"/>
        <w:spacing w:after="0" w:line="261" w:lineRule="auto"/>
        <w:rPr>
          <w:sz w:val="20"/>
          <w:szCs w:val="20"/>
          <w:color w:val="auto"/>
        </w:rPr>
      </w:pPr>
      <w:r>
        <w:rPr>
          <w:rFonts w:ascii="Times New Roman" w:cs="Times New Roman" w:eastAsia="Times New Roman" w:hAnsi="Times New Roman"/>
          <w:sz w:val="18"/>
          <w:szCs w:val="18"/>
          <w:color w:val="auto"/>
        </w:rPr>
        <w:t>The SEC has adopted rules that permit companies and intermediaries (e.g., brokers) to satisfy the delivery requirements for Notices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180" w:lineRule="exact"/>
        <w:rPr>
          <w:sz w:val="20"/>
          <w:szCs w:val="20"/>
          <w:color w:val="auto"/>
        </w:rPr>
      </w:pPr>
    </w:p>
    <w:p>
      <w:pPr>
        <w:ind w:right="40" w:firstLine="416"/>
        <w:spacing w:after="0" w:line="253" w:lineRule="auto"/>
        <w:rPr>
          <w:sz w:val="20"/>
          <w:szCs w:val="20"/>
          <w:color w:val="auto"/>
        </w:rPr>
      </w:pPr>
      <w:r>
        <w:rPr>
          <w:rFonts w:ascii="Times New Roman" w:cs="Times New Roman" w:eastAsia="Times New Roman" w:hAnsi="Times New Roman"/>
          <w:sz w:val="18"/>
          <w:szCs w:val="18"/>
          <w:color w:val="auto"/>
        </w:rPr>
        <w:t>This year, a number of brokers with account holders who are MannKind stockholders will be “householding” our proxy materials. A single Notice of Internet Availability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Notice of Internet Availability of Proxy Materials, please notify your broker, direct your written request to MannKind Corporation, Investor Relations, 1 Casper Street, Danbury, Connecticut 06810 or contact David Thomson at (818) 661-5000. In addition, we will promptly deliver, upon written or oral request to the address or telephone number above, a separate copy of the Notice of Internet Availability of Proxy Materials to a stockholder at a shared address to which a single copy of the documents was delivered. Stockholders who currently receive multiple copies of the Notices of Internet Availability of Proxy Materials at their address and would like to request “householding” of their communications should contact their broker.</w:t>
      </w:r>
    </w:p>
    <w:p>
      <w:pPr>
        <w:spacing w:after="0" w:line="3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229" w:lineRule="exact"/>
        <w:rPr>
          <w:sz w:val="20"/>
          <w:szCs w:val="20"/>
          <w:color w:val="auto"/>
        </w:rPr>
      </w:pPr>
    </w:p>
    <w:p>
      <w:pPr>
        <w:ind w:right="80" w:firstLine="416"/>
        <w:spacing w:after="0" w:line="266" w:lineRule="auto"/>
        <w:rPr>
          <w:sz w:val="20"/>
          <w:szCs w:val="20"/>
          <w:color w:val="auto"/>
        </w:rPr>
      </w:pPr>
      <w:r>
        <w:rPr>
          <w:rFonts w:ascii="Times New Roman" w:cs="Times New Roman" w:eastAsia="Times New Roman" w:hAnsi="Times New Roman"/>
          <w:sz w:val="18"/>
          <w:szCs w:val="18"/>
          <w:color w:val="auto"/>
        </w:rPr>
        <w:t>A COPY OF OUR ANNUAL REPORT ON FORM 10-K FOR THE FISCAL YEAR ENDED DECEMBER 31, 2022, FILED WITH THE SEC ON FEBRUARY 23, 2023, IS AVAILABLE WITHOUT CHARGE UPON WRITTEN REQUEST TO: MANNKIND CORPORATION, INVESTOR RELATIONS, 1 CASPER STREET, DANBURY, CONNECTICUT 06810.</w:t>
      </w:r>
    </w:p>
    <w:p>
      <w:pPr>
        <w:spacing w:after="0" w:line="3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9" w:lineRule="exact"/>
        <w:rPr>
          <w:sz w:val="20"/>
          <w:szCs w:val="20"/>
          <w:color w:val="auto"/>
        </w:rPr>
      </w:pPr>
    </w:p>
    <w:p>
      <w:pPr>
        <w:jc w:val="both"/>
        <w:ind w:right="240" w:firstLine="416"/>
        <w:spacing w:after="0" w:line="266" w:lineRule="auto"/>
        <w:rPr>
          <w:sz w:val="20"/>
          <w:szCs w:val="20"/>
          <w:color w:val="auto"/>
        </w:rPr>
      </w:pPr>
      <w:r>
        <w:rPr>
          <w:rFonts w:ascii="Times New Roman" w:cs="Times New Roman" w:eastAsia="Times New Roman" w:hAnsi="Times New Roman"/>
          <w:sz w:val="18"/>
          <w:szCs w:val="18"/>
          <w:color w:val="auto"/>
        </w:rPr>
        <w:t>The Board of Directors knows of no other matters that will be presented for consideration at the Annual Meeting. If any other matters are properly brought before the Annual Meeting, it is the intention of the persons named in the accompanying proxy to vote on such matters in accordance with their best judgment.</w:t>
      </w:r>
    </w:p>
    <w:p>
      <w:pPr>
        <w:spacing w:after="0" w:line="200" w:lineRule="exact"/>
        <w:rPr>
          <w:sz w:val="20"/>
          <w:szCs w:val="20"/>
          <w:color w:val="auto"/>
        </w:rPr>
      </w:pPr>
    </w:p>
    <w:p>
      <w:pPr>
        <w:spacing w:after="0" w:line="20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188595</wp:posOffset>
            </wp:positionV>
            <wp:extent cx="1928495" cy="50546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928495" cy="505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David B. Thomson</w:t>
      </w:r>
    </w:p>
    <w:p>
      <w:pPr>
        <w:spacing w:after="0" w:line="3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Executive Vice President, General Counsel and Secretary</w:t>
      </w: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Danbury, Connecticut</w:t>
      </w:r>
    </w:p>
    <w:p>
      <w:pPr>
        <w:spacing w:after="0" w:line="3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10,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455" w:right="379" w:bottom="1440" w:gutter="0" w:footer="0" w:header="0"/>
        </w:sectPr>
      </w:pPr>
    </w:p>
    <w:bookmarkStart w:id="83" w:name="page84"/>
    <w:bookmarkEnd w:id="8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CERTIFICATE OF AMENDMENT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AMENDED AND RESTATED CERTIFICATE OF INCORPORATION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MANNKIND CORPORATION</w:t>
      </w:r>
    </w:p>
    <w:p>
      <w:pPr>
        <w:spacing w:after="0" w:line="378" w:lineRule="exact"/>
        <w:rPr>
          <w:sz w:val="20"/>
          <w:szCs w:val="20"/>
          <w:color w:val="auto"/>
        </w:rPr>
      </w:pPr>
    </w:p>
    <w:p>
      <w:pPr>
        <w:ind w:right="60" w:firstLine="419"/>
        <w:spacing w:after="0" w:line="286" w:lineRule="auto"/>
        <w:rPr>
          <w:sz w:val="20"/>
          <w:szCs w:val="20"/>
          <w:color w:val="auto"/>
        </w:rPr>
      </w:pPr>
      <w:r>
        <w:rPr>
          <w:rFonts w:ascii="Times New Roman" w:cs="Times New Roman" w:eastAsia="Times New Roman" w:hAnsi="Times New Roman"/>
          <w:sz w:val="18"/>
          <w:szCs w:val="18"/>
          <w:b w:val="1"/>
          <w:bCs w:val="1"/>
          <w:color w:val="auto"/>
        </w:rPr>
        <w:t>MANNKIND CORPORATION</w:t>
      </w:r>
      <w:r>
        <w:rPr>
          <w:rFonts w:ascii="Times New Roman" w:cs="Times New Roman" w:eastAsia="Times New Roman" w:hAnsi="Times New Roman"/>
          <w:sz w:val="18"/>
          <w:szCs w:val="18"/>
          <w:color w:val="auto"/>
        </w:rPr>
        <w:t>, a corporation organized and existing under and by virtue of the General Corporation Law of the State of Delaware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Corporation</w:t>
      </w:r>
      <w:r>
        <w:rPr>
          <w:rFonts w:ascii="Times New Roman" w:cs="Times New Roman" w:eastAsia="Times New Roman" w:hAnsi="Times New Roman"/>
          <w:sz w:val="18"/>
          <w:szCs w:val="18"/>
          <w:color w:val="auto"/>
        </w:rPr>
        <w:t>”), does hereby certify:</w:t>
      </w:r>
    </w:p>
    <w:p>
      <w:pPr>
        <w:spacing w:after="0" w:line="155" w:lineRule="exact"/>
        <w:rPr>
          <w:sz w:val="20"/>
          <w:szCs w:val="20"/>
          <w:color w:val="auto"/>
        </w:rPr>
      </w:pPr>
    </w:p>
    <w:p>
      <w:pPr>
        <w:ind w:right="660" w:firstLine="41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FIRST: </w:t>
      </w:r>
      <w:r>
        <w:rPr>
          <w:rFonts w:ascii="Times New Roman" w:cs="Times New Roman" w:eastAsia="Times New Roman" w:hAnsi="Times New Roman"/>
          <w:sz w:val="18"/>
          <w:szCs w:val="18"/>
          <w:color w:val="auto"/>
        </w:rPr>
        <w:t>The original name of the Corporation was Pharmaceutical Discovery Corporation and the date of filing of the Corporation’s original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Certificate of Incorporation with the Secretary of State of the State of Delaware was February 14, 1991.</w:t>
      </w:r>
    </w:p>
    <w:p>
      <w:pPr>
        <w:spacing w:after="0" w:line="155" w:lineRule="exact"/>
        <w:rPr>
          <w:sz w:val="20"/>
          <w:szCs w:val="20"/>
          <w:color w:val="auto"/>
        </w:rPr>
      </w:pPr>
    </w:p>
    <w:p>
      <w:pPr>
        <w:ind w:firstLine="41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SECOND: </w:t>
      </w:r>
      <w:r>
        <w:rPr>
          <w:rFonts w:ascii="Times New Roman" w:cs="Times New Roman" w:eastAsia="Times New Roman" w:hAnsi="Times New Roman"/>
          <w:sz w:val="18"/>
          <w:szCs w:val="18"/>
          <w:color w:val="auto"/>
        </w:rPr>
        <w:t>The Board of Directors of the Corporation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acting in accordance with the provisions of Sections 141 and 242 of the General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Law of the State of Delaware (the “</w:t>
      </w:r>
      <w:r>
        <w:rPr>
          <w:rFonts w:ascii="Times New Roman" w:cs="Times New Roman" w:eastAsia="Times New Roman" w:hAnsi="Times New Roman"/>
          <w:sz w:val="18"/>
          <w:szCs w:val="18"/>
          <w:b w:val="1"/>
          <w:bCs w:val="1"/>
          <w:i w:val="1"/>
          <w:iCs w:val="1"/>
          <w:color w:val="auto"/>
        </w:rPr>
        <w:t>DGCL</w:t>
      </w:r>
      <w:r>
        <w:rPr>
          <w:rFonts w:ascii="Times New Roman" w:cs="Times New Roman" w:eastAsia="Times New Roman" w:hAnsi="Times New Roman"/>
          <w:sz w:val="18"/>
          <w:szCs w:val="18"/>
          <w:color w:val="auto"/>
        </w:rPr>
        <w:t>”), adopted resolutions amending its Amended and Restated Certificate of Incorporation, as amended (the “</w:t>
      </w:r>
      <w:r>
        <w:rPr>
          <w:rFonts w:ascii="Times New Roman" w:cs="Times New Roman" w:eastAsia="Times New Roman" w:hAnsi="Times New Roman"/>
          <w:sz w:val="18"/>
          <w:szCs w:val="18"/>
          <w:b w:val="1"/>
          <w:bCs w:val="1"/>
          <w:i w:val="1"/>
          <w:iCs w:val="1"/>
          <w:color w:val="auto"/>
        </w:rPr>
        <w:t>Restated Certificate</w:t>
      </w:r>
      <w:r>
        <w:rPr>
          <w:rFonts w:ascii="Times New Roman" w:cs="Times New Roman" w:eastAsia="Times New Roman" w:hAnsi="Times New Roman"/>
          <w:sz w:val="18"/>
          <w:szCs w:val="18"/>
          <w:color w:val="auto"/>
        </w:rPr>
        <w:t>”), as follows: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first paragraph of Paragraph A of Article IV of the Restated Certificate is hereby amended and restated to read in its entirety as follows:</w:t>
      </w:r>
    </w:p>
    <w:p>
      <w:pPr>
        <w:spacing w:after="0" w:line="221"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8"/>
          <w:szCs w:val="18"/>
          <w:color w:val="auto"/>
        </w:rPr>
        <w:t xml:space="preserve"> This Corporation is authorized to issue two classes of stock to be designated, respectively, “</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The total number of shares which the Corporation is authorized to issue is eight hundred ten million (810,000,000) shares. Eight hundred million (800,000,000) shares shall be Common Stock, each having a par value of one cent ($.01). Ten million (10,000,000) shares shall be Preferred Stock, each having a par value of one cent ($.01).”</w:t>
      </w:r>
    </w:p>
    <w:p>
      <w:pPr>
        <w:spacing w:after="0" w:line="176" w:lineRule="exact"/>
        <w:rPr>
          <w:sz w:val="20"/>
          <w:szCs w:val="20"/>
          <w:color w:val="auto"/>
        </w:rPr>
      </w:pPr>
    </w:p>
    <w:p>
      <w:pPr>
        <w:ind w:firstLine="41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THIRD: </w:t>
      </w:r>
      <w:r>
        <w:rPr>
          <w:rFonts w:ascii="Times New Roman" w:cs="Times New Roman" w:eastAsia="Times New Roman" w:hAnsi="Times New Roman"/>
          <w:sz w:val="18"/>
          <w:szCs w:val="18"/>
          <w:color w:val="auto"/>
        </w:rPr>
        <w:t>This Certificate of Amendment has been duly adopted and approved by the stockholders of the Corporation in accordance with Sections 211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242 of the DGCL.</w:t>
      </w:r>
    </w:p>
    <w:p>
      <w:pPr>
        <w:spacing w:after="0" w:line="15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 xml:space="preserve">FOURTH: </w:t>
      </w:r>
      <w:r>
        <w:rPr>
          <w:rFonts w:ascii="Times New Roman" w:cs="Times New Roman" w:eastAsia="Times New Roman" w:hAnsi="Times New Roman"/>
          <w:sz w:val="18"/>
          <w:szCs w:val="18"/>
          <w:color w:val="auto"/>
        </w:rPr>
        <w:t>This Certificate of Amendment shall become effective upon filing with the Secretary of State of the State of Delaware.</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MannKind Corporation has caused this Certificate of Amendment to be signed by its Corporate Vice President, General</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r>
              <w:rPr>
                <w:rFonts w:ascii="Times New Roman" w:cs="Times New Roman" w:eastAsia="Times New Roman" w:hAnsi="Times New Roman"/>
                <w:sz w:val="18"/>
                <w:szCs w:val="18"/>
                <w:color w:val="auto"/>
              </w:rPr>
              <w:t>Counsel and Secretary 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2023.</w:t>
            </w:r>
          </w:p>
        </w:tc>
      </w:tr>
    </w:tbl>
    <w:p>
      <w:pPr>
        <w:spacing w:after="0" w:line="17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b w:val="1"/>
          <w:bCs w:val="1"/>
          <w:color w:val="auto"/>
        </w:rPr>
        <w:t>MANNKIND CORPORATION</w:t>
      </w:r>
    </w:p>
    <w:p>
      <w:pPr>
        <w:spacing w:after="0" w:line="22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274695" cy="8255"/>
                    </a:xfrm>
                    <a:prstGeom prst="rect">
                      <a:avLst/>
                    </a:prstGeom>
                    <a:noFill/>
                  </pic:spPr>
                </pic:pic>
              </a:graphicData>
            </a:graphic>
          </wp:anchor>
        </w:drawing>
      </w:r>
    </w:p>
    <w:p>
      <w:pPr>
        <w:spacing w:after="0" w:line="7"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color w:val="auto"/>
        </w:rPr>
        <w:t>David Thomson, Ph.D., J.D.</w:t>
      </w:r>
    </w:p>
    <w:p>
      <w:pPr>
        <w:spacing w:after="0" w:line="23"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i w:val="1"/>
          <w:iCs w:val="1"/>
          <w:color w:val="auto"/>
        </w:rPr>
        <w:t>Executive Vice President,</w:t>
      </w:r>
    </w:p>
    <w:p>
      <w:pPr>
        <w:spacing w:after="0" w:line="9" w:lineRule="exact"/>
        <w:rPr>
          <w:sz w:val="20"/>
          <w:szCs w:val="20"/>
          <w:color w:val="auto"/>
        </w:rPr>
      </w:pPr>
    </w:p>
    <w:p>
      <w:pPr>
        <w:ind w:left="6140"/>
        <w:spacing w:after="0"/>
        <w:rPr>
          <w:sz w:val="20"/>
          <w:szCs w:val="20"/>
          <w:color w:val="auto"/>
        </w:rPr>
      </w:pPr>
      <w:r>
        <w:rPr>
          <w:rFonts w:ascii="Times New Roman" w:cs="Times New Roman" w:eastAsia="Times New Roman" w:hAnsi="Times New Roman"/>
          <w:sz w:val="18"/>
          <w:szCs w:val="18"/>
          <w:i w:val="1"/>
          <w:iCs w:val="1"/>
          <w:color w:val="auto"/>
        </w:rPr>
        <w:t>General Counsel and Secretary</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84" w:name="page85"/>
    <w:bookmarkEnd w:id="84"/>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22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ann</w:t>
      </w: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2"/>
          <w:szCs w:val="12"/>
          <w:b w:val="1"/>
          <w:bCs w:val="1"/>
          <w:color w:val="auto"/>
        </w:rPr>
        <w:t>ind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orporation</w:t>
      </w:r>
    </w:p>
    <w:p>
      <w:pPr>
        <w:spacing w:after="0" w:line="22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2018 E</w:t>
      </w:r>
      <w:r>
        <w:rPr>
          <w:rFonts w:ascii="Times New Roman" w:cs="Times New Roman" w:eastAsia="Times New Roman" w:hAnsi="Times New Roman"/>
          <w:sz w:val="12"/>
          <w:szCs w:val="12"/>
          <w:b w:val="1"/>
          <w:bCs w:val="1"/>
          <w:color w:val="auto"/>
        </w:rPr>
        <w:t>quity</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ncentive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p>
    <w:p>
      <w:pPr>
        <w:spacing w:after="0" w:line="225"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dopted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F</w:t>
      </w:r>
      <w:r>
        <w:rPr>
          <w:rFonts w:ascii="Times New Roman" w:cs="Times New Roman" w:eastAsia="Times New Roman" w:hAnsi="Times New Roman"/>
          <w:sz w:val="12"/>
          <w:szCs w:val="12"/>
          <w:b w:val="1"/>
          <w:bCs w:val="1"/>
          <w:color w:val="auto"/>
        </w:rPr>
        <w:t>ebruary</w:t>
      </w:r>
      <w:r>
        <w:rPr>
          <w:rFonts w:ascii="Times New Roman" w:cs="Times New Roman" w:eastAsia="Times New Roman" w:hAnsi="Times New Roman"/>
          <w:sz w:val="18"/>
          <w:szCs w:val="18"/>
          <w:b w:val="1"/>
          <w:bCs w:val="1"/>
          <w:color w:val="auto"/>
        </w:rPr>
        <w:t xml:space="preserve"> 21, 2018</w:t>
      </w:r>
    </w:p>
    <w:p>
      <w:pPr>
        <w:spacing w:after="0" w:line="31"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tockholders</w:t>
      </w:r>
      <w:r>
        <w:rPr>
          <w:rFonts w:ascii="Times New Roman" w:cs="Times New Roman" w:eastAsia="Times New Roman" w:hAnsi="Times New Roman"/>
          <w:sz w:val="18"/>
          <w:szCs w:val="18"/>
          <w:b w:val="1"/>
          <w:bCs w:val="1"/>
          <w:color w:val="auto"/>
        </w:rPr>
        <w:t>: M</w:t>
      </w:r>
      <w:r>
        <w:rPr>
          <w:rFonts w:ascii="Times New Roman" w:cs="Times New Roman" w:eastAsia="Times New Roman" w:hAnsi="Times New Roman"/>
          <w:sz w:val="12"/>
          <w:szCs w:val="12"/>
          <w:b w:val="1"/>
          <w:bCs w:val="1"/>
          <w:color w:val="auto"/>
        </w:rPr>
        <w:t>ay</w:t>
      </w:r>
      <w:r>
        <w:rPr>
          <w:rFonts w:ascii="Times New Roman" w:cs="Times New Roman" w:eastAsia="Times New Roman" w:hAnsi="Times New Roman"/>
          <w:sz w:val="18"/>
          <w:szCs w:val="18"/>
          <w:b w:val="1"/>
          <w:bCs w:val="1"/>
          <w:color w:val="auto"/>
        </w:rPr>
        <w:t xml:space="preserve"> 16, 2018</w:t>
      </w:r>
    </w:p>
    <w:p>
      <w:pPr>
        <w:spacing w:after="0" w:line="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M</w:t>
      </w:r>
      <w:r>
        <w:rPr>
          <w:rFonts w:ascii="Times New Roman" w:cs="Times New Roman" w:eastAsia="Times New Roman" w:hAnsi="Times New Roman"/>
          <w:sz w:val="12"/>
          <w:szCs w:val="12"/>
          <w:b w:val="1"/>
          <w:bCs w:val="1"/>
          <w:color w:val="auto"/>
        </w:rPr>
        <w:t>arch</w:t>
      </w:r>
      <w:r>
        <w:rPr>
          <w:rFonts w:ascii="Times New Roman" w:cs="Times New Roman" w:eastAsia="Times New Roman" w:hAnsi="Times New Roman"/>
          <w:sz w:val="18"/>
          <w:szCs w:val="18"/>
          <w:b w:val="1"/>
          <w:bCs w:val="1"/>
          <w:color w:val="auto"/>
        </w:rPr>
        <w:t xml:space="preserve"> 23, 2020</w:t>
      </w:r>
    </w:p>
    <w:p>
      <w:pPr>
        <w:spacing w:after="0" w:line="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tockholders</w:t>
      </w:r>
      <w:r>
        <w:rPr>
          <w:rFonts w:ascii="Times New Roman" w:cs="Times New Roman" w:eastAsia="Times New Roman" w:hAnsi="Times New Roman"/>
          <w:sz w:val="18"/>
          <w:szCs w:val="18"/>
          <w:b w:val="1"/>
          <w:bCs w:val="1"/>
          <w:color w:val="auto"/>
        </w:rPr>
        <w:t>: M</w:t>
      </w:r>
      <w:r>
        <w:rPr>
          <w:rFonts w:ascii="Times New Roman" w:cs="Times New Roman" w:eastAsia="Times New Roman" w:hAnsi="Times New Roman"/>
          <w:sz w:val="12"/>
          <w:szCs w:val="12"/>
          <w:b w:val="1"/>
          <w:bCs w:val="1"/>
          <w:color w:val="auto"/>
        </w:rPr>
        <w:t>ay</w:t>
      </w:r>
      <w:r>
        <w:rPr>
          <w:rFonts w:ascii="Times New Roman" w:cs="Times New Roman" w:eastAsia="Times New Roman" w:hAnsi="Times New Roman"/>
          <w:sz w:val="18"/>
          <w:szCs w:val="18"/>
          <w:b w:val="1"/>
          <w:bCs w:val="1"/>
          <w:color w:val="auto"/>
        </w:rPr>
        <w:t xml:space="preserve"> 21, 2020</w:t>
      </w:r>
    </w:p>
    <w:p>
      <w:pPr>
        <w:spacing w:after="0" w:line="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M</w:t>
      </w:r>
      <w:r>
        <w:rPr>
          <w:rFonts w:ascii="Times New Roman" w:cs="Times New Roman" w:eastAsia="Times New Roman" w:hAnsi="Times New Roman"/>
          <w:sz w:val="12"/>
          <w:szCs w:val="12"/>
          <w:b w:val="1"/>
          <w:bCs w:val="1"/>
          <w:color w:val="auto"/>
        </w:rPr>
        <w:t>arch</w:t>
      </w:r>
      <w:r>
        <w:rPr>
          <w:rFonts w:ascii="Times New Roman" w:cs="Times New Roman" w:eastAsia="Times New Roman" w:hAnsi="Times New Roman"/>
          <w:sz w:val="18"/>
          <w:szCs w:val="18"/>
          <w:b w:val="1"/>
          <w:bCs w:val="1"/>
          <w:color w:val="auto"/>
        </w:rPr>
        <w:t xml:space="preserve"> 17, 2023</w:t>
      </w:r>
    </w:p>
    <w:p>
      <w:pPr>
        <w:spacing w:after="0" w:line="9"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tockholders</w:t>
      </w:r>
      <w:r>
        <w:rPr>
          <w:rFonts w:ascii="Times New Roman" w:cs="Times New Roman" w:eastAsia="Times New Roman" w:hAnsi="Times New Roman"/>
          <w:sz w:val="18"/>
          <w:szCs w:val="18"/>
          <w:b w:val="1"/>
          <w:bCs w:val="1"/>
          <w:color w:val="auto"/>
        </w:rPr>
        <w:t>: [M</w:t>
      </w:r>
      <w:r>
        <w:rPr>
          <w:rFonts w:ascii="Times New Roman" w:cs="Times New Roman" w:eastAsia="Times New Roman" w:hAnsi="Times New Roman"/>
          <w:sz w:val="12"/>
          <w:szCs w:val="12"/>
          <w:b w:val="1"/>
          <w:bCs w:val="1"/>
          <w:color w:val="auto"/>
        </w:rPr>
        <w:t>ay</w:t>
      </w:r>
      <w:r>
        <w:rPr>
          <w:rFonts w:ascii="Times New Roman" w:cs="Times New Roman" w:eastAsia="Times New Roman" w:hAnsi="Times New Roman"/>
          <w:sz w:val="18"/>
          <w:szCs w:val="18"/>
          <w:b w:val="1"/>
          <w:bCs w:val="1"/>
          <w:color w:val="auto"/>
        </w:rPr>
        <w:t xml:space="preserve"> 25, 2023]</w:t>
      </w:r>
    </w:p>
    <w:p>
      <w:pPr>
        <w:spacing w:after="0" w:line="200" w:lineRule="exact"/>
        <w:rPr>
          <w:sz w:val="20"/>
          <w:szCs w:val="20"/>
          <w:color w:val="auto"/>
        </w:rPr>
      </w:pPr>
    </w:p>
    <w:p>
      <w:pPr>
        <w:spacing w:after="0" w:line="219" w:lineRule="exact"/>
        <w:rPr>
          <w:sz w:val="20"/>
          <w:szCs w:val="20"/>
          <w:color w:val="auto"/>
        </w:rPr>
      </w:pPr>
    </w:p>
    <w:p>
      <w:pPr>
        <w:ind w:left="532" w:hanging="532"/>
        <w:spacing w:after="0"/>
        <w:tabs>
          <w:tab w:leader="none" w:pos="532"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eneral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8" w:firstLine="757"/>
        <w:spacing w:after="0" w:line="268" w:lineRule="auto"/>
        <w:tabs>
          <w:tab w:leader="none" w:pos="1310" w:val="left"/>
        </w:tabs>
        <w:numPr>
          <w:ilvl w:val="1"/>
          <w:numId w:val="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Successor to and Continuation of Prior Plans. </w:t>
      </w:r>
      <w:r>
        <w:rPr>
          <w:rFonts w:ascii="Times New Roman" w:cs="Times New Roman" w:eastAsia="Times New Roman" w:hAnsi="Times New Roman"/>
          <w:sz w:val="17"/>
          <w:szCs w:val="17"/>
          <w:color w:val="auto"/>
        </w:rPr>
        <w:t>The Plan is intended as the successor to and continuation of the MannKind Corporation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2013 Equity Incentive Plan (the “</w:t>
      </w:r>
      <w:r>
        <w:rPr>
          <w:rFonts w:ascii="Times New Roman" w:cs="Times New Roman" w:eastAsia="Times New Roman" w:hAnsi="Times New Roman"/>
          <w:sz w:val="17"/>
          <w:szCs w:val="17"/>
          <w:b w:val="1"/>
          <w:bCs w:val="1"/>
          <w:i w:val="1"/>
          <w:iCs w:val="1"/>
          <w:color w:val="auto"/>
        </w:rPr>
        <w:t>2013 Plan</w:t>
      </w:r>
      <w:r>
        <w:rPr>
          <w:rFonts w:ascii="Times New Roman" w:cs="Times New Roman" w:eastAsia="Times New Roman" w:hAnsi="Times New Roman"/>
          <w:sz w:val="17"/>
          <w:szCs w:val="17"/>
          <w:color w:val="auto"/>
        </w:rPr>
        <w:t>”) and the MannKind Corporation 2004 Equity Incentive Plan (the “</w:t>
      </w:r>
      <w:r>
        <w:rPr>
          <w:rFonts w:ascii="Times New Roman" w:cs="Times New Roman" w:eastAsia="Times New Roman" w:hAnsi="Times New Roman"/>
          <w:sz w:val="17"/>
          <w:szCs w:val="17"/>
          <w:b w:val="1"/>
          <w:bCs w:val="1"/>
          <w:i w:val="1"/>
          <w:iCs w:val="1"/>
          <w:color w:val="auto"/>
        </w:rPr>
        <w:t>2004 Plan</w:t>
      </w:r>
      <w:r>
        <w:rPr>
          <w:rFonts w:ascii="Times New Roman" w:cs="Times New Roman" w:eastAsia="Times New Roman" w:hAnsi="Times New Roman"/>
          <w:sz w:val="17"/>
          <w:szCs w:val="17"/>
          <w:color w:val="auto"/>
        </w:rPr>
        <w:t>”, and together with the 2013 Plan, the “</w:t>
      </w:r>
      <w:r>
        <w:rPr>
          <w:rFonts w:ascii="Times New Roman" w:cs="Times New Roman" w:eastAsia="Times New Roman" w:hAnsi="Times New Roman"/>
          <w:sz w:val="17"/>
          <w:szCs w:val="17"/>
          <w:b w:val="1"/>
          <w:bCs w:val="1"/>
          <w:i w:val="1"/>
          <w:iCs w:val="1"/>
          <w:color w:val="auto"/>
        </w:rPr>
        <w:t>Prior Plans</w:t>
      </w:r>
      <w:r>
        <w:rPr>
          <w:rFonts w:ascii="Times New Roman" w:cs="Times New Roman" w:eastAsia="Times New Roman" w:hAnsi="Times New Roman"/>
          <w:sz w:val="17"/>
          <w:szCs w:val="17"/>
          <w:color w:val="auto"/>
        </w:rPr>
        <w:t>”). Following the Effective Date, no additional stock awards may be granted under the Prior Plans. Any unallocated shares remaining available for grant under the Prior Plans as of 12:01 a.m., Pacific Time on the Effective Date (the “</w:t>
      </w:r>
      <w:r>
        <w:rPr>
          <w:rFonts w:ascii="Times New Roman" w:cs="Times New Roman" w:eastAsia="Times New Roman" w:hAnsi="Times New Roman"/>
          <w:sz w:val="17"/>
          <w:szCs w:val="17"/>
          <w:b w:val="1"/>
          <w:bCs w:val="1"/>
          <w:i w:val="1"/>
          <w:iCs w:val="1"/>
          <w:color w:val="auto"/>
        </w:rPr>
        <w:t>Prior Plans’ Available Reserve</w:t>
      </w:r>
      <w:r>
        <w:rPr>
          <w:rFonts w:ascii="Times New Roman" w:cs="Times New Roman" w:eastAsia="Times New Roman" w:hAnsi="Times New Roman"/>
          <w:sz w:val="17"/>
          <w:szCs w:val="17"/>
          <w:color w:val="auto"/>
        </w:rPr>
        <w:t xml:space="preserve">”) will cease to be available under such Prior Plans at such time and will be added to the Share Reserve (as further described in Section 3(a) below) and be then immediately available for grant and issuance pursuant to Stock Awards granted under the Plan. In addition, from and after 12:01 a.m., Pacific Time on the Effective Date, all outstanding stock awards granted under the Prior Plans will remain subject to the terms of such Prior Plans, as applicable;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any shares subject to outstanding stock awards granted under the Prior Plans that (i) expire or terminate for any reason prior to exercise or settlement, (ii) are forfeited, cancelled or otherwise returned to the Company because of the failure to meet a contingency or condition required for the vesting of such shares, or (iii) other than with respect to outstanding options and stock appreciation rights granted under the Prior Plans, with respect to which the exercise or strike price is at least one hundred percent (100%) of the Fair Market Value of the Common Stock subject to the option or stock appreciation right on the date of grant (the “</w:t>
      </w:r>
      <w:r>
        <w:rPr>
          <w:rFonts w:ascii="Times New Roman" w:cs="Times New Roman" w:eastAsia="Times New Roman" w:hAnsi="Times New Roman"/>
          <w:sz w:val="17"/>
          <w:szCs w:val="17"/>
          <w:b w:val="1"/>
          <w:bCs w:val="1"/>
          <w:i w:val="1"/>
          <w:iCs w:val="1"/>
          <w:color w:val="auto"/>
        </w:rPr>
        <w:t>Prior Plans’ Appreciation Awards</w:t>
      </w:r>
      <w:r>
        <w:rPr>
          <w:rFonts w:ascii="Times New Roman" w:cs="Times New Roman" w:eastAsia="Times New Roman" w:hAnsi="Times New Roman"/>
          <w:sz w:val="17"/>
          <w:szCs w:val="17"/>
          <w:color w:val="auto"/>
        </w:rPr>
        <w:t>”), are reacquired or withheld (or not issued) by the Company to satisfy a tax withholding obligation in connection with a stock award (collectively, the “</w:t>
      </w:r>
      <w:r>
        <w:rPr>
          <w:rFonts w:ascii="Times New Roman" w:cs="Times New Roman" w:eastAsia="Times New Roman" w:hAnsi="Times New Roman"/>
          <w:sz w:val="17"/>
          <w:szCs w:val="17"/>
          <w:b w:val="1"/>
          <w:bCs w:val="1"/>
          <w:i w:val="1"/>
          <w:iCs w:val="1"/>
          <w:color w:val="auto"/>
        </w:rPr>
        <w:t>Prior Plans’ Returning Shares</w:t>
      </w:r>
      <w:r>
        <w:rPr>
          <w:rFonts w:ascii="Times New Roman" w:cs="Times New Roman" w:eastAsia="Times New Roman" w:hAnsi="Times New Roman"/>
          <w:sz w:val="17"/>
          <w:szCs w:val="17"/>
          <w:color w:val="auto"/>
        </w:rPr>
        <w:t>”) will immediately be added to the Share Reserve (as further described in Section 3(a) below) as and when such shares become Prior Plans’ Returning Shares and become available for issuance pursuant to Awards granted hereunder. All Stock Awards granted on or after 12:01 a.m., Pacific Time on the Effective Date will be subject to the terms of this Plan.</w:t>
      </w:r>
    </w:p>
    <w:p>
      <w:pPr>
        <w:spacing w:after="0" w:line="181" w:lineRule="exact"/>
        <w:rPr>
          <w:rFonts w:ascii="Times New Roman" w:cs="Times New Roman" w:eastAsia="Times New Roman" w:hAnsi="Times New Roman"/>
          <w:sz w:val="17"/>
          <w:szCs w:val="17"/>
          <w:b w:val="1"/>
          <w:bCs w:val="1"/>
          <w:color w:val="auto"/>
        </w:rPr>
      </w:pPr>
    </w:p>
    <w:p>
      <w:pPr>
        <w:ind w:left="1292" w:hanging="543"/>
        <w:spacing w:after="0"/>
        <w:tabs>
          <w:tab w:leader="none" w:pos="1292"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Eligible Award Recipients. </w:t>
      </w:r>
      <w:r>
        <w:rPr>
          <w:rFonts w:ascii="Times New Roman" w:cs="Times New Roman" w:eastAsia="Times New Roman" w:hAnsi="Times New Roman"/>
          <w:sz w:val="18"/>
          <w:szCs w:val="18"/>
          <w:color w:val="auto"/>
        </w:rPr>
        <w:t>Employees, Directors and Consultants are eligible to receive Stock Awards.</w:t>
      </w:r>
    </w:p>
    <w:p>
      <w:pPr>
        <w:spacing w:after="0" w:line="225" w:lineRule="exact"/>
        <w:rPr>
          <w:rFonts w:ascii="Times New Roman" w:cs="Times New Roman" w:eastAsia="Times New Roman" w:hAnsi="Times New Roman"/>
          <w:sz w:val="18"/>
          <w:szCs w:val="18"/>
          <w:b w:val="1"/>
          <w:bCs w:val="1"/>
          <w:color w:val="auto"/>
        </w:rPr>
      </w:pPr>
    </w:p>
    <w:p>
      <w:pPr>
        <w:jc w:val="both"/>
        <w:ind w:left="-8" w:right="460" w:firstLine="757"/>
        <w:spacing w:after="0" w:line="268" w:lineRule="auto"/>
        <w:tabs>
          <w:tab w:leader="none" w:pos="1300"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Available Stock Awards. </w:t>
      </w:r>
      <w:r>
        <w:rPr>
          <w:rFonts w:ascii="Times New Roman" w:cs="Times New Roman" w:eastAsia="Times New Roman" w:hAnsi="Times New Roman"/>
          <w:sz w:val="18"/>
          <w:szCs w:val="18"/>
          <w:color w:val="auto"/>
        </w:rPr>
        <w:t>The Plan provides for the grant of the following types of Stock Awards: (i) Incentive Stock Options, (ii)</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Nonstatutory Stock Options, (iii) Stock Appreciation Rights, (iv) Restricted Stock Awards, (v) Restricted Stock Unit Awards, (vi) Performance Stock Awards, and (vii) Other Stock Awards.</w:t>
      </w:r>
    </w:p>
    <w:p>
      <w:pPr>
        <w:spacing w:after="0" w:line="170" w:lineRule="exact"/>
        <w:rPr>
          <w:rFonts w:ascii="Times New Roman" w:cs="Times New Roman" w:eastAsia="Times New Roman" w:hAnsi="Times New Roman"/>
          <w:sz w:val="18"/>
          <w:szCs w:val="18"/>
          <w:b w:val="1"/>
          <w:bCs w:val="1"/>
          <w:color w:val="auto"/>
        </w:rPr>
      </w:pPr>
    </w:p>
    <w:p>
      <w:pPr>
        <w:ind w:left="-8" w:right="220" w:firstLine="757"/>
        <w:spacing w:after="0" w:line="268" w:lineRule="auto"/>
        <w:tabs>
          <w:tab w:leader="none" w:pos="1276"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Purpose. </w:t>
      </w:r>
      <w:r>
        <w:rPr>
          <w:rFonts w:ascii="Times New Roman" w:cs="Times New Roman" w:eastAsia="Times New Roman" w:hAnsi="Times New Roman"/>
          <w:sz w:val="18"/>
          <w:szCs w:val="18"/>
          <w:color w:val="auto"/>
        </w:rPr>
        <w:t>The Plan, through the granting of Stock Awards, is intended to help the Company and any Affiliate secure and retain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services of eligible award recipients, provide incentives for such persons to exert maximum efforts for the success of the Company and any Affiliate and provide a means by which the eligible recipients may benefit from increases in value of the Common Stock.</w:t>
      </w:r>
    </w:p>
    <w:p>
      <w:pPr>
        <w:spacing w:after="0" w:line="170" w:lineRule="exact"/>
        <w:rPr>
          <w:rFonts w:ascii="Times New Roman" w:cs="Times New Roman" w:eastAsia="Times New Roman" w:hAnsi="Times New Roman"/>
          <w:sz w:val="18"/>
          <w:szCs w:val="18"/>
          <w:b w:val="1"/>
          <w:bCs w:val="1"/>
          <w:color w:val="auto"/>
        </w:rPr>
      </w:pPr>
    </w:p>
    <w:p>
      <w:pPr>
        <w:ind w:left="532" w:hanging="532"/>
        <w:spacing w:after="0"/>
        <w:tabs>
          <w:tab w:leader="none" w:pos="532" w:val="left"/>
        </w:tabs>
        <w:numPr>
          <w:ilvl w:val="0"/>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dministration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8" w:right="420" w:firstLine="757"/>
        <w:spacing w:after="0" w:line="286" w:lineRule="auto"/>
        <w:tabs>
          <w:tab w:leader="none" w:pos="1101"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Administration by Board. </w:t>
      </w:r>
      <w:r>
        <w:rPr>
          <w:rFonts w:ascii="Times New Roman" w:cs="Times New Roman" w:eastAsia="Times New Roman" w:hAnsi="Times New Roman"/>
          <w:sz w:val="18"/>
          <w:szCs w:val="18"/>
          <w:color w:val="auto"/>
        </w:rPr>
        <w:t>The Board will administer the Plan. The Board may delegate administration of the Plan to a Committee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Committees, as provided in Section 2(c).</w:t>
      </w:r>
    </w:p>
    <w:p>
      <w:pPr>
        <w:spacing w:after="0" w:line="154" w:lineRule="exact"/>
        <w:rPr>
          <w:rFonts w:ascii="Times New Roman" w:cs="Times New Roman" w:eastAsia="Times New Roman" w:hAnsi="Times New Roman"/>
          <w:sz w:val="18"/>
          <w:szCs w:val="18"/>
          <w:b w:val="1"/>
          <w:bCs w:val="1"/>
          <w:color w:val="auto"/>
        </w:rPr>
      </w:pPr>
    </w:p>
    <w:p>
      <w:pPr>
        <w:ind w:left="1112" w:hanging="363"/>
        <w:spacing w:after="0"/>
        <w:tabs>
          <w:tab w:leader="none" w:pos="1112" w:val="left"/>
        </w:tabs>
        <w:numPr>
          <w:ilvl w:val="1"/>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Powers of Board. </w:t>
      </w:r>
      <w:r>
        <w:rPr>
          <w:rFonts w:ascii="Times New Roman" w:cs="Times New Roman" w:eastAsia="Times New Roman" w:hAnsi="Times New Roman"/>
          <w:sz w:val="18"/>
          <w:szCs w:val="18"/>
          <w:color w:val="auto"/>
        </w:rPr>
        <w:t>The Board will have the power, subject to, and within the limitations of, the express provisions of the Plan:</w:t>
      </w:r>
    </w:p>
    <w:p>
      <w:pPr>
        <w:spacing w:after="0" w:line="229" w:lineRule="exact"/>
        <w:rPr>
          <w:rFonts w:ascii="Times New Roman" w:cs="Times New Roman" w:eastAsia="Times New Roman" w:hAnsi="Times New Roman"/>
          <w:sz w:val="18"/>
          <w:szCs w:val="18"/>
          <w:b w:val="1"/>
          <w:bCs w:val="1"/>
          <w:color w:val="auto"/>
        </w:rPr>
      </w:pPr>
    </w:p>
    <w:p>
      <w:pPr>
        <w:ind w:left="-8" w:right="100" w:firstLine="1505"/>
        <w:spacing w:after="0" w:line="261" w:lineRule="auto"/>
        <w:tabs>
          <w:tab w:leader="none" w:pos="1849" w:val="left"/>
        </w:tabs>
        <w:numPr>
          <w:ilvl w:val="2"/>
          <w:numId w:val="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(A) who will be granted Stock Awards; (B) when and how each Stock Award will be granted; (C) what type of Stock Award will be granted; (D) the provisions of each Stock Award (which need not be identical), including when a person will be permitted to exercise or otherwise receive cash or Common Stock under the Stock Award; (E) the number of shares of Common Stock subject to, or the cash value of, a Stock Award; and (F) the Fair Market Value applicable to a Stock Award.</w:t>
      </w:r>
    </w:p>
    <w:p>
      <w:pPr>
        <w:spacing w:after="0" w:line="180" w:lineRule="exact"/>
        <w:rPr>
          <w:sz w:val="20"/>
          <w:szCs w:val="20"/>
          <w:color w:val="auto"/>
        </w:rPr>
      </w:pPr>
    </w:p>
    <w:p>
      <w:pPr>
        <w:jc w:val="center"/>
        <w:ind w:right="-31"/>
        <w:spacing w:after="0"/>
        <w:rPr>
          <w:sz w:val="20"/>
          <w:szCs w:val="20"/>
          <w:color w:val="auto"/>
        </w:rPr>
      </w:pPr>
      <w:r>
        <w:rPr>
          <w:rFonts w:ascii="Times New Roman" w:cs="Times New Roman" w:eastAsia="Times New Roman" w:hAnsi="Times New Roman"/>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92"/>
          </w:cols>
          <w:pgMar w:left="328" w:top="117" w:right="379" w:bottom="1440" w:gutter="0" w:footer="0" w:header="0"/>
        </w:sectPr>
      </w:pPr>
    </w:p>
    <w:bookmarkStart w:id="85" w:name="page86"/>
    <w:bookmarkEnd w:id="85"/>
    <w:p>
      <w:pPr>
        <w:ind w:left="-20" w:right="80" w:firstLine="1505"/>
        <w:spacing w:after="0" w:line="289" w:lineRule="auto"/>
        <w:tabs>
          <w:tab w:leader="none" w:pos="1837" w:val="left"/>
        </w:tabs>
        <w:numPr>
          <w:ilvl w:val="1"/>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construe and interpret the Plan and Stock Awards granted under it, and to establish, amend and revoke rules and regulations for administration of the Plan and Stock Awards. The Board, in the exercise of these powers, may correct any defect, omission or inconsistency in the Plan or in any Stock Award Agreement, in a manner and to the extent it will deem necessary or expedient to make the Plan or Stock Award fully effective.</w:t>
      </w:r>
    </w:p>
    <w:p>
      <w:pPr>
        <w:spacing w:after="0" w:line="157" w:lineRule="exact"/>
        <w:rPr>
          <w:rFonts w:ascii="Times New Roman" w:cs="Times New Roman" w:eastAsia="Times New Roman" w:hAnsi="Times New Roman"/>
          <w:sz w:val="17"/>
          <w:szCs w:val="17"/>
          <w:b w:val="1"/>
          <w:bCs w:val="1"/>
          <w:color w:val="auto"/>
        </w:rPr>
      </w:pPr>
    </w:p>
    <w:p>
      <w:pPr>
        <w:ind w:left="1840" w:hanging="355"/>
        <w:spacing w:after="0"/>
        <w:tabs>
          <w:tab w:leader="none" w:pos="1840"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settle all controversies regarding the Plan and Stock Awards granted under it.</w:t>
      </w:r>
    </w:p>
    <w:p>
      <w:pPr>
        <w:spacing w:after="0" w:line="225" w:lineRule="exact"/>
        <w:rPr>
          <w:rFonts w:ascii="Times New Roman" w:cs="Times New Roman" w:eastAsia="Times New Roman" w:hAnsi="Times New Roman"/>
          <w:sz w:val="18"/>
          <w:szCs w:val="18"/>
          <w:b w:val="1"/>
          <w:bCs w:val="1"/>
          <w:color w:val="auto"/>
        </w:rPr>
      </w:pPr>
    </w:p>
    <w:p>
      <w:pPr>
        <w:ind w:left="-20" w:right="140" w:firstLine="1505"/>
        <w:spacing w:after="0" w:line="282" w:lineRule="auto"/>
        <w:tabs>
          <w:tab w:leader="none" w:pos="1837"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accelerate, in whole or in part, the time at which a Stock Award may be exercised or vest (or the time at which cash or shares of Common Stock may be issued in settlement thereof).</w:t>
      </w:r>
    </w:p>
    <w:p>
      <w:pPr>
        <w:spacing w:after="0" w:line="161" w:lineRule="exact"/>
        <w:rPr>
          <w:rFonts w:ascii="Times New Roman" w:cs="Times New Roman" w:eastAsia="Times New Roman" w:hAnsi="Times New Roman"/>
          <w:sz w:val="18"/>
          <w:szCs w:val="18"/>
          <w:b w:val="1"/>
          <w:bCs w:val="1"/>
          <w:color w:val="auto"/>
        </w:rPr>
      </w:pPr>
    </w:p>
    <w:p>
      <w:pPr>
        <w:jc w:val="both"/>
        <w:ind w:left="-20" w:right="80" w:firstLine="1505"/>
        <w:spacing w:after="0" w:line="266" w:lineRule="auto"/>
        <w:tabs>
          <w:tab w:leader="none" w:pos="1837"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suspend or terminate the Plan at any time. Except as otherwise provided in the Plan or a Stock Award Agreement, suspension or termination of the Plan will not materially impair a Participant’s rights under his or her then-outstanding Stock Award without his or her written consent except as provided in subsection (viii) below.</w:t>
      </w:r>
    </w:p>
    <w:p>
      <w:pPr>
        <w:spacing w:after="0" w:line="175" w:lineRule="exact"/>
        <w:rPr>
          <w:rFonts w:ascii="Times New Roman" w:cs="Times New Roman" w:eastAsia="Times New Roman" w:hAnsi="Times New Roman"/>
          <w:sz w:val="18"/>
          <w:szCs w:val="18"/>
          <w:b w:val="1"/>
          <w:bCs w:val="1"/>
          <w:color w:val="auto"/>
        </w:rPr>
      </w:pPr>
    </w:p>
    <w:p>
      <w:pPr>
        <w:ind w:left="-20" w:firstLine="1505"/>
        <w:spacing w:after="0" w:line="253" w:lineRule="auto"/>
        <w:tabs>
          <w:tab w:leader="none" w:pos="1837"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the Plan in any respect the Board deems necessary or advisable, including, without limitation, by adopting amendments relating to Incentive Stock Options and certain nonqualified deferred compensation under Section 409A of the Code and/or to make the Plan or Stock Awards granted under the Plan compliant with the requirements for Incentive Stock Options or exempt from or compliant with the requirements for nonqualified deferred compensation under Section 409A of the Code, subject to the limitations, if any, of applicable law. However, if required by applicable law or listing requirements, and except as provided in Section 9(a) relating to Capitalization Adjustments, the Company will seek stockholder approval of any amendment of the Plan that (A) materially increases the number of shares of Common Stock available for issuance under the Plan, (B) materially expands the class of individuals eligible to receive Stock Awards under the Plan, (C) materially increases the benefits accruing to Participants under the Plan, (D) materially reduces the price at which shares of Common Stock may be issued or purchased under the Plan, or (E) materially expands the types of Stock Awards available for issuance under the Plan. Except as provided in the Plan (including Section 2(b)(viii)) or a Stock Award Agreement, no amendment of the Plan will materially impair a Participant’s rights under an outstanding Stock Award without the Participant’s written consent.</w:t>
      </w:r>
    </w:p>
    <w:p>
      <w:pPr>
        <w:spacing w:after="0" w:line="194" w:lineRule="exact"/>
        <w:rPr>
          <w:rFonts w:ascii="Times New Roman" w:cs="Times New Roman" w:eastAsia="Times New Roman" w:hAnsi="Times New Roman"/>
          <w:sz w:val="18"/>
          <w:szCs w:val="18"/>
          <w:b w:val="1"/>
          <w:bCs w:val="1"/>
          <w:color w:val="auto"/>
        </w:rPr>
      </w:pPr>
    </w:p>
    <w:p>
      <w:pPr>
        <w:ind w:left="-20" w:right="40" w:firstLine="1505"/>
        <w:spacing w:after="0" w:line="282" w:lineRule="auto"/>
        <w:tabs>
          <w:tab w:leader="none" w:pos="1837"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submit any amendment to the Plan for stockholder approval, including, but not limited to, amendments to the Plan intended to satisfy the requirements of (A) Section 422 of the Code regarding incentive stock options or (B) Rule 16b-3.</w:t>
      </w:r>
    </w:p>
    <w:p>
      <w:pPr>
        <w:spacing w:after="0" w:line="161" w:lineRule="exact"/>
        <w:rPr>
          <w:rFonts w:ascii="Times New Roman" w:cs="Times New Roman" w:eastAsia="Times New Roman" w:hAnsi="Times New Roman"/>
          <w:sz w:val="18"/>
          <w:szCs w:val="18"/>
          <w:b w:val="1"/>
          <w:bCs w:val="1"/>
          <w:color w:val="auto"/>
        </w:rPr>
      </w:pPr>
    </w:p>
    <w:p>
      <w:pPr>
        <w:ind w:left="-20" w:right="20" w:firstLine="1505"/>
        <w:spacing w:after="0" w:line="253" w:lineRule="auto"/>
        <w:tabs>
          <w:tab w:leader="none" w:pos="2197"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To approve forms of Stock Award Agreements for use under the Plan and to amend the terms of any one or more Stock Awards, including, but not limited to, amendments to provide terms more favorable to the Participant than previously provided in the Stock Award Agreement, subject to any specified limits in the Plan that are not subject to Board discretion;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a Participant’s rights under any Stock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Stock Awards without the affected Participant’s consent (A) to maintain the qualified status of the Stock Award as an Incentive Stock Option under Section 422 of the Code; (B) to change the terms of an Incentive Stock Option, if such change results in impairment of the Stock Award solely because it impairs the qualified status of the Stock Award as an Incentive Stock Option under Section 422 of the Code; (C) to clarify the manner of exemption from, or to bring the Stock Award into compliance with, Section 409A of the Code; or (D) to comply with other applicable laws or listing requirements.</w:t>
      </w:r>
    </w:p>
    <w:p>
      <w:pPr>
        <w:spacing w:after="0" w:line="191" w:lineRule="exact"/>
        <w:rPr>
          <w:rFonts w:ascii="Times New Roman" w:cs="Times New Roman" w:eastAsia="Times New Roman" w:hAnsi="Times New Roman"/>
          <w:sz w:val="18"/>
          <w:szCs w:val="18"/>
          <w:b w:val="1"/>
          <w:bCs w:val="1"/>
          <w:color w:val="auto"/>
        </w:rPr>
      </w:pPr>
    </w:p>
    <w:p>
      <w:pPr>
        <w:ind w:left="-20" w:right="480" w:firstLine="1505"/>
        <w:spacing w:after="0" w:line="282" w:lineRule="auto"/>
        <w:tabs>
          <w:tab w:leader="none" w:pos="1837" w:val="left"/>
        </w:tabs>
        <w:numPr>
          <w:ilvl w:val="1"/>
          <w:numId w:val="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the Board deems necessary or expedient to promote the best interests of the Company and that are not in conflict with the provisions of the Plan or Stock Awards.</w:t>
      </w:r>
    </w:p>
    <w:p>
      <w:pPr>
        <w:spacing w:after="0" w:line="161" w:lineRule="exact"/>
        <w:rPr>
          <w:rFonts w:ascii="Times New Roman" w:cs="Times New Roman" w:eastAsia="Times New Roman" w:hAnsi="Times New Roman"/>
          <w:sz w:val="18"/>
          <w:szCs w:val="18"/>
          <w:b w:val="1"/>
          <w:bCs w:val="1"/>
          <w:color w:val="auto"/>
        </w:rPr>
      </w:pPr>
    </w:p>
    <w:p>
      <w:pPr>
        <w:ind w:left="-20" w:right="300" w:firstLine="1505"/>
        <w:spacing w:after="0" w:line="289" w:lineRule="auto"/>
        <w:tabs>
          <w:tab w:leader="none" w:pos="1837" w:val="left"/>
        </w:tabs>
        <w:numPr>
          <w:ilvl w:val="1"/>
          <w:numId w:val="5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To adopt such procedures and sub-plans as are necessary or appropriate to permit participation in the Plan by Employees, Directors or Consultants who are foreign nationals or employed outside the United States (provided that Board approval will not be necessary for immaterial modifications to the Plan or any Stock Award Agreement that are required for compliance with the laws of the relevant foreign jurisdiction).</w:t>
      </w:r>
    </w:p>
    <w:p>
      <w:pPr>
        <w:spacing w:after="0" w:line="153" w:lineRule="exact"/>
        <w:rPr>
          <w:rFonts w:ascii="Times New Roman" w:cs="Times New Roman" w:eastAsia="Times New Roman" w:hAnsi="Times New Roman"/>
          <w:sz w:val="17"/>
          <w:szCs w:val="17"/>
          <w:b w:val="1"/>
          <w:bCs w:val="1"/>
          <w:color w:val="auto"/>
        </w:rPr>
      </w:pPr>
    </w:p>
    <w:p>
      <w:pPr>
        <w:ind w:left="1100" w:hanging="363"/>
        <w:spacing w:after="0"/>
        <w:tabs>
          <w:tab w:leader="none" w:pos="1100" w:val="left"/>
        </w:tabs>
        <w:numPr>
          <w:ilvl w:val="0"/>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Delegation to Committee.</w:t>
      </w:r>
    </w:p>
    <w:p>
      <w:pPr>
        <w:spacing w:after="0" w:line="225" w:lineRule="exact"/>
        <w:rPr>
          <w:rFonts w:ascii="Times New Roman" w:cs="Times New Roman" w:eastAsia="Times New Roman" w:hAnsi="Times New Roman"/>
          <w:sz w:val="18"/>
          <w:szCs w:val="18"/>
          <w:b w:val="1"/>
          <w:bCs w:val="1"/>
          <w:color w:val="auto"/>
        </w:rPr>
      </w:pPr>
    </w:p>
    <w:p>
      <w:pPr>
        <w:ind w:left="-20" w:right="80" w:firstLine="1505"/>
        <w:spacing w:after="0" w:line="257" w:lineRule="auto"/>
        <w:tabs>
          <w:tab w:leader="none" w:pos="1837" w:val="left"/>
        </w:tabs>
        <w:numPr>
          <w:ilvl w:val="1"/>
          <w:numId w:val="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General. </w:t>
      </w:r>
      <w:r>
        <w:rPr>
          <w:rFonts w:ascii="Times New Roman" w:cs="Times New Roman" w:eastAsia="Times New Roman" w:hAnsi="Times New Roman"/>
          <w:sz w:val="18"/>
          <w:szCs w:val="18"/>
          <w:color w:val="auto"/>
        </w:rPr>
        <w:t>The Board may delegate some or all of the administration of the Plan to a Committee or Committees. If administration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as applicable). Any delegation of administrative powers will be reflected in resolutions, not inconsistent with the provisions of the Plan, adopted from time to time by the Board or Committee (as</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21" w:right="359" w:bottom="1440" w:gutter="0" w:footer="0" w:header="0"/>
        </w:sectPr>
      </w:pPr>
    </w:p>
    <w:bookmarkStart w:id="86" w:name="page87"/>
    <w:bookmarkEnd w:id="86"/>
    <w:p>
      <w:pPr>
        <w:ind w:right="100"/>
        <w:spacing w:after="0" w:line="266" w:lineRule="auto"/>
        <w:rPr>
          <w:sz w:val="20"/>
          <w:szCs w:val="20"/>
          <w:color w:val="auto"/>
        </w:rPr>
      </w:pPr>
      <w:r>
        <w:rPr>
          <w:rFonts w:ascii="Times New Roman" w:cs="Times New Roman" w:eastAsia="Times New Roman" w:hAnsi="Times New Roman"/>
          <w:sz w:val="18"/>
          <w:szCs w:val="18"/>
          <w:color w:val="auto"/>
        </w:rPr>
        <w:t>applicable). The Committee may, at any time, abolish the subcommittee and/or revest in the Committee any powers delegated to the subcommittee. The Board may retain the authority to concurrently administer the Plan with the Committee and may, at any time, revest in the Board some or all of the powers previously delegated.</w:t>
      </w:r>
    </w:p>
    <w:p>
      <w:pPr>
        <w:spacing w:after="0" w:line="172" w:lineRule="exact"/>
        <w:rPr>
          <w:sz w:val="20"/>
          <w:szCs w:val="20"/>
          <w:color w:val="auto"/>
        </w:rPr>
      </w:pPr>
    </w:p>
    <w:p>
      <w:pPr>
        <w:ind w:left="1860" w:hanging="355"/>
        <w:spacing w:after="0"/>
        <w:tabs>
          <w:tab w:leader="none" w:pos="1860" w:val="left"/>
        </w:tabs>
        <w:numPr>
          <w:ilvl w:val="0"/>
          <w:numId w:val="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Rule 16b-3 Compliance. </w:t>
      </w:r>
      <w:r>
        <w:rPr>
          <w:rFonts w:ascii="Times New Roman" w:cs="Times New Roman" w:eastAsia="Times New Roman" w:hAnsi="Times New Roman"/>
          <w:sz w:val="18"/>
          <w:szCs w:val="18"/>
          <w:color w:val="auto"/>
        </w:rPr>
        <w:t>The Committee may consist solely of two or more Non-Employee Directors, in accordance with Rule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16b-3.</w:t>
      </w:r>
    </w:p>
    <w:p>
      <w:pPr>
        <w:spacing w:after="0" w:line="203" w:lineRule="exact"/>
        <w:rPr>
          <w:sz w:val="20"/>
          <w:szCs w:val="20"/>
          <w:color w:val="auto"/>
        </w:rPr>
      </w:pPr>
    </w:p>
    <w:p>
      <w:pPr>
        <w:ind w:right="100" w:firstLine="757"/>
        <w:spacing w:after="0" w:line="255" w:lineRule="auto"/>
        <w:tabs>
          <w:tab w:leader="none" w:pos="1109"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Delegation to an Officer. </w:t>
      </w:r>
      <w:r>
        <w:rPr>
          <w:rFonts w:ascii="Times New Roman" w:cs="Times New Roman" w:eastAsia="Times New Roman" w:hAnsi="Times New Roman"/>
          <w:sz w:val="18"/>
          <w:szCs w:val="18"/>
          <w:color w:val="auto"/>
        </w:rPr>
        <w:t>The Board may delegate to one or more Officers the authority to do one or both of the following (i) designate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Employees who are not Officers to be recipients of Options and SARs (and, to the extent permitted by applicable law, other Stock Awards) and, to the extent permitted by applicable law, the terms of such Stock Awards, and (ii) determine the number of shares of Common Stock to be subject to such Stock Awards granted to such Employees;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resolutions regarding such delegation will specify the total number of shares of Common Stock that may be subject to the Stock Awards granted by such Officer and that such Officer may not grant a Stock Award to himself or herself. Any such Stock Awards will be granted on the form of Stock Award Agreement most recently approved for use by the Committee or the Board, unless otherwise provided in the resolutions approving the delegation authority. The Board may not delegate authority to an Officer who is acting solely in the capacity of an Officer (and not also as a Director) to determine the Fair Market Value pursuant to Section 13(t)(iii) below.</w:t>
      </w:r>
    </w:p>
    <w:p>
      <w:pPr>
        <w:spacing w:after="0" w:line="184" w:lineRule="exact"/>
        <w:rPr>
          <w:rFonts w:ascii="Times New Roman" w:cs="Times New Roman" w:eastAsia="Times New Roman" w:hAnsi="Times New Roman"/>
          <w:sz w:val="18"/>
          <w:szCs w:val="18"/>
          <w:b w:val="1"/>
          <w:bCs w:val="1"/>
          <w:color w:val="auto"/>
        </w:rPr>
      </w:pPr>
    </w:p>
    <w:p>
      <w:pPr>
        <w:ind w:right="300" w:firstLine="757"/>
        <w:spacing w:after="0" w:line="286" w:lineRule="auto"/>
        <w:tabs>
          <w:tab w:leader="none" w:pos="1109"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Effect of Board’s Decision. </w:t>
      </w:r>
      <w:r>
        <w:rPr>
          <w:rFonts w:ascii="Times New Roman" w:cs="Times New Roman" w:eastAsia="Times New Roman" w:hAnsi="Times New Roman"/>
          <w:sz w:val="18"/>
          <w:szCs w:val="18"/>
          <w:color w:val="auto"/>
        </w:rPr>
        <w:t>All determinations, interpretations and constructions made by the Board in good faith will not be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review by any person and will be final, binding and conclusive on all persons.</w:t>
      </w:r>
    </w:p>
    <w:p>
      <w:pPr>
        <w:spacing w:after="0" w:line="154" w:lineRule="exact"/>
        <w:rPr>
          <w:rFonts w:ascii="Times New Roman" w:cs="Times New Roman" w:eastAsia="Times New Roman" w:hAnsi="Times New Roman"/>
          <w:sz w:val="18"/>
          <w:szCs w:val="18"/>
          <w:b w:val="1"/>
          <w:bCs w:val="1"/>
          <w:color w:val="auto"/>
        </w:rPr>
      </w:pPr>
    </w:p>
    <w:p>
      <w:pPr>
        <w:ind w:right="60" w:firstLine="757"/>
        <w:spacing w:after="0" w:line="262" w:lineRule="auto"/>
        <w:tabs>
          <w:tab w:leader="none" w:pos="1109"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Repricing; Cancellation and Re-Grant of Stock Awards. </w:t>
      </w:r>
      <w:r>
        <w:rPr>
          <w:rFonts w:ascii="Times New Roman" w:cs="Times New Roman" w:eastAsia="Times New Roman" w:hAnsi="Times New Roman"/>
          <w:sz w:val="18"/>
          <w:szCs w:val="18"/>
          <w:color w:val="auto"/>
        </w:rPr>
        <w:t>Neither the Board nor any Committee will have the authority to (i) reduce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purchase or strike price of any outstanding Option or SAR under the Plan, or (ii) cancel any outstanding Option or SAR that has an exercise price or strike price greater than the then-current Fair Market Value of the Common Stock in exchange for cash or other Stock Awards under the Plan, unless the stockholders of the Company have approved such an action within 12 months prior to such an event.</w:t>
      </w:r>
    </w:p>
    <w:p>
      <w:pPr>
        <w:spacing w:after="0" w:line="176" w:lineRule="exact"/>
        <w:rPr>
          <w:rFonts w:ascii="Times New Roman" w:cs="Times New Roman" w:eastAsia="Times New Roman" w:hAnsi="Times New Roman"/>
          <w:sz w:val="18"/>
          <w:szCs w:val="18"/>
          <w:b w:val="1"/>
          <w:bCs w:val="1"/>
          <w:color w:val="auto"/>
        </w:rPr>
      </w:pPr>
    </w:p>
    <w:p>
      <w:pPr>
        <w:ind w:right="20" w:firstLine="757"/>
        <w:spacing w:after="0" w:line="263" w:lineRule="auto"/>
        <w:tabs>
          <w:tab w:leader="none" w:pos="1109" w:val="left"/>
        </w:tabs>
        <w:numPr>
          <w:ilvl w:val="1"/>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Dividends and Dividend Equivalents. </w:t>
      </w:r>
      <w:r>
        <w:rPr>
          <w:rFonts w:ascii="Times New Roman" w:cs="Times New Roman" w:eastAsia="Times New Roman" w:hAnsi="Times New Roman"/>
          <w:sz w:val="18"/>
          <w:szCs w:val="18"/>
          <w:color w:val="auto"/>
        </w:rPr>
        <w:t>Dividends or dividend equivalents may be paid or credited, as applicable, with respect to any shares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of Common Stock subject to a Stock Award, as determined by the Board and contained in the applicable Stock Award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w:t>
      </w:r>
    </w:p>
    <w:p>
      <w:pPr>
        <w:ind w:right="80" w:firstLine="8"/>
        <w:spacing w:after="0" w:line="253" w:lineRule="auto"/>
        <w:tabs>
          <w:tab w:leader="none" w:pos="215"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dividends or dividend equivalents may be paid with respect to any such shares before the date such shares have vested under the terms of such Stock Award Agreement, (ii) any dividends or dividend equivalents that are credited with respect to any such shares will be subject to all of the terms and conditions applicable to such shares under the terms of such Stock Award Agreement (including, but not limited to, any vesting conditions), and (iii) any dividends or dividend equivalents that are credited with respect to any such shares will be forfeited to the Company on the date, if any, such shares are forfeited to or repurchased by the Company due to a failure to meet any vesting conditions under the terms of such Stock Award Agreement.</w:t>
      </w:r>
    </w:p>
    <w:p>
      <w:pPr>
        <w:spacing w:after="0" w:line="183" w:lineRule="exact"/>
        <w:rPr>
          <w:sz w:val="20"/>
          <w:szCs w:val="20"/>
          <w:color w:val="auto"/>
        </w:rPr>
      </w:pPr>
    </w:p>
    <w:p>
      <w:pPr>
        <w:ind w:left="360" w:hanging="352"/>
        <w:spacing w:after="0"/>
        <w:tabs>
          <w:tab w:leader="none" w:pos="360" w:val="left"/>
        </w:tabs>
        <w:numPr>
          <w:ilvl w:val="0"/>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hares</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1120" w:hanging="363"/>
        <w:spacing w:after="0"/>
        <w:tabs>
          <w:tab w:leader="none" w:pos="1120" w:val="left"/>
        </w:tabs>
        <w:numPr>
          <w:ilvl w:val="1"/>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Reserve.</w:t>
      </w:r>
    </w:p>
    <w:p>
      <w:pPr>
        <w:spacing w:after="0" w:line="229" w:lineRule="exact"/>
        <w:rPr>
          <w:rFonts w:ascii="Times New Roman" w:cs="Times New Roman" w:eastAsia="Times New Roman" w:hAnsi="Times New Roman"/>
          <w:sz w:val="18"/>
          <w:szCs w:val="18"/>
          <w:b w:val="1"/>
          <w:bCs w:val="1"/>
          <w:color w:val="auto"/>
        </w:rPr>
      </w:pPr>
    </w:p>
    <w:p>
      <w:pPr>
        <w:ind w:right="260" w:firstLine="1505"/>
        <w:spacing w:after="0" w:line="255" w:lineRule="auto"/>
        <w:tabs>
          <w:tab w:leader="none" w:pos="1857" w:val="left"/>
        </w:tabs>
        <w:numPr>
          <w:ilvl w:val="2"/>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Subject to Section 9(a) relating to Capitalization Adjustments, the aggregate number of shares of Common Stock that may be issued pursuant to Stock Awards from and after the Effective Date will not exceed (A) 50,729,678 shares (which number is the sum of (i) the number of shares (1,229,678) subject to the Prior Plans’ Available Reserve, (ii) an additional 12,000,000 shares approved by the shareholders in 2018, (iii) an additional 12,500,000 shares approved by the shareholders in 2020 and (iv) an additional 25,000,000 shares approved by the shareholders in 2023), </w:t>
      </w:r>
      <w:r>
        <w:rPr>
          <w:rFonts w:ascii="Times New Roman" w:cs="Times New Roman" w:eastAsia="Times New Roman" w:hAnsi="Times New Roman"/>
          <w:sz w:val="18"/>
          <w:szCs w:val="18"/>
          <w:i w:val="1"/>
          <w:iCs w:val="1"/>
          <w:color w:val="auto"/>
        </w:rPr>
        <w:t>plus</w:t>
      </w:r>
    </w:p>
    <w:p>
      <w:pPr>
        <w:spacing w:after="0" w:line="2" w:lineRule="exact"/>
        <w:rPr>
          <w:rFonts w:ascii="Times New Roman" w:cs="Times New Roman" w:eastAsia="Times New Roman" w:hAnsi="Times New Roman"/>
          <w:sz w:val="18"/>
          <w:szCs w:val="18"/>
          <w:b w:val="1"/>
          <w:bCs w:val="1"/>
          <w:color w:val="auto"/>
        </w:rPr>
      </w:pPr>
    </w:p>
    <w:p>
      <w:pPr>
        <w:ind w:right="640"/>
        <w:spacing w:after="0" w:line="260"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 the Prior Plans’ Returning Shares, if any, which become available for grant under this Plan from time to time (such aggregate number of shares described in (A) and (B) above, the “</w:t>
      </w:r>
      <w:r>
        <w:rPr>
          <w:rFonts w:ascii="Times New Roman" w:cs="Times New Roman" w:eastAsia="Times New Roman" w:hAnsi="Times New Roman"/>
          <w:sz w:val="18"/>
          <w:szCs w:val="18"/>
          <w:b w:val="1"/>
          <w:bCs w:val="1"/>
          <w:i w:val="1"/>
          <w:iCs w:val="1"/>
          <w:color w:val="auto"/>
        </w:rPr>
        <w:t>Share Reserve</w:t>
      </w:r>
      <w:r>
        <w:rPr>
          <w:rFonts w:ascii="Times New Roman" w:cs="Times New Roman" w:eastAsia="Times New Roman" w:hAnsi="Times New Roman"/>
          <w:sz w:val="18"/>
          <w:szCs w:val="18"/>
          <w:color w:val="auto"/>
        </w:rPr>
        <w:t>”).</w:t>
      </w:r>
    </w:p>
    <w:p>
      <w:pPr>
        <w:spacing w:after="0" w:line="181" w:lineRule="exact"/>
        <w:rPr>
          <w:rFonts w:ascii="Times New Roman" w:cs="Times New Roman" w:eastAsia="Times New Roman" w:hAnsi="Times New Roman"/>
          <w:sz w:val="18"/>
          <w:szCs w:val="18"/>
          <w:b w:val="1"/>
          <w:bCs w:val="1"/>
          <w:color w:val="auto"/>
        </w:rPr>
      </w:pPr>
    </w:p>
    <w:p>
      <w:pPr>
        <w:ind w:firstLine="1505"/>
        <w:spacing w:after="0" w:line="281" w:lineRule="auto"/>
        <w:tabs>
          <w:tab w:leader="none" w:pos="1857" w:val="left"/>
        </w:tabs>
        <w:numPr>
          <w:ilvl w:val="2"/>
          <w:numId w:val="5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For clarity, the Share Reserve in this Section 3(a) is a limitation on the number of shares of Common Stock that may be issued pursuant to the Plan. Accordingly, this Section 3(a) does not limit the granting of Stock Awards except as provided in Section 7(a). Shares may be issued in connection with a merger or acquisition as permitted by NASDAQ Listing Rule 5635(c) or, if applicable, NYSE Listed Company Manual Section 303A.08, AMEX Company Guide Section 711 or other applicable rule, and such issuance will not reduce the number of shares available for issuance under the Plan.</w:t>
      </w:r>
    </w:p>
    <w:p>
      <w:pPr>
        <w:spacing w:after="0" w:line="164" w:lineRule="exact"/>
        <w:rPr>
          <w:rFonts w:ascii="Times New Roman" w:cs="Times New Roman" w:eastAsia="Times New Roman" w:hAnsi="Times New Roman"/>
          <w:sz w:val="17"/>
          <w:szCs w:val="17"/>
          <w:b w:val="1"/>
          <w:bCs w:val="1"/>
          <w:color w:val="auto"/>
        </w:rPr>
      </w:pPr>
    </w:p>
    <w:p>
      <w:pPr>
        <w:ind w:right="20" w:firstLine="1505"/>
        <w:spacing w:after="0" w:line="261" w:lineRule="auto"/>
        <w:tabs>
          <w:tab w:leader="none" w:pos="1857" w:val="left"/>
        </w:tabs>
        <w:numPr>
          <w:ilvl w:val="2"/>
          <w:numId w:val="5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Subject to Section 3(b), the number of shares of Common Stock available for issuance under the Plan will be reduced by: (A) one share for each share of Common Stock issued pursuant to an Option or SAR with respect to which the exercise or strike price is at least 100% of the Fair Market Value of the Common Stock subject to the Option or SAR on the date of grant; and (B) one and one tenths (1.1) shares for each share of Common Stock issued pursuant to a Full Value Award.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7" w:name="page88"/>
    <w:bookmarkEnd w:id="87"/>
    <w:p>
      <w:pPr>
        <w:ind w:left="1120" w:hanging="363"/>
        <w:spacing w:after="0"/>
        <w:tabs>
          <w:tab w:leader="none" w:pos="1120"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Reversion of Shares to the Share Reserve.</w:t>
      </w:r>
    </w:p>
    <w:p>
      <w:pPr>
        <w:spacing w:after="0" w:line="225" w:lineRule="exact"/>
        <w:rPr>
          <w:rFonts w:ascii="Times New Roman" w:cs="Times New Roman" w:eastAsia="Times New Roman" w:hAnsi="Times New Roman"/>
          <w:sz w:val="18"/>
          <w:szCs w:val="18"/>
          <w:b w:val="1"/>
          <w:bCs w:val="1"/>
          <w:color w:val="auto"/>
        </w:rPr>
      </w:pPr>
    </w:p>
    <w:p>
      <w:pPr>
        <w:ind w:right="20" w:firstLine="1505"/>
        <w:spacing w:after="0" w:line="254" w:lineRule="auto"/>
        <w:tabs>
          <w:tab w:leader="none" w:pos="1857" w:val="left"/>
        </w:tabs>
        <w:numPr>
          <w:ilvl w:val="2"/>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Shares Available For Subsequent Issuance. </w:t>
      </w:r>
      <w:r>
        <w:rPr>
          <w:rFonts w:ascii="Times New Roman" w:cs="Times New Roman" w:eastAsia="Times New Roman" w:hAnsi="Times New Roman"/>
          <w:sz w:val="18"/>
          <w:szCs w:val="18"/>
          <w:color w:val="auto"/>
        </w:rPr>
        <w:t>If (A) any shares of Common Stock subject to a Stock Award are not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because such Stock Award or any portion thereof expires or otherwise terminates without all of the shares covered by such Stock Award having been issued or is settled in cash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Participant receives cash rather than stock), (B) any shares of Common Stock issued pursuant to a Stock Award are forfeited back to or repurchased by the Company because of the failure to meet a contingency or condition required for the vesting of such shares, or (C) with respect to a Full Value Award, any shares of Common Stock are reacquired or withheld (or not issued) by the Company to satisfy a tax withholding obligation in connection with such Full Value Award, such shares will again become available for issuance under the Plan (collectively, the “</w:t>
      </w:r>
      <w:r>
        <w:rPr>
          <w:rFonts w:ascii="Times New Roman" w:cs="Times New Roman" w:eastAsia="Times New Roman" w:hAnsi="Times New Roman"/>
          <w:sz w:val="18"/>
          <w:szCs w:val="18"/>
          <w:b w:val="1"/>
          <w:bCs w:val="1"/>
          <w:i w:val="1"/>
          <w:iCs w:val="1"/>
          <w:color w:val="auto"/>
        </w:rPr>
        <w:t>2018 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Returning Shares</w:t>
      </w:r>
      <w:r>
        <w:rPr>
          <w:rFonts w:ascii="Times New Roman" w:cs="Times New Roman" w:eastAsia="Times New Roman" w:hAnsi="Times New Roman"/>
          <w:sz w:val="18"/>
          <w:szCs w:val="18"/>
          <w:color w:val="auto"/>
        </w:rPr>
        <w:t>”). For each (1) 2018 Plan Returning Share subject to a Full Value Award or (2) Prior Plans’ Returning Share subject to a stock award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than a Prior Plans’ Appreciation Award, the number of shares of Common Stock available for issuance under the Plan will increase by one and one tenths (1.1) shares.</w:t>
      </w:r>
    </w:p>
    <w:p>
      <w:pPr>
        <w:spacing w:after="0" w:line="188" w:lineRule="exact"/>
        <w:rPr>
          <w:rFonts w:ascii="Times New Roman" w:cs="Times New Roman" w:eastAsia="Times New Roman" w:hAnsi="Times New Roman"/>
          <w:sz w:val="18"/>
          <w:szCs w:val="18"/>
          <w:b w:val="1"/>
          <w:bCs w:val="1"/>
          <w:color w:val="auto"/>
        </w:rPr>
      </w:pPr>
    </w:p>
    <w:p>
      <w:pPr>
        <w:ind w:right="20" w:firstLine="1505"/>
        <w:spacing w:after="0" w:line="256" w:lineRule="auto"/>
        <w:tabs>
          <w:tab w:leader="none" w:pos="1857" w:val="left"/>
        </w:tabs>
        <w:numPr>
          <w:ilvl w:val="2"/>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Shares Not Available For Subsequent Issuance. </w:t>
      </w:r>
      <w:r>
        <w:rPr>
          <w:rFonts w:ascii="Times New Roman" w:cs="Times New Roman" w:eastAsia="Times New Roman" w:hAnsi="Times New Roman"/>
          <w:sz w:val="18"/>
          <w:szCs w:val="18"/>
          <w:color w:val="auto"/>
        </w:rPr>
        <w:t>Any shares of Common Stock reacquired or withheld (or not issued)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to satisfy the exercise or purchase price of a Stock Award will no longer be available for issuance under the Plan, including any shares subject to a Stock Award that are not delivered to a Participant because such Stock Award is exercised through a reduction of shares subject to such Stock Award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“net exercised”). In addition, any shares reacquired or withheld (or not issued) by the Company to satisfy a tax withholding obligation in connection with an Option or Stock Appreciation Right or a Prior Plans’ Appreciation Award, or any shares repurchased by the Company on the open market with the proceeds of the exercise or strike price of an Option or Stock Appreciation Right or a Prior Plans’ Appreciation Award will no longer be available for issuance under the Plan.</w:t>
      </w:r>
    </w:p>
    <w:p>
      <w:pPr>
        <w:spacing w:after="0" w:line="182" w:lineRule="exact"/>
        <w:rPr>
          <w:rFonts w:ascii="Times New Roman" w:cs="Times New Roman" w:eastAsia="Times New Roman" w:hAnsi="Times New Roman"/>
          <w:sz w:val="18"/>
          <w:szCs w:val="18"/>
          <w:b w:val="1"/>
          <w:bCs w:val="1"/>
          <w:color w:val="auto"/>
        </w:rPr>
      </w:pPr>
    </w:p>
    <w:p>
      <w:pPr>
        <w:ind w:right="40" w:firstLine="757"/>
        <w:spacing w:after="0" w:line="268" w:lineRule="auto"/>
        <w:tabs>
          <w:tab w:leader="none" w:pos="1109"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Incentive Stock Option Limit. </w:t>
      </w:r>
      <w:r>
        <w:rPr>
          <w:rFonts w:ascii="Times New Roman" w:cs="Times New Roman" w:eastAsia="Times New Roman" w:hAnsi="Times New Roman"/>
          <w:sz w:val="18"/>
          <w:szCs w:val="18"/>
          <w:color w:val="auto"/>
        </w:rPr>
        <w:t>Subject to the Share Reserve and Section 9(a) relating to Capitalization Adjustments, the aggregate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maximum number of shares of Common Stock that may be issued pursuant to the exercise of Incentive Stock Options will be 9,000,000 shares of Common Stock.</w:t>
      </w:r>
    </w:p>
    <w:p>
      <w:pPr>
        <w:spacing w:after="0" w:line="170" w:lineRule="exact"/>
        <w:rPr>
          <w:rFonts w:ascii="Times New Roman" w:cs="Times New Roman" w:eastAsia="Times New Roman" w:hAnsi="Times New Roman"/>
          <w:sz w:val="18"/>
          <w:szCs w:val="18"/>
          <w:b w:val="1"/>
          <w:bCs w:val="1"/>
          <w:color w:val="auto"/>
        </w:rPr>
      </w:pPr>
    </w:p>
    <w:p>
      <w:pPr>
        <w:ind w:right="420" w:firstLine="757"/>
        <w:spacing w:after="0" w:line="286" w:lineRule="auto"/>
        <w:tabs>
          <w:tab w:leader="none" w:pos="1109" w:val="left"/>
        </w:tabs>
        <w:numPr>
          <w:ilvl w:val="1"/>
          <w:numId w:val="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Source of Shares. </w:t>
      </w:r>
      <w:r>
        <w:rPr>
          <w:rFonts w:ascii="Times New Roman" w:cs="Times New Roman" w:eastAsia="Times New Roman" w:hAnsi="Times New Roman"/>
          <w:sz w:val="18"/>
          <w:szCs w:val="18"/>
          <w:color w:val="auto"/>
        </w:rPr>
        <w:t>The stock issuable under the Plan will be shares of authorized but unissued or reacquired Common Stock,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repurchased by the Company on the open market or otherwise.</w:t>
      </w:r>
    </w:p>
    <w:p>
      <w:pPr>
        <w:spacing w:after="0" w:line="154"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ligibility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firstLine="757"/>
        <w:spacing w:after="0" w:line="256" w:lineRule="auto"/>
        <w:tabs>
          <w:tab w:leader="none" w:pos="1109"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Eligibility for Specific Stock Awards. </w:t>
      </w:r>
      <w:r>
        <w:rPr>
          <w:rFonts w:ascii="Times New Roman" w:cs="Times New Roman" w:eastAsia="Times New Roman" w:hAnsi="Times New Roman"/>
          <w:sz w:val="18"/>
          <w:szCs w:val="18"/>
          <w:color w:val="auto"/>
        </w:rPr>
        <w:t>Incentive Stock Options may be granted only to employees of the Company or a “parent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corporation” or “subsidiary corporation” thereof (as such terms are defined in Sections 424(e) and 424(f) of the Code). Stock Awards other than Incentive Stock Options may be granted to Employees, Directors and Consultants; provided, however, that Stock Awards may not be granted to Employees, Directors and Consultants who are providing Continuous Service only to any “parent” of the Company, as such term is defined in Rule 405, unless (i) the stock underlying such Stock Awards is treated as “service recipient stock” under Section 409A of the Code (for example, because the Stock Awards are granted pursuant to a corporate transaction such as a spin off transaction) or (ii) the Company, in consultation with its legal counsel, has determined that such Stock Awards are otherwise exempt from or alternatively comply with the distribution requirements of Section 409A of the Code.</w:t>
      </w:r>
    </w:p>
    <w:p>
      <w:pPr>
        <w:spacing w:after="0" w:line="182" w:lineRule="exact"/>
        <w:rPr>
          <w:rFonts w:ascii="Times New Roman" w:cs="Times New Roman" w:eastAsia="Times New Roman" w:hAnsi="Times New Roman"/>
          <w:sz w:val="18"/>
          <w:szCs w:val="18"/>
          <w:b w:val="1"/>
          <w:bCs w:val="1"/>
          <w:color w:val="auto"/>
        </w:rPr>
      </w:pPr>
    </w:p>
    <w:p>
      <w:pPr>
        <w:ind w:right="340" w:firstLine="757"/>
        <w:spacing w:after="0" w:line="268" w:lineRule="auto"/>
        <w:tabs>
          <w:tab w:leader="none" w:pos="1109" w:val="left"/>
        </w:tabs>
        <w:numPr>
          <w:ilvl w:val="1"/>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Ten Percent Stockholders. </w:t>
      </w:r>
      <w:r>
        <w:rPr>
          <w:rFonts w:ascii="Times New Roman" w:cs="Times New Roman" w:eastAsia="Times New Roman" w:hAnsi="Times New Roman"/>
          <w:sz w:val="18"/>
          <w:szCs w:val="18"/>
          <w:color w:val="auto"/>
        </w:rPr>
        <w:t>A Ten Percent Stockholder will not be granted an Incentive Stock Option unless the exercise price of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Option is at least 110% of the Fair Market Value on the date of grant and the Option is not exercisable after the expiration of five years from the date of grant.</w:t>
      </w:r>
    </w:p>
    <w:p>
      <w:pPr>
        <w:spacing w:after="0" w:line="171" w:lineRule="exact"/>
        <w:rPr>
          <w:sz w:val="20"/>
          <w:szCs w:val="20"/>
          <w:color w:val="auto"/>
        </w:rPr>
      </w:pPr>
    </w:p>
    <w:p>
      <w:pPr>
        <w:jc w:val="both"/>
        <w:ind w:right="180" w:firstLine="757"/>
        <w:spacing w:after="0" w:line="262" w:lineRule="auto"/>
        <w:tabs>
          <w:tab w:leader="none" w:pos="1109" w:val="left"/>
        </w:tabs>
        <w:numPr>
          <w:ilvl w:val="1"/>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Limitation on Grants to Non-Employee Directors. </w:t>
      </w:r>
      <w:r>
        <w:rPr>
          <w:rFonts w:ascii="Times New Roman" w:cs="Times New Roman" w:eastAsia="Times New Roman" w:hAnsi="Times New Roman"/>
          <w:sz w:val="18"/>
          <w:szCs w:val="18"/>
          <w:color w:val="auto"/>
        </w:rPr>
        <w:t>The maximum number of shares of Common Stock subject to Stock Awards granted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Plan or otherwise during any one calendar year to any Non-Employee Director, taken together with any cash fees paid by the Company to such Non-Employee Director during such calendar year for service on the Board, will not exceed $500,000 in total value (calculating the value of any such Stock Awards based on the grant date fair value of such Stock Awards for financial reporting purposes).</w:t>
      </w:r>
    </w:p>
    <w:p>
      <w:pPr>
        <w:spacing w:after="0" w:line="176"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rovisions</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elating to</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ptions and</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ppreciation</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20" w:firstLine="749"/>
        <w:spacing w:after="0" w:line="255" w:lineRule="auto"/>
        <w:rPr>
          <w:sz w:val="20"/>
          <w:szCs w:val="20"/>
          <w:color w:val="auto"/>
        </w:rPr>
      </w:pPr>
      <w:r>
        <w:rPr>
          <w:rFonts w:ascii="Times New Roman" w:cs="Times New Roman" w:eastAsia="Times New Roman" w:hAnsi="Times New Roman"/>
          <w:sz w:val="18"/>
          <w:szCs w:val="18"/>
          <w:color w:val="auto"/>
        </w:rPr>
        <w:t xml:space="preserve">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each Stock Award Agreement will conform to (through incorporation of provisions hereof by reference in the applicable Stock Award Agreement or otherwise) the substance of each of the following provisions: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8" w:name="page89"/>
    <w:bookmarkEnd w:id="88"/>
    <w:p>
      <w:pPr>
        <w:ind w:right="660" w:firstLine="757"/>
        <w:spacing w:after="0" w:line="286" w:lineRule="auto"/>
        <w:tabs>
          <w:tab w:leader="none" w:pos="1109"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 </w:t>
      </w:r>
      <w:r>
        <w:rPr>
          <w:rFonts w:ascii="Times New Roman" w:cs="Times New Roman" w:eastAsia="Times New Roman" w:hAnsi="Times New Roman"/>
          <w:sz w:val="18"/>
          <w:szCs w:val="18"/>
          <w:color w:val="auto"/>
        </w:rPr>
        <w:t>Subject to the provisions of Section 4(b) regarding Ten Percent Stockholders, no Option or SAR will be exercisable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expiration of ten years from the date of its grant or such shorter period specified in the Stock Award Agreement.</w:t>
      </w:r>
    </w:p>
    <w:p>
      <w:pPr>
        <w:spacing w:after="0" w:line="154" w:lineRule="exact"/>
        <w:rPr>
          <w:rFonts w:ascii="Times New Roman" w:cs="Times New Roman" w:eastAsia="Times New Roman" w:hAnsi="Times New Roman"/>
          <w:sz w:val="18"/>
          <w:szCs w:val="18"/>
          <w:b w:val="1"/>
          <w:bCs w:val="1"/>
          <w:color w:val="auto"/>
        </w:rPr>
      </w:pPr>
    </w:p>
    <w:p>
      <w:pPr>
        <w:ind w:right="120" w:firstLine="757"/>
        <w:spacing w:after="0" w:line="257" w:lineRule="auto"/>
        <w:tabs>
          <w:tab w:leader="none" w:pos="1109"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Price. </w:t>
      </w:r>
      <w:r>
        <w:rPr>
          <w:rFonts w:ascii="Times New Roman" w:cs="Times New Roman" w:eastAsia="Times New Roman" w:hAnsi="Times New Roman"/>
          <w:sz w:val="18"/>
          <w:szCs w:val="18"/>
          <w:color w:val="auto"/>
        </w:rPr>
        <w:t>Subject to the provisions of Section 4(b) regarding Ten Percent Stockholders, the exercise or strike price of each Option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SAR will be not less than 100% of the Fair Market Value of the Common Stock subject to the Option or SAR on the date the Stock Award is granted. Notwithstanding the foregoing, an Option or SAR may be granted with an exercise or strike price lower than 100% of the Fair Market Value of the Common Stock subject to the Stock Award if such Stock Award is granted pursuant to an assumption of or substitution for another option or stock appreciation right pursuant to a Corporate Transaction and in a manner consistent with the provisions of Section 409A of the Code and, if applicable, Section 424(a) of the Code. Each SAR will be denominated in shares of Common Stock equivalents.</w:t>
      </w:r>
    </w:p>
    <w:p>
      <w:pPr>
        <w:spacing w:after="0" w:line="182" w:lineRule="exact"/>
        <w:rPr>
          <w:rFonts w:ascii="Times New Roman" w:cs="Times New Roman" w:eastAsia="Times New Roman" w:hAnsi="Times New Roman"/>
          <w:sz w:val="18"/>
          <w:szCs w:val="18"/>
          <w:b w:val="1"/>
          <w:bCs w:val="1"/>
          <w:color w:val="auto"/>
        </w:rPr>
      </w:pPr>
    </w:p>
    <w:p>
      <w:pPr>
        <w:ind w:right="180" w:firstLine="757"/>
        <w:spacing w:after="0" w:line="259" w:lineRule="auto"/>
        <w:tabs>
          <w:tab w:leader="none" w:pos="1109"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Purchase Price for Options. </w:t>
      </w:r>
      <w:r>
        <w:rPr>
          <w:rFonts w:ascii="Times New Roman" w:cs="Times New Roman" w:eastAsia="Times New Roman" w:hAnsi="Times New Roman"/>
          <w:sz w:val="18"/>
          <w:szCs w:val="18"/>
          <w:color w:val="auto"/>
        </w:rPr>
        <w:t>The purchase price of Common Stock acquired pursuant to the exercise of an Option may be paid,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extent permitted by applicable law and as determined by the Board in its sole discretion, by any combination of the methods of payment set forth below. The Board will have the authority to grant Options that do not permit all of the following methods of payment (or that otherwise restrict the ability to use certain methods) and to grant Options that require the consent of the Company to use a particular method of payment. The permitted methods of payment are as follows:</w:t>
      </w:r>
    </w:p>
    <w:p>
      <w:pPr>
        <w:spacing w:after="0" w:line="183" w:lineRule="exact"/>
        <w:rPr>
          <w:rFonts w:ascii="Times New Roman" w:cs="Times New Roman" w:eastAsia="Times New Roman" w:hAnsi="Times New Roman"/>
          <w:sz w:val="18"/>
          <w:szCs w:val="18"/>
          <w:b w:val="1"/>
          <w:bCs w:val="1"/>
          <w:color w:val="auto"/>
        </w:rPr>
      </w:pPr>
    </w:p>
    <w:p>
      <w:pPr>
        <w:ind w:left="1860" w:hanging="355"/>
        <w:spacing w:after="0"/>
        <w:tabs>
          <w:tab w:leader="none" w:pos="1860"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cash, check, bank draft or money order payable to the Company;</w:t>
      </w:r>
    </w:p>
    <w:p>
      <w:pPr>
        <w:spacing w:after="0" w:line="225" w:lineRule="exact"/>
        <w:rPr>
          <w:rFonts w:ascii="Times New Roman" w:cs="Times New Roman" w:eastAsia="Times New Roman" w:hAnsi="Times New Roman"/>
          <w:sz w:val="18"/>
          <w:szCs w:val="18"/>
          <w:b w:val="1"/>
          <w:bCs w:val="1"/>
          <w:color w:val="auto"/>
        </w:rPr>
      </w:pPr>
    </w:p>
    <w:p>
      <w:pPr>
        <w:ind w:right="40" w:firstLine="1505"/>
        <w:spacing w:after="0" w:line="266" w:lineRule="auto"/>
        <w:tabs>
          <w:tab w:leader="none" w:pos="1857"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pursuant to a program developed under Regulation T as promulgated by the Federal Reserve Board that, prior to the issuance of the Common Stock subject to the Option, results in either the receipt of cash (or check) by the Company or the receipt of irrevocable instructions to pay the aggregate exercise price to the Company from the sales proceeds;</w:t>
      </w:r>
    </w:p>
    <w:p>
      <w:pPr>
        <w:spacing w:after="0" w:line="175" w:lineRule="exact"/>
        <w:rPr>
          <w:rFonts w:ascii="Times New Roman" w:cs="Times New Roman" w:eastAsia="Times New Roman" w:hAnsi="Times New Roman"/>
          <w:sz w:val="18"/>
          <w:szCs w:val="18"/>
          <w:b w:val="1"/>
          <w:bCs w:val="1"/>
          <w:color w:val="auto"/>
        </w:rPr>
      </w:pPr>
    </w:p>
    <w:p>
      <w:pPr>
        <w:ind w:left="1860" w:hanging="355"/>
        <w:spacing w:after="0"/>
        <w:tabs>
          <w:tab w:leader="none" w:pos="1860"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by delivery to the Company (either by actual delivery or attestation) of shares of Common Stock;</w:t>
      </w:r>
    </w:p>
    <w:p>
      <w:pPr>
        <w:spacing w:after="0" w:line="225" w:lineRule="exact"/>
        <w:rPr>
          <w:rFonts w:ascii="Times New Roman" w:cs="Times New Roman" w:eastAsia="Times New Roman" w:hAnsi="Times New Roman"/>
          <w:sz w:val="18"/>
          <w:szCs w:val="18"/>
          <w:b w:val="1"/>
          <w:bCs w:val="1"/>
          <w:color w:val="auto"/>
        </w:rPr>
      </w:pPr>
    </w:p>
    <w:p>
      <w:pPr>
        <w:ind w:right="60" w:firstLine="1505"/>
        <w:spacing w:after="0" w:line="255" w:lineRule="auto"/>
        <w:tabs>
          <w:tab w:leader="none" w:pos="1857"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if an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used to pay the exercise price pursuant to the “net exercise,” (B) shares are delivered to the Participant as a result of such exercise, and (C) shares are withheld to satisfy tax withholding obligations; or</w:t>
      </w:r>
    </w:p>
    <w:p>
      <w:pPr>
        <w:spacing w:after="0" w:line="188" w:lineRule="exact"/>
        <w:rPr>
          <w:rFonts w:ascii="Times New Roman" w:cs="Times New Roman" w:eastAsia="Times New Roman" w:hAnsi="Times New Roman"/>
          <w:sz w:val="18"/>
          <w:szCs w:val="18"/>
          <w:b w:val="1"/>
          <w:bCs w:val="1"/>
          <w:color w:val="auto"/>
        </w:rPr>
      </w:pPr>
    </w:p>
    <w:p>
      <w:pPr>
        <w:ind w:left="1860" w:hanging="355"/>
        <w:spacing w:after="0"/>
        <w:tabs>
          <w:tab w:leader="none" w:pos="1860"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any other form of legal consideration that may be acceptable to the Board and specified in the applicable Stock Award</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Agreement.</w:t>
      </w:r>
    </w:p>
    <w:p>
      <w:pPr>
        <w:spacing w:after="0" w:line="202" w:lineRule="exact"/>
        <w:rPr>
          <w:rFonts w:ascii="Times New Roman" w:cs="Times New Roman" w:eastAsia="Times New Roman" w:hAnsi="Times New Roman"/>
          <w:sz w:val="18"/>
          <w:szCs w:val="18"/>
          <w:b w:val="1"/>
          <w:bCs w:val="1"/>
          <w:color w:val="auto"/>
        </w:rPr>
      </w:pPr>
    </w:p>
    <w:p>
      <w:pPr>
        <w:ind w:firstLine="757"/>
        <w:spacing w:after="0" w:line="256" w:lineRule="auto"/>
        <w:tabs>
          <w:tab w:leader="none" w:pos="1109"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Exercise and Payment of a SAR. </w:t>
      </w:r>
      <w:r>
        <w:rPr>
          <w:rFonts w:ascii="Times New Roman" w:cs="Times New Roman" w:eastAsia="Times New Roman" w:hAnsi="Times New Roman"/>
          <w:sz w:val="18"/>
          <w:szCs w:val="18"/>
          <w:color w:val="auto"/>
        </w:rPr>
        <w:t>To exercise any outstanding SAR, the Participant must provide written notice of exercise to the Company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compliance with the provisions of the Stock Award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Stock Award Agreement evidencing such SAR.</w:t>
      </w:r>
    </w:p>
    <w:p>
      <w:pPr>
        <w:spacing w:after="0" w:line="182" w:lineRule="exact"/>
        <w:rPr>
          <w:rFonts w:ascii="Times New Roman" w:cs="Times New Roman" w:eastAsia="Times New Roman" w:hAnsi="Times New Roman"/>
          <w:sz w:val="18"/>
          <w:szCs w:val="18"/>
          <w:b w:val="1"/>
          <w:bCs w:val="1"/>
          <w:color w:val="auto"/>
        </w:rPr>
      </w:pPr>
    </w:p>
    <w:p>
      <w:pPr>
        <w:jc w:val="both"/>
        <w:ind w:right="120" w:firstLine="757"/>
        <w:spacing w:after="0" w:line="262" w:lineRule="auto"/>
        <w:tabs>
          <w:tab w:leader="none" w:pos="1109"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of Options and SARs. </w:t>
      </w:r>
      <w:r>
        <w:rPr>
          <w:rFonts w:ascii="Times New Roman" w:cs="Times New Roman" w:eastAsia="Times New Roman" w:hAnsi="Times New Roman"/>
          <w:sz w:val="18"/>
          <w:szCs w:val="18"/>
          <w:color w:val="auto"/>
        </w:rPr>
        <w:t>The Board may, in its sole discretion, impose such limitations on the transferability of Options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SARs as the Board will determine. In the absence of such a determination by the Board to the contrary, the restrictions set forth in this Section 5(e) on the transferability of Options and SARs will apply. Notwithstanding the foregoing or anything in the Plan or a Stock Award Agreement to the contrary, no Option or SAR may be transferred to any financial institution without prior stockholder approval.</w:t>
      </w:r>
    </w:p>
    <w:p>
      <w:pPr>
        <w:spacing w:after="0" w:line="176" w:lineRule="exact"/>
        <w:rPr>
          <w:rFonts w:ascii="Times New Roman" w:cs="Times New Roman" w:eastAsia="Times New Roman" w:hAnsi="Times New Roman"/>
          <w:sz w:val="18"/>
          <w:szCs w:val="18"/>
          <w:b w:val="1"/>
          <w:bCs w:val="1"/>
          <w:color w:val="auto"/>
        </w:rPr>
      </w:pPr>
    </w:p>
    <w:p>
      <w:pPr>
        <w:jc w:val="both"/>
        <w:ind w:right="20" w:firstLine="1505"/>
        <w:spacing w:after="0" w:line="262" w:lineRule="auto"/>
        <w:tabs>
          <w:tab w:leader="none" w:pos="1857"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Restrictions on Transfer. </w:t>
      </w:r>
      <w:r>
        <w:rPr>
          <w:rFonts w:ascii="Times New Roman" w:cs="Times New Roman" w:eastAsia="Times New Roman" w:hAnsi="Times New Roman"/>
          <w:sz w:val="18"/>
          <w:szCs w:val="18"/>
          <w:color w:val="auto"/>
        </w:rPr>
        <w:t>An Option or SAR will not be transferable except by will or by the laws of descent and distribution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pursuant to Sections 5(e)(ii) and 5(e)(iii) below) and will be exercisable during the lifetime of the Participant only by the Participant. Subject to the foregoing paragraph, the Board may permit transfer of the Option or SAR in a manner that is not prohibited by applicable tax and securities laws. Except as explicitly provided in the Plan, neither an Option nor a SAR may be transferred for consideration.</w:t>
      </w:r>
    </w:p>
    <w:p>
      <w:pPr>
        <w:spacing w:after="0" w:line="176" w:lineRule="exact"/>
        <w:rPr>
          <w:rFonts w:ascii="Times New Roman" w:cs="Times New Roman" w:eastAsia="Times New Roman" w:hAnsi="Times New Roman"/>
          <w:sz w:val="18"/>
          <w:szCs w:val="18"/>
          <w:b w:val="1"/>
          <w:bCs w:val="1"/>
          <w:color w:val="auto"/>
        </w:rPr>
      </w:pPr>
    </w:p>
    <w:p>
      <w:pPr>
        <w:ind w:right="600" w:firstLine="1505"/>
        <w:spacing w:after="0" w:line="286" w:lineRule="auto"/>
        <w:tabs>
          <w:tab w:leader="none" w:pos="1857"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Domestic Relations Orders. </w:t>
      </w:r>
      <w:r>
        <w:rPr>
          <w:rFonts w:ascii="Times New Roman" w:cs="Times New Roman" w:eastAsia="Times New Roman" w:hAnsi="Times New Roman"/>
          <w:sz w:val="18"/>
          <w:szCs w:val="18"/>
          <w:color w:val="auto"/>
        </w:rPr>
        <w:t>Subject to the approval of the Board or a duly authorized Officer, an Option or SAR may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transferred pursuant to the terms of a domestic relations order, official marital settlement agreement or other divorce or</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9" w:name="page90"/>
    <w:bookmarkEnd w:id="89"/>
    <w:p>
      <w:pPr>
        <w:ind w:right="140"/>
        <w:spacing w:after="0" w:line="282" w:lineRule="auto"/>
        <w:rPr>
          <w:sz w:val="20"/>
          <w:szCs w:val="20"/>
          <w:color w:val="auto"/>
        </w:rPr>
      </w:pPr>
      <w:r>
        <w:rPr>
          <w:rFonts w:ascii="Times New Roman" w:cs="Times New Roman" w:eastAsia="Times New Roman" w:hAnsi="Times New Roman"/>
          <w:sz w:val="18"/>
          <w:szCs w:val="18"/>
          <w:color w:val="auto"/>
        </w:rPr>
        <w:t>separation instrument as permitted by Treasury Regulations Section 1.421-1(b)(2). If an Option is an Incentive Stock Option, such Option may be deemed to be a Nonstatutory Stock Option as a result of such transfer.</w:t>
      </w:r>
    </w:p>
    <w:p>
      <w:pPr>
        <w:spacing w:after="0" w:line="158" w:lineRule="exact"/>
        <w:rPr>
          <w:sz w:val="20"/>
          <w:szCs w:val="20"/>
          <w:color w:val="auto"/>
        </w:rPr>
      </w:pPr>
    </w:p>
    <w:p>
      <w:pPr>
        <w:ind w:right="80" w:firstLine="1505"/>
        <w:spacing w:after="0" w:line="256" w:lineRule="auto"/>
        <w:tabs>
          <w:tab w:leader="none" w:pos="1857" w:val="left"/>
        </w:tabs>
        <w:numPr>
          <w:ilvl w:val="1"/>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Beneficiary Designation. </w:t>
      </w:r>
      <w:r>
        <w:rPr>
          <w:rFonts w:ascii="Times New Roman" w:cs="Times New Roman" w:eastAsia="Times New Roman" w:hAnsi="Times New Roman"/>
          <w:sz w:val="18"/>
          <w:szCs w:val="18"/>
          <w:color w:val="auto"/>
        </w:rPr>
        <w:t>Subject to the approval of the Board or a duly authorized Officer, a Participant may, by delivering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notice to the Company, in a form approved by the Company (or the designated broker), designate a third party who, upon the death of the Participant, will thereafter be entitled to exercise the Option or SAR and receive the Common Stock or other consideration resulting from such exercise. In the absence of such a designation, upon the death of the Participant,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182" w:lineRule="exact"/>
        <w:rPr>
          <w:rFonts w:ascii="Times New Roman" w:cs="Times New Roman" w:eastAsia="Times New Roman" w:hAnsi="Times New Roman"/>
          <w:sz w:val="18"/>
          <w:szCs w:val="18"/>
          <w:b w:val="1"/>
          <w:bCs w:val="1"/>
          <w:color w:val="auto"/>
        </w:rPr>
      </w:pPr>
    </w:p>
    <w:p>
      <w:pPr>
        <w:ind w:right="20" w:firstLine="757"/>
        <w:spacing w:after="0" w:line="259" w:lineRule="auto"/>
        <w:tabs>
          <w:tab w:leader="none" w:pos="1109"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Generally. </w:t>
      </w:r>
      <w:r>
        <w:rPr>
          <w:rFonts w:ascii="Times New Roman" w:cs="Times New Roman" w:eastAsia="Times New Roman" w:hAnsi="Times New Roman"/>
          <w:sz w:val="18"/>
          <w:szCs w:val="18"/>
          <w:color w:val="auto"/>
        </w:rPr>
        <w:t>The total number of shares of Common Stock subject to an Option or SAR may vest and become exercisable in periodic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179" w:lineRule="exact"/>
        <w:rPr>
          <w:rFonts w:ascii="Times New Roman" w:cs="Times New Roman" w:eastAsia="Times New Roman" w:hAnsi="Times New Roman"/>
          <w:sz w:val="18"/>
          <w:szCs w:val="18"/>
          <w:b w:val="1"/>
          <w:bCs w:val="1"/>
          <w:color w:val="auto"/>
        </w:rPr>
      </w:pPr>
    </w:p>
    <w:p>
      <w:pPr>
        <w:ind w:firstLine="757"/>
        <w:spacing w:after="0" w:line="256" w:lineRule="auto"/>
        <w:tabs>
          <w:tab w:leader="none" w:pos="1109"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Continuous Service. </w:t>
      </w:r>
      <w:r>
        <w:rPr>
          <w:rFonts w:ascii="Times New Roman" w:cs="Times New Roman" w:eastAsia="Times New Roman" w:hAnsi="Times New Roman"/>
          <w:sz w:val="18"/>
          <w:szCs w:val="18"/>
          <w:color w:val="auto"/>
        </w:rPr>
        <w:t>Except as otherwise provided in the applicable Stock Award Agreement or other agreement between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Participant and the Company or an Affiliate, if a Participant’s Continuous Service terminates (other than for Cause and other than upon the Participant’s death or Disability), the Participant may exercise his or her Option or SAR (to the extent that the Participant was entitled to exercise such Option or SAR as of the date of termination of Continuous Service), but only within such period of time ending on the earlier of (i) the date three months following such termination of Continuous Service (or such longer or shorter period specified in the Stock Award Agreement), and (ii) the expiration of the term of the Option or SAR as set forth in the Stock Award Agreement. If, after termination of Continuous Service, the Participant does not exercise his or her Option or SAR (as applicable) within the applicable time frame, the Option or SAR (as applicable) will terminate.</w:t>
      </w:r>
    </w:p>
    <w:p>
      <w:pPr>
        <w:spacing w:after="0" w:line="182" w:lineRule="exact"/>
        <w:rPr>
          <w:rFonts w:ascii="Times New Roman" w:cs="Times New Roman" w:eastAsia="Times New Roman" w:hAnsi="Times New Roman"/>
          <w:sz w:val="18"/>
          <w:szCs w:val="18"/>
          <w:b w:val="1"/>
          <w:bCs w:val="1"/>
          <w:color w:val="auto"/>
        </w:rPr>
      </w:pPr>
    </w:p>
    <w:p>
      <w:pPr>
        <w:ind w:right="40" w:firstLine="757"/>
        <w:spacing w:after="0" w:line="253" w:lineRule="auto"/>
        <w:tabs>
          <w:tab w:leader="none" w:pos="1109"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Extension of Termination Date. </w:t>
      </w:r>
      <w:r>
        <w:rPr>
          <w:rFonts w:ascii="Times New Roman" w:cs="Times New Roman" w:eastAsia="Times New Roman" w:hAnsi="Times New Roman"/>
          <w:sz w:val="18"/>
          <w:szCs w:val="18"/>
          <w:color w:val="auto"/>
        </w:rPr>
        <w:t>Except as otherwise provided in the applicable Stock Award Agreement or other agreement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and the Company or an Affiliate, if the exercise of an Option or SAR following the termination of the Participant’s Continuous Service (other 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post-termination exercise period after the termination of the Participant’s Continuous Service during which the exercise of the Option or SAR would not be in violation of such registration requirements, or (ii) the expiration of the term of the Option or SAR as set forth in the applicable Stock Award Agreement. In addition, unless otherwise provided in a Participant’s Stock Award Agreement, if the sale of any Common Stock received upon exercise of an Option or SAR following the termination of the Participant’s Continuous Service (other than for Cause) would violate the Company’s insider trading policy, then the Option or SAR will terminate on the earlier of (i) the expiration of a period of time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Stock Award Agreement.</w:t>
      </w:r>
    </w:p>
    <w:p>
      <w:pPr>
        <w:spacing w:after="0" w:line="189" w:lineRule="exact"/>
        <w:rPr>
          <w:rFonts w:ascii="Times New Roman" w:cs="Times New Roman" w:eastAsia="Times New Roman" w:hAnsi="Times New Roman"/>
          <w:sz w:val="18"/>
          <w:szCs w:val="18"/>
          <w:b w:val="1"/>
          <w:bCs w:val="1"/>
          <w:color w:val="auto"/>
        </w:rPr>
      </w:pPr>
    </w:p>
    <w:p>
      <w:pPr>
        <w:ind w:firstLine="757"/>
        <w:spacing w:after="0" w:line="256" w:lineRule="auto"/>
        <w:tabs>
          <w:tab w:leader="none" w:pos="1109"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Disability of Participant. </w:t>
      </w:r>
      <w:r>
        <w:rPr>
          <w:rFonts w:ascii="Times New Roman" w:cs="Times New Roman" w:eastAsia="Times New Roman" w:hAnsi="Times New Roman"/>
          <w:sz w:val="18"/>
          <w:szCs w:val="18"/>
          <w:color w:val="auto"/>
        </w:rPr>
        <w:t>Except as otherwise provided in the applicable Stock Award Agreement or other agreement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and the Company or an Affiliate,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12 months following such termination of Continuous Service (or such longer or shorter period specified in the Stock Award Agreement), and (ii) the expiration of the term of the Option or SAR as set forth in the Stock Award Agreement. If, after termination of Continuous Service, the Participant does not exercise his or her Option or SAR (as applicable) within the applicable time frame, the Option or SAR (as applicable) will terminate.</w:t>
      </w:r>
    </w:p>
    <w:p>
      <w:pPr>
        <w:spacing w:after="0" w:line="182" w:lineRule="exact"/>
        <w:rPr>
          <w:rFonts w:ascii="Times New Roman" w:cs="Times New Roman" w:eastAsia="Times New Roman" w:hAnsi="Times New Roman"/>
          <w:sz w:val="18"/>
          <w:szCs w:val="18"/>
          <w:b w:val="1"/>
          <w:bCs w:val="1"/>
          <w:color w:val="auto"/>
        </w:rPr>
      </w:pPr>
    </w:p>
    <w:p>
      <w:pPr>
        <w:ind w:right="120" w:firstLine="757"/>
        <w:spacing w:after="0" w:line="256" w:lineRule="auto"/>
        <w:tabs>
          <w:tab w:leader="none" w:pos="1109"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Death of Participant. </w:t>
      </w:r>
      <w:r>
        <w:rPr>
          <w:rFonts w:ascii="Times New Roman" w:cs="Times New Roman" w:eastAsia="Times New Roman" w:hAnsi="Times New Roman"/>
          <w:sz w:val="18"/>
          <w:szCs w:val="18"/>
          <w:color w:val="auto"/>
        </w:rPr>
        <w:t>Except as otherwise provided in the applicable Stock Award Agreement or other agreement between the Participant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Company or an Affiliate, if (i) a Participant’s Continuous Service terminates as a result of the Participant’s death, or (ii) the Participant dies within the period (if any) specified in the Stock Award Agreement for exercisability after the termination of the Participant’s Continuous Service (for a reason other than death), then the Participant’s Option or SAR may be exercised (to the extent that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such period of time ending on the earlier of (i) the date 18 months following the date of death (or such longer or shorter period specified in the Stock Award Agreement), and (ii) the expiration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ind w:right="340"/>
        <w:spacing w:after="0" w:line="282" w:lineRule="auto"/>
        <w:rPr>
          <w:sz w:val="20"/>
          <w:szCs w:val="20"/>
          <w:color w:val="auto"/>
        </w:rPr>
      </w:pPr>
      <w:r>
        <w:rPr>
          <w:rFonts w:ascii="Times New Roman" w:cs="Times New Roman" w:eastAsia="Times New Roman" w:hAnsi="Times New Roman"/>
          <w:sz w:val="18"/>
          <w:szCs w:val="18"/>
          <w:color w:val="auto"/>
        </w:rPr>
        <w:t>of the term of such Option or SAR as set forth in the Stock Award Agreement. If, after the Participant’s death, the Option or SAR (as applicable) is not exercised within the applicable time frame, the Option or SAR (as applicable) will terminate.</w:t>
      </w:r>
    </w:p>
    <w:p>
      <w:pPr>
        <w:spacing w:after="0" w:line="158" w:lineRule="exact"/>
        <w:rPr>
          <w:sz w:val="20"/>
          <w:szCs w:val="20"/>
          <w:color w:val="auto"/>
        </w:rPr>
      </w:pPr>
    </w:p>
    <w:p>
      <w:pPr>
        <w:ind w:firstLine="757"/>
        <w:spacing w:after="0" w:line="256" w:lineRule="auto"/>
        <w:tabs>
          <w:tab w:leader="none" w:pos="1109" w:val="left"/>
        </w:tabs>
        <w:numPr>
          <w:ilvl w:val="1"/>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due to Retirement. </w:t>
      </w:r>
      <w:r>
        <w:rPr>
          <w:rFonts w:ascii="Times New Roman" w:cs="Times New Roman" w:eastAsia="Times New Roman" w:hAnsi="Times New Roman"/>
          <w:sz w:val="18"/>
          <w:szCs w:val="18"/>
          <w:color w:val="auto"/>
        </w:rPr>
        <w:t>Except as otherwise provided in the applicable Award Agreement or other agreement between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and the Company, if a Participant’s Continuous Service terminates as a result of the Participant’s Retirement, the Participant may exercise his or her Option or SAR (to the extent that the Participant was entitled to exercise such Option or SAR as of the date of termination of Continuous Service), but only within such period of time ending on the earlier of (i) the date twenty-four (24) months following such termination of Continuous Service (or such longer or shorter period specified in the Award Agreement),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spacing w:after="0" w:line="182" w:lineRule="exact"/>
        <w:rPr>
          <w:rFonts w:ascii="Times New Roman" w:cs="Times New Roman" w:eastAsia="Times New Roman" w:hAnsi="Times New Roman"/>
          <w:sz w:val="18"/>
          <w:szCs w:val="18"/>
          <w:b w:val="1"/>
          <w:bCs w:val="1"/>
          <w:color w:val="auto"/>
        </w:rPr>
      </w:pPr>
    </w:p>
    <w:p>
      <w:pPr>
        <w:ind w:right="80" w:firstLine="757"/>
        <w:spacing w:after="0" w:line="262" w:lineRule="auto"/>
        <w:tabs>
          <w:tab w:leader="none" w:pos="1109" w:val="left"/>
        </w:tabs>
        <w:numPr>
          <w:ilvl w:val="1"/>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for Cause. </w:t>
      </w:r>
      <w:r>
        <w:rPr>
          <w:rFonts w:ascii="Times New Roman" w:cs="Times New Roman" w:eastAsia="Times New Roman" w:hAnsi="Times New Roman"/>
          <w:sz w:val="18"/>
          <w:szCs w:val="18"/>
          <w:color w:val="auto"/>
        </w:rPr>
        <w:t>Except as explicitly provided otherwise in a Participant’s Stock Award Agreement or other individual written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between the Participant and the Company or an Affiliate, if a Participant’s Continuous Service is terminated for Cause, the Participant’s Option or SAR will terminate immediately upon such termination of Continuous Service, and the Participant will be prohibited from exercising his or her Option or SAR from and after the time of such termination of Continuous Service.</w:t>
      </w:r>
    </w:p>
    <w:p>
      <w:pPr>
        <w:spacing w:after="0" w:line="176" w:lineRule="exact"/>
        <w:rPr>
          <w:rFonts w:ascii="Times New Roman" w:cs="Times New Roman" w:eastAsia="Times New Roman" w:hAnsi="Times New Roman"/>
          <w:sz w:val="18"/>
          <w:szCs w:val="18"/>
          <w:b w:val="1"/>
          <w:bCs w:val="1"/>
          <w:color w:val="auto"/>
        </w:rPr>
      </w:pPr>
    </w:p>
    <w:p>
      <w:pPr>
        <w:ind w:right="20" w:firstLine="757"/>
        <w:spacing w:after="0" w:line="253" w:lineRule="auto"/>
        <w:tabs>
          <w:tab w:leader="none" w:pos="1109" w:val="left"/>
        </w:tabs>
        <w:numPr>
          <w:ilvl w:val="1"/>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Non-Exempt Employees. </w:t>
      </w:r>
      <w:r>
        <w:rPr>
          <w:rFonts w:ascii="Times New Roman" w:cs="Times New Roman" w:eastAsia="Times New Roman" w:hAnsi="Times New Roman"/>
          <w:sz w:val="18"/>
          <w:szCs w:val="18"/>
          <w:color w:val="auto"/>
        </w:rPr>
        <w:t>If an Option or SAR is granted to an Employee who is a non-exempt employee for purposes of the Fair Labor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Standards Act of 1938, as amended, the Option or SAR will not be first exercisable for any shares of Common Stock until at least six months following the date of grant of the Option or SAR (although the Stock Award may vest prior to such date). Consistent with the provisions of the Worker Economic 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Stock Award Agreement, in another agreement between the Participant and the Company or an Affiliate, or, if no such definition, in accordance with the Company’s or Affiliate’s then current employment policies and guidelines), the vested portion of any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spacing w:after="0" w:line="189"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rovisions of</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wards</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ther than</w:t>
      </w:r>
      <w:r>
        <w:rPr>
          <w:rFonts w:ascii="Times New Roman" w:cs="Times New Roman" w:eastAsia="Times New Roman" w:hAnsi="Times New Roman"/>
          <w:sz w:val="18"/>
          <w:szCs w:val="18"/>
          <w:b w:val="1"/>
          <w:bCs w:val="1"/>
          <w:color w:val="auto"/>
        </w:rPr>
        <w:t xml:space="preserve"> O</w:t>
      </w:r>
      <w:r>
        <w:rPr>
          <w:rFonts w:ascii="Times New Roman" w:cs="Times New Roman" w:eastAsia="Times New Roman" w:hAnsi="Times New Roman"/>
          <w:sz w:val="12"/>
          <w:szCs w:val="12"/>
          <w:b w:val="1"/>
          <w:bCs w:val="1"/>
          <w:color w:val="auto"/>
        </w:rPr>
        <w:t>ptions and</w:t>
      </w:r>
      <w:r>
        <w:rPr>
          <w:rFonts w:ascii="Times New Roman" w:cs="Times New Roman" w:eastAsia="Times New Roman" w:hAnsi="Times New Roman"/>
          <w:sz w:val="18"/>
          <w:szCs w:val="18"/>
          <w:b w:val="1"/>
          <w:bCs w:val="1"/>
          <w:color w:val="auto"/>
        </w:rPr>
        <w:t xml:space="preserve"> SAR</w:t>
      </w:r>
      <w:r>
        <w:rPr>
          <w:rFonts w:ascii="Times New Roman" w:cs="Times New Roman" w:eastAsia="Times New Roman" w:hAnsi="Times New Roman"/>
          <w:sz w:val="12"/>
          <w:szCs w:val="12"/>
          <w:b w:val="1"/>
          <w:bCs w:val="1"/>
          <w:color w:val="auto"/>
        </w:rPr>
        <w: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firstLine="757"/>
        <w:spacing w:after="0" w:line="256" w:lineRule="auto"/>
        <w:tabs>
          <w:tab w:leader="none" w:pos="1109" w:val="left"/>
        </w:tabs>
        <w:numPr>
          <w:ilvl w:val="1"/>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Stock Awards. </w:t>
      </w:r>
      <w:r>
        <w:rPr>
          <w:rFonts w:ascii="Times New Roman" w:cs="Times New Roman" w:eastAsia="Times New Roman" w:hAnsi="Times New Roman"/>
          <w:sz w:val="18"/>
          <w:szCs w:val="18"/>
          <w:color w:val="auto"/>
        </w:rPr>
        <w:t>Each Restricted Stock Award Agreement will be in such form and will contain such terms and conditions as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Board deems appropriate. To the extent consistent with the Company’s bylaws, at the Board’s election, shares of Common Stock underlying a Restricted Stock Award may be (i) held in book entry form subject to the Company’s instructions until any restrictions relating to the Restricted Stock Award lapse, or (ii)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182" w:lineRule="exact"/>
        <w:rPr>
          <w:rFonts w:ascii="Times New Roman" w:cs="Times New Roman" w:eastAsia="Times New Roman" w:hAnsi="Times New Roman"/>
          <w:sz w:val="18"/>
          <w:szCs w:val="18"/>
          <w:b w:val="1"/>
          <w:bCs w:val="1"/>
          <w:color w:val="auto"/>
        </w:rPr>
      </w:pPr>
    </w:p>
    <w:p>
      <w:pPr>
        <w:ind w:right="40" w:firstLine="1505"/>
        <w:spacing w:after="0" w:line="268" w:lineRule="auto"/>
        <w:tabs>
          <w:tab w:leader="none" w:pos="1857" w:val="left"/>
        </w:tabs>
        <w:numPr>
          <w:ilvl w:val="2"/>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Consideration. </w:t>
      </w:r>
      <w:r>
        <w:rPr>
          <w:rFonts w:ascii="Times New Roman" w:cs="Times New Roman" w:eastAsia="Times New Roman" w:hAnsi="Times New Roman"/>
          <w:sz w:val="18"/>
          <w:szCs w:val="18"/>
          <w:color w:val="auto"/>
        </w:rPr>
        <w:t>A Restricted Stock Award may be awarded in consideration for (A) cash, check, bank draft or money order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payable to the Company, (B) past services to the Company or an Affiliate, or (C) any other form of legal consideration (including future services) that may be acceptable to the Board, in its sole discretion, and permissible under applicable law.</w:t>
      </w:r>
    </w:p>
    <w:p>
      <w:pPr>
        <w:spacing w:after="0" w:line="170" w:lineRule="exact"/>
        <w:rPr>
          <w:rFonts w:ascii="Times New Roman" w:cs="Times New Roman" w:eastAsia="Times New Roman" w:hAnsi="Times New Roman"/>
          <w:sz w:val="18"/>
          <w:szCs w:val="18"/>
          <w:b w:val="1"/>
          <w:bCs w:val="1"/>
          <w:color w:val="auto"/>
        </w:rPr>
      </w:pPr>
    </w:p>
    <w:p>
      <w:pPr>
        <w:ind w:right="380" w:firstLine="1505"/>
        <w:spacing w:after="0" w:line="286" w:lineRule="auto"/>
        <w:tabs>
          <w:tab w:leader="none" w:pos="1857" w:val="left"/>
        </w:tabs>
        <w:numPr>
          <w:ilvl w:val="2"/>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w:t>
      </w:r>
      <w:r>
        <w:rPr>
          <w:rFonts w:ascii="Times New Roman" w:cs="Times New Roman" w:eastAsia="Times New Roman" w:hAnsi="Times New Roman"/>
          <w:sz w:val="18"/>
          <w:szCs w:val="18"/>
          <w:color w:val="auto"/>
        </w:rPr>
        <w:t>. Shares of Common Stock awarded under the Restricted Stock Award Agreement may be subject to forfeiture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 accordance with a vesting schedule to be determined by the Board.</w:t>
      </w:r>
    </w:p>
    <w:p>
      <w:pPr>
        <w:spacing w:after="0" w:line="154" w:lineRule="exact"/>
        <w:rPr>
          <w:rFonts w:ascii="Times New Roman" w:cs="Times New Roman" w:eastAsia="Times New Roman" w:hAnsi="Times New Roman"/>
          <w:sz w:val="18"/>
          <w:szCs w:val="18"/>
          <w:b w:val="1"/>
          <w:bCs w:val="1"/>
          <w:color w:val="auto"/>
        </w:rPr>
      </w:pPr>
    </w:p>
    <w:p>
      <w:pPr>
        <w:ind w:right="100" w:firstLine="1505"/>
        <w:spacing w:after="0" w:line="268" w:lineRule="auto"/>
        <w:tabs>
          <w:tab w:leader="none" w:pos="1857" w:val="left"/>
        </w:tabs>
        <w:numPr>
          <w:ilvl w:val="2"/>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Termination of Participant’s Continuous Service. </w:t>
      </w:r>
      <w:r>
        <w:rPr>
          <w:rFonts w:ascii="Times New Roman" w:cs="Times New Roman" w:eastAsia="Times New Roman" w:hAnsi="Times New Roman"/>
          <w:sz w:val="18"/>
          <w:szCs w:val="18"/>
          <w:color w:val="auto"/>
        </w:rPr>
        <w:t>If a Participant’s Continuous Service terminates, the Company may receive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 a forfeiture condition or a repurchase right any or all of the shares of Common Stock held by the Participant as of the date of termination of Continuous Service under the terms of the Restricted Stock Award Agreement.</w:t>
      </w:r>
    </w:p>
    <w:p>
      <w:pPr>
        <w:spacing w:after="0" w:line="170" w:lineRule="exact"/>
        <w:rPr>
          <w:rFonts w:ascii="Times New Roman" w:cs="Times New Roman" w:eastAsia="Times New Roman" w:hAnsi="Times New Roman"/>
          <w:sz w:val="18"/>
          <w:szCs w:val="18"/>
          <w:b w:val="1"/>
          <w:bCs w:val="1"/>
          <w:color w:val="auto"/>
        </w:rPr>
      </w:pPr>
    </w:p>
    <w:p>
      <w:pPr>
        <w:ind w:right="40" w:firstLine="1505"/>
        <w:spacing w:after="0" w:line="262" w:lineRule="auto"/>
        <w:tabs>
          <w:tab w:leader="none" w:pos="1857" w:val="left"/>
        </w:tabs>
        <w:numPr>
          <w:ilvl w:val="2"/>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Transferability. </w:t>
      </w:r>
      <w:r>
        <w:rPr>
          <w:rFonts w:ascii="Times New Roman" w:cs="Times New Roman" w:eastAsia="Times New Roman" w:hAnsi="Times New Roman"/>
          <w:sz w:val="18"/>
          <w:szCs w:val="18"/>
          <w:color w:val="auto"/>
        </w:rPr>
        <w:t>Rights to acquire shares of Common Stock under the Restricted Stock Award Agreement will be transferable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 Notwithstanding the foregoing or anything in the Plan or a</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1" w:name="page92"/>
    <w:bookmarkEnd w:id="91"/>
    <w:p>
      <w:pPr>
        <w:ind w:right="380"/>
        <w:spacing w:after="0" w:line="282" w:lineRule="auto"/>
        <w:rPr>
          <w:sz w:val="20"/>
          <w:szCs w:val="20"/>
          <w:color w:val="auto"/>
        </w:rPr>
      </w:pPr>
      <w:r>
        <w:rPr>
          <w:rFonts w:ascii="Times New Roman" w:cs="Times New Roman" w:eastAsia="Times New Roman" w:hAnsi="Times New Roman"/>
          <w:sz w:val="18"/>
          <w:szCs w:val="18"/>
          <w:color w:val="auto"/>
        </w:rPr>
        <w:t>Restricted Stock Award Agreement to the contrary, no Restricted Stock Award may be transferred to any financial institution without prior stockholder approval.</w:t>
      </w:r>
    </w:p>
    <w:p>
      <w:pPr>
        <w:spacing w:after="0" w:line="158" w:lineRule="exact"/>
        <w:rPr>
          <w:sz w:val="20"/>
          <w:szCs w:val="20"/>
          <w:color w:val="auto"/>
        </w:rPr>
      </w:pPr>
    </w:p>
    <w:p>
      <w:pPr>
        <w:ind w:right="140" w:firstLine="757"/>
        <w:spacing w:after="0" w:line="262" w:lineRule="auto"/>
        <w:tabs>
          <w:tab w:leader="none" w:pos="1109" w:val="left"/>
        </w:tabs>
        <w:numPr>
          <w:ilvl w:val="1"/>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Restricted Stock Unit Awards. </w:t>
      </w:r>
      <w:r>
        <w:rPr>
          <w:rFonts w:ascii="Times New Roman" w:cs="Times New Roman" w:eastAsia="Times New Roman" w:hAnsi="Times New Roman"/>
          <w:sz w:val="18"/>
          <w:szCs w:val="18"/>
          <w:color w:val="auto"/>
        </w:rPr>
        <w:t>Each Restricted Stock Unit Award Agreement will be in such form and will contain such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as the Board deems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spacing w:after="0" w:line="176" w:lineRule="exact"/>
        <w:rPr>
          <w:rFonts w:ascii="Times New Roman" w:cs="Times New Roman" w:eastAsia="Times New Roman" w:hAnsi="Times New Roman"/>
          <w:sz w:val="18"/>
          <w:szCs w:val="18"/>
          <w:b w:val="1"/>
          <w:bCs w:val="1"/>
          <w:color w:val="auto"/>
        </w:rPr>
      </w:pPr>
    </w:p>
    <w:p>
      <w:pPr>
        <w:ind w:right="160" w:firstLine="1505"/>
        <w:spacing w:after="0" w:line="262" w:lineRule="auto"/>
        <w:tabs>
          <w:tab w:leader="none" w:pos="1857" w:val="left"/>
        </w:tabs>
        <w:numPr>
          <w:ilvl w:val="2"/>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Consideration. </w:t>
      </w:r>
      <w:r>
        <w:rPr>
          <w:rFonts w:ascii="Times New Roman" w:cs="Times New Roman" w:eastAsia="Times New Roman" w:hAnsi="Times New Roman"/>
          <w:sz w:val="18"/>
          <w:szCs w:val="18"/>
          <w:color w:val="auto"/>
        </w:rPr>
        <w:t>At the time of grant of a Restricted Stock Unit Award, the Board will determine the consideration, if any,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paid 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176" w:lineRule="exact"/>
        <w:rPr>
          <w:rFonts w:ascii="Times New Roman" w:cs="Times New Roman" w:eastAsia="Times New Roman" w:hAnsi="Times New Roman"/>
          <w:sz w:val="18"/>
          <w:szCs w:val="18"/>
          <w:b w:val="1"/>
          <w:bCs w:val="1"/>
          <w:color w:val="auto"/>
        </w:rPr>
      </w:pPr>
    </w:p>
    <w:p>
      <w:pPr>
        <w:ind w:firstLine="1505"/>
        <w:spacing w:after="0" w:line="286" w:lineRule="auto"/>
        <w:tabs>
          <w:tab w:leader="none" w:pos="1857" w:val="left"/>
        </w:tabs>
        <w:numPr>
          <w:ilvl w:val="2"/>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Vesting. </w:t>
      </w:r>
      <w:r>
        <w:rPr>
          <w:rFonts w:ascii="Times New Roman" w:cs="Times New Roman" w:eastAsia="Times New Roman" w:hAnsi="Times New Roman"/>
          <w:sz w:val="18"/>
          <w:szCs w:val="18"/>
          <w:color w:val="auto"/>
        </w:rPr>
        <w:t>At the time of the grant of a Restricted Stock Unit Award, the Board may impose such restrictions on or conditions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vesting of the Restricted Stock Unit Award as it, in its sole discretion, deems appropriate.</w:t>
      </w:r>
    </w:p>
    <w:p>
      <w:pPr>
        <w:spacing w:after="0" w:line="154" w:lineRule="exact"/>
        <w:rPr>
          <w:rFonts w:ascii="Times New Roman" w:cs="Times New Roman" w:eastAsia="Times New Roman" w:hAnsi="Times New Roman"/>
          <w:sz w:val="18"/>
          <w:szCs w:val="18"/>
          <w:b w:val="1"/>
          <w:bCs w:val="1"/>
          <w:color w:val="auto"/>
        </w:rPr>
      </w:pPr>
    </w:p>
    <w:p>
      <w:pPr>
        <w:ind w:right="180" w:firstLine="1505"/>
        <w:spacing w:after="0" w:line="286" w:lineRule="auto"/>
        <w:tabs>
          <w:tab w:leader="none" w:pos="1857" w:val="left"/>
        </w:tabs>
        <w:numPr>
          <w:ilvl w:val="2"/>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Payment. </w:t>
      </w:r>
      <w:r>
        <w:rPr>
          <w:rFonts w:ascii="Times New Roman" w:cs="Times New Roman" w:eastAsia="Times New Roman" w:hAnsi="Times New Roman"/>
          <w:sz w:val="18"/>
          <w:szCs w:val="18"/>
          <w:color w:val="auto"/>
        </w:rPr>
        <w:t>A Restricted Stock Unit Award may be settled by the delivery of shares of Common Stock, their cash equivalent,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combination thereof or in any other form of consideration, as determined by the Board and contained in the Restricted Stock Unit Award Agreement.</w:t>
      </w:r>
    </w:p>
    <w:p>
      <w:pPr>
        <w:spacing w:after="0" w:line="154" w:lineRule="exact"/>
        <w:rPr>
          <w:rFonts w:ascii="Times New Roman" w:cs="Times New Roman" w:eastAsia="Times New Roman" w:hAnsi="Times New Roman"/>
          <w:sz w:val="18"/>
          <w:szCs w:val="18"/>
          <w:b w:val="1"/>
          <w:bCs w:val="1"/>
          <w:color w:val="auto"/>
        </w:rPr>
      </w:pPr>
    </w:p>
    <w:p>
      <w:pPr>
        <w:ind w:right="220" w:firstLine="1505"/>
        <w:spacing w:after="0" w:line="268" w:lineRule="auto"/>
        <w:tabs>
          <w:tab w:leader="none" w:pos="1857" w:val="left"/>
        </w:tabs>
        <w:numPr>
          <w:ilvl w:val="2"/>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Additional Restrictions. </w:t>
      </w:r>
      <w:r>
        <w:rPr>
          <w:rFonts w:ascii="Times New Roman" w:cs="Times New Roman" w:eastAsia="Times New Roman" w:hAnsi="Times New Roman"/>
          <w:sz w:val="18"/>
          <w:szCs w:val="18"/>
          <w:color w:val="auto"/>
        </w:rPr>
        <w:t>At the time of the grant of a Restricted Stock Unit Award, the Board, as it deems appropriate,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impose such restrictions or conditions that delay the delivery of the shares of Common Stock (or their cash equivalent) subject to a Restricted Stock Unit Award to a time after the vesting of such Restricted Stock Unit Award.</w:t>
      </w:r>
    </w:p>
    <w:p>
      <w:pPr>
        <w:spacing w:after="0" w:line="170" w:lineRule="exact"/>
        <w:rPr>
          <w:rFonts w:ascii="Times New Roman" w:cs="Times New Roman" w:eastAsia="Times New Roman" w:hAnsi="Times New Roman"/>
          <w:sz w:val="18"/>
          <w:szCs w:val="18"/>
          <w:b w:val="1"/>
          <w:bCs w:val="1"/>
          <w:color w:val="auto"/>
        </w:rPr>
      </w:pPr>
    </w:p>
    <w:p>
      <w:pPr>
        <w:jc w:val="both"/>
        <w:ind w:right="80" w:firstLine="1505"/>
        <w:spacing w:after="0" w:line="317" w:lineRule="auto"/>
        <w:tabs>
          <w:tab w:leader="none" w:pos="1857" w:val="left"/>
        </w:tabs>
        <w:numPr>
          <w:ilvl w:val="2"/>
          <w:numId w:val="6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Termination of Participant’s Continuous Service. </w:t>
      </w:r>
      <w:r>
        <w:rPr>
          <w:rFonts w:ascii="Times New Roman" w:cs="Times New Roman" w:eastAsia="Times New Roman" w:hAnsi="Times New Roman"/>
          <w:sz w:val="17"/>
          <w:szCs w:val="17"/>
          <w:color w:val="auto"/>
        </w:rPr>
        <w:t>Except as otherwise provided in the applicable Restricted Stock Unit Award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Agreement, such portion of the Restricted Stock Unit Award that has not vested will be forfeited upon the Participant’s termination of Continuous Service.</w:t>
      </w:r>
    </w:p>
    <w:p>
      <w:pPr>
        <w:spacing w:after="0" w:line="135" w:lineRule="exact"/>
        <w:rPr>
          <w:rFonts w:ascii="Times New Roman" w:cs="Times New Roman" w:eastAsia="Times New Roman" w:hAnsi="Times New Roman"/>
          <w:sz w:val="17"/>
          <w:szCs w:val="17"/>
          <w:b w:val="1"/>
          <w:bCs w:val="1"/>
          <w:color w:val="auto"/>
        </w:rPr>
      </w:pPr>
    </w:p>
    <w:p>
      <w:pPr>
        <w:ind w:left="1120" w:hanging="363"/>
        <w:spacing w:after="0"/>
        <w:tabs>
          <w:tab w:leader="none" w:pos="1120" w:val="left"/>
        </w:tabs>
        <w:numPr>
          <w:ilvl w:val="1"/>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Performance Stock Awards.</w:t>
      </w:r>
    </w:p>
    <w:p>
      <w:pPr>
        <w:spacing w:after="0" w:line="221" w:lineRule="exact"/>
        <w:rPr>
          <w:rFonts w:ascii="Times New Roman" w:cs="Times New Roman" w:eastAsia="Times New Roman" w:hAnsi="Times New Roman"/>
          <w:sz w:val="18"/>
          <w:szCs w:val="18"/>
          <w:b w:val="1"/>
          <w:bCs w:val="1"/>
          <w:color w:val="auto"/>
        </w:rPr>
      </w:pPr>
    </w:p>
    <w:p>
      <w:pPr>
        <w:ind w:firstLine="1505"/>
        <w:spacing w:after="0" w:line="257" w:lineRule="auto"/>
        <w:tabs>
          <w:tab w:leader="none" w:pos="1857" w:val="left"/>
        </w:tabs>
        <w:numPr>
          <w:ilvl w:val="2"/>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Performance Stock Awards. </w:t>
      </w:r>
      <w:r>
        <w:rPr>
          <w:rFonts w:ascii="Times New Roman" w:cs="Times New Roman" w:eastAsia="Times New Roman" w:hAnsi="Times New Roman"/>
          <w:sz w:val="18"/>
          <w:szCs w:val="18"/>
          <w:color w:val="auto"/>
        </w:rPr>
        <w:t>A Performance Stock Award is a Stock Award that is payable (including that may be granted, vest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be exercised) contingent upon the attainment during a Performance Period of certain Performance Goals. A Performance Stock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Board, in its sole discretion. In addition, to the extent permitted by applicable law and the applicable Stock Award Agreement, the Board may determine that cash may be used in payment of Performance Stock Awards.</w:t>
      </w:r>
    </w:p>
    <w:p>
      <w:pPr>
        <w:spacing w:after="0" w:line="182" w:lineRule="exact"/>
        <w:rPr>
          <w:rFonts w:ascii="Times New Roman" w:cs="Times New Roman" w:eastAsia="Times New Roman" w:hAnsi="Times New Roman"/>
          <w:sz w:val="18"/>
          <w:szCs w:val="18"/>
          <w:b w:val="1"/>
          <w:bCs w:val="1"/>
          <w:color w:val="auto"/>
        </w:rPr>
      </w:pPr>
    </w:p>
    <w:p>
      <w:pPr>
        <w:ind w:firstLine="1505"/>
        <w:spacing w:after="0" w:line="286" w:lineRule="auto"/>
        <w:tabs>
          <w:tab w:leader="none" w:pos="1857" w:val="left"/>
        </w:tabs>
        <w:numPr>
          <w:ilvl w:val="2"/>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Discretion. </w:t>
      </w:r>
      <w:r>
        <w:rPr>
          <w:rFonts w:ascii="Times New Roman" w:cs="Times New Roman" w:eastAsia="Times New Roman" w:hAnsi="Times New Roman"/>
          <w:sz w:val="18"/>
          <w:szCs w:val="18"/>
          <w:color w:val="auto"/>
        </w:rPr>
        <w:t>The Board retains the discretion to reduce or eliminate the compensation or economic benefit due upon the attainment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any Performance Goals and to define the manner of calculating the Performance Criteria it selects to use for a Performance Period.</w:t>
      </w:r>
    </w:p>
    <w:p>
      <w:pPr>
        <w:spacing w:after="0" w:line="154" w:lineRule="exact"/>
        <w:rPr>
          <w:rFonts w:ascii="Times New Roman" w:cs="Times New Roman" w:eastAsia="Times New Roman" w:hAnsi="Times New Roman"/>
          <w:sz w:val="18"/>
          <w:szCs w:val="18"/>
          <w:b w:val="1"/>
          <w:bCs w:val="1"/>
          <w:color w:val="auto"/>
        </w:rPr>
      </w:pPr>
    </w:p>
    <w:p>
      <w:pPr>
        <w:ind w:right="20" w:firstLine="757"/>
        <w:spacing w:after="0" w:line="257" w:lineRule="auto"/>
        <w:tabs>
          <w:tab w:leader="none" w:pos="1109" w:val="left"/>
        </w:tabs>
        <w:numPr>
          <w:ilvl w:val="1"/>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Other Stock Awards. </w:t>
      </w:r>
      <w:r>
        <w:rPr>
          <w:rFonts w:ascii="Times New Roman" w:cs="Times New Roman" w:eastAsia="Times New Roman" w:hAnsi="Times New Roman"/>
          <w:sz w:val="18"/>
          <w:szCs w:val="18"/>
          <w:color w:val="auto"/>
        </w:rPr>
        <w:t>Other forms of Stock Awards valued in whole or in part by reference to, or otherwise based on,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including the appreciation in value thereof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options or stock appreciation rights with an exercise price or strike price less than 100% of the Fair Market Value of the Common Stock at the time of grant) may be granted either alone or in addition to Stock Awards granted under Section 5 and this Section 6. Subject to the provisions of the Plan (including, but not limited to, Section 2(g)),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182"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right="40" w:firstLine="757"/>
        <w:spacing w:after="0" w:line="286" w:lineRule="auto"/>
        <w:tabs>
          <w:tab w:leader="none" w:pos="1109"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Availability of Shares. </w:t>
      </w:r>
      <w:r>
        <w:rPr>
          <w:rFonts w:ascii="Times New Roman" w:cs="Times New Roman" w:eastAsia="Times New Roman" w:hAnsi="Times New Roman"/>
          <w:sz w:val="18"/>
          <w:szCs w:val="18"/>
          <w:color w:val="auto"/>
        </w:rPr>
        <w:t>The Company will keep available at all times the number of shares of Common Stock reasonably required to satisfy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then-outstanding Stock Awards.</w:t>
      </w:r>
    </w:p>
    <w:p>
      <w:pPr>
        <w:spacing w:after="0" w:line="154" w:lineRule="exact"/>
        <w:rPr>
          <w:rFonts w:ascii="Times New Roman" w:cs="Times New Roman" w:eastAsia="Times New Roman" w:hAnsi="Times New Roman"/>
          <w:sz w:val="18"/>
          <w:szCs w:val="18"/>
          <w:b w:val="1"/>
          <w:bCs w:val="1"/>
          <w:color w:val="auto"/>
        </w:rPr>
      </w:pPr>
    </w:p>
    <w:p>
      <w:pPr>
        <w:jc w:val="both"/>
        <w:ind w:right="300" w:firstLine="757"/>
        <w:spacing w:after="0" w:line="268" w:lineRule="auto"/>
        <w:tabs>
          <w:tab w:leader="none" w:pos="1109"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Securities Law Compliance. </w:t>
      </w:r>
      <w:r>
        <w:rPr>
          <w:rFonts w:ascii="Times New Roman" w:cs="Times New Roman" w:eastAsia="Times New Roman" w:hAnsi="Times New Roman"/>
          <w:sz w:val="18"/>
          <w:szCs w:val="18"/>
          <w:color w:val="auto"/>
        </w:rPr>
        <w:t>The Company will seek to obtain from each regulatory commission or agency having jurisdiction over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Plan the authority required to grant Stock Awards and to issue and sell shares of Common Stock upon exercise of the Stock Awards;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this undertaking will not require the Company to register under the Securities Act the Plan,</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ind w:right="40"/>
        <w:spacing w:after="0" w:line="277" w:lineRule="auto"/>
        <w:rPr>
          <w:sz w:val="20"/>
          <w:szCs w:val="20"/>
          <w:color w:val="auto"/>
        </w:rPr>
      </w:pPr>
      <w:r>
        <w:rPr>
          <w:rFonts w:ascii="Times New Roman" w:cs="Times New Roman" w:eastAsia="Times New Roman" w:hAnsi="Times New Roman"/>
          <w:sz w:val="17"/>
          <w:szCs w:val="17"/>
          <w:color w:val="auto"/>
        </w:rPr>
        <w:t>any Stock Award or any Common Stock issued or issuable pursuant to any such Stock Award. If, after reasonable efforts and at a reasonable cost, the Company is unable to obtain from any such regulatory commission or agency the authority that counsel for the Company deems necessary for the lawful issuance and sale of Common Stock under the Plan, the Company will be relieved from any liability for failure to issue and sell Common Stock upon exercise of such Stock Awards unless and until such authority is obtained. A Participant will not be eligible for the grant of a Stock Award or the subsequent issuance of cash or Common Stock pursuant to the Stock Award if such grant or issuance would be in violation of any applicable securities law.</w:t>
      </w:r>
    </w:p>
    <w:p>
      <w:pPr>
        <w:spacing w:after="0" w:line="164" w:lineRule="exact"/>
        <w:rPr>
          <w:sz w:val="20"/>
          <w:szCs w:val="20"/>
          <w:color w:val="auto"/>
        </w:rPr>
      </w:pPr>
    </w:p>
    <w:p>
      <w:pPr>
        <w:jc w:val="both"/>
        <w:ind w:right="200" w:firstLine="757"/>
        <w:spacing w:after="0" w:line="262" w:lineRule="auto"/>
        <w:tabs>
          <w:tab w:leader="none" w:pos="1109" w:val="left"/>
        </w:tabs>
        <w:numPr>
          <w:ilvl w:val="1"/>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Obligation to Notify or Minimize Taxes. </w:t>
      </w:r>
      <w:r>
        <w:rPr>
          <w:rFonts w:ascii="Times New Roman" w:cs="Times New Roman" w:eastAsia="Times New Roman" w:hAnsi="Times New Roman"/>
          <w:sz w:val="18"/>
          <w:szCs w:val="18"/>
          <w:color w:val="auto"/>
        </w:rPr>
        <w:t>The Company will have no duty or obligation to any Participant to advise such holder as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time or manner of exercising a Stock Award. Furthermore, the Company will have no duty or obligation to warn or otherwise advise such holder of a pending termination or expiration of a Stock Award or a possible period in which the Stock Award may not be exercised. The Company has no duty or obligation to minimize the tax consequences of a Stock Award to the holder of such Stock Award.</w:t>
      </w:r>
    </w:p>
    <w:p>
      <w:pPr>
        <w:spacing w:after="0" w:line="176"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right="140" w:firstLine="757"/>
        <w:spacing w:after="0" w:line="286" w:lineRule="auto"/>
        <w:tabs>
          <w:tab w:leader="none" w:pos="1109" w:val="left"/>
        </w:tabs>
        <w:numPr>
          <w:ilvl w:val="1"/>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Use of Proceeds from Sales of Common Stock. </w:t>
      </w:r>
      <w:r>
        <w:rPr>
          <w:rFonts w:ascii="Times New Roman" w:cs="Times New Roman" w:eastAsia="Times New Roman" w:hAnsi="Times New Roman"/>
          <w:sz w:val="18"/>
          <w:szCs w:val="18"/>
          <w:color w:val="auto"/>
        </w:rPr>
        <w:t>Proceeds from the sale of shares of Common Stock issued pursuant to Stock Awards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constitute general funds of the Company.</w:t>
      </w:r>
    </w:p>
    <w:p>
      <w:pPr>
        <w:spacing w:after="0" w:line="154" w:lineRule="exact"/>
        <w:rPr>
          <w:rFonts w:ascii="Times New Roman" w:cs="Times New Roman" w:eastAsia="Times New Roman" w:hAnsi="Times New Roman"/>
          <w:sz w:val="18"/>
          <w:szCs w:val="18"/>
          <w:b w:val="1"/>
          <w:bCs w:val="1"/>
          <w:color w:val="auto"/>
        </w:rPr>
      </w:pPr>
    </w:p>
    <w:p>
      <w:pPr>
        <w:ind w:right="20" w:firstLine="757"/>
        <w:spacing w:after="0" w:line="256" w:lineRule="auto"/>
        <w:tabs>
          <w:tab w:leader="none" w:pos="1109" w:val="left"/>
        </w:tabs>
        <w:numPr>
          <w:ilvl w:val="1"/>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Action Constituting Grant of Stock Awards. </w:t>
      </w:r>
      <w:r>
        <w:rPr>
          <w:rFonts w:ascii="Times New Roman" w:cs="Times New Roman" w:eastAsia="Times New Roman" w:hAnsi="Times New Roman"/>
          <w:sz w:val="18"/>
          <w:szCs w:val="18"/>
          <w:color w:val="auto"/>
        </w:rPr>
        <w:t>Corporate action constituting a grant by the Company of a Stock Award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will be deemed completed as of the date of such corporate action, unless otherwise determined by the Board, regardless of when the instrument, certificate, or letter evidencing the Stock Award is communicated to, or actually received or accepted by, the Participant. In the event that the corporate records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Board consents, resolutions or minutes) documenting the corporate action constituting the grant contain terms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exercise price, vesting schedule or number of shares) that are inconsistent with those in the Stock Award Agreement or related grant documents as a result of a clerical error in the papering of the Stock Award Agreement or related grant documents, the corporate records will control and the Participant will have no legally binding right to the incorrect terms in the Stock Award Agreement or related grant documents.</w:t>
      </w:r>
    </w:p>
    <w:p>
      <w:pPr>
        <w:spacing w:after="0" w:line="182" w:lineRule="exact"/>
        <w:rPr>
          <w:rFonts w:ascii="Times New Roman" w:cs="Times New Roman" w:eastAsia="Times New Roman" w:hAnsi="Times New Roman"/>
          <w:sz w:val="18"/>
          <w:szCs w:val="18"/>
          <w:b w:val="1"/>
          <w:bCs w:val="1"/>
          <w:color w:val="auto"/>
        </w:rPr>
      </w:pPr>
    </w:p>
    <w:p>
      <w:pPr>
        <w:ind w:firstLine="757"/>
        <w:spacing w:after="0" w:line="262" w:lineRule="auto"/>
        <w:tabs>
          <w:tab w:leader="none" w:pos="1109" w:val="left"/>
        </w:tabs>
        <w:numPr>
          <w:ilvl w:val="1"/>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Stockholder Rights. </w:t>
      </w:r>
      <w:r>
        <w:rPr>
          <w:rFonts w:ascii="Times New Roman" w:cs="Times New Roman" w:eastAsia="Times New Roman" w:hAnsi="Times New Roman"/>
          <w:sz w:val="18"/>
          <w:szCs w:val="18"/>
          <w:color w:val="auto"/>
        </w:rPr>
        <w:t>No Participant will be deemed to be the holder of, or to have any of the rights of a holder with respect to, any shares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Common Stock subject to a Stock Award unless and until (i) such Participant has satisfied all requirements for exercise of, or the issuance of shares of Common Stock under, the Stock Award pursuant to its terms, and (ii) the issuance of the Common Stock subject to such Stock Award has been entered into the books and records of the Company.</w:t>
      </w:r>
    </w:p>
    <w:p>
      <w:pPr>
        <w:spacing w:after="0" w:line="176" w:lineRule="exact"/>
        <w:rPr>
          <w:rFonts w:ascii="Times New Roman" w:cs="Times New Roman" w:eastAsia="Times New Roman" w:hAnsi="Times New Roman"/>
          <w:sz w:val="18"/>
          <w:szCs w:val="18"/>
          <w:b w:val="1"/>
          <w:bCs w:val="1"/>
          <w:color w:val="auto"/>
        </w:rPr>
      </w:pPr>
    </w:p>
    <w:p>
      <w:pPr>
        <w:ind w:right="40" w:firstLine="757"/>
        <w:spacing w:after="0" w:line="257" w:lineRule="auto"/>
        <w:tabs>
          <w:tab w:leader="none" w:pos="1109" w:val="left"/>
        </w:tabs>
        <w:numPr>
          <w:ilvl w:val="1"/>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Employment or Other Service Rights. </w:t>
      </w:r>
      <w:r>
        <w:rPr>
          <w:rFonts w:ascii="Times New Roman" w:cs="Times New Roman" w:eastAsia="Times New Roman" w:hAnsi="Times New Roman"/>
          <w:sz w:val="18"/>
          <w:szCs w:val="18"/>
          <w:color w:val="auto"/>
        </w:rPr>
        <w:t>Nothing in the Plan, any Stock Award Agreement or any other instrument executed thereunder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in connection with any Stock Award granted pursuant thereto will confer upon any Participant any right to continue to serve the Company or an Affiliate in the capacity in effect at the time the Stock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182" w:lineRule="exact"/>
        <w:rPr>
          <w:rFonts w:ascii="Times New Roman" w:cs="Times New Roman" w:eastAsia="Times New Roman" w:hAnsi="Times New Roman"/>
          <w:sz w:val="18"/>
          <w:szCs w:val="18"/>
          <w:b w:val="1"/>
          <w:bCs w:val="1"/>
          <w:color w:val="auto"/>
        </w:rPr>
      </w:pPr>
    </w:p>
    <w:p>
      <w:pPr>
        <w:ind w:right="20" w:firstLine="757"/>
        <w:spacing w:after="0" w:line="256" w:lineRule="auto"/>
        <w:tabs>
          <w:tab w:leader="none" w:pos="1109" w:val="left"/>
        </w:tabs>
        <w:numPr>
          <w:ilvl w:val="1"/>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Time Commitment. </w:t>
      </w:r>
      <w:r>
        <w:rPr>
          <w:rFonts w:ascii="Times New Roman" w:cs="Times New Roman" w:eastAsia="Times New Roman" w:hAnsi="Times New Roman"/>
          <w:sz w:val="18"/>
          <w:szCs w:val="18"/>
          <w:color w:val="auto"/>
        </w:rPr>
        <w:t>In the event a Participant’s regular level of time commitment in the performance of his or her services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or any Affiliate is reduced (for example, and without limitation, if the Participant is an Employee of the Company and the Employee has a change in status from a full-time Employee to a part-time Employee) after the date of grant of any Stock Award to the Participant, the Board has the right in its sole discretion to (x) make a corresponding reduction in the number of shares or cash amount subject to any portion of such Stock Award that is scheduled to vest or become payable after the date of such change in time commitment, and (y) in lieu of or in combination with such a reduction, extend the vesting or payment schedule applicable to such Stock Award. In the event of any such reduction, the Participant will have no right with respect to any portion of the Stock Award that is so reduced or extended.</w:t>
      </w:r>
    </w:p>
    <w:p>
      <w:pPr>
        <w:spacing w:after="0" w:line="182" w:lineRule="exact"/>
        <w:rPr>
          <w:rFonts w:ascii="Times New Roman" w:cs="Times New Roman" w:eastAsia="Times New Roman" w:hAnsi="Times New Roman"/>
          <w:sz w:val="18"/>
          <w:szCs w:val="18"/>
          <w:b w:val="1"/>
          <w:bCs w:val="1"/>
          <w:color w:val="auto"/>
        </w:rPr>
      </w:pPr>
    </w:p>
    <w:p>
      <w:pPr>
        <w:ind w:right="120" w:firstLine="757"/>
        <w:spacing w:after="0" w:line="259" w:lineRule="auto"/>
        <w:tabs>
          <w:tab w:leader="none" w:pos="1109" w:val="left"/>
        </w:tabs>
        <w:numPr>
          <w:ilvl w:val="1"/>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Incentive Stock Option Limitations. </w:t>
      </w:r>
      <w:r>
        <w:rPr>
          <w:rFonts w:ascii="Times New Roman" w:cs="Times New Roman" w:eastAsia="Times New Roman" w:hAnsi="Times New Roman"/>
          <w:sz w:val="18"/>
          <w:szCs w:val="18"/>
          <w:color w:val="auto"/>
        </w:rPr>
        <w:t>To the extent that the aggregate Fair Market Value (determined at the time of grant) of Common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79" w:lineRule="exact"/>
        <w:rPr>
          <w:rFonts w:ascii="Times New Roman" w:cs="Times New Roman" w:eastAsia="Times New Roman" w:hAnsi="Times New Roman"/>
          <w:sz w:val="18"/>
          <w:szCs w:val="18"/>
          <w:b w:val="1"/>
          <w:bCs w:val="1"/>
          <w:color w:val="auto"/>
        </w:rPr>
      </w:pPr>
    </w:p>
    <w:p>
      <w:pPr>
        <w:ind w:firstLine="757"/>
        <w:spacing w:after="0" w:line="262" w:lineRule="auto"/>
        <w:tabs>
          <w:tab w:leader="none" w:pos="1109" w:val="left"/>
        </w:tabs>
        <w:numPr>
          <w:ilvl w:val="1"/>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Investment Assurances. </w:t>
      </w:r>
      <w:r>
        <w:rPr>
          <w:rFonts w:ascii="Times New Roman" w:cs="Times New Roman" w:eastAsia="Times New Roman" w:hAnsi="Times New Roman"/>
          <w:sz w:val="18"/>
          <w:szCs w:val="18"/>
          <w:color w:val="auto"/>
        </w:rPr>
        <w:t>The Company may require a Participant, as a condition of exercising or acquiring Common Stock under any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(i) 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line="254" w:lineRule="auto"/>
        <w:rPr>
          <w:sz w:val="20"/>
          <w:szCs w:val="20"/>
          <w:color w:val="auto"/>
        </w:rPr>
      </w:pPr>
      <w:r>
        <w:rPr>
          <w:rFonts w:ascii="Times New Roman" w:cs="Times New Roman" w:eastAsia="Times New Roman" w:hAnsi="Times New Roman"/>
          <w:sz w:val="18"/>
          <w:szCs w:val="18"/>
          <w:color w:val="auto"/>
        </w:rPr>
        <w:t>the purchaser representative, the merits and risks of exercising the Stock Award; and (ii) to give written assurances satisfactory to the Company stating that the Participant is acquiring Common Stock subject to the Stock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Stock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88" w:lineRule="exact"/>
        <w:rPr>
          <w:sz w:val="20"/>
          <w:szCs w:val="20"/>
          <w:color w:val="auto"/>
        </w:rPr>
      </w:pPr>
    </w:p>
    <w:p>
      <w:pPr>
        <w:ind w:firstLine="757"/>
        <w:spacing w:after="0" w:line="256" w:lineRule="auto"/>
        <w:tabs>
          <w:tab w:leader="none" w:pos="1109"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Withholding Obligations. </w:t>
      </w:r>
      <w:r>
        <w:rPr>
          <w:rFonts w:ascii="Times New Roman" w:cs="Times New Roman" w:eastAsia="Times New Roman" w:hAnsi="Times New Roman"/>
          <w:sz w:val="18"/>
          <w:szCs w:val="18"/>
          <w:color w:val="auto"/>
        </w:rPr>
        <w:t>Unless prohibited by the terms of a Stock Award Agreement, the Company may, in its sole discretion, satisfy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any federal, state or local tax withholding obligation relating to a Stock Award by any of the following means or by a combination of such means: (i) causing the Participant to tender a cash payment; (ii) withholding shares of Common Stock from the shares of Common Stock issued or otherwise issuable to the Participant in connection with the Stock Award;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no shares of Common Stock are withheld with a value exceeding the maximum amount of tax that may be required to be withheld by law (or such other amount as may be permitted while still avoiding classification of the Stock Award as a liability for financial accounting purposes); (iii) withholding cash from a Stock Award settled in cash; (iv) withholding payment from any amounts otherwise payable to the Participant; or (v) by such other method as may be set forth in the Stock Award Agreement.</w:t>
      </w:r>
    </w:p>
    <w:p>
      <w:pPr>
        <w:spacing w:after="0" w:line="182" w:lineRule="exact"/>
        <w:rPr>
          <w:rFonts w:ascii="Times New Roman" w:cs="Times New Roman" w:eastAsia="Times New Roman" w:hAnsi="Times New Roman"/>
          <w:sz w:val="18"/>
          <w:szCs w:val="18"/>
          <w:b w:val="1"/>
          <w:bCs w:val="1"/>
          <w:color w:val="auto"/>
        </w:rPr>
      </w:pPr>
    </w:p>
    <w:p>
      <w:pPr>
        <w:ind w:right="260" w:firstLine="757"/>
        <w:spacing w:after="0" w:line="268" w:lineRule="auto"/>
        <w:tabs>
          <w:tab w:leader="none" w:pos="1109"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Electronic Delivery. </w:t>
      </w:r>
      <w:r>
        <w:rPr>
          <w:rFonts w:ascii="Times New Roman" w:cs="Times New Roman" w:eastAsia="Times New Roman" w:hAnsi="Times New Roman"/>
          <w:sz w:val="18"/>
          <w:szCs w:val="18"/>
          <w:color w:val="auto"/>
        </w:rPr>
        <w:t>Any reference herein to a “written” agreement or document will include any agreement or document delivered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electronically, filed publicly at www.sec.gov (or any successor website thereto) or posted on the Company’s intranet (or other shared electronic medium controlled by the Company to which the Participant has access).</w:t>
      </w:r>
    </w:p>
    <w:p>
      <w:pPr>
        <w:spacing w:after="0" w:line="170" w:lineRule="exact"/>
        <w:rPr>
          <w:rFonts w:ascii="Times New Roman" w:cs="Times New Roman" w:eastAsia="Times New Roman" w:hAnsi="Times New Roman"/>
          <w:sz w:val="18"/>
          <w:szCs w:val="18"/>
          <w:b w:val="1"/>
          <w:bCs w:val="1"/>
          <w:color w:val="auto"/>
        </w:rPr>
      </w:pPr>
    </w:p>
    <w:p>
      <w:pPr>
        <w:ind w:right="40" w:firstLine="757"/>
        <w:spacing w:after="0" w:line="256" w:lineRule="auto"/>
        <w:tabs>
          <w:tab w:leader="none" w:pos="1109"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Deferrals. </w:t>
      </w:r>
      <w:r>
        <w:rPr>
          <w:rFonts w:ascii="Times New Roman" w:cs="Times New Roman" w:eastAsia="Times New Roman" w:hAnsi="Times New Roman"/>
          <w:sz w:val="18"/>
          <w:szCs w:val="18"/>
          <w:color w:val="auto"/>
        </w:rPr>
        <w:t>To the extent permitted by applicable law, the Board, in its sole discretion, may determine that the delivery of Common Stock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payment of cash, upon the exercise, vesting or settlement of all or a portion of any Stock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or an Affiliate. The Board is authorized to make deferrals of Stock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182" w:lineRule="exact"/>
        <w:rPr>
          <w:rFonts w:ascii="Times New Roman" w:cs="Times New Roman" w:eastAsia="Times New Roman" w:hAnsi="Times New Roman"/>
          <w:sz w:val="18"/>
          <w:szCs w:val="18"/>
          <w:b w:val="1"/>
          <w:bCs w:val="1"/>
          <w:color w:val="auto"/>
        </w:rPr>
      </w:pPr>
    </w:p>
    <w:p>
      <w:pPr>
        <w:ind w:firstLine="757"/>
        <w:spacing w:after="0" w:line="254" w:lineRule="auto"/>
        <w:tabs>
          <w:tab w:leader="none" w:pos="1109"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Compliance with Section 409A of the Code. </w:t>
      </w:r>
      <w:r>
        <w:rPr>
          <w:rFonts w:ascii="Times New Roman" w:cs="Times New Roman" w:eastAsia="Times New Roman" w:hAnsi="Times New Roman"/>
          <w:sz w:val="18"/>
          <w:szCs w:val="18"/>
          <w:color w:val="auto"/>
        </w:rPr>
        <w:t>Unless otherwise expressly provided for in a Stock Award Agreement, the Plan and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Award Agreements will be interpreted to the greatest extent possible in a manner that makes the Plan and the Stock Awards granted hereunder exempt from Section 409A of the Code, and, to the extent not so exempt, in compliance with Section 409A of the Code. To the extent that the Board determines that any Stock Award granted hereunder is not exempt from and is therefore subject to Section 409A of the Code, the Stock Award Agreement evidencing such Stock Award will incorporate the terms and conditions necessary to avoid the consequences specified in Section 409A(a)(1) of the Code, and, to the extent applicable, the Plan and Stock Award Agreements will be interpreted in accordance with the requirements of Section 409A of the Code. Notwithstanding anything to the contrary in this Plan (and unless the Stock Award Agreement specifically provides otherwise), if the shares of Common Stock are publicly traded and a Participant holding a Stock Award that constitutes “deferred compensation” under Section 409A of the Code is a “specified employee” for purposes of Section 409A of the Code, no distribution or payment of any amount will be made upon a “separation from service” before a date that is six months following the date of such Participant’s “separation from service” (as defined in Section 409A of the Code without regard to alternative definitions thereunder) or, if earlier, the date of the Participant’s death.</w:t>
      </w:r>
    </w:p>
    <w:p>
      <w:pPr>
        <w:spacing w:after="0" w:line="182" w:lineRule="exact"/>
        <w:rPr>
          <w:rFonts w:ascii="Times New Roman" w:cs="Times New Roman" w:eastAsia="Times New Roman" w:hAnsi="Times New Roman"/>
          <w:sz w:val="18"/>
          <w:szCs w:val="18"/>
          <w:b w:val="1"/>
          <w:bCs w:val="1"/>
          <w:color w:val="auto"/>
        </w:rPr>
      </w:pPr>
    </w:p>
    <w:p>
      <w:pPr>
        <w:ind w:right="20" w:firstLine="757"/>
        <w:spacing w:after="0" w:line="256" w:lineRule="auto"/>
        <w:tabs>
          <w:tab w:leader="none" w:pos="1109"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Clawback/Recovery. </w:t>
      </w:r>
      <w:r>
        <w:rPr>
          <w:rFonts w:ascii="Times New Roman" w:cs="Times New Roman" w:eastAsia="Times New Roman" w:hAnsi="Times New Roman"/>
          <w:sz w:val="18"/>
          <w:szCs w:val="18"/>
          <w:color w:val="auto"/>
        </w:rPr>
        <w:t>All Stock Awards granted under the Plan will be subject to recoupment in accordance with any clawback policy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 Stock Award Agreement as the Board determines necessary or appropriate, including but not limited to a reacquisition right in respect of previously acquired shares of Common Stock or other cash or property upon the occurrence of Cause. No recovery of compensation under such a clawback policy will be an event giving rise to a right to resign for “good reason” or “constructive termination” (or similar term) under any agreement with the Company or an Affiliate.</w:t>
      </w:r>
    </w:p>
    <w:p>
      <w:pPr>
        <w:spacing w:after="0" w:line="182"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djustments upon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hanges in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2"/>
          <w:szCs w:val="12"/>
          <w:b w:val="1"/>
          <w:bCs w:val="1"/>
          <w:color w:val="auto"/>
        </w:rPr>
        <w:t>ther</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orporate</w:t>
      </w:r>
      <w:r>
        <w:rPr>
          <w:rFonts w:ascii="Times New Roman" w:cs="Times New Roman" w:eastAsia="Times New Roman" w:hAnsi="Times New Roman"/>
          <w:sz w:val="18"/>
          <w:szCs w:val="18"/>
          <w:b w:val="1"/>
          <w:bCs w:val="1"/>
          <w:color w:val="auto"/>
        </w:rPr>
        <w:t xml:space="preserve"> E</w:t>
      </w:r>
      <w:r>
        <w:rPr>
          <w:rFonts w:ascii="Times New Roman" w:cs="Times New Roman" w:eastAsia="Times New Roman" w:hAnsi="Times New Roman"/>
          <w:sz w:val="12"/>
          <w:szCs w:val="12"/>
          <w:b w:val="1"/>
          <w:bCs w:val="1"/>
          <w:color w:val="auto"/>
        </w:rPr>
        <w:t>vents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jc w:val="both"/>
        <w:ind w:right="120" w:firstLine="757"/>
        <w:spacing w:after="0" w:line="268" w:lineRule="auto"/>
        <w:tabs>
          <w:tab w:leader="none" w:pos="1109" w:val="left"/>
        </w:tabs>
        <w:numPr>
          <w:ilvl w:val="1"/>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Capitalization Adjustments. </w:t>
      </w:r>
      <w:r>
        <w:rPr>
          <w:rFonts w:ascii="Times New Roman" w:cs="Times New Roman" w:eastAsia="Times New Roman" w:hAnsi="Times New Roman"/>
          <w:sz w:val="18"/>
          <w:szCs w:val="18"/>
          <w:color w:val="auto"/>
        </w:rPr>
        <w:t>In the event of a Capitalization Adjustment, the Board will appropriately and proportionately adjust: (i)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class(es) and maximum number of securities subject to the Plan pursuant to Section 3(a), (ii) the class(es) and maximum number of securities that may be issued pursuant to the exercise of Incentive Stock Options pursuant to</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4" w:name="page95"/>
    <w:bookmarkEnd w:id="94"/>
    <w:p>
      <w:pPr>
        <w:ind w:right="220"/>
        <w:spacing w:after="0" w:line="282" w:lineRule="auto"/>
        <w:rPr>
          <w:sz w:val="20"/>
          <w:szCs w:val="20"/>
          <w:color w:val="auto"/>
        </w:rPr>
      </w:pPr>
      <w:r>
        <w:rPr>
          <w:rFonts w:ascii="Times New Roman" w:cs="Times New Roman" w:eastAsia="Times New Roman" w:hAnsi="Times New Roman"/>
          <w:sz w:val="18"/>
          <w:szCs w:val="18"/>
          <w:color w:val="auto"/>
        </w:rPr>
        <w:t>Section 3(c), and (iii) the class(es) and number of securities and price per share of stock subject to outstanding Stock Awards. The Board will make such adjustments, and its determination will be final, binding and conclusive.</w:t>
      </w:r>
    </w:p>
    <w:p>
      <w:pPr>
        <w:spacing w:after="0" w:line="158" w:lineRule="exact"/>
        <w:rPr>
          <w:sz w:val="20"/>
          <w:szCs w:val="20"/>
          <w:color w:val="auto"/>
        </w:rPr>
      </w:pPr>
    </w:p>
    <w:p>
      <w:pPr>
        <w:ind w:firstLine="757"/>
        <w:spacing w:after="0" w:line="256" w:lineRule="auto"/>
        <w:tabs>
          <w:tab w:leader="none" w:pos="1109"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Dissolution or Liquidation. </w:t>
      </w:r>
      <w:r>
        <w:rPr>
          <w:rFonts w:ascii="Times New Roman" w:cs="Times New Roman" w:eastAsia="Times New Roman" w:hAnsi="Times New Roman"/>
          <w:sz w:val="18"/>
          <w:szCs w:val="18"/>
          <w:color w:val="auto"/>
        </w:rPr>
        <w:t>Except as otherwise provided in the Stock Award Agreement, in the event of a dissolution or liquidation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Company, all outstanding Stock Awards (other than Stock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182" w:lineRule="exact"/>
        <w:rPr>
          <w:rFonts w:ascii="Times New Roman" w:cs="Times New Roman" w:eastAsia="Times New Roman" w:hAnsi="Times New Roman"/>
          <w:sz w:val="18"/>
          <w:szCs w:val="18"/>
          <w:b w:val="1"/>
          <w:bCs w:val="1"/>
          <w:color w:val="auto"/>
        </w:rPr>
      </w:pPr>
    </w:p>
    <w:p>
      <w:pPr>
        <w:ind w:right="20" w:firstLine="757"/>
        <w:spacing w:after="0" w:line="262" w:lineRule="auto"/>
        <w:tabs>
          <w:tab w:leader="none" w:pos="1109"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Corporate Transactions. </w:t>
      </w:r>
      <w:r>
        <w:rPr>
          <w:rFonts w:ascii="Times New Roman" w:cs="Times New Roman" w:eastAsia="Times New Roman" w:hAnsi="Times New Roman"/>
          <w:sz w:val="18"/>
          <w:szCs w:val="18"/>
          <w:color w:val="auto"/>
        </w:rPr>
        <w:t>The following provisions will apply to Stock Awards in the event of a Transaction unless otherwise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Stock Award Agreement or any other written agreement between the Company or any Affiliate and the Participant or unless otherwise expressly provided by the Board at the time of grant of a Stock Award. In the event of a Transaction, then, notwithstanding any other provision of the Plan, the Board may take one or more of the following actions with respect to Stock Awards, contingent upon the closing or completion of the Transaction:</w:t>
      </w:r>
    </w:p>
    <w:p>
      <w:pPr>
        <w:spacing w:after="0" w:line="180" w:lineRule="exact"/>
        <w:rPr>
          <w:rFonts w:ascii="Times New Roman" w:cs="Times New Roman" w:eastAsia="Times New Roman" w:hAnsi="Times New Roman"/>
          <w:sz w:val="18"/>
          <w:szCs w:val="18"/>
          <w:b w:val="1"/>
          <w:bCs w:val="1"/>
          <w:color w:val="auto"/>
        </w:rPr>
      </w:pPr>
    </w:p>
    <w:p>
      <w:pPr>
        <w:ind w:right="80" w:firstLine="1505"/>
        <w:spacing w:after="0" w:line="266" w:lineRule="auto"/>
        <w:tabs>
          <w:tab w:leader="none" w:pos="1857" w:val="left"/>
        </w:tabs>
        <w:numPr>
          <w:ilvl w:val="1"/>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Transaction);</w:t>
      </w:r>
    </w:p>
    <w:p>
      <w:pPr>
        <w:spacing w:after="0" w:line="175" w:lineRule="exact"/>
        <w:rPr>
          <w:rFonts w:ascii="Times New Roman" w:cs="Times New Roman" w:eastAsia="Times New Roman" w:hAnsi="Times New Roman"/>
          <w:sz w:val="18"/>
          <w:szCs w:val="18"/>
          <w:b w:val="1"/>
          <w:bCs w:val="1"/>
          <w:color w:val="auto"/>
        </w:rPr>
      </w:pPr>
    </w:p>
    <w:p>
      <w:pPr>
        <w:ind w:right="280" w:firstLine="1505"/>
        <w:spacing w:after="0" w:line="282" w:lineRule="auto"/>
        <w:tabs>
          <w:tab w:leader="none" w:pos="1857" w:val="left"/>
        </w:tabs>
        <w:numPr>
          <w:ilvl w:val="1"/>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spacing w:after="0" w:line="161" w:lineRule="exact"/>
        <w:rPr>
          <w:rFonts w:ascii="Times New Roman" w:cs="Times New Roman" w:eastAsia="Times New Roman" w:hAnsi="Times New Roman"/>
          <w:sz w:val="18"/>
          <w:szCs w:val="18"/>
          <w:b w:val="1"/>
          <w:bCs w:val="1"/>
          <w:color w:val="auto"/>
        </w:rPr>
      </w:pPr>
    </w:p>
    <w:p>
      <w:pPr>
        <w:ind w:right="40" w:firstLine="1505"/>
        <w:spacing w:after="0" w:line="258" w:lineRule="auto"/>
        <w:tabs>
          <w:tab w:leader="none" w:pos="1857" w:val="left"/>
        </w:tabs>
        <w:numPr>
          <w:ilvl w:val="1"/>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accelerate the vesting, in whole or in part, of the Stock Award (and, if applicable, the time at which the Stock Award may be exercised) to a date prior to the effective time of such Transaction as the Board determines (or, if the Board does not determine such a date, to the date that is five (5) days prior to the effective date of the Transaction), with such Stock Award terminating if not exercised (if applicable) at or prior to the effective time of the Transaction;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the Board may require Participants to complete and deliver to the Company a notice of exercise before the effective date of a Transaction, which exercise is contingent upon the effectiveness of such Transaction;</w:t>
      </w:r>
    </w:p>
    <w:p>
      <w:pPr>
        <w:spacing w:after="0" w:line="183" w:lineRule="exact"/>
        <w:rPr>
          <w:rFonts w:ascii="Times New Roman" w:cs="Times New Roman" w:eastAsia="Times New Roman" w:hAnsi="Times New Roman"/>
          <w:sz w:val="18"/>
          <w:szCs w:val="18"/>
          <w:b w:val="1"/>
          <w:bCs w:val="1"/>
          <w:color w:val="auto"/>
        </w:rPr>
      </w:pPr>
    </w:p>
    <w:p>
      <w:pPr>
        <w:ind w:left="1860" w:hanging="355"/>
        <w:spacing w:after="0"/>
        <w:tabs>
          <w:tab w:leader="none" w:pos="1860" w:val="left"/>
        </w:tabs>
        <w:numPr>
          <w:ilvl w:val="1"/>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arrange for the lapse, in whole or in part, of any reacquisition or repurchase rights held by the Company with respect to the Stock</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Award;</w:t>
      </w:r>
    </w:p>
    <w:p>
      <w:pPr>
        <w:spacing w:after="0" w:line="206" w:lineRule="exact"/>
        <w:rPr>
          <w:rFonts w:ascii="Times New Roman" w:cs="Times New Roman" w:eastAsia="Times New Roman" w:hAnsi="Times New Roman"/>
          <w:sz w:val="18"/>
          <w:szCs w:val="18"/>
          <w:b w:val="1"/>
          <w:bCs w:val="1"/>
          <w:color w:val="auto"/>
        </w:rPr>
      </w:pPr>
    </w:p>
    <w:p>
      <w:pPr>
        <w:ind w:right="200" w:firstLine="1505"/>
        <w:spacing w:after="0" w:line="282" w:lineRule="auto"/>
        <w:tabs>
          <w:tab w:leader="none" w:pos="1857" w:val="left"/>
        </w:tabs>
        <w:numPr>
          <w:ilvl w:val="1"/>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cancel or arrange for the cancellation of the Stock Award, to the extent not vested or not exercised prior to the effective time of the Transaction, in exchange for such cash consideration, if any, as the Board, in its sole discretion, may consider appropriate; and</w:t>
      </w:r>
    </w:p>
    <w:p>
      <w:pPr>
        <w:spacing w:after="0" w:line="161" w:lineRule="exact"/>
        <w:rPr>
          <w:rFonts w:ascii="Times New Roman" w:cs="Times New Roman" w:eastAsia="Times New Roman" w:hAnsi="Times New Roman"/>
          <w:sz w:val="18"/>
          <w:szCs w:val="18"/>
          <w:b w:val="1"/>
          <w:bCs w:val="1"/>
          <w:color w:val="auto"/>
        </w:rPr>
      </w:pPr>
    </w:p>
    <w:p>
      <w:pPr>
        <w:ind w:firstLine="1505"/>
        <w:spacing w:after="0" w:line="258" w:lineRule="auto"/>
        <w:tabs>
          <w:tab w:leader="none" w:pos="1857" w:val="left"/>
        </w:tabs>
        <w:numPr>
          <w:ilvl w:val="1"/>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make a payment, in such form as may be determined by the Board equal to the excess, if any, of (A) the value of the property the Participant would have received upon the exercise of the Stock Award immediately prior to the effective time of the Transaction, over (B) any exercise price payable by such holder in connection with such exercise. For clarity, this payment may be zero ($0) if the value of the property is equal to or less than the exercise price. Payments under this provision may be delayed to the same extent that payment of consideration to the holders of the Company’s Common Stock in connection with the Transaction is delayed as a result of escrows, earn outs, holdbacks or any other contingencies.</w:t>
      </w:r>
    </w:p>
    <w:p>
      <w:pPr>
        <w:spacing w:after="0" w:line="183"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The Board need not take the same action or actions with respect to all Stock Awards or portions thereof or with respect to all Participants. The Board may take different actions with respect to the vested and unvested portions of a Stock Award.</w:t>
      </w:r>
    </w:p>
    <w:p>
      <w:pPr>
        <w:spacing w:after="0" w:line="158" w:lineRule="exact"/>
        <w:rPr>
          <w:sz w:val="20"/>
          <w:szCs w:val="20"/>
          <w:color w:val="auto"/>
        </w:rPr>
      </w:pPr>
    </w:p>
    <w:p>
      <w:pPr>
        <w:jc w:val="both"/>
        <w:ind w:right="520" w:firstLine="757"/>
        <w:spacing w:after="0" w:line="268" w:lineRule="auto"/>
        <w:tabs>
          <w:tab w:leader="none" w:pos="1109" w:val="left"/>
        </w:tabs>
        <w:numPr>
          <w:ilvl w:val="1"/>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Change in Control. </w:t>
      </w:r>
      <w:r>
        <w:rPr>
          <w:rFonts w:ascii="Times New Roman" w:cs="Times New Roman" w:eastAsia="Times New Roman" w:hAnsi="Times New Roman"/>
          <w:sz w:val="18"/>
          <w:szCs w:val="18"/>
          <w:color w:val="auto"/>
        </w:rPr>
        <w:t>A Stock Award may be subject to additional acceleration of vesting and exercisability upon or after a Change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Control as may be provided in the Stock Award Agreement for such Stock Award or as may be provided in any other written agreement between the Company or any Affiliate and the Participant, but in the absence of such provision, no such acceleration will occur.</w:t>
      </w:r>
    </w:p>
    <w:p>
      <w:pPr>
        <w:spacing w:after="0" w:line="170"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ermination or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uspension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right="140" w:firstLine="757"/>
        <w:spacing w:after="0" w:line="266" w:lineRule="auto"/>
        <w:tabs>
          <w:tab w:leader="none" w:pos="1109" w:val="left"/>
        </w:tabs>
        <w:numPr>
          <w:ilvl w:val="1"/>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suspend or terminate the Plan at any time. No Incentive Stock Option will be granted after the tenth anniversary of the earlier of (i) the date the Plan is adopted by the Board, or (ii) the date the Plan is approved by the stockholders of the Company. No Stock Awards may be granted under the Plan while the Plan is suspended or after it is terminated.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5" w:name="page96"/>
    <w:bookmarkEnd w:id="95"/>
    <w:p>
      <w:pPr>
        <w:ind w:right="160" w:firstLine="757"/>
        <w:spacing w:after="0" w:line="286" w:lineRule="auto"/>
        <w:tabs>
          <w:tab w:leader="none" w:pos="1109" w:val="left"/>
        </w:tabs>
        <w:numPr>
          <w:ilvl w:val="1"/>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No Impairment of Rights. </w:t>
      </w:r>
      <w:r>
        <w:rPr>
          <w:rFonts w:ascii="Times New Roman" w:cs="Times New Roman" w:eastAsia="Times New Roman" w:hAnsi="Times New Roman"/>
          <w:sz w:val="18"/>
          <w:szCs w:val="18"/>
          <w:color w:val="auto"/>
        </w:rPr>
        <w:t>Suspension or termination of the Plan will not materially impair rights and obligations under any Stock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granted while the Plan is in effect except with the written consent of the affected Participant or as otherwise permitted in the Plan.</w:t>
      </w:r>
    </w:p>
    <w:p>
      <w:pPr>
        <w:spacing w:after="0" w:line="154"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ffective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ate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This Plan will become effective on the Effective Date.</w:t>
      </w:r>
    </w:p>
    <w:p>
      <w:pPr>
        <w:spacing w:after="0" w:line="221" w:lineRule="exact"/>
        <w:rPr>
          <w:sz w:val="20"/>
          <w:szCs w:val="20"/>
          <w:color w:val="auto"/>
        </w:rPr>
      </w:pPr>
    </w:p>
    <w:p>
      <w:pPr>
        <w:ind w:left="360" w:hanging="352"/>
        <w:spacing w:after="0"/>
        <w:tabs>
          <w:tab w:leader="none" w:pos="36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hoice of</w:t>
      </w:r>
      <w:r>
        <w:rPr>
          <w:rFonts w:ascii="Times New Roman" w:cs="Times New Roman" w:eastAsia="Times New Roman" w:hAnsi="Times New Roman"/>
          <w:sz w:val="18"/>
          <w:szCs w:val="18"/>
          <w:b w:val="1"/>
          <w:bCs w:val="1"/>
          <w:color w:val="auto"/>
        </w:rPr>
        <w:t xml:space="preserve"> L</w:t>
      </w:r>
      <w:r>
        <w:rPr>
          <w:rFonts w:ascii="Times New Roman" w:cs="Times New Roman" w:eastAsia="Times New Roman" w:hAnsi="Times New Roman"/>
          <w:sz w:val="12"/>
          <w:szCs w:val="12"/>
          <w:b w:val="1"/>
          <w:bCs w:val="1"/>
          <w:color w:val="auto"/>
        </w:rPr>
        <w:t>aw</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laws of the State of Delaware will govern all questions concerning the construction, validity and interpretation of this Plan, without regard to that state’s conflict of laws rules.</w:t>
      </w:r>
    </w:p>
    <w:p>
      <w:pPr>
        <w:spacing w:after="0" w:line="158" w:lineRule="exact"/>
        <w:rPr>
          <w:sz w:val="20"/>
          <w:szCs w:val="20"/>
          <w:color w:val="auto"/>
        </w:rPr>
      </w:pPr>
    </w:p>
    <w:p>
      <w:pPr>
        <w:ind w:left="360" w:hanging="352"/>
        <w:spacing w:after="0"/>
        <w:tabs>
          <w:tab w:leader="none" w:pos="360" w:val="left"/>
        </w:tabs>
        <w:numPr>
          <w:ilvl w:val="0"/>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efinitions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used in the Plan, the following definitions will apply to the capitalized terms indicated below:</w:t>
      </w:r>
    </w:p>
    <w:p>
      <w:pPr>
        <w:spacing w:after="0" w:line="225" w:lineRule="exact"/>
        <w:rPr>
          <w:rFonts w:ascii="Times New Roman" w:cs="Times New Roman" w:eastAsia="Times New Roman" w:hAnsi="Times New Roman"/>
          <w:sz w:val="18"/>
          <w:szCs w:val="18"/>
          <w:b w:val="1"/>
          <w:bCs w:val="1"/>
          <w:color w:val="auto"/>
        </w:rPr>
      </w:pPr>
    </w:p>
    <w:p>
      <w:pPr>
        <w:ind w:right="300" w:firstLine="757"/>
        <w:spacing w:after="0" w:line="286" w:lineRule="auto"/>
        <w:tabs>
          <w:tab w:leader="none" w:pos="1109" w:val="left"/>
        </w:tabs>
        <w:numPr>
          <w:ilvl w:val="1"/>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Affiliate</w:t>
      </w:r>
      <w:r>
        <w:rPr>
          <w:rFonts w:ascii="Times New Roman" w:cs="Times New Roman" w:eastAsia="Times New Roman" w:hAnsi="Times New Roman"/>
          <w:sz w:val="18"/>
          <w:szCs w:val="18"/>
          <w:color w:val="auto"/>
        </w:rPr>
        <w:t>” means, at the time of determination, any “parent” or “subsidiary” of the Company as such terms are defined in Rule 405. The Board will have the authority to determine the time or times at which “parent” or “subsidiary” status is determined within the foregoing definition.</w:t>
      </w:r>
    </w:p>
    <w:p>
      <w:pPr>
        <w:spacing w:after="0" w:line="154" w:lineRule="exact"/>
        <w:rPr>
          <w:rFonts w:ascii="Times New Roman" w:cs="Times New Roman" w:eastAsia="Times New Roman" w:hAnsi="Times New Roman"/>
          <w:sz w:val="18"/>
          <w:szCs w:val="18"/>
          <w:b w:val="1"/>
          <w:bCs w:val="1"/>
          <w:color w:val="auto"/>
        </w:rPr>
      </w:pPr>
    </w:p>
    <w:p>
      <w:pPr>
        <w:ind w:left="1120" w:hanging="363"/>
        <w:spacing w:after="0"/>
        <w:tabs>
          <w:tab w:leader="none" w:pos="1120" w:val="left"/>
        </w:tabs>
        <w:numPr>
          <w:ilvl w:val="1"/>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b w:val="1"/>
          <w:bCs w:val="1"/>
          <w:color w:val="auto"/>
        </w:rPr>
      </w:pPr>
    </w:p>
    <w:p>
      <w:pPr>
        <w:ind w:right="60" w:firstLine="757"/>
        <w:spacing w:after="0" w:line="257" w:lineRule="auto"/>
        <w:tabs>
          <w:tab w:leader="none" w:pos="1109" w:val="left"/>
        </w:tabs>
        <w:numPr>
          <w:ilvl w:val="1"/>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Capitalization Adjustment</w:t>
      </w:r>
      <w:r>
        <w:rPr>
          <w:rFonts w:ascii="Times New Roman" w:cs="Times New Roman" w:eastAsia="Times New Roman" w:hAnsi="Times New Roman"/>
          <w:sz w:val="18"/>
          <w:szCs w:val="18"/>
          <w:color w:val="auto"/>
        </w:rPr>
        <w:t>” means any change that is made in, or other events that occur with respect to, the Common Stock subject to the Plan or subject to any Stock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82" w:lineRule="exact"/>
        <w:rPr>
          <w:rFonts w:ascii="Times New Roman" w:cs="Times New Roman" w:eastAsia="Times New Roman" w:hAnsi="Times New Roman"/>
          <w:sz w:val="18"/>
          <w:szCs w:val="18"/>
          <w:b w:val="1"/>
          <w:bCs w:val="1"/>
          <w:color w:val="auto"/>
        </w:rPr>
      </w:pPr>
    </w:p>
    <w:p>
      <w:pPr>
        <w:ind w:firstLine="757"/>
        <w:spacing w:after="0" w:line="254" w:lineRule="auto"/>
        <w:tabs>
          <w:tab w:leader="none" w:pos="1109" w:val="left"/>
        </w:tabs>
        <w:numPr>
          <w:ilvl w:val="1"/>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will have the meaning ascribed to such term in any written agreement between the Participant and the Company defining such term and, in the absence of such agreement, such term means, with respect to a Participant, the occurrence of any of the following events: (i) such Participant’s commission of any felony or any crime involving fraud, dishonesty or moral turpitude under the laws of the United States or any state thereof; (ii) such Participant’s attempted commission of, or participation in, a fraud or act of dishonesty against the Company; (iii) such Participant’s intentional, material violation of any contract or agreement between the Participant and the Company or of any statutory duty owed to the Company; (iv) such Participant’s unauthorized use or disclosure of the Company’s confidential information or trade secrets; or (v) such Participant’s gross misconduct. The determination that a termination of the Participant’s Continuous Service is either for Cause or without Cause will be made by the Company, in its sole discretion. Any determination by the Company that the Continuous Service of a Participant was terminated with or without Cause for the purposes of outstanding Awards held by such Participant will have no effect upon any determination of the rights or obligations of the Company or such Participant for any other purpose.</w:t>
      </w:r>
    </w:p>
    <w:p>
      <w:pPr>
        <w:spacing w:after="0" w:line="188" w:lineRule="exact"/>
        <w:rPr>
          <w:rFonts w:ascii="Times New Roman" w:cs="Times New Roman" w:eastAsia="Times New Roman" w:hAnsi="Times New Roman"/>
          <w:sz w:val="18"/>
          <w:szCs w:val="18"/>
          <w:b w:val="1"/>
          <w:bCs w:val="1"/>
          <w:color w:val="auto"/>
        </w:rPr>
      </w:pPr>
    </w:p>
    <w:p>
      <w:pPr>
        <w:ind w:left="1120" w:hanging="363"/>
        <w:spacing w:after="0"/>
        <w:tabs>
          <w:tab w:leader="none" w:pos="1120" w:val="left"/>
        </w:tabs>
        <w:numPr>
          <w:ilvl w:val="1"/>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 the occurrence, in a single transaction or in a series of related transactions, of any one or more of the following</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events:</w:t>
      </w:r>
    </w:p>
    <w:p>
      <w:pPr>
        <w:spacing w:after="0" w:line="206" w:lineRule="exact"/>
        <w:rPr>
          <w:rFonts w:ascii="Times New Roman" w:cs="Times New Roman" w:eastAsia="Times New Roman" w:hAnsi="Times New Roman"/>
          <w:sz w:val="18"/>
          <w:szCs w:val="18"/>
          <w:b w:val="1"/>
          <w:bCs w:val="1"/>
          <w:color w:val="auto"/>
        </w:rPr>
      </w:pPr>
    </w:p>
    <w:p>
      <w:pPr>
        <w:ind w:firstLine="1505"/>
        <w:spacing w:after="0" w:line="253" w:lineRule="auto"/>
        <w:tabs>
          <w:tab w:leader="none" w:pos="1857" w:val="left"/>
        </w:tabs>
        <w:numPr>
          <w:ilvl w:val="2"/>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Exchange Act Person becomes the Owner, directly or indirectly, of securities of the Company representing more than fifty percent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 (B) 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Times New Roman" w:cs="Times New Roman" w:eastAsia="Times New Roman" w:hAnsi="Times New Roman"/>
          <w:sz w:val="18"/>
          <w:szCs w:val="18"/>
          <w:b w:val="1"/>
          <w:bCs w:val="1"/>
          <w:i w:val="1"/>
          <w:iCs w:val="1"/>
          <w:color w:val="auto"/>
        </w:rPr>
        <w:t>Subject Person</w:t>
      </w:r>
      <w:r>
        <w:rPr>
          <w:rFonts w:ascii="Times New Roman" w:cs="Times New Roman" w:eastAsia="Times New Roman" w:hAnsi="Times New Roman"/>
          <w:sz w:val="18"/>
          <w:szCs w:val="18"/>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91" w:lineRule="exact"/>
        <w:rPr>
          <w:rFonts w:ascii="Times New Roman" w:cs="Times New Roman" w:eastAsia="Times New Roman" w:hAnsi="Times New Roman"/>
          <w:sz w:val="18"/>
          <w:szCs w:val="18"/>
          <w:b w:val="1"/>
          <w:bCs w:val="1"/>
          <w:color w:val="auto"/>
        </w:rPr>
      </w:pPr>
    </w:p>
    <w:p>
      <w:pPr>
        <w:ind w:right="760" w:firstLine="1505"/>
        <w:spacing w:after="0" w:line="282" w:lineRule="auto"/>
        <w:tabs>
          <w:tab w:leader="none" w:pos="1857" w:val="left"/>
        </w:tabs>
        <w:numPr>
          <w:ilvl w:val="2"/>
          <w:numId w:val="7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merger, consolidation or similar transaction involving (directly or indirectly) the Company and, immediately after the consummation of such merger, consolidation or similar transaction, the stockholders of the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6" w:name="page97"/>
    <w:bookmarkEnd w:id="96"/>
    <w:p>
      <w:pPr>
        <w:ind w:right="80"/>
        <w:spacing w:after="0" w:line="261" w:lineRule="auto"/>
        <w:rPr>
          <w:sz w:val="20"/>
          <w:szCs w:val="20"/>
          <w:color w:val="auto"/>
        </w:rPr>
      </w:pPr>
      <w:r>
        <w:rPr>
          <w:rFonts w:ascii="Times New Roman" w:cs="Times New Roman" w:eastAsia="Times New Roman" w:hAnsi="Times New Roman"/>
          <w:sz w:val="18"/>
          <w:szCs w:val="18"/>
          <w:color w:val="auto"/>
        </w:rPr>
        <w:t>Company immediately prior thereto do not Own, directly or indirectly, either (A) outstanding voting securities representing more than fifty percent (50%) of the combined outstanding voting power of the surviving Entity in such merger, consolidation or similar transaction or (B) more than fifty percent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w:t>
      </w:r>
    </w:p>
    <w:p>
      <w:pPr>
        <w:spacing w:after="0" w:line="180" w:lineRule="exact"/>
        <w:rPr>
          <w:sz w:val="20"/>
          <w:szCs w:val="20"/>
          <w:color w:val="auto"/>
        </w:rPr>
      </w:pPr>
    </w:p>
    <w:p>
      <w:pPr>
        <w:ind w:right="40" w:firstLine="1505"/>
        <w:spacing w:after="0" w:line="282" w:lineRule="auto"/>
        <w:tabs>
          <w:tab w:leader="none" w:pos="1857"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stockholders of the Company approve or the Board approves a plan of complete dissolution or liquidation of the Company, or a complete dissolution or liquidation of the Company will otherwise occur, except for a liquidation into a parent corporation;</w:t>
      </w:r>
    </w:p>
    <w:p>
      <w:pPr>
        <w:spacing w:after="0" w:line="161" w:lineRule="exact"/>
        <w:rPr>
          <w:rFonts w:ascii="Times New Roman" w:cs="Times New Roman" w:eastAsia="Times New Roman" w:hAnsi="Times New Roman"/>
          <w:sz w:val="18"/>
          <w:szCs w:val="18"/>
          <w:b w:val="1"/>
          <w:bCs w:val="1"/>
          <w:color w:val="auto"/>
        </w:rPr>
      </w:pPr>
    </w:p>
    <w:p>
      <w:pPr>
        <w:ind w:firstLine="1505"/>
        <w:spacing w:after="0" w:line="258" w:lineRule="auto"/>
        <w:tabs>
          <w:tab w:leader="none" w:pos="1857"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fifty percent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or</w:t>
      </w:r>
    </w:p>
    <w:p>
      <w:pPr>
        <w:spacing w:after="0" w:line="179" w:lineRule="exact"/>
        <w:rPr>
          <w:rFonts w:ascii="Times New Roman" w:cs="Times New Roman" w:eastAsia="Times New Roman" w:hAnsi="Times New Roman"/>
          <w:sz w:val="18"/>
          <w:szCs w:val="18"/>
          <w:b w:val="1"/>
          <w:bCs w:val="1"/>
          <w:color w:val="auto"/>
        </w:rPr>
      </w:pPr>
    </w:p>
    <w:p>
      <w:pPr>
        <w:ind w:right="80" w:firstLine="1505"/>
        <w:spacing w:after="0" w:line="262" w:lineRule="auto"/>
        <w:tabs>
          <w:tab w:leader="none" w:pos="1857" w:val="left"/>
        </w:tabs>
        <w:numPr>
          <w:ilvl w:val="0"/>
          <w:numId w:val="8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individuals who, on the date the Plan is adopted by the Board, are members of the Board (the “</w:t>
      </w:r>
      <w:r>
        <w:rPr>
          <w:rFonts w:ascii="Times New Roman" w:cs="Times New Roman" w:eastAsia="Times New Roman" w:hAnsi="Times New Roman"/>
          <w:sz w:val="18"/>
          <w:szCs w:val="18"/>
          <w:b w:val="1"/>
          <w:bCs w:val="1"/>
          <w:i w:val="1"/>
          <w:iCs w:val="1"/>
          <w:color w:val="auto"/>
        </w:rPr>
        <w:t>Incumbent Board</w:t>
      </w:r>
      <w:r>
        <w:rPr>
          <w:rFonts w:ascii="Times New Roman" w:cs="Times New Roman" w:eastAsia="Times New Roman" w:hAnsi="Times New Roman"/>
          <w:sz w:val="18"/>
          <w:szCs w:val="18"/>
          <w:color w:val="auto"/>
        </w:rPr>
        <w:t xml:space="preserve">”) cease for any reason to constitute at least a majority of the members of the Board;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180"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the foregoing definition or any other provision of this Plan, (A) the term Change in Control will not include a sale of assets, merger or other transaction effected exclusively for the purpose of changing the domicile of the Company, and (B) the definition of Change in Control (or any analogous term) in an individual written agreement between the Company or any Affiliate and the Participant will supersede the foregoing definition with respect to Awards subject to such agreement;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no definition of Change in Control or any analogous term is set forth in such an individual written agreement, the foregoing definition will apply.</w:t>
      </w:r>
    </w:p>
    <w:p>
      <w:pPr>
        <w:spacing w:after="0" w:line="179" w:lineRule="exact"/>
        <w:rPr>
          <w:sz w:val="20"/>
          <w:szCs w:val="20"/>
          <w:color w:val="auto"/>
        </w:rPr>
      </w:pPr>
    </w:p>
    <w:p>
      <w:pPr>
        <w:ind w:left="1120" w:hanging="363"/>
        <w:spacing w:after="0"/>
        <w:tabs>
          <w:tab w:leader="none" w:pos="112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including any applicable regulations and guidance thereunder.</w:t>
      </w:r>
    </w:p>
    <w:p>
      <w:pPr>
        <w:spacing w:after="0" w:line="225" w:lineRule="exact"/>
        <w:rPr>
          <w:rFonts w:ascii="Times New Roman" w:cs="Times New Roman" w:eastAsia="Times New Roman" w:hAnsi="Times New Roman"/>
          <w:sz w:val="18"/>
          <w:szCs w:val="18"/>
          <w:b w:val="1"/>
          <w:bCs w:val="1"/>
          <w:color w:val="auto"/>
        </w:rPr>
      </w:pPr>
    </w:p>
    <w:p>
      <w:pPr>
        <w:ind w:left="1120" w:hanging="363"/>
        <w:spacing w:after="0"/>
        <w:tabs>
          <w:tab w:leader="none" w:pos="1120" w:val="left"/>
        </w:tabs>
        <w:numPr>
          <w:ilvl w:val="0"/>
          <w:numId w:val="8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a committee of one or more Directors to whom authority has been delegated by the Board in accordance with Section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2(c).</w:t>
      </w:r>
    </w:p>
    <w:p>
      <w:pPr>
        <w:spacing w:after="0" w:line="203" w:lineRule="exact"/>
        <w:rPr>
          <w:sz w:val="20"/>
          <w:szCs w:val="20"/>
          <w:color w:val="auto"/>
        </w:rPr>
      </w:pPr>
    </w:p>
    <w:p>
      <w:pPr>
        <w:ind w:left="1120" w:hanging="363"/>
        <w:spacing w:after="0"/>
        <w:tabs>
          <w:tab w:leader="none" w:pos="112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Common Stock</w:t>
      </w:r>
      <w:r>
        <w:rPr>
          <w:rFonts w:ascii="Times New Roman" w:cs="Times New Roman" w:eastAsia="Times New Roman" w:hAnsi="Times New Roman"/>
          <w:sz w:val="18"/>
          <w:szCs w:val="18"/>
          <w:color w:val="auto"/>
        </w:rPr>
        <w:t>” means the common stock of the Company.</w:t>
      </w:r>
    </w:p>
    <w:p>
      <w:pPr>
        <w:spacing w:after="0" w:line="225" w:lineRule="exact"/>
        <w:rPr>
          <w:rFonts w:ascii="Times New Roman" w:cs="Times New Roman" w:eastAsia="Times New Roman" w:hAnsi="Times New Roman"/>
          <w:sz w:val="18"/>
          <w:szCs w:val="18"/>
          <w:b w:val="1"/>
          <w:bCs w:val="1"/>
          <w:color w:val="auto"/>
        </w:rPr>
      </w:pPr>
    </w:p>
    <w:p>
      <w:pPr>
        <w:ind w:left="1120" w:hanging="363"/>
        <w:spacing w:after="0"/>
        <w:tabs>
          <w:tab w:leader="none" w:pos="112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MannKind Corporation, a Delaware corporation.</w:t>
      </w:r>
    </w:p>
    <w:p>
      <w:pPr>
        <w:spacing w:after="0" w:line="225" w:lineRule="exact"/>
        <w:rPr>
          <w:rFonts w:ascii="Times New Roman" w:cs="Times New Roman" w:eastAsia="Times New Roman" w:hAnsi="Times New Roman"/>
          <w:sz w:val="18"/>
          <w:szCs w:val="18"/>
          <w:b w:val="1"/>
          <w:bCs w:val="1"/>
          <w:color w:val="auto"/>
        </w:rPr>
      </w:pPr>
    </w:p>
    <w:p>
      <w:pPr>
        <w:ind w:right="80" w:firstLine="757"/>
        <w:spacing w:after="0" w:line="259" w:lineRule="auto"/>
        <w:tabs>
          <w:tab w:leader="none" w:pos="1109"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means any person, including an advisor, who is (i) engaged by the Company or an Affiliate to render consulting or advisory 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79" w:lineRule="exact"/>
        <w:rPr>
          <w:rFonts w:ascii="Times New Roman" w:cs="Times New Roman" w:eastAsia="Times New Roman" w:hAnsi="Times New Roman"/>
          <w:sz w:val="18"/>
          <w:szCs w:val="18"/>
          <w:b w:val="1"/>
          <w:bCs w:val="1"/>
          <w:color w:val="auto"/>
        </w:rPr>
      </w:pPr>
    </w:p>
    <w:p>
      <w:pPr>
        <w:ind w:right="20" w:firstLine="757"/>
        <w:spacing w:after="0" w:line="269" w:lineRule="auto"/>
        <w:tabs>
          <w:tab w:leader="none" w:pos="1109"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Continuous Service</w:t>
      </w:r>
      <w:r>
        <w:rPr>
          <w:rFonts w:ascii="Times New Roman" w:cs="Times New Roman" w:eastAsia="Times New Roman" w:hAnsi="Times New Roman"/>
          <w:sz w:val="17"/>
          <w:szCs w:val="17"/>
          <w:color w:val="auto"/>
        </w:rPr>
        <w:t xml:space="preserve">” means that the Participant’s service with the Company or an Affiliate, whether as an Employee, Director or Consultant, is not interrupted or terminated. A change in the capacity in which the Participant renders service to the Company or an Affiliate as an Employee, Director or Consultant or a change in the Entity for which the Participant renders such service, provided that there is no interruption or termination of the Participant’s service with the Company or an Affiliate, will not terminate a Participant’s Continuous Service;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For example, a change in status from an Employee of the Company to a Consultant of an Affiliate or to a Director will not constitute an interruption of Continuous Service.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 Stock Award only to such extent as may be provided in the Company’s or Affiliate’s leave of absence policy, in the written terms of any leave of absence agreement or policy applicable to the Participant, or as otherwise required by law.</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7" w:name="page98"/>
    <w:bookmarkEnd w:id="97"/>
    <w:p>
      <w:pPr>
        <w:ind w:right="200" w:firstLine="757"/>
        <w:spacing w:after="0" w:line="286" w:lineRule="auto"/>
        <w:tabs>
          <w:tab w:leader="none" w:pos="1109"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means the consummation, in a single transaction or in a series of related transactions, of any one or more of the following events:</w:t>
      </w:r>
    </w:p>
    <w:p>
      <w:pPr>
        <w:spacing w:after="0" w:line="159" w:lineRule="exact"/>
        <w:rPr>
          <w:sz w:val="20"/>
          <w:szCs w:val="20"/>
          <w:color w:val="auto"/>
        </w:rPr>
      </w:pPr>
    </w:p>
    <w:p>
      <w:pPr>
        <w:ind w:left="1120" w:hanging="363"/>
        <w:spacing w:after="0"/>
        <w:tabs>
          <w:tab w:leader="none" w:pos="11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lease or other disposition of all or substantially all of the assets of the Company;</w:t>
      </w:r>
    </w:p>
    <w:p>
      <w:pPr>
        <w:spacing w:after="0" w:line="225" w:lineRule="exact"/>
        <w:rPr>
          <w:rFonts w:ascii="Times New Roman" w:cs="Times New Roman" w:eastAsia="Times New Roman" w:hAnsi="Times New Roman"/>
          <w:sz w:val="18"/>
          <w:szCs w:val="18"/>
          <w:b w:val="1"/>
          <w:bCs w:val="1"/>
          <w:color w:val="auto"/>
        </w:rPr>
      </w:pPr>
    </w:p>
    <w:p>
      <w:pPr>
        <w:ind w:left="1120" w:hanging="363"/>
        <w:spacing w:after="0"/>
        <w:tabs>
          <w:tab w:leader="none" w:pos="11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at least ninety percent (90%) of the outstanding securities of the Company;</w:t>
      </w:r>
    </w:p>
    <w:p>
      <w:pPr>
        <w:spacing w:after="0" w:line="225" w:lineRule="exact"/>
        <w:rPr>
          <w:rFonts w:ascii="Times New Roman" w:cs="Times New Roman" w:eastAsia="Times New Roman" w:hAnsi="Times New Roman"/>
          <w:sz w:val="18"/>
          <w:szCs w:val="18"/>
          <w:b w:val="1"/>
          <w:bCs w:val="1"/>
          <w:color w:val="auto"/>
        </w:rPr>
      </w:pPr>
    </w:p>
    <w:p>
      <w:pPr>
        <w:ind w:left="1120" w:hanging="363"/>
        <w:spacing w:after="0"/>
        <w:tabs>
          <w:tab w:leader="none" w:pos="11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in which the Company is not the surviving corporation; or</w:t>
      </w:r>
    </w:p>
    <w:p>
      <w:pPr>
        <w:spacing w:after="0" w:line="225" w:lineRule="exact"/>
        <w:rPr>
          <w:rFonts w:ascii="Times New Roman" w:cs="Times New Roman" w:eastAsia="Times New Roman" w:hAnsi="Times New Roman"/>
          <w:sz w:val="18"/>
          <w:szCs w:val="18"/>
          <w:b w:val="1"/>
          <w:bCs w:val="1"/>
          <w:color w:val="auto"/>
        </w:rPr>
      </w:pPr>
    </w:p>
    <w:p>
      <w:pPr>
        <w:ind w:right="180" w:firstLine="757"/>
        <w:spacing w:after="0" w:line="266" w:lineRule="auto"/>
        <w:tabs>
          <w:tab w:leader="none" w:pos="1109"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reverse merger, consolidation or similar transaction in which the Company is the surviving corporation but the shares of Common Stock outstanding immediately preceding the merger, consolidation or similar transaction are converted by virtue of the merger, consolidation or similar transaction into other property, whether in the form of securities, cash or otherwise.</w:t>
      </w:r>
    </w:p>
    <w:p>
      <w:pPr>
        <w:spacing w:after="0" w:line="176" w:lineRule="exact"/>
        <w:rPr>
          <w:sz w:val="20"/>
          <w:szCs w:val="20"/>
          <w:color w:val="auto"/>
        </w:rPr>
      </w:pPr>
    </w:p>
    <w:p>
      <w:pPr>
        <w:ind w:right="340" w:firstLine="749"/>
        <w:spacing w:after="0" w:line="282" w:lineRule="auto"/>
        <w:rPr>
          <w:sz w:val="20"/>
          <w:szCs w:val="20"/>
          <w:color w:val="auto"/>
        </w:rPr>
      </w:pPr>
      <w:r>
        <w:rPr>
          <w:rFonts w:ascii="Times New Roman" w:cs="Times New Roman" w:eastAsia="Times New Roman" w:hAnsi="Times New Roman"/>
          <w:sz w:val="18"/>
          <w:szCs w:val="18"/>
          <w:color w:val="auto"/>
        </w:rPr>
        <w:t>Notwithstanding the foregoing definition or any other provision of this Plan, the term Corporate Transaction will not include a sale of assets, merger or other transaction effected exclusively for the purpose of changing the domicile of the Company.</w:t>
      </w:r>
    </w:p>
    <w:p>
      <w:pPr>
        <w:spacing w:after="0" w:line="158" w:lineRule="exact"/>
        <w:rPr>
          <w:sz w:val="20"/>
          <w:szCs w:val="20"/>
          <w:color w:val="auto"/>
        </w:rPr>
      </w:pPr>
    </w:p>
    <w:p>
      <w:pPr>
        <w:ind w:left="1120" w:hanging="363"/>
        <w:spacing w:after="0"/>
        <w:tabs>
          <w:tab w:leader="none" w:pos="112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b w:val="1"/>
          <w:bCs w:val="1"/>
          <w:color w:val="auto"/>
        </w:rPr>
      </w:pPr>
    </w:p>
    <w:p>
      <w:pPr>
        <w:ind w:right="160" w:firstLine="757"/>
        <w:spacing w:after="0" w:line="262" w:lineRule="auto"/>
        <w:tabs>
          <w:tab w:leader="none" w:pos="1109"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with respect to a Participant, the inability of such Participant to engage in any substantial gainful activity by reason of any medically determinable physical or mental impairment that can be expected to result in death or that has lasted or can be expected to last for a continuous period of not less than 12 months, as provided in Sections 22(e)(3) and 409A(a)(2)(c)(i) of the Code, and will be determined by the Board on the basis of such medical evidence as the Board deems warranted under the circumstances.</w:t>
      </w:r>
    </w:p>
    <w:p>
      <w:pPr>
        <w:spacing w:after="0" w:line="176" w:lineRule="exact"/>
        <w:rPr>
          <w:rFonts w:ascii="Times New Roman" w:cs="Times New Roman" w:eastAsia="Times New Roman" w:hAnsi="Times New Roman"/>
          <w:sz w:val="18"/>
          <w:szCs w:val="18"/>
          <w:b w:val="1"/>
          <w:bCs w:val="1"/>
          <w:color w:val="auto"/>
        </w:rPr>
      </w:pPr>
    </w:p>
    <w:p>
      <w:pPr>
        <w:ind w:right="220" w:firstLine="757"/>
        <w:spacing w:after="0" w:line="286" w:lineRule="auto"/>
        <w:tabs>
          <w:tab w:leader="none" w:pos="1109"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means the effective date of this Plan document, which is the date of the annual meeting of stockholders of the Company held in 2018, provided this Plan is approved by the Company’s stockholders at such meeting.</w:t>
      </w:r>
    </w:p>
    <w:p>
      <w:pPr>
        <w:spacing w:after="0" w:line="154" w:lineRule="exact"/>
        <w:rPr>
          <w:rFonts w:ascii="Times New Roman" w:cs="Times New Roman" w:eastAsia="Times New Roman" w:hAnsi="Times New Roman"/>
          <w:sz w:val="18"/>
          <w:szCs w:val="18"/>
          <w:b w:val="1"/>
          <w:bCs w:val="1"/>
          <w:color w:val="auto"/>
        </w:rPr>
      </w:pPr>
    </w:p>
    <w:p>
      <w:pPr>
        <w:ind w:right="320" w:firstLine="757"/>
        <w:spacing w:after="0" w:line="286" w:lineRule="auto"/>
        <w:tabs>
          <w:tab w:leader="none" w:pos="1109"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person employed by the Company or an Affiliate. However, service solely as a Director, or payment of a fee for such services, will not cause a Director to be considered an “Employee” for purposes of the Plan.</w:t>
      </w:r>
    </w:p>
    <w:p>
      <w:pPr>
        <w:spacing w:after="0" w:line="154" w:lineRule="exact"/>
        <w:rPr>
          <w:rFonts w:ascii="Times New Roman" w:cs="Times New Roman" w:eastAsia="Times New Roman" w:hAnsi="Times New Roman"/>
          <w:sz w:val="18"/>
          <w:szCs w:val="18"/>
          <w:b w:val="1"/>
          <w:bCs w:val="1"/>
          <w:color w:val="auto"/>
        </w:rPr>
      </w:pPr>
    </w:p>
    <w:p>
      <w:pPr>
        <w:ind w:left="1120" w:hanging="363"/>
        <w:spacing w:after="0"/>
        <w:tabs>
          <w:tab w:leader="none" w:pos="112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Entity</w:t>
      </w:r>
      <w:r>
        <w:rPr>
          <w:rFonts w:ascii="Times New Roman" w:cs="Times New Roman" w:eastAsia="Times New Roman" w:hAnsi="Times New Roman"/>
          <w:sz w:val="18"/>
          <w:szCs w:val="18"/>
          <w:color w:val="auto"/>
        </w:rPr>
        <w:t>” means a corporation, partnership, limited liability company or other entity.</w:t>
      </w:r>
    </w:p>
    <w:p>
      <w:pPr>
        <w:spacing w:after="0" w:line="225" w:lineRule="exact"/>
        <w:rPr>
          <w:rFonts w:ascii="Times New Roman" w:cs="Times New Roman" w:eastAsia="Times New Roman" w:hAnsi="Times New Roman"/>
          <w:sz w:val="18"/>
          <w:szCs w:val="18"/>
          <w:b w:val="1"/>
          <w:bCs w:val="1"/>
          <w:color w:val="auto"/>
        </w:rPr>
      </w:pPr>
    </w:p>
    <w:p>
      <w:pPr>
        <w:ind w:left="1120" w:hanging="363"/>
        <w:spacing w:after="0"/>
        <w:tabs>
          <w:tab w:leader="none" w:pos="112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promulgated thereunder.</w:t>
      </w:r>
    </w:p>
    <w:p>
      <w:pPr>
        <w:spacing w:after="0" w:line="225" w:lineRule="exact"/>
        <w:rPr>
          <w:rFonts w:ascii="Times New Roman" w:cs="Times New Roman" w:eastAsia="Times New Roman" w:hAnsi="Times New Roman"/>
          <w:sz w:val="18"/>
          <w:szCs w:val="18"/>
          <w:b w:val="1"/>
          <w:bCs w:val="1"/>
          <w:color w:val="auto"/>
        </w:rPr>
      </w:pPr>
    </w:p>
    <w:p>
      <w:pPr>
        <w:ind w:firstLine="757"/>
        <w:spacing w:after="0" w:line="256" w:lineRule="auto"/>
        <w:tabs>
          <w:tab w:leader="none" w:pos="1109"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 Person</w:t>
      </w:r>
      <w:r>
        <w:rPr>
          <w:rFonts w:ascii="Times New Roman" w:cs="Times New Roman" w:eastAsia="Times New Roman" w:hAnsi="Times New Roman"/>
          <w:sz w:val="18"/>
          <w:szCs w:val="18"/>
          <w:color w:val="auto"/>
        </w:rPr>
        <w:t>” means any natural person, Entity or “group” (within the meaning of Section 13(d) or 14(d) of the Exchange Act), 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an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fifty percent (50%) of the combined voting power of the Company’s then outstanding securities.</w:t>
      </w:r>
    </w:p>
    <w:p>
      <w:pPr>
        <w:spacing w:after="0" w:line="182" w:lineRule="exact"/>
        <w:rPr>
          <w:rFonts w:ascii="Times New Roman" w:cs="Times New Roman" w:eastAsia="Times New Roman" w:hAnsi="Times New Roman"/>
          <w:sz w:val="18"/>
          <w:szCs w:val="18"/>
          <w:b w:val="1"/>
          <w:bCs w:val="1"/>
          <w:color w:val="auto"/>
        </w:rPr>
      </w:pPr>
    </w:p>
    <w:p>
      <w:pPr>
        <w:ind w:left="1120" w:hanging="363"/>
        <w:spacing w:after="0"/>
        <w:tabs>
          <w:tab w:leader="none" w:pos="112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the Common Stock determined as follows:</w:t>
      </w:r>
    </w:p>
    <w:p>
      <w:pPr>
        <w:spacing w:after="0" w:line="229" w:lineRule="exact"/>
        <w:rPr>
          <w:rFonts w:ascii="Times New Roman" w:cs="Times New Roman" w:eastAsia="Times New Roman" w:hAnsi="Times New Roman"/>
          <w:sz w:val="18"/>
          <w:szCs w:val="18"/>
          <w:b w:val="1"/>
          <w:bCs w:val="1"/>
          <w:color w:val="auto"/>
        </w:rPr>
      </w:pPr>
    </w:p>
    <w:p>
      <w:pPr>
        <w:jc w:val="both"/>
        <w:ind w:right="40" w:firstLine="1505"/>
        <w:spacing w:after="0" w:line="261" w:lineRule="auto"/>
        <w:tabs>
          <w:tab w:leader="none" w:pos="1857"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the Common Stock is listed on any established stock exchange or traded on any established market, the Fair Market Value of a share of Common Stock will be, unless otherwise determined by the Board, the closing sales price for such stock as quoted on such exchange or market (or the exchange or market with the greatest volume of trading in the Common Stock) on the date of determination, as reported in a source the Board deems reliable.</w:t>
      </w:r>
    </w:p>
    <w:p>
      <w:pPr>
        <w:spacing w:after="0" w:line="179" w:lineRule="exact"/>
        <w:rPr>
          <w:rFonts w:ascii="Times New Roman" w:cs="Times New Roman" w:eastAsia="Times New Roman" w:hAnsi="Times New Roman"/>
          <w:sz w:val="18"/>
          <w:szCs w:val="18"/>
          <w:b w:val="1"/>
          <w:bCs w:val="1"/>
          <w:color w:val="auto"/>
        </w:rPr>
      </w:pPr>
    </w:p>
    <w:p>
      <w:pPr>
        <w:ind w:right="300" w:firstLine="1505"/>
        <w:spacing w:after="0" w:line="282" w:lineRule="auto"/>
        <w:tabs>
          <w:tab w:leader="none" w:pos="1857"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provided by the Board, if there is no closing sales price for the Common Stock on the date of determination, then the Fair Market Value will be the closing selling price on the last preceding date for which such quotation exists.</w:t>
      </w:r>
    </w:p>
    <w:p>
      <w:pPr>
        <w:spacing w:after="0" w:line="161" w:lineRule="exact"/>
        <w:rPr>
          <w:rFonts w:ascii="Times New Roman" w:cs="Times New Roman" w:eastAsia="Times New Roman" w:hAnsi="Times New Roman"/>
          <w:sz w:val="18"/>
          <w:szCs w:val="18"/>
          <w:b w:val="1"/>
          <w:bCs w:val="1"/>
          <w:color w:val="auto"/>
        </w:rPr>
      </w:pPr>
    </w:p>
    <w:p>
      <w:pPr>
        <w:ind w:right="160" w:firstLine="1505"/>
        <w:spacing w:after="0" w:line="282" w:lineRule="auto"/>
        <w:tabs>
          <w:tab w:leader="none" w:pos="1857"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absence of such markets for the Common Stock, the Fair Market Value will be determined by the Board in good faith and in a manner that complies with Sections 409A and 422 of the Code.</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98" w:name="page99"/>
    <w:bookmarkEnd w:id="98"/>
    <w:p>
      <w:pPr>
        <w:ind w:right="40" w:firstLine="757"/>
        <w:spacing w:after="0" w:line="286" w:lineRule="auto"/>
        <w:tabs>
          <w:tab w:leader="none" w:pos="1109"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Full Value Award</w:t>
      </w:r>
      <w:r>
        <w:rPr>
          <w:rFonts w:ascii="Times New Roman" w:cs="Times New Roman" w:eastAsia="Times New Roman" w:hAnsi="Times New Roman"/>
          <w:sz w:val="18"/>
          <w:szCs w:val="18"/>
          <w:color w:val="auto"/>
        </w:rPr>
        <w:t>” means a Stock Award that is not an Option or SAR with respect to which the exercise or strike price is at least 100% of the Fair Market Value of the Common Stock subject to the Option or SAR on the date of grant.</w:t>
      </w:r>
    </w:p>
    <w:p>
      <w:pPr>
        <w:spacing w:after="0" w:line="154" w:lineRule="exact"/>
        <w:rPr>
          <w:rFonts w:ascii="Times New Roman" w:cs="Times New Roman" w:eastAsia="Times New Roman" w:hAnsi="Times New Roman"/>
          <w:sz w:val="18"/>
          <w:szCs w:val="18"/>
          <w:b w:val="1"/>
          <w:bCs w:val="1"/>
          <w:color w:val="auto"/>
        </w:rPr>
      </w:pPr>
    </w:p>
    <w:p>
      <w:pPr>
        <w:ind w:right="340" w:firstLine="757"/>
        <w:spacing w:after="0" w:line="286" w:lineRule="auto"/>
        <w:tabs>
          <w:tab w:leader="none" w:pos="1109"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granted pursuant to Section 5 that is intended to be, and that qualifies as, an “incentive stock option” within the meaning of Section 422 of the Code.</w:t>
      </w:r>
    </w:p>
    <w:p>
      <w:pPr>
        <w:spacing w:after="0" w:line="154" w:lineRule="exact"/>
        <w:rPr>
          <w:rFonts w:ascii="Times New Roman" w:cs="Times New Roman" w:eastAsia="Times New Roman" w:hAnsi="Times New Roman"/>
          <w:sz w:val="18"/>
          <w:szCs w:val="18"/>
          <w:b w:val="1"/>
          <w:bCs w:val="1"/>
          <w:color w:val="auto"/>
        </w:rPr>
      </w:pPr>
    </w:p>
    <w:p>
      <w:pPr>
        <w:ind w:right="20" w:firstLine="757"/>
        <w:spacing w:after="0" w:line="257" w:lineRule="auto"/>
        <w:tabs>
          <w:tab w:leader="none" w:pos="1109"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means a Director who either (i) is not a current employee or officer of the Company or an Affiliate, does not 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Times New Roman" w:cs="Times New Roman" w:eastAsia="Times New Roman" w:hAnsi="Times New Roman"/>
          <w:sz w:val="18"/>
          <w:szCs w:val="18"/>
          <w:b w:val="1"/>
          <w:bCs w:val="1"/>
          <w:i w:val="1"/>
          <w:iCs w:val="1"/>
          <w:color w:val="auto"/>
        </w:rPr>
        <w:t>Regulation S-K</w:t>
      </w:r>
      <w:r>
        <w:rPr>
          <w:rFonts w:ascii="Times New Roman" w:cs="Times New Roman" w:eastAsia="Times New Roman" w:hAnsi="Times New Roman"/>
          <w:sz w:val="18"/>
          <w:szCs w:val="18"/>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82" w:lineRule="exact"/>
        <w:rPr>
          <w:rFonts w:ascii="Times New Roman" w:cs="Times New Roman" w:eastAsia="Times New Roman" w:hAnsi="Times New Roman"/>
          <w:sz w:val="18"/>
          <w:szCs w:val="18"/>
          <w:b w:val="1"/>
          <w:bCs w:val="1"/>
          <w:color w:val="auto"/>
        </w:rPr>
      </w:pPr>
    </w:p>
    <w:p>
      <w:pPr>
        <w:ind w:left="1120" w:hanging="363"/>
        <w:spacing w:after="0"/>
        <w:tabs>
          <w:tab w:leader="none" w:pos="112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Nonstatutory Stock Option</w:t>
      </w:r>
      <w:r>
        <w:rPr>
          <w:rFonts w:ascii="Times New Roman" w:cs="Times New Roman" w:eastAsia="Times New Roman" w:hAnsi="Times New Roman"/>
          <w:sz w:val="18"/>
          <w:szCs w:val="18"/>
          <w:color w:val="auto"/>
        </w:rPr>
        <w:t>” means any option granted pursuant to Section 5 that does not qualify as an Incentive Stock Option.</w:t>
      </w:r>
    </w:p>
    <w:p>
      <w:pPr>
        <w:spacing w:after="0" w:line="225" w:lineRule="exact"/>
        <w:rPr>
          <w:rFonts w:ascii="Times New Roman" w:cs="Times New Roman" w:eastAsia="Times New Roman" w:hAnsi="Times New Roman"/>
          <w:sz w:val="18"/>
          <w:szCs w:val="18"/>
          <w:b w:val="1"/>
          <w:bCs w:val="1"/>
          <w:color w:val="auto"/>
        </w:rPr>
      </w:pPr>
    </w:p>
    <w:p>
      <w:pPr>
        <w:ind w:left="1120" w:hanging="363"/>
        <w:spacing w:after="0"/>
        <w:tabs>
          <w:tab w:leader="none" w:pos="112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w:t>
      </w:r>
    </w:p>
    <w:p>
      <w:pPr>
        <w:spacing w:after="0" w:line="225" w:lineRule="exact"/>
        <w:rPr>
          <w:rFonts w:ascii="Times New Roman" w:cs="Times New Roman" w:eastAsia="Times New Roman" w:hAnsi="Times New Roman"/>
          <w:sz w:val="18"/>
          <w:szCs w:val="18"/>
          <w:b w:val="1"/>
          <w:bCs w:val="1"/>
          <w:color w:val="auto"/>
        </w:rPr>
      </w:pPr>
    </w:p>
    <w:p>
      <w:pPr>
        <w:ind w:left="1120" w:hanging="363"/>
        <w:spacing w:after="0"/>
        <w:tabs>
          <w:tab w:leader="none" w:pos="112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an Incentive Stock Option or a Nonstatutory Stock Option to purchase shares of Common Stock granted pursuant to the</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Plan.</w:t>
      </w:r>
    </w:p>
    <w:p>
      <w:pPr>
        <w:spacing w:after="0" w:line="203" w:lineRule="exact"/>
        <w:rPr>
          <w:sz w:val="20"/>
          <w:szCs w:val="20"/>
          <w:color w:val="auto"/>
        </w:rPr>
      </w:pPr>
    </w:p>
    <w:p>
      <w:pPr>
        <w:ind w:right="380" w:firstLine="757"/>
        <w:spacing w:after="0" w:line="286" w:lineRule="auto"/>
        <w:tabs>
          <w:tab w:leader="none" w:pos="1109"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 Agreement</w:t>
      </w:r>
      <w:r>
        <w:rPr>
          <w:rFonts w:ascii="Times New Roman" w:cs="Times New Roman" w:eastAsia="Times New Roman" w:hAnsi="Times New Roman"/>
          <w:sz w:val="18"/>
          <w:szCs w:val="18"/>
          <w:color w:val="auto"/>
        </w:rPr>
        <w:t>” means a written agreement between the Company and an Optionholder evidencing the terms and conditions of an Option grant. Each Option Agreement will be subject to the terms and conditions of the Plan.</w:t>
      </w:r>
    </w:p>
    <w:p>
      <w:pPr>
        <w:spacing w:after="0" w:line="154" w:lineRule="exact"/>
        <w:rPr>
          <w:rFonts w:ascii="Times New Roman" w:cs="Times New Roman" w:eastAsia="Times New Roman" w:hAnsi="Times New Roman"/>
          <w:sz w:val="18"/>
          <w:szCs w:val="18"/>
          <w:b w:val="1"/>
          <w:bCs w:val="1"/>
          <w:color w:val="auto"/>
        </w:rPr>
      </w:pPr>
    </w:p>
    <w:p>
      <w:pPr>
        <w:ind w:right="620" w:firstLine="757"/>
        <w:spacing w:after="0" w:line="286" w:lineRule="auto"/>
        <w:tabs>
          <w:tab w:leader="none" w:pos="1109"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Optionholder</w:t>
      </w:r>
      <w:r>
        <w:rPr>
          <w:rFonts w:ascii="Times New Roman" w:cs="Times New Roman" w:eastAsia="Times New Roman" w:hAnsi="Times New Roman"/>
          <w:sz w:val="18"/>
          <w:szCs w:val="18"/>
          <w:color w:val="auto"/>
        </w:rPr>
        <w:t>” means a person to whom an Option is granted pursuant to the Plan or, if applicable, such other person who holds an outstanding Option.</w:t>
      </w:r>
    </w:p>
    <w:p>
      <w:pPr>
        <w:spacing w:after="0" w:line="154" w:lineRule="exact"/>
        <w:rPr>
          <w:rFonts w:ascii="Times New Roman" w:cs="Times New Roman" w:eastAsia="Times New Roman" w:hAnsi="Times New Roman"/>
          <w:sz w:val="18"/>
          <w:szCs w:val="18"/>
          <w:b w:val="1"/>
          <w:bCs w:val="1"/>
          <w:color w:val="auto"/>
        </w:rPr>
      </w:pPr>
    </w:p>
    <w:p>
      <w:pPr>
        <w:ind w:right="180" w:firstLine="757"/>
        <w:spacing w:after="0" w:line="286" w:lineRule="auto"/>
        <w:tabs>
          <w:tab w:leader="none" w:pos="1109"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Stock Award</w:t>
      </w:r>
      <w:r>
        <w:rPr>
          <w:rFonts w:ascii="Times New Roman" w:cs="Times New Roman" w:eastAsia="Times New Roman" w:hAnsi="Times New Roman"/>
          <w:sz w:val="18"/>
          <w:szCs w:val="18"/>
          <w:color w:val="auto"/>
        </w:rPr>
        <w:t>” means an award based in whole or in part by reference to the Common Stock which is granted pursuant to the terms and conditions of Section 6(d).</w:t>
      </w:r>
    </w:p>
    <w:p>
      <w:pPr>
        <w:spacing w:after="0" w:line="154" w:lineRule="exact"/>
        <w:rPr>
          <w:rFonts w:ascii="Times New Roman" w:cs="Times New Roman" w:eastAsia="Times New Roman" w:hAnsi="Times New Roman"/>
          <w:sz w:val="18"/>
          <w:szCs w:val="18"/>
          <w:b w:val="1"/>
          <w:bCs w:val="1"/>
          <w:color w:val="auto"/>
        </w:rPr>
      </w:pPr>
    </w:p>
    <w:p>
      <w:pPr>
        <w:ind w:right="200" w:firstLine="757"/>
        <w:spacing w:after="0" w:line="286" w:lineRule="auto"/>
        <w:tabs>
          <w:tab w:leader="none" w:pos="1109"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Other Stock Award Agreement</w:t>
      </w:r>
      <w:r>
        <w:rPr>
          <w:rFonts w:ascii="Times New Roman" w:cs="Times New Roman" w:eastAsia="Times New Roman" w:hAnsi="Times New Roman"/>
          <w:sz w:val="18"/>
          <w:szCs w:val="18"/>
          <w:color w:val="auto"/>
        </w:rPr>
        <w:t>” means a written agreement between the Company and a holder of an Other Stock Award evidencing the terms and conditions of an Other Stock Award grant. Each Other Stock Award Agreement will be subject to the terms and conditions of the Plan.</w:t>
      </w:r>
    </w:p>
    <w:p>
      <w:pPr>
        <w:spacing w:after="0" w:line="154" w:lineRule="exact"/>
        <w:rPr>
          <w:rFonts w:ascii="Times New Roman" w:cs="Times New Roman" w:eastAsia="Times New Roman" w:hAnsi="Times New Roman"/>
          <w:sz w:val="18"/>
          <w:szCs w:val="18"/>
          <w:b w:val="1"/>
          <w:bCs w:val="1"/>
          <w:color w:val="auto"/>
        </w:rPr>
      </w:pPr>
    </w:p>
    <w:p>
      <w:pPr>
        <w:ind w:firstLine="757"/>
        <w:spacing w:after="0" w:line="268" w:lineRule="auto"/>
        <w:tabs>
          <w:tab w:leader="none" w:pos="1109"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Own,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“Owned,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“Owner,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“Ownership</w:t>
      </w:r>
      <w:r>
        <w:rPr>
          <w:rFonts w:ascii="Times New Roman" w:cs="Times New Roman" w:eastAsia="Times New Roman" w:hAnsi="Times New Roman"/>
          <w:sz w:val="18"/>
          <w:szCs w:val="18"/>
          <w:color w:val="auto"/>
        </w:rPr>
        <w:t>” A person or Entity will be deemed to “Own,” to have “Owned,” to be the “Owner” of, or 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70" w:lineRule="exact"/>
        <w:rPr>
          <w:rFonts w:ascii="Times New Roman" w:cs="Times New Roman" w:eastAsia="Times New Roman" w:hAnsi="Times New Roman"/>
          <w:sz w:val="18"/>
          <w:szCs w:val="18"/>
          <w:b w:val="1"/>
          <w:bCs w:val="1"/>
          <w:color w:val="auto"/>
        </w:rPr>
      </w:pPr>
    </w:p>
    <w:p>
      <w:pPr>
        <w:ind w:right="440" w:firstLine="757"/>
        <w:spacing w:after="0" w:line="286" w:lineRule="auto"/>
        <w:tabs>
          <w:tab w:leader="none" w:pos="1109"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 person to whom a Stock Award is granted pursuant to the Plan or, if applicable, such other person who holds an outstanding Stock Award.</w:t>
      </w:r>
    </w:p>
    <w:p>
      <w:pPr>
        <w:spacing w:after="0" w:line="154" w:lineRule="exact"/>
        <w:rPr>
          <w:rFonts w:ascii="Times New Roman" w:cs="Times New Roman" w:eastAsia="Times New Roman" w:hAnsi="Times New Roman"/>
          <w:sz w:val="18"/>
          <w:szCs w:val="18"/>
          <w:b w:val="1"/>
          <w:bCs w:val="1"/>
          <w:color w:val="auto"/>
        </w:rPr>
      </w:pPr>
    </w:p>
    <w:p>
      <w:pPr>
        <w:ind w:right="40" w:firstLine="757"/>
        <w:spacing w:after="0" w:line="253" w:lineRule="auto"/>
        <w:tabs>
          <w:tab w:leader="none" w:pos="1109"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Criteria</w:t>
      </w:r>
      <w:r>
        <w:rPr>
          <w:rFonts w:ascii="Times New Roman" w:cs="Times New Roman" w:eastAsia="Times New Roman" w:hAnsi="Times New Roman"/>
          <w:sz w:val="18"/>
          <w:szCs w:val="18"/>
          <w:color w:val="auto"/>
        </w:rPr>
        <w:t>” means the one or more criteria that the Board shall select for purposes of establishing the Performance Goals for a Performance Period. The Performance Criteria that shall be used to establish such Performance Goals may be based on any one of, or combination of, the following: (i) earnings (including earnings per share and net earnings); (ii) earnings before interest, taxes and depreciation; (iii) earnings before interest, taxes, depreciation and amortization; (iv) total stockholder return; (v) return on equity or average stockholder’s equity; (vi) return on assets, investment, or capital employed; (vii) stock price; (viii) margin (including gross margin); (ix) income (before or after taxes); (x) operating income; (xi) operating income after taxes; (xii) pre-tax profit; (xiii) operating cash flow; (xiv) sales or revenue targets; (xv) increases in revenue or product revenue; (xvi) expenses and cost reduction goals; (xvii) improvement in or attainment of working capital levels; (xiii) economic value added (or an equivalent metric); (xix) market share; (xx) cash flow; (xxi) cash flow per share; (xxii) share price performance; (xxiii) debt reduction; (xxiv) implementation or completion of projects or processes; (xxv) customer satisfaction; (xxvi) stockholders’ equity; (xxvii) capital expenditures; (xxiii) debt levels; (xxix) operating profit or net operating profit; (xxx) workforce diversity; (xxxi) growth of net income or operating income; (xxxii) billings; and (xxxiv) other measures of performance selected by the Board. Partial achievement of the specified criteria may result in the payment or vesting corresponding to the degree of achievement as specified in the Stock Award Agreement. The Board shall, in its sole discretion, define the manner of calculating the Performance Criteria it selects to use for such Performance Period.</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9" w:name="page100"/>
    <w:bookmarkEnd w:id="99"/>
    <w:p>
      <w:pPr>
        <w:ind w:firstLine="757"/>
        <w:spacing w:after="0" w:line="252" w:lineRule="auto"/>
        <w:tabs>
          <w:tab w:leader="none" w:pos="1109"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Goals</w:t>
      </w:r>
      <w:r>
        <w:rPr>
          <w:rFonts w:ascii="Times New Roman" w:cs="Times New Roman" w:eastAsia="Times New Roman" w:hAnsi="Times New Roman"/>
          <w:sz w:val="18"/>
          <w:szCs w:val="18"/>
          <w:color w:val="auto"/>
        </w:rPr>
        <w:t>” means, for a Performance Period, the one or more goals established by the Board for the Performance Period based 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The Board is authorized at any time in its sole discretion, to adjust or modify the calculation of a Performance Goal for such Performance Period in order to prevent the dilution or enlargement of the rights of Participants, (a) in the event of, or in anticipation of, any unusual or extraordinary corporate item, transaction, event or development; (b) in recognition of, or in anticipation of, any other unusual or nonrecurring events affecting the Company, or the financial statements of the Company in response to, or in anticipation of, changes in applicable laws, regulations, accounting principles, or business conditions; or (c) in view of the Board’s assessment of the business strategy of the Company, performance of comparable organizations, economic and business conditions, and any other circumstances deemed relevant. Specifically, the Board is authorized to make adjustment in the method of calculating attainment of Performance Goals and objectives for a Performance Period as follows: (i) to exclude the dilutive effects of acquisitions or joint ventures; (ii) to assume that any business divested by the Company achieved performance objectives at targeted levels during the balance of a Performance Period following such divestiture; and (iii)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In addition, the Board is authorized to make adjustment in the method of calculating attainment of Performance Goals and objectives for a Performance Period as follows: (i) to exclude restructuring and/or other nonrecurring charges; (ii) to exclude exchange rate effects, as applicable, for non-U.S. dollar denominated net sales and operating earnings; (iii) to exclude the effects of changes to generally accepted accounting standards required by the Financial Accounting Standards Board; (iv) to exclude the effects of any items that are “unusual” in nature or occur “infrequently” as determined under generally accepted accounting principles; (v) to exclude the effects to any statutory adjustments to corporate tax rates; and (vi) to make other appropriate adjustments selected by the Board.</w:t>
      </w:r>
    </w:p>
    <w:p>
      <w:pPr>
        <w:spacing w:after="0" w:line="189" w:lineRule="exact"/>
        <w:rPr>
          <w:rFonts w:ascii="Times New Roman" w:cs="Times New Roman" w:eastAsia="Times New Roman" w:hAnsi="Times New Roman"/>
          <w:sz w:val="18"/>
          <w:szCs w:val="18"/>
          <w:b w:val="1"/>
          <w:bCs w:val="1"/>
          <w:color w:val="auto"/>
        </w:rPr>
      </w:pPr>
    </w:p>
    <w:p>
      <w:pPr>
        <w:ind w:right="20" w:firstLine="757"/>
        <w:spacing w:after="0" w:line="268" w:lineRule="auto"/>
        <w:tabs>
          <w:tab w:leader="none" w:pos="1109"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Period</w:t>
      </w:r>
      <w:r>
        <w:rPr>
          <w:rFonts w:ascii="Times New Roman" w:cs="Times New Roman" w:eastAsia="Times New Roman" w:hAnsi="Times New Roman"/>
          <w:sz w:val="18"/>
          <w:szCs w:val="18"/>
          <w:color w:val="auto"/>
        </w:rPr>
        <w:t>” means the period of time selected by the Board over which the attainment of one or more Performance Goals will be measured for the purpose of determining a Participant’s right to and the payment of a Performance Stock Award. Performance Periods may be of varying and overlapping duration, at the sole discretion of the Board.</w:t>
      </w:r>
    </w:p>
    <w:p>
      <w:pPr>
        <w:spacing w:after="0" w:line="170" w:lineRule="exact"/>
        <w:rPr>
          <w:rFonts w:ascii="Times New Roman" w:cs="Times New Roman" w:eastAsia="Times New Roman" w:hAnsi="Times New Roman"/>
          <w:sz w:val="18"/>
          <w:szCs w:val="18"/>
          <w:b w:val="1"/>
          <w:bCs w:val="1"/>
          <w:color w:val="auto"/>
        </w:rPr>
      </w:pPr>
    </w:p>
    <w:p>
      <w:pPr>
        <w:ind w:left="1120" w:hanging="363"/>
        <w:spacing w:after="0"/>
        <w:tabs>
          <w:tab w:leader="none" w:pos="112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Performance Stock Award</w:t>
      </w:r>
      <w:r>
        <w:rPr>
          <w:rFonts w:ascii="Times New Roman" w:cs="Times New Roman" w:eastAsia="Times New Roman" w:hAnsi="Times New Roman"/>
          <w:sz w:val="18"/>
          <w:szCs w:val="18"/>
          <w:color w:val="auto"/>
        </w:rPr>
        <w:t>” means a Stock Award granted under the terms and conditions of Section 6(c)(i).</w:t>
      </w:r>
    </w:p>
    <w:p>
      <w:pPr>
        <w:spacing w:after="0" w:line="225" w:lineRule="exact"/>
        <w:rPr>
          <w:rFonts w:ascii="Times New Roman" w:cs="Times New Roman" w:eastAsia="Times New Roman" w:hAnsi="Times New Roman"/>
          <w:sz w:val="18"/>
          <w:szCs w:val="18"/>
          <w:b w:val="1"/>
          <w:bCs w:val="1"/>
          <w:color w:val="auto"/>
        </w:rPr>
      </w:pPr>
    </w:p>
    <w:p>
      <w:pPr>
        <w:ind w:left="1120" w:hanging="363"/>
        <w:spacing w:after="0"/>
        <w:tabs>
          <w:tab w:leader="none" w:pos="112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MannKind Corporation 2018 Equity Incentive Plan.</w:t>
      </w:r>
    </w:p>
    <w:p>
      <w:pPr>
        <w:spacing w:after="0" w:line="225" w:lineRule="exact"/>
        <w:rPr>
          <w:rFonts w:ascii="Times New Roman" w:cs="Times New Roman" w:eastAsia="Times New Roman" w:hAnsi="Times New Roman"/>
          <w:sz w:val="18"/>
          <w:szCs w:val="18"/>
          <w:b w:val="1"/>
          <w:bCs w:val="1"/>
          <w:color w:val="auto"/>
        </w:rPr>
      </w:pPr>
    </w:p>
    <w:p>
      <w:pPr>
        <w:ind w:left="1120" w:hanging="363"/>
        <w:spacing w:after="0"/>
        <w:tabs>
          <w:tab w:leader="none" w:pos="112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w:t>
      </w:r>
      <w:r>
        <w:rPr>
          <w:rFonts w:ascii="Times New Roman" w:cs="Times New Roman" w:eastAsia="Times New Roman" w:hAnsi="Times New Roman"/>
          <w:sz w:val="18"/>
          <w:szCs w:val="18"/>
          <w:color w:val="auto"/>
        </w:rPr>
        <w:t>” means an award of shares of Common Stock which is granted pursuant to the terms and conditions of Section</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6(a).</w:t>
      </w:r>
    </w:p>
    <w:p>
      <w:pPr>
        <w:spacing w:after="0" w:line="202" w:lineRule="exact"/>
        <w:rPr>
          <w:rFonts w:ascii="Times New Roman" w:cs="Times New Roman" w:eastAsia="Times New Roman" w:hAnsi="Times New Roman"/>
          <w:sz w:val="18"/>
          <w:szCs w:val="18"/>
          <w:b w:val="1"/>
          <w:bCs w:val="1"/>
          <w:color w:val="auto"/>
        </w:rPr>
      </w:pPr>
    </w:p>
    <w:p>
      <w:pPr>
        <w:ind w:firstLine="757"/>
        <w:spacing w:after="0" w:line="268" w:lineRule="auto"/>
        <w:tabs>
          <w:tab w:leader="none" w:pos="1469"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Award Agreement</w:t>
      </w:r>
      <w:r>
        <w:rPr>
          <w:rFonts w:ascii="Times New Roman" w:cs="Times New Roman" w:eastAsia="Times New Roman" w:hAnsi="Times New Roman"/>
          <w:sz w:val="18"/>
          <w:szCs w:val="18"/>
          <w:color w:val="auto"/>
        </w:rPr>
        <w:t>” means a written agreement between the Company and a holder of a Restricted Stock Award evidencing the terms and conditions of a Restricted Stock Award grant. Each Restricted Stock Award Agreement will be subject to the terms and conditions of the Plan.</w:t>
      </w:r>
    </w:p>
    <w:p>
      <w:pPr>
        <w:spacing w:after="0" w:line="170" w:lineRule="exact"/>
        <w:rPr>
          <w:rFonts w:ascii="Times New Roman" w:cs="Times New Roman" w:eastAsia="Times New Roman" w:hAnsi="Times New Roman"/>
          <w:sz w:val="18"/>
          <w:szCs w:val="18"/>
          <w:b w:val="1"/>
          <w:bCs w:val="1"/>
          <w:color w:val="auto"/>
        </w:rPr>
      </w:pPr>
    </w:p>
    <w:p>
      <w:pPr>
        <w:ind w:left="1120" w:hanging="363"/>
        <w:spacing w:after="0"/>
        <w:tabs>
          <w:tab w:leader="none" w:pos="112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Unit Award</w:t>
      </w:r>
      <w:r>
        <w:rPr>
          <w:rFonts w:ascii="Times New Roman" w:cs="Times New Roman" w:eastAsia="Times New Roman" w:hAnsi="Times New Roman"/>
          <w:sz w:val="18"/>
          <w:szCs w:val="18"/>
          <w:color w:val="auto"/>
        </w:rPr>
        <w:t>” means a right to receive shares of Common Stock which is granted pursuant to the terms and conditions of</w:t>
      </w:r>
    </w:p>
    <w:p>
      <w:pPr>
        <w:spacing w:after="0" w:line="31"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6(b).</w:t>
      </w:r>
    </w:p>
    <w:p>
      <w:pPr>
        <w:spacing w:after="0" w:line="202" w:lineRule="exact"/>
        <w:rPr>
          <w:rFonts w:ascii="Times New Roman" w:cs="Times New Roman" w:eastAsia="Times New Roman" w:hAnsi="Times New Roman"/>
          <w:sz w:val="18"/>
          <w:szCs w:val="18"/>
          <w:b w:val="1"/>
          <w:bCs w:val="1"/>
          <w:color w:val="auto"/>
        </w:rPr>
      </w:pPr>
    </w:p>
    <w:p>
      <w:pPr>
        <w:ind w:firstLine="757"/>
        <w:spacing w:after="0" w:line="268" w:lineRule="auto"/>
        <w:tabs>
          <w:tab w:leader="none" w:pos="1109"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Restricted Stock Unit Award Agreement</w:t>
      </w:r>
      <w:r>
        <w:rPr>
          <w:rFonts w:ascii="Times New Roman" w:cs="Times New Roman" w:eastAsia="Times New Roman" w:hAnsi="Times New Roman"/>
          <w:sz w:val="18"/>
          <w:szCs w:val="18"/>
          <w:color w:val="auto"/>
        </w:rPr>
        <w:t>” means a written agreement between the Company and a holder of a Restricted Stock Unit Award evidencing the terms and conditions of a Restricted Stock Unit Award grant. Each Restricted Stock Unit Award Agreement will be subject to the terms and conditions of the Plan.</w:t>
      </w:r>
    </w:p>
    <w:p>
      <w:pPr>
        <w:spacing w:after="0" w:line="170" w:lineRule="exact"/>
        <w:rPr>
          <w:rFonts w:ascii="Times New Roman" w:cs="Times New Roman" w:eastAsia="Times New Roman" w:hAnsi="Times New Roman"/>
          <w:sz w:val="18"/>
          <w:szCs w:val="18"/>
          <w:b w:val="1"/>
          <w:bCs w:val="1"/>
          <w:color w:val="auto"/>
        </w:rPr>
      </w:pPr>
    </w:p>
    <w:p>
      <w:pPr>
        <w:ind w:left="1120" w:hanging="363"/>
        <w:spacing w:after="0"/>
        <w:tabs>
          <w:tab w:leader="none" w:pos="112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“Retirement” </w:t>
      </w:r>
      <w:r>
        <w:rPr>
          <w:rFonts w:ascii="Times New Roman" w:cs="Times New Roman" w:eastAsia="Times New Roman" w:hAnsi="Times New Roman"/>
          <w:sz w:val="18"/>
          <w:szCs w:val="18"/>
          <w:color w:val="auto"/>
        </w:rPr>
        <w:t>means a Participant’s voluntary termination of Continuous Service after the Participant attains age fifty-five (55).</w:t>
      </w:r>
    </w:p>
    <w:p>
      <w:pPr>
        <w:spacing w:after="0" w:line="225" w:lineRule="exact"/>
        <w:rPr>
          <w:rFonts w:ascii="Times New Roman" w:cs="Times New Roman" w:eastAsia="Times New Roman" w:hAnsi="Times New Roman"/>
          <w:sz w:val="18"/>
          <w:szCs w:val="18"/>
          <w:b w:val="1"/>
          <w:bCs w:val="1"/>
          <w:color w:val="auto"/>
        </w:rPr>
      </w:pPr>
    </w:p>
    <w:p>
      <w:pPr>
        <w:ind w:left="1120" w:hanging="363"/>
        <w:spacing w:after="0"/>
        <w:tabs>
          <w:tab w:leader="none" w:pos="112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 or any successor to Rule 16b-3, as in effect from time to time.</w:t>
      </w:r>
    </w:p>
    <w:p>
      <w:pPr>
        <w:spacing w:after="0" w:line="225" w:lineRule="exact"/>
        <w:rPr>
          <w:rFonts w:ascii="Times New Roman" w:cs="Times New Roman" w:eastAsia="Times New Roman" w:hAnsi="Times New Roman"/>
          <w:sz w:val="18"/>
          <w:szCs w:val="18"/>
          <w:b w:val="1"/>
          <w:bCs w:val="1"/>
          <w:color w:val="auto"/>
        </w:rPr>
      </w:pPr>
    </w:p>
    <w:p>
      <w:pPr>
        <w:ind w:left="1120" w:hanging="363"/>
        <w:spacing w:after="0"/>
        <w:tabs>
          <w:tab w:leader="none" w:pos="112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Rule 405</w:t>
      </w:r>
      <w:r>
        <w:rPr>
          <w:rFonts w:ascii="Times New Roman" w:cs="Times New Roman" w:eastAsia="Times New Roman" w:hAnsi="Times New Roman"/>
          <w:sz w:val="18"/>
          <w:szCs w:val="18"/>
          <w:color w:val="auto"/>
        </w:rPr>
        <w:t>” means Rule 405 promulgated under the Securities Act.</w:t>
      </w:r>
    </w:p>
    <w:p>
      <w:pPr>
        <w:spacing w:after="0" w:line="225" w:lineRule="exact"/>
        <w:rPr>
          <w:rFonts w:ascii="Times New Roman" w:cs="Times New Roman" w:eastAsia="Times New Roman" w:hAnsi="Times New Roman"/>
          <w:sz w:val="18"/>
          <w:szCs w:val="18"/>
          <w:b w:val="1"/>
          <w:bCs w:val="1"/>
          <w:color w:val="auto"/>
        </w:rPr>
      </w:pPr>
    </w:p>
    <w:p>
      <w:pPr>
        <w:ind w:left="1120" w:hanging="363"/>
        <w:spacing w:after="0"/>
        <w:tabs>
          <w:tab w:leader="none" w:pos="1120"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w:t>
      </w:r>
    </w:p>
    <w:p>
      <w:pPr>
        <w:spacing w:after="0" w:line="225" w:lineRule="exact"/>
        <w:rPr>
          <w:rFonts w:ascii="Times New Roman" w:cs="Times New Roman" w:eastAsia="Times New Roman" w:hAnsi="Times New Roman"/>
          <w:sz w:val="18"/>
          <w:szCs w:val="18"/>
          <w:b w:val="1"/>
          <w:bCs w:val="1"/>
          <w:color w:val="auto"/>
        </w:rPr>
      </w:pPr>
    </w:p>
    <w:p>
      <w:pPr>
        <w:ind w:right="40" w:firstLine="757"/>
        <w:spacing w:after="0" w:line="286" w:lineRule="auto"/>
        <w:tabs>
          <w:tab w:leader="none" w:pos="1109" w:val="left"/>
        </w:tabs>
        <w:numPr>
          <w:ilvl w:val="0"/>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right to receive the appreciation on Common Stock that is granted pursuant to the terms and conditions of Section 5.</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00" w:name="page101"/>
    <w:bookmarkEnd w:id="100"/>
    <w:p>
      <w:pPr>
        <w:ind w:left="-20" w:right="460" w:firstLine="757"/>
        <w:spacing w:after="0" w:line="268" w:lineRule="auto"/>
        <w:tabs>
          <w:tab w:leader="none" w:pos="1089"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Appreciation Right Agreement</w:t>
      </w:r>
      <w:r>
        <w:rPr>
          <w:rFonts w:ascii="Times New Roman" w:cs="Times New Roman" w:eastAsia="Times New Roman" w:hAnsi="Times New Roman"/>
          <w:sz w:val="18"/>
          <w:szCs w:val="18"/>
          <w:color w:val="auto"/>
        </w:rPr>
        <w:t>” means a written agreement between the Company and a holder of a Stock Appreciation Right evidencing the terms and conditions of a Stock Appreciation Right grant. Each Stock Appreciation Right Agreement will be subject to the terms and conditions of the Plan.</w:t>
      </w:r>
    </w:p>
    <w:p>
      <w:pPr>
        <w:spacing w:after="0" w:line="170" w:lineRule="exact"/>
        <w:rPr>
          <w:rFonts w:ascii="Times New Roman" w:cs="Times New Roman" w:eastAsia="Times New Roman" w:hAnsi="Times New Roman"/>
          <w:sz w:val="18"/>
          <w:szCs w:val="18"/>
          <w:b w:val="1"/>
          <w:bCs w:val="1"/>
          <w:color w:val="auto"/>
        </w:rPr>
      </w:pPr>
    </w:p>
    <w:p>
      <w:pPr>
        <w:ind w:left="-20" w:right="400" w:firstLine="757"/>
        <w:spacing w:after="0" w:line="268" w:lineRule="auto"/>
        <w:tabs>
          <w:tab w:leader="none" w:pos="1089"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Award</w:t>
      </w:r>
      <w:r>
        <w:rPr>
          <w:rFonts w:ascii="Times New Roman" w:cs="Times New Roman" w:eastAsia="Times New Roman" w:hAnsi="Times New Roman"/>
          <w:sz w:val="18"/>
          <w:szCs w:val="18"/>
          <w:color w:val="auto"/>
        </w:rPr>
        <w:t>” means any right to receive Common Stock granted under the Plan, including an Incentive Stock Option, a Nonstatutory Stock Option, a Stock Appreciation Right, a Restricted Stock Award, a Restricted Stock Unit Award, a Performance Stock Award or any Other Stock Award.</w:t>
      </w:r>
    </w:p>
    <w:p>
      <w:pPr>
        <w:spacing w:after="0" w:line="170" w:lineRule="exact"/>
        <w:rPr>
          <w:rFonts w:ascii="Times New Roman" w:cs="Times New Roman" w:eastAsia="Times New Roman" w:hAnsi="Times New Roman"/>
          <w:sz w:val="18"/>
          <w:szCs w:val="18"/>
          <w:b w:val="1"/>
          <w:bCs w:val="1"/>
          <w:color w:val="auto"/>
        </w:rPr>
      </w:pPr>
    </w:p>
    <w:p>
      <w:pPr>
        <w:ind w:left="-20" w:right="100" w:firstLine="757"/>
        <w:spacing w:after="0" w:line="286" w:lineRule="auto"/>
        <w:tabs>
          <w:tab w:leader="none" w:pos="1449"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Stock Award Agreement</w:t>
      </w:r>
      <w:r>
        <w:rPr>
          <w:rFonts w:ascii="Times New Roman" w:cs="Times New Roman" w:eastAsia="Times New Roman" w:hAnsi="Times New Roman"/>
          <w:sz w:val="18"/>
          <w:szCs w:val="18"/>
          <w:color w:val="auto"/>
        </w:rPr>
        <w:t>” means a written agreement between the Company and a Participant evidencing the terms and conditions of a Stock Award grant. Each Stock Award Agreement will be subject to the terms and conditions of the Plan.</w:t>
      </w:r>
    </w:p>
    <w:p>
      <w:pPr>
        <w:spacing w:after="0" w:line="154" w:lineRule="exact"/>
        <w:rPr>
          <w:rFonts w:ascii="Times New Roman" w:cs="Times New Roman" w:eastAsia="Times New Roman" w:hAnsi="Times New Roman"/>
          <w:sz w:val="18"/>
          <w:szCs w:val="18"/>
          <w:b w:val="1"/>
          <w:bCs w:val="1"/>
          <w:color w:val="auto"/>
        </w:rPr>
      </w:pPr>
    </w:p>
    <w:p>
      <w:pPr>
        <w:ind w:left="-20" w:right="160" w:firstLine="757"/>
        <w:spacing w:after="0" w:line="259" w:lineRule="auto"/>
        <w:tabs>
          <w:tab w:leader="none" w:pos="1089"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with respect to the Company, (i) any corporation of which more than 50% of the outstanding capital stock having 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79" w:lineRule="exact"/>
        <w:rPr>
          <w:rFonts w:ascii="Times New Roman" w:cs="Times New Roman" w:eastAsia="Times New Roman" w:hAnsi="Times New Roman"/>
          <w:sz w:val="18"/>
          <w:szCs w:val="18"/>
          <w:b w:val="1"/>
          <w:bCs w:val="1"/>
          <w:color w:val="auto"/>
        </w:rPr>
      </w:pPr>
    </w:p>
    <w:p>
      <w:pPr>
        <w:ind w:left="-20" w:firstLine="757"/>
        <w:spacing w:after="0" w:line="286" w:lineRule="auto"/>
        <w:tabs>
          <w:tab w:leader="none" w:pos="1089"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Ten Percent Stockholder</w:t>
      </w:r>
      <w:r>
        <w:rPr>
          <w:rFonts w:ascii="Times New Roman" w:cs="Times New Roman" w:eastAsia="Times New Roman" w:hAnsi="Times New Roman"/>
          <w:sz w:val="18"/>
          <w:szCs w:val="18"/>
          <w:color w:val="auto"/>
        </w:rPr>
        <w:t>” means a person who Owns (or is deemed to Own pursuant to Section 424(d) of the Code) stock possessing more than 10% of the total combined voting power of all classes of stock of the Company or any Affiliate.</w:t>
      </w:r>
    </w:p>
    <w:p>
      <w:pPr>
        <w:spacing w:after="0" w:line="154" w:lineRule="exact"/>
        <w:rPr>
          <w:rFonts w:ascii="Times New Roman" w:cs="Times New Roman" w:eastAsia="Times New Roman" w:hAnsi="Times New Roman"/>
          <w:sz w:val="18"/>
          <w:szCs w:val="18"/>
          <w:b w:val="1"/>
          <w:bCs w:val="1"/>
          <w:color w:val="auto"/>
        </w:rPr>
      </w:pPr>
    </w:p>
    <w:p>
      <w:pPr>
        <w:ind w:left="1100" w:hanging="363"/>
        <w:spacing w:after="0"/>
        <w:tabs>
          <w:tab w:leader="none" w:pos="110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Transaction</w:t>
      </w:r>
      <w:r>
        <w:rPr>
          <w:rFonts w:ascii="Times New Roman" w:cs="Times New Roman" w:eastAsia="Times New Roman" w:hAnsi="Times New Roman"/>
          <w:sz w:val="18"/>
          <w:szCs w:val="18"/>
          <w:color w:val="auto"/>
        </w:rPr>
        <w:t>” means a Corporate Transaction or a Change in Control.</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17" w:right="339" w:bottom="1440" w:gutter="0" w:footer="0" w:header="0"/>
        </w:sectPr>
      </w:pPr>
    </w:p>
    <w:bookmarkStart w:id="101" w:name="page102"/>
    <w:bookmarkEnd w:id="101"/>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Appendix C</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ann</w:t>
      </w:r>
      <w:r>
        <w:rPr>
          <w:rFonts w:ascii="Times New Roman" w:cs="Times New Roman" w:eastAsia="Times New Roman" w:hAnsi="Times New Roman"/>
          <w:sz w:val="18"/>
          <w:szCs w:val="18"/>
          <w:b w:val="1"/>
          <w:bCs w:val="1"/>
          <w:color w:val="auto"/>
        </w:rPr>
        <w:t>K</w:t>
      </w:r>
      <w:r>
        <w:rPr>
          <w:rFonts w:ascii="Times New Roman" w:cs="Times New Roman" w:eastAsia="Times New Roman" w:hAnsi="Times New Roman"/>
          <w:sz w:val="12"/>
          <w:szCs w:val="12"/>
          <w:b w:val="1"/>
          <w:bCs w:val="1"/>
          <w:color w:val="auto"/>
        </w:rPr>
        <w:t>ind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orporation</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2004 E</w:t>
      </w:r>
      <w:r>
        <w:rPr>
          <w:rFonts w:ascii="Times New Roman" w:cs="Times New Roman" w:eastAsia="Times New Roman" w:hAnsi="Times New Roman"/>
          <w:sz w:val="12"/>
          <w:szCs w:val="12"/>
          <w:b w:val="1"/>
          <w:bCs w:val="1"/>
          <w:color w:val="auto"/>
        </w:rPr>
        <w:t>mployee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dopted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arch</w:t>
      </w:r>
      <w:r>
        <w:rPr>
          <w:rFonts w:ascii="Times New Roman" w:cs="Times New Roman" w:eastAsia="Times New Roman" w:hAnsi="Times New Roman"/>
          <w:sz w:val="18"/>
          <w:szCs w:val="18"/>
          <w:b w:val="1"/>
          <w:bCs w:val="1"/>
          <w:color w:val="auto"/>
        </w:rPr>
        <w:t xml:space="preserve"> 23, 2004</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pproved by</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tockholders</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arch</w:t>
      </w:r>
      <w:r>
        <w:rPr>
          <w:rFonts w:ascii="Times New Roman" w:cs="Times New Roman" w:eastAsia="Times New Roman" w:hAnsi="Times New Roman"/>
          <w:sz w:val="18"/>
          <w:szCs w:val="18"/>
          <w:b w:val="1"/>
          <w:bCs w:val="1"/>
          <w:color w:val="auto"/>
        </w:rPr>
        <w:t xml:space="preserve"> 23, 2004</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ebruary</w:t>
      </w:r>
      <w:r>
        <w:rPr>
          <w:rFonts w:ascii="Times New Roman" w:cs="Times New Roman" w:eastAsia="Times New Roman" w:hAnsi="Times New Roman"/>
          <w:sz w:val="18"/>
          <w:szCs w:val="18"/>
          <w:b w:val="1"/>
          <w:bCs w:val="1"/>
          <w:color w:val="auto"/>
        </w:rPr>
        <w:t xml:space="preserve"> 21, 2018</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tockholders</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ay</w:t>
      </w:r>
      <w:r>
        <w:rPr>
          <w:rFonts w:ascii="Times New Roman" w:cs="Times New Roman" w:eastAsia="Times New Roman" w:hAnsi="Times New Roman"/>
          <w:sz w:val="18"/>
          <w:szCs w:val="18"/>
          <w:b w:val="1"/>
          <w:bCs w:val="1"/>
          <w:color w:val="auto"/>
        </w:rPr>
        <w:t xml:space="preserve"> 16, 2018</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mended by the</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oard of</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irectors</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arch</w:t>
      </w:r>
      <w:r>
        <w:rPr>
          <w:rFonts w:ascii="Times New Roman" w:cs="Times New Roman" w:eastAsia="Times New Roman" w:hAnsi="Times New Roman"/>
          <w:sz w:val="18"/>
          <w:szCs w:val="18"/>
          <w:b w:val="1"/>
          <w:bCs w:val="1"/>
          <w:color w:val="auto"/>
        </w:rPr>
        <w:t xml:space="preserve"> 17, 2023</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mended</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pproved by the</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tockholders</w:t>
      </w:r>
      <w:r>
        <w:rPr>
          <w:rFonts w:ascii="Times New Roman" w:cs="Times New Roman" w:eastAsia="Times New Roman" w:hAnsi="Times New Roman"/>
          <w:sz w:val="18"/>
          <w:szCs w:val="18"/>
          <w:b w:val="1"/>
          <w:bCs w:val="1"/>
          <w:color w:val="auto"/>
        </w:rPr>
        <w:t xml:space="preserve"> [M</w:t>
      </w:r>
      <w:r>
        <w:rPr>
          <w:rFonts w:ascii="Times New Roman" w:cs="Times New Roman" w:eastAsia="Times New Roman" w:hAnsi="Times New Roman"/>
          <w:sz w:val="12"/>
          <w:szCs w:val="12"/>
          <w:b w:val="1"/>
          <w:bCs w:val="1"/>
          <w:color w:val="auto"/>
        </w:rPr>
        <w:t>ay</w:t>
      </w:r>
      <w:r>
        <w:rPr>
          <w:rFonts w:ascii="Times New Roman" w:cs="Times New Roman" w:eastAsia="Times New Roman" w:hAnsi="Times New Roman"/>
          <w:sz w:val="18"/>
          <w:szCs w:val="18"/>
          <w:b w:val="1"/>
          <w:bCs w:val="1"/>
          <w:color w:val="auto"/>
        </w:rPr>
        <w:t xml:space="preserve"> 25, 2023]</w:t>
      </w:r>
    </w:p>
    <w:p>
      <w:pPr>
        <w:spacing w:after="0" w:line="200" w:lineRule="exact"/>
        <w:rPr>
          <w:sz w:val="20"/>
          <w:szCs w:val="20"/>
          <w:color w:val="auto"/>
        </w:rPr>
      </w:pPr>
    </w:p>
    <w:p>
      <w:pPr>
        <w:spacing w:after="0" w:line="246" w:lineRule="exact"/>
        <w:rPr>
          <w:sz w:val="20"/>
          <w:szCs w:val="20"/>
          <w:color w:val="auto"/>
        </w:rPr>
      </w:pPr>
    </w:p>
    <w:p>
      <w:pPr>
        <w:ind w:left="352" w:hanging="352"/>
        <w:spacing w:after="0"/>
        <w:tabs>
          <w:tab w:leader="none" w:pos="352"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urpose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8" w:right="240" w:firstLine="757"/>
        <w:spacing w:after="0" w:line="282" w:lineRule="auto"/>
        <w:tabs>
          <w:tab w:leader="none" w:pos="1101"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purpose of the Plan is to provide a means by which Employees of the Company and certain designated Related Corporations may be given an opportunity to purchase shares of the Common Stock of the Company.</w:t>
      </w:r>
    </w:p>
    <w:p>
      <w:pPr>
        <w:spacing w:after="0" w:line="161" w:lineRule="exact"/>
        <w:rPr>
          <w:rFonts w:ascii="Times New Roman" w:cs="Times New Roman" w:eastAsia="Times New Roman" w:hAnsi="Times New Roman"/>
          <w:sz w:val="18"/>
          <w:szCs w:val="18"/>
          <w:b w:val="1"/>
          <w:bCs w:val="1"/>
          <w:color w:val="auto"/>
        </w:rPr>
      </w:pPr>
    </w:p>
    <w:p>
      <w:pPr>
        <w:ind w:left="-8" w:firstLine="757"/>
        <w:spacing w:after="0" w:line="282" w:lineRule="auto"/>
        <w:tabs>
          <w:tab w:leader="none" w:pos="1101"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by means of the Plan, seeks to retain the services of such Employees, to secure and retain the services of new Employees and to provide incentives for such persons to exert maximum efforts for the success of the Company and its Related Corporations.</w:t>
      </w:r>
    </w:p>
    <w:p>
      <w:pPr>
        <w:spacing w:after="0" w:line="161" w:lineRule="exact"/>
        <w:rPr>
          <w:rFonts w:ascii="Times New Roman" w:cs="Times New Roman" w:eastAsia="Times New Roman" w:hAnsi="Times New Roman"/>
          <w:sz w:val="18"/>
          <w:szCs w:val="18"/>
          <w:b w:val="1"/>
          <w:bCs w:val="1"/>
          <w:color w:val="auto"/>
        </w:rPr>
      </w:pPr>
    </w:p>
    <w:p>
      <w:pPr>
        <w:ind w:left="1112" w:hanging="363"/>
        <w:spacing w:after="0"/>
        <w:tabs>
          <w:tab w:leader="none" w:pos="1112" w:val="left"/>
        </w:tabs>
        <w:numPr>
          <w:ilvl w:val="1"/>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Company intends that the Purchase Rights be considered options issued under an Employee Stock Purchase Plan.</w:t>
      </w:r>
    </w:p>
    <w:p>
      <w:pPr>
        <w:spacing w:after="0" w:line="221" w:lineRule="exact"/>
        <w:rPr>
          <w:rFonts w:ascii="Times New Roman" w:cs="Times New Roman" w:eastAsia="Times New Roman" w:hAnsi="Times New Roman"/>
          <w:sz w:val="18"/>
          <w:szCs w:val="18"/>
          <w:b w:val="1"/>
          <w:bCs w:val="1"/>
          <w:color w:val="auto"/>
        </w:rPr>
      </w:pPr>
    </w:p>
    <w:p>
      <w:pPr>
        <w:ind w:left="352" w:hanging="352"/>
        <w:spacing w:after="0"/>
        <w:tabs>
          <w:tab w:leader="none" w:pos="352"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efinitions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752"/>
        <w:spacing w:after="0"/>
        <w:rPr>
          <w:sz w:val="20"/>
          <w:szCs w:val="20"/>
          <w:color w:val="auto"/>
        </w:rPr>
      </w:pPr>
      <w:r>
        <w:rPr>
          <w:rFonts w:ascii="Times New Roman" w:cs="Times New Roman" w:eastAsia="Times New Roman" w:hAnsi="Times New Roman"/>
          <w:sz w:val="18"/>
          <w:szCs w:val="18"/>
          <w:color w:val="auto"/>
        </w:rPr>
        <w:t>As used in the Plan and any Offering, unless otherwise specified, the following terms have the meanings set forth below:</w:t>
      </w:r>
    </w:p>
    <w:p>
      <w:pPr>
        <w:spacing w:after="0" w:line="221" w:lineRule="exact"/>
        <w:rPr>
          <w:sz w:val="20"/>
          <w:szCs w:val="20"/>
          <w:color w:val="auto"/>
        </w:rPr>
      </w:pPr>
    </w:p>
    <w:p>
      <w:pPr>
        <w:ind w:left="1112" w:hanging="363"/>
        <w:spacing w:after="0"/>
        <w:tabs>
          <w:tab w:leader="none" w:pos="1112"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“Board” </w:t>
      </w:r>
      <w:r>
        <w:rPr>
          <w:rFonts w:ascii="Times New Roman" w:cs="Times New Roman" w:eastAsia="Times New Roman" w:hAnsi="Times New Roman"/>
          <w:sz w:val="18"/>
          <w:szCs w:val="18"/>
          <w:color w:val="auto"/>
        </w:rPr>
        <w:t>means the Board of Directors of the Company.</w:t>
      </w:r>
    </w:p>
    <w:p>
      <w:pPr>
        <w:spacing w:after="0" w:line="225" w:lineRule="exact"/>
        <w:rPr>
          <w:rFonts w:ascii="Times New Roman" w:cs="Times New Roman" w:eastAsia="Times New Roman" w:hAnsi="Times New Roman"/>
          <w:sz w:val="18"/>
          <w:szCs w:val="18"/>
          <w:b w:val="1"/>
          <w:bCs w:val="1"/>
          <w:color w:val="auto"/>
        </w:rPr>
      </w:pPr>
    </w:p>
    <w:p>
      <w:pPr>
        <w:ind w:left="1112" w:hanging="363"/>
        <w:spacing w:after="0"/>
        <w:tabs>
          <w:tab w:leader="none" w:pos="1112"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“Code” </w:t>
      </w:r>
      <w:r>
        <w:rPr>
          <w:rFonts w:ascii="Times New Roman" w:cs="Times New Roman" w:eastAsia="Times New Roman" w:hAnsi="Times New Roman"/>
          <w:sz w:val="18"/>
          <w:szCs w:val="18"/>
          <w:color w:val="auto"/>
        </w:rPr>
        <w:t>means the Internal Revenue Code of 1986, as amended</w:t>
      </w:r>
      <w:r>
        <w:rPr>
          <w:rFonts w:ascii="Times New Roman" w:cs="Times New Roman" w:eastAsia="Times New Roman" w:hAnsi="Times New Roman"/>
          <w:sz w:val="18"/>
          <w:szCs w:val="18"/>
          <w:i w:val="1"/>
          <w:iCs w:val="1"/>
          <w:color w:val="auto"/>
        </w:rPr>
        <w:t>.</w:t>
      </w:r>
    </w:p>
    <w:p>
      <w:pPr>
        <w:spacing w:after="0" w:line="225" w:lineRule="exact"/>
        <w:rPr>
          <w:rFonts w:ascii="Times New Roman" w:cs="Times New Roman" w:eastAsia="Times New Roman" w:hAnsi="Times New Roman"/>
          <w:sz w:val="18"/>
          <w:szCs w:val="18"/>
          <w:b w:val="1"/>
          <w:bCs w:val="1"/>
          <w:color w:val="auto"/>
        </w:rPr>
      </w:pPr>
    </w:p>
    <w:p>
      <w:pPr>
        <w:ind w:left="1112" w:hanging="363"/>
        <w:spacing w:after="0"/>
        <w:tabs>
          <w:tab w:leader="none" w:pos="1112"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“Committee” </w:t>
      </w:r>
      <w:r>
        <w:rPr>
          <w:rFonts w:ascii="Times New Roman" w:cs="Times New Roman" w:eastAsia="Times New Roman" w:hAnsi="Times New Roman"/>
          <w:sz w:val="18"/>
          <w:szCs w:val="18"/>
          <w:color w:val="auto"/>
        </w:rPr>
        <w:t>means a committee appointed by the Board in accordance with Section 3(c) of the Plan.</w:t>
      </w:r>
    </w:p>
    <w:p>
      <w:pPr>
        <w:spacing w:after="0" w:line="225" w:lineRule="exact"/>
        <w:rPr>
          <w:rFonts w:ascii="Times New Roman" w:cs="Times New Roman" w:eastAsia="Times New Roman" w:hAnsi="Times New Roman"/>
          <w:sz w:val="18"/>
          <w:szCs w:val="18"/>
          <w:b w:val="1"/>
          <w:bCs w:val="1"/>
          <w:color w:val="auto"/>
        </w:rPr>
      </w:pPr>
    </w:p>
    <w:p>
      <w:pPr>
        <w:ind w:left="1112" w:hanging="363"/>
        <w:spacing w:after="0"/>
        <w:tabs>
          <w:tab w:leader="none" w:pos="1112"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“Common Stock” </w:t>
      </w:r>
      <w:r>
        <w:rPr>
          <w:rFonts w:ascii="Times New Roman" w:cs="Times New Roman" w:eastAsia="Times New Roman" w:hAnsi="Times New Roman"/>
          <w:sz w:val="18"/>
          <w:szCs w:val="18"/>
          <w:color w:val="auto"/>
        </w:rPr>
        <w:t>means the common stock of the Company.</w:t>
      </w:r>
    </w:p>
    <w:p>
      <w:pPr>
        <w:spacing w:after="0" w:line="225" w:lineRule="exact"/>
        <w:rPr>
          <w:rFonts w:ascii="Times New Roman" w:cs="Times New Roman" w:eastAsia="Times New Roman" w:hAnsi="Times New Roman"/>
          <w:sz w:val="18"/>
          <w:szCs w:val="18"/>
          <w:b w:val="1"/>
          <w:bCs w:val="1"/>
          <w:color w:val="auto"/>
        </w:rPr>
      </w:pPr>
    </w:p>
    <w:p>
      <w:pPr>
        <w:ind w:left="1112" w:hanging="363"/>
        <w:spacing w:after="0"/>
        <w:tabs>
          <w:tab w:leader="none" w:pos="1112"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“Company” </w:t>
      </w:r>
      <w:r>
        <w:rPr>
          <w:rFonts w:ascii="Times New Roman" w:cs="Times New Roman" w:eastAsia="Times New Roman" w:hAnsi="Times New Roman"/>
          <w:sz w:val="18"/>
          <w:szCs w:val="18"/>
          <w:color w:val="auto"/>
        </w:rPr>
        <w:t>means MannKind Corporation, a Delaware corporation.</w:t>
      </w:r>
    </w:p>
    <w:p>
      <w:pPr>
        <w:spacing w:after="0" w:line="225" w:lineRule="exact"/>
        <w:rPr>
          <w:rFonts w:ascii="Times New Roman" w:cs="Times New Roman" w:eastAsia="Times New Roman" w:hAnsi="Times New Roman"/>
          <w:sz w:val="18"/>
          <w:szCs w:val="18"/>
          <w:b w:val="1"/>
          <w:bCs w:val="1"/>
          <w:color w:val="auto"/>
        </w:rPr>
      </w:pPr>
    </w:p>
    <w:p>
      <w:pPr>
        <w:ind w:left="-8" w:right="360" w:firstLine="757"/>
        <w:spacing w:after="0" w:line="268" w:lineRule="auto"/>
        <w:tabs>
          <w:tab w:leader="none" w:pos="1101"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“Contributions” </w:t>
      </w:r>
      <w:r>
        <w:rPr>
          <w:rFonts w:ascii="Times New Roman" w:cs="Times New Roman" w:eastAsia="Times New Roman" w:hAnsi="Times New Roman"/>
          <w:sz w:val="18"/>
          <w:szCs w:val="18"/>
          <w:color w:val="auto"/>
        </w:rPr>
        <w:t>means the payroll deductions and other additional payments that a Participant contributes to fund the exercise of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Purchase Right. A Participant may make payments not through payroll deductions only if specifically provided for in the Offering, and then only if the Participant has not already had the maximum permitted amount withheld through payroll deductions during the Offering.</w:t>
      </w:r>
    </w:p>
    <w:p>
      <w:pPr>
        <w:spacing w:after="0" w:line="170" w:lineRule="exact"/>
        <w:rPr>
          <w:rFonts w:ascii="Times New Roman" w:cs="Times New Roman" w:eastAsia="Times New Roman" w:hAnsi="Times New Roman"/>
          <w:sz w:val="18"/>
          <w:szCs w:val="18"/>
          <w:b w:val="1"/>
          <w:bCs w:val="1"/>
          <w:color w:val="auto"/>
        </w:rPr>
      </w:pPr>
    </w:p>
    <w:p>
      <w:pPr>
        <w:ind w:left="-8" w:right="460" w:firstLine="757"/>
        <w:spacing w:after="0" w:line="286" w:lineRule="auto"/>
        <w:tabs>
          <w:tab w:leader="none" w:pos="1101"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“Corporate Transaction” </w:t>
      </w:r>
      <w:r>
        <w:rPr>
          <w:rFonts w:ascii="Times New Roman" w:cs="Times New Roman" w:eastAsia="Times New Roman" w:hAnsi="Times New Roman"/>
          <w:sz w:val="18"/>
          <w:szCs w:val="18"/>
          <w:color w:val="auto"/>
        </w:rPr>
        <w:t>means the occurrence, in a single transaction or in a series of related transactions, of any one or more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following events:</w:t>
      </w:r>
    </w:p>
    <w:p>
      <w:pPr>
        <w:spacing w:after="0" w:line="158" w:lineRule="exact"/>
        <w:rPr>
          <w:rFonts w:ascii="Times New Roman" w:cs="Times New Roman" w:eastAsia="Times New Roman" w:hAnsi="Times New Roman"/>
          <w:sz w:val="18"/>
          <w:szCs w:val="18"/>
          <w:b w:val="1"/>
          <w:bCs w:val="1"/>
          <w:color w:val="auto"/>
        </w:rPr>
      </w:pPr>
    </w:p>
    <w:p>
      <w:pPr>
        <w:ind w:left="1852" w:hanging="355"/>
        <w:spacing w:after="0"/>
        <w:tabs>
          <w:tab w:leader="none" w:pos="1852" w:val="left"/>
        </w:tabs>
        <w:numPr>
          <w:ilvl w:val="1"/>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lease, license or other disposition of all or substantially all of the consolidated assets of the Company;</w:t>
      </w:r>
    </w:p>
    <w:p>
      <w:pPr>
        <w:spacing w:after="0" w:line="225" w:lineRule="exact"/>
        <w:rPr>
          <w:rFonts w:ascii="Times New Roman" w:cs="Times New Roman" w:eastAsia="Times New Roman" w:hAnsi="Times New Roman"/>
          <w:sz w:val="18"/>
          <w:szCs w:val="18"/>
          <w:b w:val="1"/>
          <w:bCs w:val="1"/>
          <w:color w:val="auto"/>
        </w:rPr>
      </w:pPr>
    </w:p>
    <w:p>
      <w:pPr>
        <w:ind w:left="1852" w:hanging="355"/>
        <w:spacing w:after="0"/>
        <w:tabs>
          <w:tab w:leader="none" w:pos="1852" w:val="left"/>
        </w:tabs>
        <w:numPr>
          <w:ilvl w:val="1"/>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sale or other disposition of at least fifty percent (50%) of the outstanding securities of the Company;</w:t>
      </w:r>
    </w:p>
    <w:p>
      <w:pPr>
        <w:spacing w:after="0" w:line="225" w:lineRule="exact"/>
        <w:rPr>
          <w:rFonts w:ascii="Times New Roman" w:cs="Times New Roman" w:eastAsia="Times New Roman" w:hAnsi="Times New Roman"/>
          <w:sz w:val="18"/>
          <w:szCs w:val="18"/>
          <w:b w:val="1"/>
          <w:bCs w:val="1"/>
          <w:color w:val="auto"/>
        </w:rPr>
      </w:pPr>
    </w:p>
    <w:p>
      <w:pPr>
        <w:ind w:left="1852" w:hanging="355"/>
        <w:spacing w:after="0"/>
        <w:tabs>
          <w:tab w:leader="none" w:pos="1852" w:val="left"/>
        </w:tabs>
        <w:numPr>
          <w:ilvl w:val="1"/>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not the surviving corporation; or</w:t>
      </w:r>
    </w:p>
    <w:p>
      <w:pPr>
        <w:spacing w:after="0" w:line="225" w:lineRule="exact"/>
        <w:rPr>
          <w:rFonts w:ascii="Times New Roman" w:cs="Times New Roman" w:eastAsia="Times New Roman" w:hAnsi="Times New Roman"/>
          <w:sz w:val="18"/>
          <w:szCs w:val="18"/>
          <w:b w:val="1"/>
          <w:bCs w:val="1"/>
          <w:color w:val="auto"/>
        </w:rPr>
      </w:pPr>
    </w:p>
    <w:p>
      <w:pPr>
        <w:ind w:left="-8" w:right="300" w:firstLine="1505"/>
        <w:spacing w:after="0" w:line="266" w:lineRule="auto"/>
        <w:tabs>
          <w:tab w:leader="none" w:pos="1849" w:val="left"/>
        </w:tabs>
        <w:numPr>
          <w:ilvl w:val="1"/>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6"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17" w:right="359" w:bottom="1440" w:gutter="0" w:footer="0" w:header="0"/>
        </w:sectPr>
      </w:pPr>
    </w:p>
    <w:bookmarkStart w:id="102" w:name="page103"/>
    <w:bookmarkEnd w:id="102"/>
    <w:p>
      <w:pPr>
        <w:ind w:left="1112" w:hanging="363"/>
        <w:spacing w:after="0"/>
        <w:tabs>
          <w:tab w:leader="none" w:pos="1112"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“Director” </w:t>
      </w:r>
      <w:r>
        <w:rPr>
          <w:rFonts w:ascii="Times New Roman" w:cs="Times New Roman" w:eastAsia="Times New Roman" w:hAnsi="Times New Roman"/>
          <w:sz w:val="18"/>
          <w:szCs w:val="18"/>
          <w:color w:val="auto"/>
        </w:rPr>
        <w:t>means a member of the Board.</w:t>
      </w:r>
    </w:p>
    <w:p>
      <w:pPr>
        <w:spacing w:after="0" w:line="225" w:lineRule="exact"/>
        <w:rPr>
          <w:rFonts w:ascii="Times New Roman" w:cs="Times New Roman" w:eastAsia="Times New Roman" w:hAnsi="Times New Roman"/>
          <w:sz w:val="18"/>
          <w:szCs w:val="18"/>
          <w:b w:val="1"/>
          <w:bCs w:val="1"/>
          <w:color w:val="auto"/>
        </w:rPr>
      </w:pPr>
    </w:p>
    <w:p>
      <w:pPr>
        <w:ind w:left="-8" w:right="80" w:firstLine="757"/>
        <w:spacing w:after="0" w:line="286" w:lineRule="auto"/>
        <w:tabs>
          <w:tab w:leader="none" w:pos="1101"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“Eligible Employee” </w:t>
      </w:r>
      <w:r>
        <w:rPr>
          <w:rFonts w:ascii="Times New Roman" w:cs="Times New Roman" w:eastAsia="Times New Roman" w:hAnsi="Times New Roman"/>
          <w:sz w:val="18"/>
          <w:szCs w:val="18"/>
          <w:color w:val="auto"/>
        </w:rPr>
        <w:t>means an Employee who meets the requirements set forth in the Offering for eligibility to participate in the 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provided that such Employee also meets the requirements for eligibility to participate set forth in the Plan.</w:t>
      </w:r>
    </w:p>
    <w:p>
      <w:pPr>
        <w:spacing w:after="0" w:line="154" w:lineRule="exact"/>
        <w:rPr>
          <w:rFonts w:ascii="Times New Roman" w:cs="Times New Roman" w:eastAsia="Times New Roman" w:hAnsi="Times New Roman"/>
          <w:sz w:val="18"/>
          <w:szCs w:val="18"/>
          <w:b w:val="1"/>
          <w:bCs w:val="1"/>
          <w:color w:val="auto"/>
        </w:rPr>
      </w:pPr>
    </w:p>
    <w:p>
      <w:pPr>
        <w:ind w:left="-8" w:right="120" w:firstLine="757"/>
        <w:spacing w:after="0" w:line="268" w:lineRule="auto"/>
        <w:tabs>
          <w:tab w:leader="none" w:pos="1101"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“Employee” </w:t>
      </w:r>
      <w:r>
        <w:rPr>
          <w:rFonts w:ascii="Times New Roman" w:cs="Times New Roman" w:eastAsia="Times New Roman" w:hAnsi="Times New Roman"/>
          <w:sz w:val="18"/>
          <w:szCs w:val="18"/>
          <w:color w:val="auto"/>
        </w:rPr>
        <w:t>means any person, including Officers and Directors, who is employed for purposes of Section 423(b)(4) of the Code by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or a Related Corporation. Neither service as a Director nor payment of a director’s fee shall be sufficient to make an individual an Employee of the Company or a Related Corporation.</w:t>
      </w:r>
    </w:p>
    <w:p>
      <w:pPr>
        <w:spacing w:after="0" w:line="170" w:lineRule="exact"/>
        <w:rPr>
          <w:rFonts w:ascii="Times New Roman" w:cs="Times New Roman" w:eastAsia="Times New Roman" w:hAnsi="Times New Roman"/>
          <w:sz w:val="18"/>
          <w:szCs w:val="18"/>
          <w:b w:val="1"/>
          <w:bCs w:val="1"/>
          <w:color w:val="auto"/>
        </w:rPr>
      </w:pPr>
    </w:p>
    <w:p>
      <w:pPr>
        <w:ind w:left="-8" w:right="520" w:firstLine="757"/>
        <w:spacing w:after="0" w:line="286" w:lineRule="auto"/>
        <w:tabs>
          <w:tab w:leader="none" w:pos="1101"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“Employee Stock Purchase Plan” </w:t>
      </w:r>
      <w:r>
        <w:rPr>
          <w:rFonts w:ascii="Times New Roman" w:cs="Times New Roman" w:eastAsia="Times New Roman" w:hAnsi="Times New Roman"/>
          <w:sz w:val="18"/>
          <w:szCs w:val="18"/>
          <w:color w:val="auto"/>
        </w:rPr>
        <w:t>means a plan that grants Purchase Rights intended to be options issued under an “employee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purchase plan,” as that term is defined in Section 423(b) of the Code.</w:t>
      </w:r>
    </w:p>
    <w:p>
      <w:pPr>
        <w:spacing w:after="0" w:line="154" w:lineRule="exact"/>
        <w:rPr>
          <w:rFonts w:ascii="Times New Roman" w:cs="Times New Roman" w:eastAsia="Times New Roman" w:hAnsi="Times New Roman"/>
          <w:sz w:val="18"/>
          <w:szCs w:val="18"/>
          <w:b w:val="1"/>
          <w:bCs w:val="1"/>
          <w:color w:val="auto"/>
        </w:rPr>
      </w:pPr>
    </w:p>
    <w:p>
      <w:pPr>
        <w:ind w:left="1112" w:hanging="363"/>
        <w:spacing w:after="0"/>
        <w:tabs>
          <w:tab w:leader="none" w:pos="1112"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“Exchange Act” </w:t>
      </w:r>
      <w:r>
        <w:rPr>
          <w:rFonts w:ascii="Times New Roman" w:cs="Times New Roman" w:eastAsia="Times New Roman" w:hAnsi="Times New Roman"/>
          <w:sz w:val="18"/>
          <w:szCs w:val="18"/>
          <w:color w:val="auto"/>
        </w:rPr>
        <w:t>means the Securities Exchange Act of 1934, as amended.</w:t>
      </w:r>
    </w:p>
    <w:p>
      <w:pPr>
        <w:spacing w:after="0" w:line="225" w:lineRule="exact"/>
        <w:rPr>
          <w:rFonts w:ascii="Times New Roman" w:cs="Times New Roman" w:eastAsia="Times New Roman" w:hAnsi="Times New Roman"/>
          <w:sz w:val="18"/>
          <w:szCs w:val="18"/>
          <w:b w:val="1"/>
          <w:bCs w:val="1"/>
          <w:color w:val="auto"/>
        </w:rPr>
      </w:pPr>
    </w:p>
    <w:p>
      <w:pPr>
        <w:ind w:left="-8" w:right="40" w:firstLine="757"/>
        <w:spacing w:after="0" w:line="257" w:lineRule="auto"/>
        <w:tabs>
          <w:tab w:leader="none" w:pos="1101"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“Fair Market Value” </w:t>
      </w:r>
      <w:r>
        <w:rPr>
          <w:rFonts w:ascii="Times New Roman" w:cs="Times New Roman" w:eastAsia="Times New Roman" w:hAnsi="Times New Roman"/>
          <w:sz w:val="18"/>
          <w:szCs w:val="18"/>
          <w:color w:val="auto"/>
        </w:rPr>
        <w:t>means the value of a security, as determined in good faith by the Board. If the security is listed on any established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stock exchange or traded on the Nasdaq National Market or the Nasdaq SmallCap Market, the Fair Market Value of the security, unless otherwise determined by the Board, shall be the closing sales price (rounded up where necessary to the nearest whole cent) for such security (or the closing bid, if no sales were reported) as quoted on such exchange or market (or the exchange or market with the greatest volume of trading in the relevant security of the Company) on the Trading Day prior to the relevant determination date,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Board deems reliable.</w:t>
      </w:r>
    </w:p>
    <w:p>
      <w:pPr>
        <w:spacing w:after="0" w:line="182" w:lineRule="exact"/>
        <w:rPr>
          <w:rFonts w:ascii="Times New Roman" w:cs="Times New Roman" w:eastAsia="Times New Roman" w:hAnsi="Times New Roman"/>
          <w:sz w:val="18"/>
          <w:szCs w:val="18"/>
          <w:b w:val="1"/>
          <w:bCs w:val="1"/>
          <w:color w:val="auto"/>
        </w:rPr>
      </w:pPr>
    </w:p>
    <w:p>
      <w:pPr>
        <w:ind w:left="1112" w:hanging="363"/>
        <w:spacing w:after="0"/>
        <w:tabs>
          <w:tab w:leader="none" w:pos="1112"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“Offering” </w:t>
      </w:r>
      <w:r>
        <w:rPr>
          <w:rFonts w:ascii="Times New Roman" w:cs="Times New Roman" w:eastAsia="Times New Roman" w:hAnsi="Times New Roman"/>
          <w:sz w:val="18"/>
          <w:szCs w:val="18"/>
          <w:color w:val="auto"/>
        </w:rPr>
        <w:t>means the grant of Purchase Rights to purchase shares of Common Stock under the Plan to Eligible Employees.</w:t>
      </w:r>
    </w:p>
    <w:p>
      <w:pPr>
        <w:spacing w:after="0" w:line="225" w:lineRule="exact"/>
        <w:rPr>
          <w:rFonts w:ascii="Times New Roman" w:cs="Times New Roman" w:eastAsia="Times New Roman" w:hAnsi="Times New Roman"/>
          <w:sz w:val="18"/>
          <w:szCs w:val="18"/>
          <w:b w:val="1"/>
          <w:bCs w:val="1"/>
          <w:color w:val="auto"/>
        </w:rPr>
      </w:pPr>
    </w:p>
    <w:p>
      <w:pPr>
        <w:ind w:left="1112" w:hanging="363"/>
        <w:spacing w:after="0"/>
        <w:tabs>
          <w:tab w:leader="none" w:pos="1112"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“Offering Date” </w:t>
      </w:r>
      <w:r>
        <w:rPr>
          <w:rFonts w:ascii="Times New Roman" w:cs="Times New Roman" w:eastAsia="Times New Roman" w:hAnsi="Times New Roman"/>
          <w:sz w:val="18"/>
          <w:szCs w:val="18"/>
          <w:color w:val="auto"/>
        </w:rPr>
        <w:t>means a date selected by the Board for an Offering to commence.</w:t>
      </w:r>
    </w:p>
    <w:p>
      <w:pPr>
        <w:spacing w:after="0" w:line="225" w:lineRule="exact"/>
        <w:rPr>
          <w:rFonts w:ascii="Times New Roman" w:cs="Times New Roman" w:eastAsia="Times New Roman" w:hAnsi="Times New Roman"/>
          <w:sz w:val="18"/>
          <w:szCs w:val="18"/>
          <w:b w:val="1"/>
          <w:bCs w:val="1"/>
          <w:color w:val="auto"/>
        </w:rPr>
      </w:pPr>
    </w:p>
    <w:p>
      <w:pPr>
        <w:ind w:left="-8" w:right="520" w:firstLine="757"/>
        <w:spacing w:after="0" w:line="286" w:lineRule="auto"/>
        <w:tabs>
          <w:tab w:leader="none" w:pos="1101"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Officer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 person who is an officer of the Company within the meaning of Section 16 of the Exchange Act and the rules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regulations promulgated thereunder.</w:t>
      </w:r>
    </w:p>
    <w:p>
      <w:pPr>
        <w:spacing w:after="0" w:line="154" w:lineRule="exact"/>
        <w:rPr>
          <w:rFonts w:ascii="Times New Roman" w:cs="Times New Roman" w:eastAsia="Times New Roman" w:hAnsi="Times New Roman"/>
          <w:sz w:val="18"/>
          <w:szCs w:val="18"/>
          <w:b w:val="1"/>
          <w:bCs w:val="1"/>
          <w:color w:val="auto"/>
        </w:rPr>
      </w:pPr>
    </w:p>
    <w:p>
      <w:pPr>
        <w:ind w:left="1112" w:hanging="363"/>
        <w:spacing w:after="0"/>
        <w:tabs>
          <w:tab w:leader="none" w:pos="1112"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“Participant” </w:t>
      </w:r>
      <w:r>
        <w:rPr>
          <w:rFonts w:ascii="Times New Roman" w:cs="Times New Roman" w:eastAsia="Times New Roman" w:hAnsi="Times New Roman"/>
          <w:sz w:val="18"/>
          <w:szCs w:val="18"/>
          <w:color w:val="auto"/>
        </w:rPr>
        <w:t>means an Eligible Employee who holds an outstanding Purchase Right granted pursuant to the Plan.</w:t>
      </w:r>
    </w:p>
    <w:p>
      <w:pPr>
        <w:spacing w:after="0" w:line="225" w:lineRule="exact"/>
        <w:rPr>
          <w:rFonts w:ascii="Times New Roman" w:cs="Times New Roman" w:eastAsia="Times New Roman" w:hAnsi="Times New Roman"/>
          <w:sz w:val="18"/>
          <w:szCs w:val="18"/>
          <w:b w:val="1"/>
          <w:bCs w:val="1"/>
          <w:color w:val="auto"/>
        </w:rPr>
      </w:pPr>
    </w:p>
    <w:p>
      <w:pPr>
        <w:ind w:left="1112" w:hanging="363"/>
        <w:spacing w:after="0"/>
        <w:tabs>
          <w:tab w:leader="none" w:pos="1112"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“Plan” </w:t>
      </w:r>
      <w:r>
        <w:rPr>
          <w:rFonts w:ascii="Times New Roman" w:cs="Times New Roman" w:eastAsia="Times New Roman" w:hAnsi="Times New Roman"/>
          <w:sz w:val="18"/>
          <w:szCs w:val="18"/>
          <w:color w:val="auto"/>
        </w:rPr>
        <w:t>means this MannKind Corporation 2004 Employee Stock Purchase Plan.</w:t>
      </w:r>
    </w:p>
    <w:p>
      <w:pPr>
        <w:spacing w:after="0" w:line="225" w:lineRule="exact"/>
        <w:rPr>
          <w:rFonts w:ascii="Times New Roman" w:cs="Times New Roman" w:eastAsia="Times New Roman" w:hAnsi="Times New Roman"/>
          <w:sz w:val="18"/>
          <w:szCs w:val="18"/>
          <w:b w:val="1"/>
          <w:bCs w:val="1"/>
          <w:color w:val="auto"/>
        </w:rPr>
      </w:pPr>
    </w:p>
    <w:p>
      <w:pPr>
        <w:ind w:left="-8" w:firstLine="757"/>
        <w:spacing w:after="0" w:line="286" w:lineRule="auto"/>
        <w:tabs>
          <w:tab w:leader="none" w:pos="1101"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“Purchase Date” </w:t>
      </w:r>
      <w:r>
        <w:rPr>
          <w:rFonts w:ascii="Times New Roman" w:cs="Times New Roman" w:eastAsia="Times New Roman" w:hAnsi="Times New Roman"/>
          <w:sz w:val="18"/>
          <w:szCs w:val="18"/>
          <w:color w:val="auto"/>
        </w:rPr>
        <w:t>means one or more dates during an Offering established by the Board on which Purchase Rights shall be exercised and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which purchases of shares of Common Stock shall be carried out in accordance with such Offering.</w:t>
      </w:r>
    </w:p>
    <w:p>
      <w:pPr>
        <w:spacing w:after="0" w:line="154" w:lineRule="exact"/>
        <w:rPr>
          <w:rFonts w:ascii="Times New Roman" w:cs="Times New Roman" w:eastAsia="Times New Roman" w:hAnsi="Times New Roman"/>
          <w:sz w:val="18"/>
          <w:szCs w:val="18"/>
          <w:b w:val="1"/>
          <w:bCs w:val="1"/>
          <w:color w:val="auto"/>
        </w:rPr>
      </w:pPr>
    </w:p>
    <w:p>
      <w:pPr>
        <w:ind w:left="-8" w:right="360" w:firstLine="757"/>
        <w:spacing w:after="0" w:line="286" w:lineRule="auto"/>
        <w:tabs>
          <w:tab w:leader="none" w:pos="1101"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“Purchase Period” </w:t>
      </w:r>
      <w:r>
        <w:rPr>
          <w:rFonts w:ascii="Times New Roman" w:cs="Times New Roman" w:eastAsia="Times New Roman" w:hAnsi="Times New Roman"/>
          <w:sz w:val="18"/>
          <w:szCs w:val="18"/>
          <w:color w:val="auto"/>
        </w:rPr>
        <w:t>means a period of time specified within an Offering beginning on the Offering Date or on the next day following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Purchase Date within an Offering and ending on a Purchase Date. An Offering may consist of one or more Purchase Periods.</w:t>
      </w:r>
    </w:p>
    <w:p>
      <w:pPr>
        <w:spacing w:after="0" w:line="154" w:lineRule="exact"/>
        <w:rPr>
          <w:rFonts w:ascii="Times New Roman" w:cs="Times New Roman" w:eastAsia="Times New Roman" w:hAnsi="Times New Roman"/>
          <w:sz w:val="18"/>
          <w:szCs w:val="18"/>
          <w:b w:val="1"/>
          <w:bCs w:val="1"/>
          <w:color w:val="auto"/>
        </w:rPr>
      </w:pPr>
    </w:p>
    <w:p>
      <w:pPr>
        <w:ind w:left="1112" w:hanging="363"/>
        <w:spacing w:after="0"/>
        <w:tabs>
          <w:tab w:leader="none" w:pos="1112"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“Purchase Right” </w:t>
      </w:r>
      <w:r>
        <w:rPr>
          <w:rFonts w:ascii="Times New Roman" w:cs="Times New Roman" w:eastAsia="Times New Roman" w:hAnsi="Times New Roman"/>
          <w:sz w:val="18"/>
          <w:szCs w:val="18"/>
          <w:color w:val="auto"/>
        </w:rPr>
        <w:t>means an option to purchase shares of Common Stock granted pursuant to the Plan.</w:t>
      </w:r>
    </w:p>
    <w:p>
      <w:pPr>
        <w:spacing w:after="0" w:line="225" w:lineRule="exact"/>
        <w:rPr>
          <w:rFonts w:ascii="Times New Roman" w:cs="Times New Roman" w:eastAsia="Times New Roman" w:hAnsi="Times New Roman"/>
          <w:sz w:val="18"/>
          <w:szCs w:val="18"/>
          <w:b w:val="1"/>
          <w:bCs w:val="1"/>
          <w:color w:val="auto"/>
        </w:rPr>
      </w:pPr>
    </w:p>
    <w:p>
      <w:pPr>
        <w:ind w:left="-8" w:right="440" w:firstLine="757"/>
        <w:spacing w:after="0" w:line="286" w:lineRule="auto"/>
        <w:tabs>
          <w:tab w:leader="none" w:pos="1101"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“Related Corporation” </w:t>
      </w:r>
      <w:r>
        <w:rPr>
          <w:rFonts w:ascii="Times New Roman" w:cs="Times New Roman" w:eastAsia="Times New Roman" w:hAnsi="Times New Roman"/>
          <w:sz w:val="18"/>
          <w:szCs w:val="18"/>
          <w:color w:val="auto"/>
        </w:rPr>
        <w:t>means any parent corporation or subsidiary corporation, whether now or hereafter existing, as those terms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defined in Sections 424(e) and (f), respectively, of the Code.</w:t>
      </w:r>
    </w:p>
    <w:p>
      <w:pPr>
        <w:spacing w:after="0" w:line="154" w:lineRule="exact"/>
        <w:rPr>
          <w:rFonts w:ascii="Times New Roman" w:cs="Times New Roman" w:eastAsia="Times New Roman" w:hAnsi="Times New Roman"/>
          <w:sz w:val="18"/>
          <w:szCs w:val="18"/>
          <w:b w:val="1"/>
          <w:bCs w:val="1"/>
          <w:color w:val="auto"/>
        </w:rPr>
      </w:pPr>
    </w:p>
    <w:p>
      <w:pPr>
        <w:ind w:left="1112" w:hanging="363"/>
        <w:spacing w:after="0"/>
        <w:tabs>
          <w:tab w:leader="none" w:pos="1112"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“Securities Act” </w:t>
      </w:r>
      <w:r>
        <w:rPr>
          <w:rFonts w:ascii="Times New Roman" w:cs="Times New Roman" w:eastAsia="Times New Roman" w:hAnsi="Times New Roman"/>
          <w:sz w:val="18"/>
          <w:szCs w:val="18"/>
          <w:color w:val="auto"/>
        </w:rPr>
        <w:t>means the Securities Act of 1933, as amended.</w:t>
      </w:r>
    </w:p>
    <w:p>
      <w:pPr>
        <w:spacing w:after="0" w:line="225" w:lineRule="exact"/>
        <w:rPr>
          <w:rFonts w:ascii="Times New Roman" w:cs="Times New Roman" w:eastAsia="Times New Roman" w:hAnsi="Times New Roman"/>
          <w:sz w:val="18"/>
          <w:szCs w:val="18"/>
          <w:b w:val="1"/>
          <w:bCs w:val="1"/>
          <w:color w:val="auto"/>
        </w:rPr>
      </w:pPr>
    </w:p>
    <w:p>
      <w:pPr>
        <w:ind w:left="-8" w:right="500" w:firstLine="757"/>
        <w:spacing w:after="0" w:line="286" w:lineRule="auto"/>
        <w:tabs>
          <w:tab w:leader="none" w:pos="1101" w:val="left"/>
        </w:tabs>
        <w:numPr>
          <w:ilvl w:val="1"/>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Trading Day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means any day on which the exchange(s) or market(s) on which shares of Common Stock are listed, whether it be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established stock exchange, the Nasdaq National Market, the Nasdaq SmallCap Market or otherwise, is open for trading.</w:t>
      </w:r>
    </w:p>
    <w:p>
      <w:pPr>
        <w:spacing w:after="0" w:line="154" w:lineRule="exact"/>
        <w:rPr>
          <w:rFonts w:ascii="Times New Roman" w:cs="Times New Roman" w:eastAsia="Times New Roman" w:hAnsi="Times New Roman"/>
          <w:sz w:val="18"/>
          <w:szCs w:val="18"/>
          <w:b w:val="1"/>
          <w:bCs w:val="1"/>
          <w:color w:val="auto"/>
        </w:rPr>
      </w:pPr>
    </w:p>
    <w:p>
      <w:pPr>
        <w:ind w:left="352" w:hanging="352"/>
        <w:spacing w:after="0"/>
        <w:tabs>
          <w:tab w:leader="none" w:pos="352"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dministration</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8" w:right="100" w:firstLine="757"/>
        <w:spacing w:after="0" w:line="266" w:lineRule="auto"/>
        <w:tabs>
          <w:tab w:leader="none" w:pos="1101"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shall administer the Plan unless and until the Board delegates administration to a Committee, as provided in Section 3(c). Whether or not the Board has delegated administration, the Board shall have the final power to determine all questions of policy and expediency that may arise in the administration of the Plan.</w:t>
      </w:r>
    </w:p>
    <w:p>
      <w:pPr>
        <w:spacing w:after="0" w:line="175" w:lineRule="exact"/>
        <w:rPr>
          <w:rFonts w:ascii="Times New Roman" w:cs="Times New Roman" w:eastAsia="Times New Roman" w:hAnsi="Times New Roman"/>
          <w:sz w:val="18"/>
          <w:szCs w:val="18"/>
          <w:b w:val="1"/>
          <w:bCs w:val="1"/>
          <w:color w:val="auto"/>
        </w:rPr>
      </w:pPr>
    </w:p>
    <w:p>
      <w:pPr>
        <w:ind w:left="1112" w:hanging="363"/>
        <w:spacing w:after="0"/>
        <w:tabs>
          <w:tab w:leader="none" w:pos="1112" w:val="left"/>
        </w:tabs>
        <w:numPr>
          <w:ilvl w:val="1"/>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(or the Committee) shall have the power, subject to, and within the limitations of, the express provisions of the Plan:</w:t>
      </w:r>
    </w:p>
    <w:p>
      <w:pPr>
        <w:spacing w:after="0" w:line="225" w:lineRule="exact"/>
        <w:rPr>
          <w:sz w:val="20"/>
          <w:szCs w:val="20"/>
          <w:color w:val="auto"/>
        </w:rPr>
      </w:pPr>
    </w:p>
    <w:p>
      <w:pPr>
        <w:jc w:val="center"/>
        <w:ind w:right="-71"/>
        <w:spacing w:after="0"/>
        <w:rPr>
          <w:sz w:val="20"/>
          <w:szCs w:val="20"/>
          <w:color w:val="auto"/>
        </w:rPr>
      </w:pPr>
      <w:r>
        <w:rPr>
          <w:rFonts w:ascii="Times New Roman" w:cs="Times New Roman" w:eastAsia="Times New Roman" w:hAnsi="Times New Roman"/>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73025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72"/>
          </w:cols>
          <w:pgMar w:left="328" w:top="117" w:right="399" w:bottom="1440" w:gutter="0" w:footer="0" w:header="0"/>
        </w:sectPr>
      </w:pPr>
    </w:p>
    <w:bookmarkStart w:id="103" w:name="page104"/>
    <w:bookmarkEnd w:id="103"/>
    <w:p>
      <w:pPr>
        <w:ind w:right="260" w:firstLine="1505"/>
        <w:spacing w:after="0" w:line="282" w:lineRule="auto"/>
        <w:tabs>
          <w:tab w:leader="none" w:pos="1857" w:val="left"/>
        </w:tabs>
        <w:numPr>
          <w:ilvl w:val="2"/>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determine when and how Purchase Rights to purchase shares of Common Stock shall be granted and the provisions of each Offering of such Purchase Rights (which need not be identical).</w:t>
      </w:r>
    </w:p>
    <w:p>
      <w:pPr>
        <w:spacing w:after="0" w:line="161" w:lineRule="exact"/>
        <w:rPr>
          <w:rFonts w:ascii="Times New Roman" w:cs="Times New Roman" w:eastAsia="Times New Roman" w:hAnsi="Times New Roman"/>
          <w:sz w:val="18"/>
          <w:szCs w:val="18"/>
          <w:b w:val="1"/>
          <w:bCs w:val="1"/>
          <w:color w:val="auto"/>
        </w:rPr>
      </w:pPr>
    </w:p>
    <w:p>
      <w:pPr>
        <w:ind w:left="1860" w:hanging="355"/>
        <w:spacing w:after="0"/>
        <w:tabs>
          <w:tab w:leader="none" w:pos="1860" w:val="left"/>
        </w:tabs>
        <w:numPr>
          <w:ilvl w:val="2"/>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designate from time to time which Related Corporations of the Company shall be eligible to participate in the Plan.</w:t>
      </w:r>
    </w:p>
    <w:p>
      <w:pPr>
        <w:spacing w:after="0" w:line="225" w:lineRule="exact"/>
        <w:rPr>
          <w:rFonts w:ascii="Times New Roman" w:cs="Times New Roman" w:eastAsia="Times New Roman" w:hAnsi="Times New Roman"/>
          <w:sz w:val="18"/>
          <w:szCs w:val="18"/>
          <w:b w:val="1"/>
          <w:bCs w:val="1"/>
          <w:color w:val="auto"/>
        </w:rPr>
      </w:pPr>
    </w:p>
    <w:p>
      <w:pPr>
        <w:ind w:right="180" w:firstLine="1505"/>
        <w:spacing w:after="0" w:line="266" w:lineRule="auto"/>
        <w:tabs>
          <w:tab w:leader="none" w:pos="1857" w:val="left"/>
        </w:tabs>
        <w:numPr>
          <w:ilvl w:val="2"/>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construe and interpret the Plan and Purchase Rights, and to establish, amend and revoke rules and regulations for the administration of the Plan. The Board, in the exercise of this power, may correct any defect, omission or inconsistency in the Plan, in a manner and to the extent it shall deem necessary or expedient to make the Plan fully effective.</w:t>
      </w:r>
    </w:p>
    <w:p>
      <w:pPr>
        <w:spacing w:after="0" w:line="175" w:lineRule="exact"/>
        <w:rPr>
          <w:rFonts w:ascii="Times New Roman" w:cs="Times New Roman" w:eastAsia="Times New Roman" w:hAnsi="Times New Roman"/>
          <w:sz w:val="18"/>
          <w:szCs w:val="18"/>
          <w:b w:val="1"/>
          <w:bCs w:val="1"/>
          <w:color w:val="auto"/>
        </w:rPr>
      </w:pPr>
    </w:p>
    <w:p>
      <w:pPr>
        <w:ind w:left="1860" w:hanging="355"/>
        <w:spacing w:after="0"/>
        <w:tabs>
          <w:tab w:leader="none" w:pos="1860" w:val="left"/>
        </w:tabs>
        <w:numPr>
          <w:ilvl w:val="2"/>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amend the Plan as provided in Section 15.</w:t>
      </w:r>
    </w:p>
    <w:p>
      <w:pPr>
        <w:spacing w:after="0" w:line="225" w:lineRule="exact"/>
        <w:rPr>
          <w:rFonts w:ascii="Times New Roman" w:cs="Times New Roman" w:eastAsia="Times New Roman" w:hAnsi="Times New Roman"/>
          <w:sz w:val="18"/>
          <w:szCs w:val="18"/>
          <w:b w:val="1"/>
          <w:bCs w:val="1"/>
          <w:color w:val="auto"/>
        </w:rPr>
      </w:pPr>
    </w:p>
    <w:p>
      <w:pPr>
        <w:ind w:right="240" w:firstLine="1505"/>
        <w:spacing w:after="0" w:line="282" w:lineRule="auto"/>
        <w:tabs>
          <w:tab w:leader="none" w:pos="1857" w:val="left"/>
        </w:tabs>
        <w:numPr>
          <w:ilvl w:val="2"/>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Generally, to exercise such powers and to perform such acts as it deems necessary or expedient to promote the best interests of the Company and its Related Corporations and to carry out the intent that the Plan be treated as an Employee Stock Purchase Plan.</w:t>
      </w:r>
    </w:p>
    <w:p>
      <w:pPr>
        <w:spacing w:after="0" w:line="161" w:lineRule="exact"/>
        <w:rPr>
          <w:rFonts w:ascii="Times New Roman" w:cs="Times New Roman" w:eastAsia="Times New Roman" w:hAnsi="Times New Roman"/>
          <w:sz w:val="18"/>
          <w:szCs w:val="18"/>
          <w:b w:val="1"/>
          <w:bCs w:val="1"/>
          <w:color w:val="auto"/>
        </w:rPr>
      </w:pPr>
    </w:p>
    <w:p>
      <w:pPr>
        <w:ind w:right="60" w:firstLine="1505"/>
        <w:spacing w:after="0" w:line="282" w:lineRule="auto"/>
        <w:tabs>
          <w:tab w:leader="none" w:pos="1857" w:val="left"/>
        </w:tabs>
        <w:numPr>
          <w:ilvl w:val="2"/>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adopt such procedures and sub-plans as are necessary or appropriate to permit participation in the Plan by Employees who are foreign nationals or employed outside the United States.</w:t>
      </w:r>
    </w:p>
    <w:p>
      <w:pPr>
        <w:spacing w:after="0" w:line="161" w:lineRule="exact"/>
        <w:rPr>
          <w:rFonts w:ascii="Times New Roman" w:cs="Times New Roman" w:eastAsia="Times New Roman" w:hAnsi="Times New Roman"/>
          <w:sz w:val="18"/>
          <w:szCs w:val="18"/>
          <w:b w:val="1"/>
          <w:bCs w:val="1"/>
          <w:color w:val="auto"/>
        </w:rPr>
      </w:pPr>
    </w:p>
    <w:p>
      <w:pPr>
        <w:ind w:firstLine="757"/>
        <w:spacing w:after="0" w:line="258" w:lineRule="auto"/>
        <w:tabs>
          <w:tab w:leader="none" w:pos="1109"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delegate administration of the Plan to a Committee of the Board composed of one (1) or more members of the Board. If administration is delegated to a Committee, the Committee shall have, in connection with the administration of the Plan, the powers theretofore possessed by the Board, subject, however, to such resolutions, not inconsistent with the provisions of the Plan, as may be adopted from time to time by the Board. The Board may abolish the Committee at any time and revest in the Board the administration of the Plan. If administration is delegated to a Committee, references to the Board in this Plan and in the Offering document shall thereafter be deemed to be to the Board or the Committee, as the case may be.</w:t>
      </w:r>
    </w:p>
    <w:p>
      <w:pPr>
        <w:spacing w:after="0" w:line="183" w:lineRule="exact"/>
        <w:rPr>
          <w:rFonts w:ascii="Times New Roman" w:cs="Times New Roman" w:eastAsia="Times New Roman" w:hAnsi="Times New Roman"/>
          <w:sz w:val="18"/>
          <w:szCs w:val="18"/>
          <w:b w:val="1"/>
          <w:bCs w:val="1"/>
          <w:color w:val="auto"/>
        </w:rPr>
      </w:pPr>
    </w:p>
    <w:p>
      <w:pPr>
        <w:ind w:right="60" w:firstLine="757"/>
        <w:spacing w:after="0" w:line="282" w:lineRule="auto"/>
        <w:tabs>
          <w:tab w:leader="none" w:pos="1109" w:val="left"/>
        </w:tabs>
        <w:numPr>
          <w:ilvl w:val="1"/>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determinations, interpretations and constructions made by the Board in good faith shall not be subject to review by any person and shall be final, binding and conclusive on all persons.</w:t>
      </w:r>
    </w:p>
    <w:p>
      <w:pPr>
        <w:spacing w:after="0" w:line="157"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w:t>
      </w:r>
      <w:r>
        <w:rPr>
          <w:rFonts w:ascii="Times New Roman" w:cs="Times New Roman" w:eastAsia="Times New Roman" w:hAnsi="Times New Roman"/>
          <w:sz w:val="12"/>
          <w:szCs w:val="12"/>
          <w:b w:val="1"/>
          <w:bCs w:val="1"/>
          <w:color w:val="auto"/>
        </w:rPr>
        <w:t>hares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ubject to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400" w:firstLine="749"/>
        <w:spacing w:after="0" w:line="266" w:lineRule="auto"/>
        <w:rPr>
          <w:sz w:val="20"/>
          <w:szCs w:val="20"/>
          <w:color w:val="auto"/>
        </w:rPr>
      </w:pPr>
      <w:r>
        <w:rPr>
          <w:rFonts w:ascii="Times New Roman" w:cs="Times New Roman" w:eastAsia="Times New Roman" w:hAnsi="Times New Roman"/>
          <w:sz w:val="18"/>
          <w:szCs w:val="18"/>
          <w:color w:val="auto"/>
        </w:rPr>
        <w:t>Subject to the provisions of Section 14(a) relating to adjustments upon changes in Common Stock, the stock that may be sold pursuant to Purchase Rights granted under the Plan shall not exceed in the aggregate seven million six hundred eighty-six thousand one hundred forty (7,686,140) shares of Common Stock.</w:t>
      </w:r>
    </w:p>
    <w:p>
      <w:pPr>
        <w:spacing w:after="0" w:line="172" w:lineRule="exact"/>
        <w:rPr>
          <w:sz w:val="20"/>
          <w:szCs w:val="20"/>
          <w:color w:val="auto"/>
        </w:rPr>
      </w:pPr>
    </w:p>
    <w:p>
      <w:pPr>
        <w:ind w:left="360" w:hanging="352"/>
        <w:spacing w:after="0"/>
        <w:tabs>
          <w:tab w:leader="none" w:pos="3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rant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8"/>
          <w:szCs w:val="18"/>
          <w:b w:val="1"/>
          <w:bCs w:val="1"/>
          <w:color w:val="auto"/>
        </w:rPr>
        <w:t>; O</w:t>
      </w:r>
      <w:r>
        <w:rPr>
          <w:rFonts w:ascii="Times New Roman" w:cs="Times New Roman" w:eastAsia="Times New Roman" w:hAnsi="Times New Roman"/>
          <w:sz w:val="12"/>
          <w:szCs w:val="12"/>
          <w:b w:val="1"/>
          <w:bCs w:val="1"/>
          <w:color w:val="auto"/>
        </w:rPr>
        <w:t>ffering</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firstLine="757"/>
        <w:spacing w:after="0" w:line="254" w:lineRule="auto"/>
        <w:tabs>
          <w:tab w:leader="none" w:pos="1109" w:val="left"/>
        </w:tabs>
        <w:numPr>
          <w:ilvl w:val="1"/>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from time to time grant or provide for the grant of Purchase Rights to purchase shares of Common Stock under the Plan to Eligible Employees in an Offering (consisting of one or more Purchase Periods) on an Offering Date or Offering Dates selected by the Board. Each Offering shall be in such form and shall contain such terms and conditions as the Board shall deem appropriate, which shall comply with the requirement of Section 423(b)(5) of the Code that all Employees granted Purchase Rights shall have the same rights and privileges. The terms and conditions of an Offering shall be incorporated by reference into the Plan and treated as part of the Plan. The provisions of separate Offerings need not be identical, but each Offering shall include (through incorporation of the provisions of this Plan by reference in the document comprising the Offering or otherwise) the period during which the Offering shall be effective, which period shall not exceed twenty-seven (27) months beginning with the Offering Date, and the substance of the provisions contained in Sections 6 through 9, inclusive.</w:t>
      </w:r>
    </w:p>
    <w:p>
      <w:pPr>
        <w:spacing w:after="0" w:line="191" w:lineRule="exact"/>
        <w:rPr>
          <w:rFonts w:ascii="Times New Roman" w:cs="Times New Roman" w:eastAsia="Times New Roman" w:hAnsi="Times New Roman"/>
          <w:sz w:val="18"/>
          <w:szCs w:val="18"/>
          <w:b w:val="1"/>
          <w:bCs w:val="1"/>
          <w:color w:val="auto"/>
        </w:rPr>
      </w:pPr>
    </w:p>
    <w:p>
      <w:pPr>
        <w:ind w:right="60" w:firstLine="757"/>
        <w:spacing w:after="0" w:line="258" w:lineRule="auto"/>
        <w:tabs>
          <w:tab w:leader="none" w:pos="1109" w:val="left"/>
        </w:tabs>
        <w:numPr>
          <w:ilvl w:val="1"/>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Participant has more than one Purchase Right outstanding under the Plan, unless he or she otherwise indicates in agreements or notices delivered hereunder: (i) each agreement or notice delivered by that Participant shall be deemed to apply to all of his or her Purchase Rights under the Plan, and (ii) a Purchase Right with a lower exercise price (or an earlier-granted Purchase Right, if different Purchase Rights have identical exercise prices) shall be exercised to the fullest possible extent before a Purchase Right with a higher exercise price (or a later-granted Purchase Right if different Purchase Rights have identical exercise prices) shall be exercised.</w:t>
      </w:r>
    </w:p>
    <w:p>
      <w:pPr>
        <w:spacing w:after="0" w:line="179"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ligibility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right="220" w:firstLine="757"/>
        <w:spacing w:after="0" w:line="266" w:lineRule="auto"/>
        <w:tabs>
          <w:tab w:leader="none" w:pos="1109" w:val="left"/>
        </w:tabs>
        <w:numPr>
          <w:ilvl w:val="1"/>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Purchase Rights may be granted only to Employees of the Company or, as the Board may designate as provided in Section 3(b), to Employees of a Related Corporation. Except as provided in Section 6(b), an Employee shall not be eligible to be granted Purchase Rights under the Plan unless, on the Offering Date, such Employee has been in the employ of the Company or the Related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4" w:name="page105"/>
    <w:bookmarkEnd w:id="104"/>
    <w:p>
      <w:pPr>
        <w:ind w:right="320"/>
        <w:spacing w:after="0" w:line="261" w:lineRule="auto"/>
        <w:rPr>
          <w:sz w:val="20"/>
          <w:szCs w:val="20"/>
          <w:color w:val="auto"/>
        </w:rPr>
      </w:pPr>
      <w:r>
        <w:rPr>
          <w:rFonts w:ascii="Times New Roman" w:cs="Times New Roman" w:eastAsia="Times New Roman" w:hAnsi="Times New Roman"/>
          <w:sz w:val="18"/>
          <w:szCs w:val="18"/>
          <w:color w:val="auto"/>
        </w:rPr>
        <w:t>Corporation, as the case may be, for such continuous period preceding such Offering Date as the Board may require, but in no event shall the required period of continuous employment be greater than two (2) years. In addition, the Board may provide that no Employee shall be eligible to be granted Purchase Rights under the Plan unless, on the Offering Date, such Employee’s customary employment with the Company or the Related Corporation is more than twenty (20) hours per week and/or more than five (5) months per calendar year.</w:t>
      </w:r>
    </w:p>
    <w:p>
      <w:pPr>
        <w:spacing w:after="0" w:line="180" w:lineRule="exact"/>
        <w:rPr>
          <w:sz w:val="20"/>
          <w:szCs w:val="20"/>
          <w:color w:val="auto"/>
        </w:rPr>
      </w:pPr>
    </w:p>
    <w:p>
      <w:pPr>
        <w:jc w:val="both"/>
        <w:ind w:right="20" w:firstLine="757"/>
        <w:spacing w:after="0" w:line="261" w:lineRule="auto"/>
        <w:tabs>
          <w:tab w:leader="none" w:pos="1109" w:val="left"/>
        </w:tabs>
        <w:numPr>
          <w:ilvl w:val="1"/>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provide that each person who, during the course of an Offering, first becomes an Eligible Employee shall, on a date or dates specified in the Offering which coincides with the day on which such person becomes an Eligible Employee or which occurs thereafter, receive a Purchase Right under that Offering, which Purchase Right shall thereafter be deemed to be a part of that Offering. Such Purchase Right shall have the same characteristics as any Purchase Rights originally granted under that Offering, as described herein, except that:</w:t>
      </w:r>
    </w:p>
    <w:p>
      <w:pPr>
        <w:spacing w:after="0" w:line="179" w:lineRule="exact"/>
        <w:rPr>
          <w:rFonts w:ascii="Times New Roman" w:cs="Times New Roman" w:eastAsia="Times New Roman" w:hAnsi="Times New Roman"/>
          <w:sz w:val="18"/>
          <w:szCs w:val="18"/>
          <w:b w:val="1"/>
          <w:bCs w:val="1"/>
          <w:color w:val="auto"/>
        </w:rPr>
      </w:pPr>
    </w:p>
    <w:p>
      <w:pPr>
        <w:ind w:right="100" w:firstLine="1505"/>
        <w:spacing w:after="0" w:line="282" w:lineRule="auto"/>
        <w:tabs>
          <w:tab w:leader="none" w:pos="1857" w:val="left"/>
        </w:tabs>
        <w:numPr>
          <w:ilvl w:val="2"/>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date on which such Purchase Right is granted shall be the “Offering Date” of such Purchase Right for all purposes, including determination of the exercise price of such Purchase Right;</w:t>
      </w:r>
    </w:p>
    <w:p>
      <w:pPr>
        <w:spacing w:after="0" w:line="161" w:lineRule="exact"/>
        <w:rPr>
          <w:rFonts w:ascii="Times New Roman" w:cs="Times New Roman" w:eastAsia="Times New Roman" w:hAnsi="Times New Roman"/>
          <w:sz w:val="18"/>
          <w:szCs w:val="18"/>
          <w:b w:val="1"/>
          <w:bCs w:val="1"/>
          <w:color w:val="auto"/>
        </w:rPr>
      </w:pPr>
    </w:p>
    <w:p>
      <w:pPr>
        <w:ind w:left="1860" w:hanging="355"/>
        <w:spacing w:after="0"/>
        <w:tabs>
          <w:tab w:leader="none" w:pos="1860" w:val="left"/>
        </w:tabs>
        <w:numPr>
          <w:ilvl w:val="2"/>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period of the Offering with respect to such Purchase Right shall begin on its Offering Date and end coincident with the end of</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such Offering; and</w:t>
      </w:r>
    </w:p>
    <w:p>
      <w:pPr>
        <w:spacing w:after="0" w:line="206" w:lineRule="exact"/>
        <w:rPr>
          <w:rFonts w:ascii="Times New Roman" w:cs="Times New Roman" w:eastAsia="Times New Roman" w:hAnsi="Times New Roman"/>
          <w:sz w:val="18"/>
          <w:szCs w:val="18"/>
          <w:b w:val="1"/>
          <w:bCs w:val="1"/>
          <w:color w:val="auto"/>
        </w:rPr>
      </w:pPr>
    </w:p>
    <w:p>
      <w:pPr>
        <w:ind w:right="60" w:firstLine="1505"/>
        <w:spacing w:after="0" w:line="282" w:lineRule="auto"/>
        <w:tabs>
          <w:tab w:leader="none" w:pos="1857" w:val="left"/>
        </w:tabs>
        <w:numPr>
          <w:ilvl w:val="2"/>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may provide that if such person first becomes an Eligible Employee within a specified period of time before the end of the Offering, he or she shall not receive any Purchase Right under that Offering.</w:t>
      </w:r>
    </w:p>
    <w:p>
      <w:pPr>
        <w:spacing w:after="0" w:line="161" w:lineRule="exact"/>
        <w:rPr>
          <w:rFonts w:ascii="Times New Roman" w:cs="Times New Roman" w:eastAsia="Times New Roman" w:hAnsi="Times New Roman"/>
          <w:sz w:val="18"/>
          <w:szCs w:val="18"/>
          <w:b w:val="1"/>
          <w:bCs w:val="1"/>
          <w:color w:val="auto"/>
        </w:rPr>
      </w:pPr>
    </w:p>
    <w:p>
      <w:pPr>
        <w:ind w:right="340" w:firstLine="757"/>
        <w:spacing w:after="0" w:line="258" w:lineRule="auto"/>
        <w:tabs>
          <w:tab w:leader="none" w:pos="1109" w:val="left"/>
        </w:tabs>
        <w:numPr>
          <w:ilvl w:val="1"/>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Employee shall be eligible for the grant of any Purchase Rights under the Plan if, immediately after any such Purchase Rights are granted, such Employee owns stock possessing five percent (5%) or more of the total combined voting power or value of all classes of stock of the Company or of any Related Corporation. For purposes of this Section 6(c), the rules of Section 424(d) of the Code shall apply in determining the stock ownership of any Employee, and stock which such Employee may purchase under all outstanding Purchase Rights and options shall be treated as stock owned by such Employee.</w:t>
      </w:r>
    </w:p>
    <w:p>
      <w:pPr>
        <w:spacing w:after="0" w:line="183" w:lineRule="exact"/>
        <w:rPr>
          <w:rFonts w:ascii="Times New Roman" w:cs="Times New Roman" w:eastAsia="Times New Roman" w:hAnsi="Times New Roman"/>
          <w:sz w:val="18"/>
          <w:szCs w:val="18"/>
          <w:b w:val="1"/>
          <w:bCs w:val="1"/>
          <w:color w:val="auto"/>
        </w:rPr>
      </w:pPr>
    </w:p>
    <w:p>
      <w:pPr>
        <w:ind w:right="60" w:firstLine="757"/>
        <w:spacing w:after="0" w:line="258" w:lineRule="auto"/>
        <w:tabs>
          <w:tab w:leader="none" w:pos="1109" w:val="left"/>
        </w:tabs>
        <w:numPr>
          <w:ilvl w:val="1"/>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As specified by Section 423(b)(8) of the Code, an Eligible Employee may be granted Purchase Rights under the Plan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exceeds twenty five thousand dollars ($25,000) of Fair Market Value of such stock (determined at the time such rights are granted, and which, with respect to the Plan, shall be determined as of their respective Offering Dates) for each calendar year in which such rights are outstanding at any time.</w:t>
      </w:r>
    </w:p>
    <w:p>
      <w:pPr>
        <w:spacing w:after="0" w:line="183" w:lineRule="exact"/>
        <w:rPr>
          <w:rFonts w:ascii="Times New Roman" w:cs="Times New Roman" w:eastAsia="Times New Roman" w:hAnsi="Times New Roman"/>
          <w:sz w:val="18"/>
          <w:szCs w:val="18"/>
          <w:b w:val="1"/>
          <w:bCs w:val="1"/>
          <w:color w:val="auto"/>
        </w:rPr>
      </w:pPr>
    </w:p>
    <w:p>
      <w:pPr>
        <w:ind w:right="40" w:firstLine="757"/>
        <w:spacing w:after="0" w:line="266" w:lineRule="auto"/>
        <w:tabs>
          <w:tab w:leader="none" w:pos="1109" w:val="left"/>
        </w:tabs>
        <w:numPr>
          <w:ilvl w:val="1"/>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Officers of the Company and any designated Related Corporation, if they are otherwise Eligible Employees, shall be eligible to participate in Offerings under the Plan. Notwithstanding the foregoing, the Board may provide in an Offering that Employees who are highly compensated Employees within the meaning of Section 423(b)(4)(D) of the Code shall not be eligible to participate.</w:t>
      </w:r>
    </w:p>
    <w:p>
      <w:pPr>
        <w:spacing w:after="0" w:line="171"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ights</w:t>
      </w:r>
      <w:r>
        <w:rPr>
          <w:rFonts w:ascii="Times New Roman" w:cs="Times New Roman" w:eastAsia="Times New Roman" w:hAnsi="Times New Roman"/>
          <w:sz w:val="18"/>
          <w:szCs w:val="18"/>
          <w:b w:val="1"/>
          <w:bCs w:val="1"/>
          <w:color w:val="auto"/>
        </w:rPr>
        <w:t>; P</w:t>
      </w:r>
      <w:r>
        <w:rPr>
          <w:rFonts w:ascii="Times New Roman" w:cs="Times New Roman" w:eastAsia="Times New Roman" w:hAnsi="Times New Roman"/>
          <w:sz w:val="12"/>
          <w:szCs w:val="12"/>
          <w:b w:val="1"/>
          <w:bCs w:val="1"/>
          <w:color w:val="auto"/>
        </w:rPr>
        <w:t>urchase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rice</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firstLine="757"/>
        <w:spacing w:after="0" w:line="258" w:lineRule="auto"/>
        <w:tabs>
          <w:tab w:leader="none" w:pos="1109" w:val="left"/>
        </w:tabs>
        <w:numPr>
          <w:ilvl w:val="1"/>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each Offering Date, each Eligible Employee, pursuant to an Offering made under the Plan, shall be granted a Purchase Right to purchase up to that number of shares of Common Stock purchasable either with a percentage or with a maximum dollar amount, as designated by the Board, but in either case not exceeding twenty percent (20%), of such Employee’s Earnings (as defined by the Board in each Offering) during the period that begins on the Offering Date (or such later date as the Board determines for a particular Offering) and ends on the date stated in the Offering, which date shall be no later than the end of the Offering.</w:t>
      </w:r>
    </w:p>
    <w:p>
      <w:pPr>
        <w:spacing w:after="0" w:line="183" w:lineRule="exact"/>
        <w:rPr>
          <w:rFonts w:ascii="Times New Roman" w:cs="Times New Roman" w:eastAsia="Times New Roman" w:hAnsi="Times New Roman"/>
          <w:sz w:val="18"/>
          <w:szCs w:val="18"/>
          <w:b w:val="1"/>
          <w:bCs w:val="1"/>
          <w:color w:val="auto"/>
        </w:rPr>
      </w:pPr>
    </w:p>
    <w:p>
      <w:pPr>
        <w:ind w:right="80" w:firstLine="757"/>
        <w:spacing w:after="0" w:line="282" w:lineRule="auto"/>
        <w:tabs>
          <w:tab w:leader="none" w:pos="1109" w:val="left"/>
        </w:tabs>
        <w:numPr>
          <w:ilvl w:val="1"/>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shall establish one (1) or more Purchase Dates during an Offering as of which Purchase Rights granted pursuant to that Offering shall be exercised and purchases of shares of Common Stock shall be carried out in accordance with such Offering.</w:t>
      </w:r>
    </w:p>
    <w:p>
      <w:pPr>
        <w:spacing w:after="0" w:line="161" w:lineRule="exact"/>
        <w:rPr>
          <w:rFonts w:ascii="Times New Roman" w:cs="Times New Roman" w:eastAsia="Times New Roman" w:hAnsi="Times New Roman"/>
          <w:sz w:val="18"/>
          <w:szCs w:val="18"/>
          <w:b w:val="1"/>
          <w:bCs w:val="1"/>
          <w:color w:val="auto"/>
        </w:rPr>
      </w:pPr>
    </w:p>
    <w:p>
      <w:pPr>
        <w:ind w:right="60" w:firstLine="757"/>
        <w:spacing w:after="0" w:line="273" w:lineRule="auto"/>
        <w:tabs>
          <w:tab w:leader="none" w:pos="1109" w:val="left"/>
        </w:tabs>
        <w:numPr>
          <w:ilvl w:val="1"/>
          <w:numId w:val="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In connection with each Offering made under the Plan, the Board may specify a maximum number of shares of Common Stock that may be purchased by any Participant on any Purchase Date during such Offering. In connection with each Offering made under the Plan, the Board may specify a maximum aggregate number of shares of Common Stock that may be purchased by all Participants pursuant to such Offering. In addition, in connection with each Offering that contains more than one Purchase Date, the Board may specify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allocation of the shares of Common Stock available shall be made in as nearly a uniform manner as shall be practicable and equitable.</w:t>
      </w:r>
    </w:p>
    <w:p>
      <w:pPr>
        <w:spacing w:after="0" w:line="17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5" w:name="page106"/>
    <w:bookmarkEnd w:id="105"/>
    <w:p>
      <w:pPr>
        <w:ind w:left="1120" w:hanging="363"/>
        <w:spacing w:after="0"/>
        <w:tabs>
          <w:tab w:leader="none" w:pos="1120" w:val="left"/>
        </w:tabs>
        <w:numPr>
          <w:ilvl w:val="1"/>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purchase price of shares of Common Stock acquired pursuant to Purchase Rights shall be not less than the lesser of:</w:t>
      </w:r>
    </w:p>
    <w:p>
      <w:pPr>
        <w:spacing w:after="0" w:line="225" w:lineRule="exact"/>
        <w:rPr>
          <w:rFonts w:ascii="Times New Roman" w:cs="Times New Roman" w:eastAsia="Times New Roman" w:hAnsi="Times New Roman"/>
          <w:sz w:val="18"/>
          <w:szCs w:val="18"/>
          <w:b w:val="1"/>
          <w:bCs w:val="1"/>
          <w:color w:val="auto"/>
        </w:rPr>
      </w:pPr>
    </w:p>
    <w:p>
      <w:pPr>
        <w:ind w:left="1860" w:hanging="355"/>
        <w:spacing w:after="0"/>
        <w:tabs>
          <w:tab w:leader="none" w:pos="1860" w:val="left"/>
        </w:tabs>
        <w:numPr>
          <w:ilvl w:val="2"/>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amount equal to eighty-five percent (85%) of the Fair Market Value of the shares of Common Stock on the Offering Date; or</w:t>
      </w:r>
    </w:p>
    <w:p>
      <w:pPr>
        <w:spacing w:after="0" w:line="225" w:lineRule="exact"/>
        <w:rPr>
          <w:rFonts w:ascii="Times New Roman" w:cs="Times New Roman" w:eastAsia="Times New Roman" w:hAnsi="Times New Roman"/>
          <w:sz w:val="18"/>
          <w:szCs w:val="18"/>
          <w:b w:val="1"/>
          <w:bCs w:val="1"/>
          <w:color w:val="auto"/>
        </w:rPr>
      </w:pPr>
    </w:p>
    <w:p>
      <w:pPr>
        <w:ind w:left="1860" w:hanging="355"/>
        <w:spacing w:after="0"/>
        <w:tabs>
          <w:tab w:leader="none" w:pos="1860" w:val="left"/>
        </w:tabs>
        <w:numPr>
          <w:ilvl w:val="2"/>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 amount equal to eighty-five percent (85%) of the Fair Market Value of the shares of Common Stock on the applicable</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Purchase Date.</w:t>
      </w:r>
    </w:p>
    <w:p>
      <w:pPr>
        <w:spacing w:after="0" w:line="202"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w:t>
      </w:r>
      <w:r>
        <w:rPr>
          <w:rFonts w:ascii="Times New Roman" w:cs="Times New Roman" w:eastAsia="Times New Roman" w:hAnsi="Times New Roman"/>
          <w:sz w:val="12"/>
          <w:szCs w:val="12"/>
          <w:b w:val="1"/>
          <w:bCs w:val="1"/>
          <w:color w:val="auto"/>
        </w:rPr>
        <w:t>articipation</w:t>
      </w:r>
      <w:r>
        <w:rPr>
          <w:rFonts w:ascii="Times New Roman" w:cs="Times New Roman" w:eastAsia="Times New Roman" w:hAnsi="Times New Roman"/>
          <w:sz w:val="18"/>
          <w:szCs w:val="18"/>
          <w:b w:val="1"/>
          <w:bCs w:val="1"/>
          <w:color w:val="auto"/>
        </w:rPr>
        <w:t>; W</w:t>
      </w:r>
      <w:r>
        <w:rPr>
          <w:rFonts w:ascii="Times New Roman" w:cs="Times New Roman" w:eastAsia="Times New Roman" w:hAnsi="Times New Roman"/>
          <w:sz w:val="12"/>
          <w:szCs w:val="12"/>
          <w:b w:val="1"/>
          <w:bCs w:val="1"/>
          <w:color w:val="auto"/>
        </w:rPr>
        <w:t>ithdrawal</w:t>
      </w:r>
      <w:r>
        <w:rPr>
          <w:rFonts w:ascii="Times New Roman" w:cs="Times New Roman" w:eastAsia="Times New Roman" w:hAnsi="Times New Roman"/>
          <w:sz w:val="18"/>
          <w:szCs w:val="18"/>
          <w:b w:val="1"/>
          <w:bCs w:val="1"/>
          <w:color w:val="auto"/>
        </w:rPr>
        <w:t>; T</w:t>
      </w:r>
      <w:r>
        <w:rPr>
          <w:rFonts w:ascii="Times New Roman" w:cs="Times New Roman" w:eastAsia="Times New Roman" w:hAnsi="Times New Roman"/>
          <w:sz w:val="12"/>
          <w:szCs w:val="12"/>
          <w:b w:val="1"/>
          <w:bCs w:val="1"/>
          <w:color w:val="auto"/>
        </w:rPr>
        <w:t>ermination</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right="20" w:firstLine="757"/>
        <w:spacing w:after="0" w:line="254" w:lineRule="auto"/>
        <w:tabs>
          <w:tab w:leader="none" w:pos="1109" w:val="left"/>
        </w:tabs>
        <w:numPr>
          <w:ilvl w:val="1"/>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Participant may elect to authorize payroll deductions pursuant to an Offering under the Plan by completing and delivering to the Company, within the time specified in the Offering, an enrollment form (in such form as the Company may provide). Each such enrollment form shall authorize an amount of Contributions expressed as a percentage of the submitting Participant’s Earnings (as defined in each Offering) during the Offering (not to exceed the maximum percentage specified by the Board). Each Participant’s Contributions shall remain the property of the Participant at all times prior to the purchase of Common Stock, but such Contributions may be commingled with the assets of the Company and used for general corporate purposes except where applicable law requires that Contributions be deposited with an independent third party. To the extent provided in the Offering, a Participant may begin making Contributions after the beginning of the Offering. To the extent provided in the Offering, a Participant may thereafter reduce (including to zero) or increase his or her Contributions. To the extent specifically provided in the Offering, in addition to making Contributions by payroll deductions, a Participant may make Contributions through the payment by cash or check prior to each Purchase Date of the Offering.</w:t>
      </w:r>
    </w:p>
    <w:p>
      <w:pPr>
        <w:spacing w:after="0" w:line="188" w:lineRule="exact"/>
        <w:rPr>
          <w:rFonts w:ascii="Times New Roman" w:cs="Times New Roman" w:eastAsia="Times New Roman" w:hAnsi="Times New Roman"/>
          <w:sz w:val="18"/>
          <w:szCs w:val="18"/>
          <w:b w:val="1"/>
          <w:bCs w:val="1"/>
          <w:color w:val="auto"/>
        </w:rPr>
      </w:pPr>
    </w:p>
    <w:p>
      <w:pPr>
        <w:ind w:right="60" w:firstLine="757"/>
        <w:spacing w:after="0" w:line="255" w:lineRule="auto"/>
        <w:tabs>
          <w:tab w:leader="none" w:pos="1109" w:val="left"/>
        </w:tabs>
        <w:numPr>
          <w:ilvl w:val="1"/>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During an Offering, a Participant may cease making Contributions and withdraw from the Offering by delivering to the Company a notice of withdrawal in such form as the Company may provide. Such withdrawal may be elected at any time prior to the end of the Offering, except as provided otherwise in the Offering. Upon such withdrawal from the Offering by a Participant, the Company shall distribute to such Participant all of his or her accumulated Contributions (reduced to the extent, if any, such Contributions have been used to acquire shares of Common Stock for the Participant) under the Offering, and such Participant’s Purchase Right in that Offering shall thereupon terminate. A Participant’s withdrawal from an Offering shall have no effect upon such Participant’s eligibility to participate in any other Offerings under the Plan, but such Participant shall be required to deliver a new enrollment form in order to participate in subsequent Offerings.</w:t>
      </w:r>
    </w:p>
    <w:p>
      <w:pPr>
        <w:spacing w:after="0" w:line="188" w:lineRule="exact"/>
        <w:rPr>
          <w:rFonts w:ascii="Times New Roman" w:cs="Times New Roman" w:eastAsia="Times New Roman" w:hAnsi="Times New Roman"/>
          <w:sz w:val="18"/>
          <w:szCs w:val="18"/>
          <w:b w:val="1"/>
          <w:bCs w:val="1"/>
          <w:color w:val="auto"/>
        </w:rPr>
      </w:pPr>
    </w:p>
    <w:p>
      <w:pPr>
        <w:ind w:firstLine="757"/>
        <w:spacing w:after="0" w:line="261" w:lineRule="auto"/>
        <w:tabs>
          <w:tab w:leader="none" w:pos="1109" w:val="left"/>
        </w:tabs>
        <w:numPr>
          <w:ilvl w:val="1"/>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Purchase Rights granted pursuant to any Offering under the Plan shall terminate immediately upon a Participant ceasing to be an Employee for any reason or for no reason (subject to any post-employment participation period required by law) or other lack of eligibility. The Company shall distribute to such terminated or otherwise ineligible Employee all of his or her accumulated Contributions (reduced to the extent, if any, such Contributions have been used to acquire shares of Common Stock for the terminated or otherwise ineligible Employee) under the Offering.</w:t>
      </w:r>
    </w:p>
    <w:p>
      <w:pPr>
        <w:spacing w:after="0" w:line="179" w:lineRule="exact"/>
        <w:rPr>
          <w:rFonts w:ascii="Times New Roman" w:cs="Times New Roman" w:eastAsia="Times New Roman" w:hAnsi="Times New Roman"/>
          <w:sz w:val="18"/>
          <w:szCs w:val="18"/>
          <w:b w:val="1"/>
          <w:bCs w:val="1"/>
          <w:color w:val="auto"/>
        </w:rPr>
      </w:pPr>
    </w:p>
    <w:p>
      <w:pPr>
        <w:ind w:right="440" w:firstLine="757"/>
        <w:spacing w:after="0" w:line="282" w:lineRule="auto"/>
        <w:tabs>
          <w:tab w:leader="none" w:pos="1109" w:val="left"/>
        </w:tabs>
        <w:numPr>
          <w:ilvl w:val="1"/>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Purchase Rights shall not be transferable by a Participant otherwise than by will, the laws of descent and distribution, or a beneficiary designation as provided in Section 13. During a Participant’s lifetime, Purchase Rights shall be exercisable only by such Participant.</w:t>
      </w:r>
    </w:p>
    <w:p>
      <w:pPr>
        <w:spacing w:after="0" w:line="161" w:lineRule="exact"/>
        <w:rPr>
          <w:rFonts w:ascii="Times New Roman" w:cs="Times New Roman" w:eastAsia="Times New Roman" w:hAnsi="Times New Roman"/>
          <w:sz w:val="18"/>
          <w:szCs w:val="18"/>
          <w:b w:val="1"/>
          <w:bCs w:val="1"/>
          <w:color w:val="auto"/>
        </w:rPr>
      </w:pPr>
    </w:p>
    <w:p>
      <w:pPr>
        <w:ind w:left="1120" w:hanging="363"/>
        <w:spacing w:after="0"/>
        <w:tabs>
          <w:tab w:leader="none" w:pos="1120" w:val="left"/>
        </w:tabs>
        <w:numPr>
          <w:ilvl w:val="1"/>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otherwise specified in an Offering, the Company shall have no obligation to pay interest on Contributions.</w:t>
      </w:r>
    </w:p>
    <w:p>
      <w:pPr>
        <w:spacing w:after="0" w:line="221"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xercise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right="220" w:firstLine="757"/>
        <w:spacing w:after="0" w:line="261" w:lineRule="auto"/>
        <w:tabs>
          <w:tab w:leader="none" w:pos="1109" w:val="left"/>
        </w:tabs>
        <w:numPr>
          <w:ilvl w:val="1"/>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 each Purchase Date during an Offering, each Participant’s accumulated Contributions shall be applied to the purchase of shares of Common Stock up to the maximum number of shares of Common Stock permitted pursuant to the terms of the Plan and the applicable Offering, at the purchase price specified in the Offering. No fractional shares shall be issued upon the exercise of Purchase Rights unless specifically provided for in the Offering.</w:t>
      </w:r>
    </w:p>
    <w:p>
      <w:pPr>
        <w:spacing w:after="0" w:line="179" w:lineRule="exact"/>
        <w:rPr>
          <w:rFonts w:ascii="Times New Roman" w:cs="Times New Roman" w:eastAsia="Times New Roman" w:hAnsi="Times New Roman"/>
          <w:sz w:val="18"/>
          <w:szCs w:val="18"/>
          <w:b w:val="1"/>
          <w:bCs w:val="1"/>
          <w:color w:val="auto"/>
        </w:rPr>
      </w:pPr>
    </w:p>
    <w:p>
      <w:pPr>
        <w:ind w:firstLine="757"/>
        <w:spacing w:after="0" w:line="255" w:lineRule="auto"/>
        <w:tabs>
          <w:tab w:leader="none" w:pos="1109" w:val="left"/>
        </w:tabs>
        <w:numPr>
          <w:ilvl w:val="1"/>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amount of accumulated Contributions remains in a Participant’s account after the purchase of shares of Common Stock and such remaining amount is less than the amount required to purchase one share of Common Stock on the final Purchase Date of an Offering, then such remaining amount shall be held in such Participant’s account for the purchase of shares of Common Stock under the next Offering under the Plan, unless such Participant withdraws from such next Offering, as provided in Section 8(b), or is not eligible to participate in such Offering, as provided in Section 6, in which case such amount shall be distributed to such Participant after the final Purchase Date, without interest. If the amount of Contributions remaining in a Participant’s account after the purchase of shares of Common Stock is at least equal to the amount required to purchase one (1) whole share of Common Stock on the final Purchase Date of the Offering, then such remaining amount shall be distributed in full to such Participant at the end of the Offering.</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06" w:name="page107"/>
    <w:bookmarkEnd w:id="106"/>
    <w:p>
      <w:pPr>
        <w:ind w:right="120" w:firstLine="757"/>
        <w:spacing w:after="0" w:line="254" w:lineRule="auto"/>
        <w:tabs>
          <w:tab w:leader="none" w:pos="1109" w:val="left"/>
        </w:tabs>
        <w:numPr>
          <w:ilvl w:val="1"/>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Purchase Rights may be exercised to any extent unless the shares of Common Stock to be issued upon such exercise under the Plan are covered by an effective registration statement pursuant to the Securities Act and the Plan is in material compliance with all laws applicable to the Plan. If on a Purchase Date during any Offering hereunder the shares of Common Stock are not so registered or the Plan is not in such compliance, no Purchase Rights or any Offering shall be exercised on such Purchase Date, and the Purchase Date shall be delayed until the shares of Common Stock are subject to such an effective registration statement and the Plan is in such compliance, except that the Purchase Date shall not be delayed more than twelve (12) months and the Purchase Date shall in no event be more than twenty-seven (27) months from the Offering Date. If, on the Purchase Date under any Offering hereunder, as delayed to the maximum extent permissible, the shares of Common Stock are not registered and the Plan is not in such compliance, no Purchase Rights or any Offering shall be exercised and all Contributions accumulated during the Offering (reduced to the extent, if any, such Contributions have been used to acquire shares of Common Stock) shall be distributed to the Participants.</w:t>
      </w:r>
    </w:p>
    <w:p>
      <w:pPr>
        <w:spacing w:after="0" w:line="184"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ovenants of the</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ompany</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Company shall seek to obtain from each federal, state, foreign or other regulatory commission or agency having jurisdiction over the Plan such authority as may be required to issue and sell shares of Common Stock upon exercise of the Purchase Rights. If, after commercially reasonable efforts, the Company is unable to obtain from any such regulatory commission or agency the authority that counsel for the Company deems necessary for the lawful issuance and sale of shares of Common Stock under the Plan, the Company shall be relieved from any liability for failure to issue and sell shares of Common Stock upon exercise of such Purchase Rights unless and until such authority is obtained.</w:t>
      </w:r>
    </w:p>
    <w:p>
      <w:pPr>
        <w:spacing w:after="0" w:line="179" w:lineRule="exact"/>
        <w:rPr>
          <w:sz w:val="20"/>
          <w:szCs w:val="20"/>
          <w:color w:val="auto"/>
        </w:rPr>
      </w:pPr>
    </w:p>
    <w:p>
      <w:pPr>
        <w:ind w:left="360" w:hanging="352"/>
        <w:spacing w:after="0"/>
        <w:tabs>
          <w:tab w:leader="none" w:pos="36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w:t>
      </w:r>
      <w:r>
        <w:rPr>
          <w:rFonts w:ascii="Times New Roman" w:cs="Times New Roman" w:eastAsia="Times New Roman" w:hAnsi="Times New Roman"/>
          <w:sz w:val="12"/>
          <w:szCs w:val="12"/>
          <w:b w:val="1"/>
          <w:bCs w:val="1"/>
          <w:color w:val="auto"/>
        </w:rPr>
        <w:t>se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roceeds</w:t>
      </w:r>
      <w:r>
        <w:rPr>
          <w:rFonts w:ascii="Times New Roman" w:cs="Times New Roman" w:eastAsia="Times New Roman" w:hAnsi="Times New Roman"/>
          <w:sz w:val="18"/>
          <w:szCs w:val="18"/>
          <w:b w:val="1"/>
          <w:bCs w:val="1"/>
          <w:color w:val="auto"/>
        </w:rPr>
        <w:t xml:space="preserve"> F</w:t>
      </w:r>
      <w:r>
        <w:rPr>
          <w:rFonts w:ascii="Times New Roman" w:cs="Times New Roman" w:eastAsia="Times New Roman" w:hAnsi="Times New Roman"/>
          <w:sz w:val="12"/>
          <w:szCs w:val="12"/>
          <w:b w:val="1"/>
          <w:bCs w:val="1"/>
          <w:color w:val="auto"/>
        </w:rPr>
        <w:t>rom</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hares of</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ommon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Proceeds from the sale of shares of Common Stock pursuant to Purchase Rights shall constitute general funds of the Company.</w:t>
      </w:r>
    </w:p>
    <w:p>
      <w:pPr>
        <w:spacing w:after="0" w:line="221" w:lineRule="exact"/>
        <w:rPr>
          <w:sz w:val="20"/>
          <w:szCs w:val="20"/>
          <w:color w:val="auto"/>
        </w:rPr>
      </w:pPr>
    </w:p>
    <w:p>
      <w:pPr>
        <w:ind w:left="360" w:hanging="352"/>
        <w:spacing w:after="0"/>
        <w:tabs>
          <w:tab w:leader="none" w:pos="360" w:val="left"/>
        </w:tabs>
        <w:numPr>
          <w:ilvl w:val="0"/>
          <w:numId w:val="1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w:t>
      </w:r>
      <w:r>
        <w:rPr>
          <w:rFonts w:ascii="Times New Roman" w:cs="Times New Roman" w:eastAsia="Times New Roman" w:hAnsi="Times New Roman"/>
          <w:sz w:val="12"/>
          <w:szCs w:val="12"/>
          <w:b w:val="1"/>
          <w:bCs w:val="1"/>
          <w:color w:val="auto"/>
        </w:rPr>
        <w:t>ights as a</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tockholder</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A Participant shall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w:t>
      </w:r>
    </w:p>
    <w:p>
      <w:pPr>
        <w:spacing w:after="0" w:line="172" w:lineRule="exact"/>
        <w:rPr>
          <w:sz w:val="20"/>
          <w:szCs w:val="20"/>
          <w:color w:val="auto"/>
        </w:rPr>
      </w:pPr>
    </w:p>
    <w:p>
      <w:pPr>
        <w:ind w:left="360" w:hanging="352"/>
        <w:spacing w:after="0"/>
        <w:tabs>
          <w:tab w:leader="none" w:pos="36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w:t>
      </w:r>
      <w:r>
        <w:rPr>
          <w:rFonts w:ascii="Times New Roman" w:cs="Times New Roman" w:eastAsia="Times New Roman" w:hAnsi="Times New Roman"/>
          <w:sz w:val="12"/>
          <w:szCs w:val="12"/>
          <w:b w:val="1"/>
          <w:bCs w:val="1"/>
          <w:color w:val="auto"/>
        </w:rPr>
        <w:t>esignation of</w:t>
      </w:r>
      <w:r>
        <w:rPr>
          <w:rFonts w:ascii="Times New Roman" w:cs="Times New Roman" w:eastAsia="Times New Roman" w:hAnsi="Times New Roman"/>
          <w:sz w:val="18"/>
          <w:szCs w:val="18"/>
          <w:b w:val="1"/>
          <w:bCs w:val="1"/>
          <w:color w:val="auto"/>
        </w:rPr>
        <w:t xml:space="preserve"> B</w:t>
      </w:r>
      <w:r>
        <w:rPr>
          <w:rFonts w:ascii="Times New Roman" w:cs="Times New Roman" w:eastAsia="Times New Roman" w:hAnsi="Times New Roman"/>
          <w:sz w:val="12"/>
          <w:szCs w:val="12"/>
          <w:b w:val="1"/>
          <w:bCs w:val="1"/>
          <w:color w:val="auto"/>
        </w:rPr>
        <w:t>eneficiary</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right="180" w:firstLine="757"/>
        <w:spacing w:after="0" w:line="258" w:lineRule="auto"/>
        <w:tabs>
          <w:tab w:leader="none" w:pos="1109" w:val="left"/>
        </w:tabs>
        <w:numPr>
          <w:ilvl w:val="1"/>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Participant may file a written designation of a beneficiary who is to receive any shares of Common Stock and/or cash, if any, from the Participant’s account under the Plan in the event of such Participant’s death subsequent to the end of an Offering but prior to delivery to the Participant of such shares of Common Stock or cash. In addition, a Participant may file a written designation of a beneficiary who is to receive any cash from the Participant’s account under the Plan in the event of such Participant’s death during an Offering. Any such designation shall be on a form provided by or otherwise acceptable to the Company.</w:t>
      </w:r>
    </w:p>
    <w:p>
      <w:pPr>
        <w:spacing w:after="0" w:line="183" w:lineRule="exact"/>
        <w:rPr>
          <w:rFonts w:ascii="Times New Roman" w:cs="Times New Roman" w:eastAsia="Times New Roman" w:hAnsi="Times New Roman"/>
          <w:sz w:val="18"/>
          <w:szCs w:val="18"/>
          <w:b w:val="1"/>
          <w:bCs w:val="1"/>
          <w:color w:val="auto"/>
        </w:rPr>
      </w:pPr>
    </w:p>
    <w:p>
      <w:pPr>
        <w:ind w:right="140" w:firstLine="757"/>
        <w:spacing w:after="0" w:line="256" w:lineRule="auto"/>
        <w:tabs>
          <w:tab w:leader="none" w:pos="1109" w:val="left"/>
        </w:tabs>
        <w:numPr>
          <w:ilvl w:val="1"/>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Participant may change such designation of beneficiary at any time by written notice to the Company. In the event of the death of a Participant and in the absence of a beneficiary validly designated under the Plan who is living at the time of such Participant’s death, the Company shall deliver such shares of Common Stock and/or cash to the executor or administrator of the estate of the Participant, or if no such executor or administrator has been appointed (to the knowledge of the Company), the Company, in its sole discretion, may deliver such shares of Common Stock and/or cash to the spouse or to any one or more dependents or relatives of the Participant, or if no spouse, dependent or relative is known to the Company, then to such other person as the Company may designate.</w:t>
      </w:r>
    </w:p>
    <w:p>
      <w:pPr>
        <w:spacing w:after="0" w:line="183"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djustments</w:t>
      </w:r>
      <w:r>
        <w:rPr>
          <w:rFonts w:ascii="Times New Roman" w:cs="Times New Roman" w:eastAsia="Times New Roman" w:hAnsi="Times New Roman"/>
          <w:sz w:val="18"/>
          <w:szCs w:val="18"/>
          <w:b w:val="1"/>
          <w:bCs w:val="1"/>
          <w:color w:val="auto"/>
        </w:rPr>
        <w:t xml:space="preserve"> U</w:t>
      </w:r>
      <w:r>
        <w:rPr>
          <w:rFonts w:ascii="Times New Roman" w:cs="Times New Roman" w:eastAsia="Times New Roman" w:hAnsi="Times New Roman"/>
          <w:sz w:val="12"/>
          <w:szCs w:val="12"/>
          <w:b w:val="1"/>
          <w:bCs w:val="1"/>
          <w:color w:val="auto"/>
        </w:rPr>
        <w:t>pon</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hanges in</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ecurities</w:t>
      </w:r>
      <w:r>
        <w:rPr>
          <w:rFonts w:ascii="Times New Roman" w:cs="Times New Roman" w:eastAsia="Times New Roman" w:hAnsi="Times New Roman"/>
          <w:sz w:val="18"/>
          <w:szCs w:val="18"/>
          <w:b w:val="1"/>
          <w:bCs w:val="1"/>
          <w:color w:val="auto"/>
        </w:rPr>
        <w:t>; C</w:t>
      </w:r>
      <w:r>
        <w:rPr>
          <w:rFonts w:ascii="Times New Roman" w:cs="Times New Roman" w:eastAsia="Times New Roman" w:hAnsi="Times New Roman"/>
          <w:sz w:val="12"/>
          <w:szCs w:val="12"/>
          <w:b w:val="1"/>
          <w:bCs w:val="1"/>
          <w:color w:val="auto"/>
        </w:rPr>
        <w:t>orporate</w:t>
      </w:r>
      <w:r>
        <w:rPr>
          <w:rFonts w:ascii="Times New Roman" w:cs="Times New Roman" w:eastAsia="Times New Roman" w:hAnsi="Times New Roman"/>
          <w:sz w:val="18"/>
          <w:szCs w:val="18"/>
          <w:b w:val="1"/>
          <w:bCs w:val="1"/>
          <w:color w:val="auto"/>
        </w:rPr>
        <w:t xml:space="preserve"> T</w:t>
      </w:r>
      <w:r>
        <w:rPr>
          <w:rFonts w:ascii="Times New Roman" w:cs="Times New Roman" w:eastAsia="Times New Roman" w:hAnsi="Times New Roman"/>
          <w:sz w:val="12"/>
          <w:szCs w:val="12"/>
          <w:b w:val="1"/>
          <w:bCs w:val="1"/>
          <w:color w:val="auto"/>
        </w:rPr>
        <w:t>ransactions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right="20" w:firstLine="757"/>
        <w:spacing w:after="0" w:line="254" w:lineRule="auto"/>
        <w:tabs>
          <w:tab w:leader="none" w:pos="1109" w:val="left"/>
        </w:tabs>
        <w:numPr>
          <w:ilvl w:val="1"/>
          <w:numId w:val="1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any change is made in the shares of Common Stock, subject to the Plan, or subject to any Purchase Right, without the receipt of consideration by the Company (through merger, consolidation, reorganization, recapitalization, reincorporation, stock dividend, dividend in property other than cash, stock split, liquidating dividend, combination of shares, exchange of shares, change in corporate structure or other transaction not involving the receipt of consideration by the Company), the Plan shall be appropriately adjusted in the type(s), class(es) and maximum number of shares of Common Stock subject to the Plan pursuant to Section 4(a), and the outstanding Purchase Rights shall be appropriately adjusted in the type(s), class(es), number of shares and purchase limits of such outstanding Purchase Rights. The Board shall make such adjustments, and its determination shall be final, binding and conclusive. (Notwithstanding the foregoing, the conversion of any convertible securities of the Company shall not be treated as a “transaction not involving the receipt of consideration by the Company.”)</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ind w:right="340" w:firstLine="757"/>
        <w:spacing w:after="0" w:line="256" w:lineRule="auto"/>
        <w:tabs>
          <w:tab w:leader="none" w:pos="1109" w:val="left"/>
        </w:tabs>
        <w:numPr>
          <w:ilvl w:val="1"/>
          <w:numId w:val="1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of a Corporate Transaction, then: (i) any surviving or acquiring corporation may continue or assume Purchase Rights outstanding under the Plan or may substitute similar rights (including a right to acquire the same consideration paid to stockholders in the Corporate Transaction) for those outstanding under the Plan, or (ii) if any surviving or acquiring corporation does not continue or assume such Purchase Rights or does not substitute similar rights for Purchase Rights outstanding under the Plan, then, the Participants’ accumulated Contributions shall be used to purchase shares of Common Stock within ten (10) business days prior to the Corporate Transaction under the ongoing Offering, and the Participants’ Purchase Rights under the ongoing Offering shall terminate immediately after such purchase.</w:t>
      </w:r>
    </w:p>
    <w:p>
      <w:pPr>
        <w:spacing w:after="0" w:line="183"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mendment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right="40" w:firstLine="757"/>
        <w:spacing w:after="0" w:line="258" w:lineRule="auto"/>
        <w:tabs>
          <w:tab w:leader="none" w:pos="1109" w:val="left"/>
        </w:tabs>
        <w:numPr>
          <w:ilvl w:val="1"/>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at any time, and from time to time, may amend the Plan. However, except as provided in Section 14 relating to adjustments upon changes in securities and except as to amendments solely to benefit the administration of the Plan, to take account of a change in legislation or to obtain or maintain favorable tax, exchange control or regulatory treatment for Participants or the Company or any Related Corporation, no amendment shall be effective unless approved by the stockholders of the Company to the extent stockholder approval is necessary for the Plan to satisfy the requirements of Section 423 of the Code or other applicable laws or regulations.</w:t>
      </w:r>
    </w:p>
    <w:p>
      <w:pPr>
        <w:spacing w:after="0" w:line="183" w:lineRule="exact"/>
        <w:rPr>
          <w:rFonts w:ascii="Times New Roman" w:cs="Times New Roman" w:eastAsia="Times New Roman" w:hAnsi="Times New Roman"/>
          <w:sz w:val="18"/>
          <w:szCs w:val="18"/>
          <w:b w:val="1"/>
          <w:bCs w:val="1"/>
          <w:color w:val="auto"/>
        </w:rPr>
      </w:pPr>
    </w:p>
    <w:p>
      <w:pPr>
        <w:ind w:right="80" w:firstLine="757"/>
        <w:spacing w:after="0" w:line="266" w:lineRule="auto"/>
        <w:tabs>
          <w:tab w:leader="none" w:pos="1109" w:val="left"/>
        </w:tabs>
        <w:numPr>
          <w:ilvl w:val="1"/>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is expressly contemplated that the Board may amend the Plan in any respect the Board deems necessary or advisable to provide Employees with the maximum benefits provided or to be provided under the provisions of the Code and the regulations promulgated thereunder relating to Employee Stock Purchase Plans or to bring the Plan and/or Purchase Rights into compliance therewith.</w:t>
      </w:r>
    </w:p>
    <w:p>
      <w:pPr>
        <w:spacing w:after="0" w:line="175" w:lineRule="exact"/>
        <w:rPr>
          <w:rFonts w:ascii="Times New Roman" w:cs="Times New Roman" w:eastAsia="Times New Roman" w:hAnsi="Times New Roman"/>
          <w:sz w:val="18"/>
          <w:szCs w:val="18"/>
          <w:b w:val="1"/>
          <w:bCs w:val="1"/>
          <w:color w:val="auto"/>
        </w:rPr>
      </w:pPr>
    </w:p>
    <w:p>
      <w:pPr>
        <w:ind w:right="40" w:firstLine="757"/>
        <w:spacing w:after="0" w:line="261" w:lineRule="auto"/>
        <w:tabs>
          <w:tab w:leader="none" w:pos="1109" w:val="left"/>
        </w:tabs>
        <w:numPr>
          <w:ilvl w:val="1"/>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rights and obligations under any Purchase Rights granted before amendment of the Plan shall not be impaired by any amendment of the Plan except: (i) with the consent of the person to whom such Purchase Rights were granted, or (ii) as necessary to comply with any laws or governmental regulations (including, without limitation, the provisions of the Code and the regulations promulgated thereunder relating to Employee Stock Purchase Plans).</w:t>
      </w:r>
    </w:p>
    <w:p>
      <w:pPr>
        <w:spacing w:after="0" w:line="175"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w:t>
      </w:r>
      <w:r>
        <w:rPr>
          <w:rFonts w:ascii="Times New Roman" w:cs="Times New Roman" w:eastAsia="Times New Roman" w:hAnsi="Times New Roman"/>
          <w:sz w:val="12"/>
          <w:szCs w:val="12"/>
          <w:b w:val="1"/>
          <w:bCs w:val="1"/>
          <w:color w:val="auto"/>
        </w:rPr>
        <w:t>ermination or</w:t>
      </w:r>
      <w:r>
        <w:rPr>
          <w:rFonts w:ascii="Times New Roman" w:cs="Times New Roman" w:eastAsia="Times New Roman" w:hAnsi="Times New Roman"/>
          <w:sz w:val="18"/>
          <w:szCs w:val="18"/>
          <w:b w:val="1"/>
          <w:bCs w:val="1"/>
          <w:color w:val="auto"/>
        </w:rPr>
        <w:t xml:space="preserve"> S</w:t>
      </w:r>
      <w:r>
        <w:rPr>
          <w:rFonts w:ascii="Times New Roman" w:cs="Times New Roman" w:eastAsia="Times New Roman" w:hAnsi="Times New Roman"/>
          <w:sz w:val="12"/>
          <w:szCs w:val="12"/>
          <w:b w:val="1"/>
          <w:bCs w:val="1"/>
          <w:color w:val="auto"/>
        </w:rPr>
        <w:t>uspension of the</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firstLine="757"/>
        <w:spacing w:after="0" w:line="266" w:lineRule="auto"/>
        <w:tabs>
          <w:tab w:leader="none" w:pos="1109" w:val="left"/>
        </w:tabs>
        <w:numPr>
          <w:ilvl w:val="1"/>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in its discretion may suspend or terminate the Plan at any time. Unless sooner terminated, the Plan shall terminate at the time that all of the shares of Common Stock reserved for issuance under the Plan, as increased and/or adjusted from time to time, have been issued under the terms of the Plan. No Purchase Rights may be granted under the Plan while the Plan is suspended or after it is terminated.</w:t>
      </w:r>
    </w:p>
    <w:p>
      <w:pPr>
        <w:spacing w:after="0" w:line="175" w:lineRule="exact"/>
        <w:rPr>
          <w:rFonts w:ascii="Times New Roman" w:cs="Times New Roman" w:eastAsia="Times New Roman" w:hAnsi="Times New Roman"/>
          <w:sz w:val="18"/>
          <w:szCs w:val="18"/>
          <w:b w:val="1"/>
          <w:bCs w:val="1"/>
          <w:color w:val="auto"/>
        </w:rPr>
      </w:pPr>
    </w:p>
    <w:p>
      <w:pPr>
        <w:ind w:right="160" w:firstLine="757"/>
        <w:spacing w:after="0" w:line="261" w:lineRule="auto"/>
        <w:tabs>
          <w:tab w:leader="none" w:pos="1109" w:val="left"/>
        </w:tabs>
        <w:numPr>
          <w:ilvl w:val="1"/>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benefits, privileges, entitlements and obligations under any Purchase Rights while the Plan is in effect shall not be impaired by suspension or termination of the Plan except (i) as expressly provided in the Plan or with the consent of the person to whom such Purchase Rights were granted, (ii) as necessary to comply with any laws, regulations, or listing requirements, or (iii) as necessary to ensure that the Plan and/or Purchase Rights comply with the requirements of Section 423 of the Code.</w:t>
      </w:r>
    </w:p>
    <w:p>
      <w:pPr>
        <w:spacing w:after="0" w:line="175" w:lineRule="exact"/>
        <w:rPr>
          <w:rFonts w:ascii="Times New Roman" w:cs="Times New Roman" w:eastAsia="Times New Roman" w:hAnsi="Times New Roman"/>
          <w:sz w:val="18"/>
          <w:szCs w:val="18"/>
          <w:b w:val="1"/>
          <w:bCs w:val="1"/>
          <w:color w:val="auto"/>
        </w:rPr>
      </w:pPr>
    </w:p>
    <w:p>
      <w:pPr>
        <w:ind w:left="360" w:hanging="352"/>
        <w:spacing w:after="0"/>
        <w:tabs>
          <w:tab w:leader="none" w:pos="36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2"/>
          <w:szCs w:val="12"/>
          <w:b w:val="1"/>
          <w:bCs w:val="1"/>
          <w:color w:val="auto"/>
        </w:rPr>
        <w:t>ffective</w:t>
      </w:r>
      <w:r>
        <w:rPr>
          <w:rFonts w:ascii="Times New Roman" w:cs="Times New Roman" w:eastAsia="Times New Roman" w:hAnsi="Times New Roman"/>
          <w:sz w:val="18"/>
          <w:szCs w:val="18"/>
          <w:b w:val="1"/>
          <w:bCs w:val="1"/>
          <w:color w:val="auto"/>
        </w:rPr>
        <w:t xml:space="preserve"> D</w:t>
      </w:r>
      <w:r>
        <w:rPr>
          <w:rFonts w:ascii="Times New Roman" w:cs="Times New Roman" w:eastAsia="Times New Roman" w:hAnsi="Times New Roman"/>
          <w:sz w:val="12"/>
          <w:szCs w:val="12"/>
          <w:b w:val="1"/>
          <w:bCs w:val="1"/>
          <w:color w:val="auto"/>
        </w:rPr>
        <w:t>ate of</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lan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right="600" w:firstLine="749"/>
        <w:spacing w:after="0" w:line="282" w:lineRule="auto"/>
        <w:rPr>
          <w:sz w:val="20"/>
          <w:szCs w:val="20"/>
          <w:color w:val="auto"/>
        </w:rPr>
      </w:pPr>
      <w:r>
        <w:rPr>
          <w:rFonts w:ascii="Times New Roman" w:cs="Times New Roman" w:eastAsia="Times New Roman" w:hAnsi="Times New Roman"/>
          <w:sz w:val="18"/>
          <w:szCs w:val="18"/>
          <w:color w:val="auto"/>
        </w:rPr>
        <w:t>The Plan shall become effective as determined by the Board, but no Purchase Rights shall be exercised unless and until the Plan has been approved by the stockholders of the Company within twelve (12) months before or after the date the Plan is adopted by the Board.</w:t>
      </w:r>
    </w:p>
    <w:p>
      <w:pPr>
        <w:spacing w:after="0" w:line="158" w:lineRule="exact"/>
        <w:rPr>
          <w:sz w:val="20"/>
          <w:szCs w:val="20"/>
          <w:color w:val="auto"/>
        </w:rPr>
      </w:pPr>
    </w:p>
    <w:p>
      <w:pPr>
        <w:ind w:left="360" w:hanging="352"/>
        <w:spacing w:after="0"/>
        <w:tabs>
          <w:tab w:leader="none" w:pos="36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w:t>
      </w:r>
      <w:r>
        <w:rPr>
          <w:rFonts w:ascii="Times New Roman" w:cs="Times New Roman" w:eastAsia="Times New Roman" w:hAnsi="Times New Roman"/>
          <w:sz w:val="12"/>
          <w:szCs w:val="12"/>
          <w:b w:val="1"/>
          <w:bCs w:val="1"/>
          <w:color w:val="auto"/>
        </w:rPr>
        <w:t>iscellaneous</w:t>
      </w:r>
      <w:r>
        <w:rPr>
          <w:rFonts w:ascii="Times New Roman" w:cs="Times New Roman" w:eastAsia="Times New Roman" w:hAnsi="Times New Roman"/>
          <w:sz w:val="18"/>
          <w:szCs w:val="18"/>
          <w:b w:val="1"/>
          <w:bCs w:val="1"/>
          <w:color w:val="auto"/>
        </w:rPr>
        <w:t xml:space="preserve"> P</w:t>
      </w:r>
      <w:r>
        <w:rPr>
          <w:rFonts w:ascii="Times New Roman" w:cs="Times New Roman" w:eastAsia="Times New Roman" w:hAnsi="Times New Roman"/>
          <w:sz w:val="12"/>
          <w:szCs w:val="12"/>
          <w:b w:val="1"/>
          <w:bCs w:val="1"/>
          <w:color w:val="auto"/>
        </w:rPr>
        <w:t>rovisions</w:t>
      </w:r>
      <w:r>
        <w:rPr>
          <w:rFonts w:ascii="Times New Roman" w:cs="Times New Roman" w:eastAsia="Times New Roman" w:hAnsi="Times New Roman"/>
          <w:sz w:val="18"/>
          <w:szCs w:val="18"/>
          <w:b w:val="1"/>
          <w:bCs w:val="1"/>
          <w:color w:val="auto"/>
        </w:rPr>
        <w:t>.</w:t>
      </w:r>
    </w:p>
    <w:p>
      <w:pPr>
        <w:spacing w:after="0" w:line="229" w:lineRule="exact"/>
        <w:rPr>
          <w:rFonts w:ascii="Times New Roman" w:cs="Times New Roman" w:eastAsia="Times New Roman" w:hAnsi="Times New Roman"/>
          <w:sz w:val="18"/>
          <w:szCs w:val="18"/>
          <w:b w:val="1"/>
          <w:bCs w:val="1"/>
          <w:color w:val="auto"/>
        </w:rPr>
      </w:pPr>
    </w:p>
    <w:p>
      <w:pPr>
        <w:ind w:right="100" w:firstLine="757"/>
        <w:spacing w:after="0" w:line="266" w:lineRule="auto"/>
        <w:tabs>
          <w:tab w:leader="none" w:pos="1109" w:val="left"/>
        </w:tabs>
        <w:numPr>
          <w:ilvl w:val="1"/>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and Offering do not constitute an employment contract. Nothing in the Plan or in the Offering shall in any way alter the at will nature of a Participant’s employment or be deemed to create in any way whatsoever any obligation on the part of any Participant to continue in the employ of the Company or a Related Corporation, or on the part of the Company or a Related Corporation to continue the employment of a Participant.</w:t>
      </w:r>
    </w:p>
    <w:p>
      <w:pPr>
        <w:spacing w:after="0" w:line="175" w:lineRule="exact"/>
        <w:rPr>
          <w:rFonts w:ascii="Times New Roman" w:cs="Times New Roman" w:eastAsia="Times New Roman" w:hAnsi="Times New Roman"/>
          <w:sz w:val="18"/>
          <w:szCs w:val="18"/>
          <w:b w:val="1"/>
          <w:bCs w:val="1"/>
          <w:color w:val="auto"/>
        </w:rPr>
      </w:pPr>
    </w:p>
    <w:p>
      <w:pPr>
        <w:ind w:left="1120" w:hanging="363"/>
        <w:spacing w:after="0"/>
        <w:tabs>
          <w:tab w:leader="none" w:pos="1120" w:val="left"/>
        </w:tabs>
        <w:numPr>
          <w:ilvl w:val="1"/>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provisions of the Plan shall be governed by the laws of the State of California without resort to that state’s conflicts of laws rules.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371475</wp:posOffset>
            </wp:positionV>
            <wp:extent cx="7157720" cy="72910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72910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226060</wp:posOffset>
            </wp:positionV>
            <wp:extent cx="7157720" cy="72396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7239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F9C13C"/>
    <w:multiLevelType w:val="hybridMultilevel"/>
    <w:lvl w:ilvl="0">
      <w:lvlJc w:val="left"/>
      <w:lvlText w:val="☒"/>
      <w:numFmt w:val="bullet"/>
      <w:start w:val="1"/>
    </w:lvl>
    <w:lvl w:ilvl="1">
      <w:lvlJc w:val="left"/>
      <w:lvlText w:val="☐"/>
      <w:numFmt w:val="bullet"/>
      <w:start w:val="1"/>
    </w:lvl>
  </w:abstractNum>
  <w:abstractNum w:abstractNumId="1">
    <w:nsid w:val="649BB77C"/>
    <w:multiLevelType w:val="hybridMultilevel"/>
    <w:lvl w:ilvl="0">
      <w:lvlJc w:val="left"/>
      <w:lvlText w:val="☒"/>
      <w:numFmt w:val="bullet"/>
      <w:start w:val="1"/>
    </w:lvl>
  </w:abstractNum>
  <w:abstractNum w:abstractNumId="2">
    <w:nsid w:val="275AC794"/>
    <w:multiLevelType w:val="hybridMultilevel"/>
    <w:lvl w:ilvl="0">
      <w:lvlJc w:val="left"/>
      <w:lvlText w:val="☐"/>
      <w:numFmt w:val="bullet"/>
      <w:start w:val="1"/>
    </w:lvl>
  </w:abstractNum>
  <w:abstractNum w:abstractNumId="3">
    <w:nsid w:val="39386575"/>
    <w:multiLevelType w:val="hybridMultilevel"/>
    <w:lvl w:ilvl="0">
      <w:lvlJc w:val="left"/>
      <w:lvlText w:val="%1."/>
      <w:numFmt w:val="decimal"/>
      <w:start w:val="1"/>
    </w:lvl>
  </w:abstractNum>
  <w:abstractNum w:abstractNumId="4">
    <w:nsid w:val="1CF10FD8"/>
    <w:multiLevelType w:val="hybridMultilevel"/>
    <w:lvl w:ilvl="0">
      <w:lvlJc w:val="left"/>
      <w:lvlText w:val="&amp;"/>
      <w:numFmt w:val="bullet"/>
      <w:start w:val="1"/>
    </w:lvl>
  </w:abstractNum>
  <w:abstractNum w:abstractNumId="5">
    <w:nsid w:val="180115BE"/>
    <w:multiLevelType w:val="hybridMultilevel"/>
    <w:lvl w:ilvl="0">
      <w:lvlJc w:val="left"/>
      <w:lvlText w:val="•"/>
      <w:numFmt w:val="bullet"/>
      <w:start w:val="1"/>
    </w:lvl>
  </w:abstractNum>
  <w:abstractNum w:abstractNumId="6">
    <w:nsid w:val="235BA861"/>
    <w:multiLevelType w:val="hybridMultilevel"/>
    <w:lvl w:ilvl="0">
      <w:lvlJc w:val="left"/>
      <w:lvlText w:val="•"/>
      <w:numFmt w:val="bullet"/>
      <w:start w:val="1"/>
    </w:lvl>
  </w:abstractNum>
  <w:abstractNum w:abstractNumId="7">
    <w:nsid w:val="47398C89"/>
    <w:multiLevelType w:val="hybridMultilevel"/>
    <w:lvl w:ilvl="0">
      <w:lvlJc w:val="left"/>
      <w:lvlText w:val="•"/>
      <w:numFmt w:val="bullet"/>
      <w:start w:val="1"/>
    </w:lvl>
  </w:abstractNum>
  <w:abstractNum w:abstractNumId="8">
    <w:nsid w:val="354FE9F9"/>
    <w:multiLevelType w:val="hybridMultilevel"/>
    <w:lvl w:ilvl="0">
      <w:lvlJc w:val="left"/>
      <w:lvlText w:val="•"/>
      <w:numFmt w:val="bullet"/>
      <w:start w:val="1"/>
    </w:lvl>
  </w:abstractNum>
  <w:abstractNum w:abstractNumId="9">
    <w:nsid w:val="15B5AF5C"/>
    <w:multiLevelType w:val="hybridMultilevel"/>
    <w:lvl w:ilvl="0">
      <w:lvlJc w:val="left"/>
      <w:lvlText w:val="•"/>
      <w:numFmt w:val="bullet"/>
      <w:start w:val="1"/>
    </w:lvl>
  </w:abstractNum>
  <w:abstractNum w:abstractNumId="10">
    <w:nsid w:val="741226BB"/>
    <w:multiLevelType w:val="hybridMultilevel"/>
    <w:lvl w:ilvl="0">
      <w:lvlJc w:val="left"/>
      <w:lvlText w:val="•"/>
      <w:numFmt w:val="bullet"/>
      <w:start w:val="1"/>
    </w:lvl>
  </w:abstractNum>
  <w:abstractNum w:abstractNumId="11">
    <w:nsid w:val="D34B6A8"/>
    <w:multiLevelType w:val="hybridMultilevel"/>
    <w:lvl w:ilvl="0">
      <w:lvlJc w:val="left"/>
      <w:lvlText w:val="•"/>
      <w:numFmt w:val="bullet"/>
      <w:start w:val="1"/>
    </w:lvl>
  </w:abstractNum>
  <w:abstractNum w:abstractNumId="12">
    <w:nsid w:val="10233C99"/>
    <w:multiLevelType w:val="hybridMultilevel"/>
    <w:lvl w:ilvl="0">
      <w:lvlJc w:val="left"/>
      <w:lvlText w:val="•"/>
      <w:numFmt w:val="bullet"/>
      <w:start w:val="1"/>
    </w:lvl>
  </w:abstractNum>
  <w:abstractNum w:abstractNumId="13">
    <w:nsid w:val="3F6AB60F"/>
    <w:multiLevelType w:val="hybridMultilevel"/>
    <w:lvl w:ilvl="0">
      <w:lvlJc w:val="left"/>
      <w:lvlText w:val="•"/>
      <w:numFmt w:val="bullet"/>
      <w:start w:val="1"/>
    </w:lvl>
  </w:abstractNum>
  <w:abstractNum w:abstractNumId="14">
    <w:nsid w:val="61574095"/>
    <w:multiLevelType w:val="hybridMultilevel"/>
    <w:lvl w:ilvl="0">
      <w:lvlJc w:val="left"/>
      <w:lvlText w:val="(%1)"/>
      <w:numFmt w:val="decimal"/>
      <w:start w:val="1"/>
    </w:lvl>
  </w:abstractNum>
  <w:abstractNum w:abstractNumId="15">
    <w:nsid w:val="7E0C57B1"/>
    <w:multiLevelType w:val="hybridMultilevel"/>
    <w:lvl w:ilvl="0">
      <w:lvlJc w:val="left"/>
      <w:lvlText w:val="•"/>
      <w:numFmt w:val="bullet"/>
      <w:start w:val="1"/>
    </w:lvl>
  </w:abstractNum>
  <w:abstractNum w:abstractNumId="16">
    <w:nsid w:val="77AE35EB"/>
    <w:multiLevelType w:val="hybridMultilevel"/>
    <w:lvl w:ilvl="0">
      <w:lvlJc w:val="left"/>
      <w:lvlText w:val="•"/>
      <w:numFmt w:val="bullet"/>
      <w:start w:val="1"/>
    </w:lvl>
  </w:abstractNum>
  <w:abstractNum w:abstractNumId="17">
    <w:nsid w:val="579BE4F1"/>
    <w:multiLevelType w:val="hybridMultilevel"/>
    <w:lvl w:ilvl="0">
      <w:lvlJc w:val="left"/>
      <w:lvlText w:val="•"/>
      <w:numFmt w:val="bullet"/>
      <w:start w:val="1"/>
    </w:lvl>
  </w:abstractNum>
  <w:abstractNum w:abstractNumId="18">
    <w:nsid w:val="310C50B3"/>
    <w:multiLevelType w:val="hybridMultilevel"/>
    <w:lvl w:ilvl="0">
      <w:lvlJc w:val="left"/>
      <w:lvlText w:val="•"/>
      <w:numFmt w:val="bullet"/>
      <w:start w:val="1"/>
    </w:lvl>
  </w:abstractNum>
  <w:abstractNum w:abstractNumId="19">
    <w:nsid w:val="5FF87E05"/>
    <w:multiLevelType w:val="hybridMultilevel"/>
    <w:lvl w:ilvl="0">
      <w:lvlJc w:val="left"/>
      <w:lvlText w:val="•"/>
      <w:numFmt w:val="bullet"/>
      <w:start w:val="1"/>
    </w:lvl>
  </w:abstractNum>
  <w:abstractNum w:abstractNumId="20">
    <w:nsid w:val="2F305DEF"/>
    <w:multiLevelType w:val="hybridMultilevel"/>
    <w:lvl w:ilvl="0">
      <w:lvlJc w:val="left"/>
      <w:lvlText w:val="•"/>
      <w:numFmt w:val="bullet"/>
      <w:start w:val="1"/>
    </w:lvl>
  </w:abstractNum>
  <w:abstractNum w:abstractNumId="21">
    <w:nsid w:val="25A70BF7"/>
    <w:multiLevelType w:val="hybridMultilevel"/>
    <w:lvl w:ilvl="0">
      <w:lvlJc w:val="left"/>
      <w:lvlText w:val="•"/>
      <w:numFmt w:val="bullet"/>
      <w:start w:val="1"/>
    </w:lvl>
  </w:abstractNum>
  <w:abstractNum w:abstractNumId="22">
    <w:nsid w:val="1DBABF00"/>
    <w:multiLevelType w:val="hybridMultilevel"/>
    <w:lvl w:ilvl="0">
      <w:lvlJc w:val="left"/>
      <w:lvlText w:val="(%1)"/>
      <w:numFmt w:val="decimal"/>
      <w:start w:val="1"/>
    </w:lvl>
  </w:abstractNum>
  <w:abstractNum w:abstractNumId="23">
    <w:nsid w:val="4AD084E9"/>
    <w:multiLevelType w:val="hybridMultilevel"/>
    <w:lvl w:ilvl="0">
      <w:lvlJc w:val="left"/>
      <w:lvlText w:val="•"/>
      <w:numFmt w:val="bullet"/>
      <w:start w:val="1"/>
    </w:lvl>
  </w:abstractNum>
  <w:abstractNum w:abstractNumId="24">
    <w:nsid w:val="1F48EAA1"/>
    <w:multiLevelType w:val="hybridMultilevel"/>
    <w:lvl w:ilvl="0">
      <w:lvlJc w:val="left"/>
      <w:lvlText w:val="•"/>
      <w:numFmt w:val="bullet"/>
      <w:start w:val="1"/>
    </w:lvl>
  </w:abstractNum>
  <w:abstractNum w:abstractNumId="25">
    <w:nsid w:val="1381823A"/>
    <w:multiLevelType w:val="hybridMultilevel"/>
    <w:lvl w:ilvl="0">
      <w:lvlJc w:val="left"/>
      <w:lvlText w:val="•"/>
      <w:numFmt w:val="bullet"/>
      <w:start w:val="1"/>
    </w:lvl>
  </w:abstractNum>
  <w:abstractNum w:abstractNumId="26">
    <w:nsid w:val="5DB70AE5"/>
    <w:multiLevelType w:val="hybridMultilevel"/>
    <w:lvl w:ilvl="0">
      <w:lvlJc w:val="left"/>
      <w:lvlText w:val="•"/>
      <w:numFmt w:val="bullet"/>
      <w:start w:val="1"/>
    </w:lvl>
  </w:abstractNum>
  <w:abstractNum w:abstractNumId="27">
    <w:nsid w:val="100F8FCA"/>
    <w:multiLevelType w:val="hybridMultilevel"/>
    <w:lvl w:ilvl="0">
      <w:lvlJc w:val="left"/>
      <w:lvlText w:val="•"/>
      <w:numFmt w:val="bullet"/>
      <w:start w:val="1"/>
    </w:lvl>
  </w:abstractNum>
  <w:abstractNum w:abstractNumId="28">
    <w:nsid w:val="6590700B"/>
    <w:multiLevelType w:val="hybridMultilevel"/>
    <w:lvl w:ilvl="0">
      <w:lvlJc w:val="left"/>
      <w:lvlText w:val="(%1)"/>
      <w:numFmt w:val="decimal"/>
      <w:start w:val="1"/>
    </w:lvl>
  </w:abstractNum>
  <w:abstractNum w:abstractNumId="29">
    <w:nsid w:val="15014ACB"/>
    <w:multiLevelType w:val="hybridMultilevel"/>
    <w:lvl w:ilvl="0">
      <w:lvlJc w:val="left"/>
      <w:lvlText w:val="(%1)"/>
      <w:numFmt w:val="decimal"/>
      <w:start w:val="1"/>
    </w:lvl>
  </w:abstractNum>
  <w:abstractNum w:abstractNumId="30">
    <w:nsid w:val="5F5E7FD0"/>
    <w:multiLevelType w:val="hybridMultilevel"/>
    <w:lvl w:ilvl="0">
      <w:lvlJc w:val="left"/>
      <w:lvlText w:val="(%1)"/>
      <w:numFmt w:val="decimal"/>
      <w:start w:val="1"/>
    </w:lvl>
  </w:abstractNum>
  <w:abstractNum w:abstractNumId="31">
    <w:nsid w:val="98A3148"/>
    <w:multiLevelType w:val="hybridMultilevel"/>
    <w:lvl w:ilvl="0">
      <w:lvlJc w:val="left"/>
      <w:lvlText w:val="(%1)"/>
      <w:numFmt w:val="decimal"/>
      <w:start w:val="7"/>
    </w:lvl>
  </w:abstractNum>
  <w:abstractNum w:abstractNumId="32">
    <w:nsid w:val="799D0247"/>
    <w:multiLevelType w:val="hybridMultilevel"/>
    <w:lvl w:ilvl="0">
      <w:lvlJc w:val="left"/>
      <w:lvlText w:val="(%1)"/>
      <w:numFmt w:val="decimal"/>
      <w:start w:val="1"/>
    </w:lvl>
  </w:abstractNum>
  <w:abstractNum w:abstractNumId="33">
    <w:nsid w:val="6B94764"/>
    <w:multiLevelType w:val="hybridMultilevel"/>
    <w:lvl w:ilvl="0">
      <w:lvlJc w:val="left"/>
      <w:lvlText w:val="(%1)"/>
      <w:numFmt w:val="decimal"/>
      <w:start w:val="2"/>
    </w:lvl>
  </w:abstractNum>
  <w:abstractNum w:abstractNumId="34">
    <w:nsid w:val="42C296BD"/>
    <w:multiLevelType w:val="hybridMultilevel"/>
    <w:lvl w:ilvl="0">
      <w:lvlJc w:val="left"/>
      <w:lvlText w:val="(%1)"/>
      <w:numFmt w:val="decimal"/>
      <w:start w:val="4"/>
    </w:lvl>
  </w:abstractNum>
  <w:abstractNum w:abstractNumId="35">
    <w:nsid w:val="168E121F"/>
    <w:multiLevelType w:val="hybridMultilevel"/>
    <w:lvl w:ilvl="0">
      <w:lvlJc w:val="left"/>
      <w:lvlText w:val="•"/>
      <w:numFmt w:val="bullet"/>
      <w:start w:val="1"/>
    </w:lvl>
  </w:abstractNum>
  <w:abstractNum w:abstractNumId="36">
    <w:nsid w:val="1EBA5D23"/>
    <w:multiLevelType w:val="hybridMultilevel"/>
    <w:lvl w:ilvl="0">
      <w:lvlJc w:val="left"/>
      <w:lvlText w:val="(%1)"/>
      <w:numFmt w:val="decimal"/>
      <w:start w:val="1"/>
    </w:lvl>
  </w:abstractNum>
  <w:abstractNum w:abstractNumId="37">
    <w:nsid w:val="661E3F1E"/>
    <w:multiLevelType w:val="hybridMultilevel"/>
    <w:lvl w:ilvl="0">
      <w:lvlJc w:val="left"/>
      <w:lvlText w:val="(%1)"/>
      <w:numFmt w:val="decimal"/>
      <w:start w:val="6"/>
    </w:lvl>
  </w:abstractNum>
  <w:abstractNum w:abstractNumId="38">
    <w:nsid w:val="5DC79EA8"/>
    <w:multiLevelType w:val="hybridMultilevel"/>
    <w:lvl w:ilvl="0">
      <w:lvlJc w:val="left"/>
      <w:lvlText w:val="•"/>
      <w:numFmt w:val="bullet"/>
      <w:start w:val="1"/>
    </w:lvl>
    <w:lvl w:ilvl="1">
      <w:lvlJc w:val="left"/>
      <w:lvlText w:val="•"/>
      <w:numFmt w:val="bullet"/>
      <w:start w:val="1"/>
    </w:lvl>
  </w:abstractNum>
  <w:abstractNum w:abstractNumId="39">
    <w:nsid w:val="540A471C"/>
    <w:multiLevelType w:val="hybridMultilevel"/>
    <w:lvl w:ilvl="0">
      <w:lvlJc w:val="left"/>
      <w:lvlText w:val="•"/>
      <w:numFmt w:val="bullet"/>
      <w:start w:val="1"/>
    </w:lvl>
  </w:abstractNum>
  <w:abstractNum w:abstractNumId="40">
    <w:nsid w:val="7BD3EE7B"/>
    <w:multiLevelType w:val="hybridMultilevel"/>
    <w:lvl w:ilvl="0">
      <w:lvlJc w:val="left"/>
      <w:lvlText w:val="•"/>
      <w:numFmt w:val="bullet"/>
      <w:start w:val="1"/>
    </w:lvl>
  </w:abstractNum>
  <w:abstractNum w:abstractNumId="41">
    <w:nsid w:val="51D9C564"/>
    <w:multiLevelType w:val="hybridMultilevel"/>
    <w:lvl w:ilvl="0">
      <w:lvlJc w:val="left"/>
      <w:lvlText w:val="•"/>
      <w:numFmt w:val="bullet"/>
      <w:start w:val="1"/>
    </w:lvl>
  </w:abstractNum>
  <w:abstractNum w:abstractNumId="42">
    <w:nsid w:val="613EFDC5"/>
    <w:multiLevelType w:val="hybridMultilevel"/>
    <w:lvl w:ilvl="0">
      <w:lvlJc w:val="left"/>
      <w:lvlText w:val="•"/>
      <w:numFmt w:val="bullet"/>
      <w:start w:val="1"/>
    </w:lvl>
  </w:abstractNum>
  <w:abstractNum w:abstractNumId="43">
    <w:nsid w:val="BF72B14"/>
    <w:multiLevelType w:val="hybridMultilevel"/>
    <w:lvl w:ilvl="0">
      <w:lvlJc w:val="left"/>
      <w:lvlText w:val="•"/>
      <w:numFmt w:val="bullet"/>
      <w:start w:val="1"/>
    </w:lvl>
    <w:lvl w:ilvl="1">
      <w:lvlJc w:val="left"/>
      <w:lvlText w:val="•"/>
      <w:numFmt w:val="bullet"/>
      <w:start w:val="1"/>
    </w:lvl>
  </w:abstractNum>
  <w:abstractNum w:abstractNumId="44">
    <w:nsid w:val="11447B73"/>
    <w:multiLevelType w:val="hybridMultilevel"/>
    <w:lvl w:ilvl="0">
      <w:lvlJc w:val="left"/>
      <w:lvlText w:val="•"/>
      <w:numFmt w:val="bullet"/>
      <w:start w:val="1"/>
    </w:lvl>
  </w:abstractNum>
  <w:abstractNum w:abstractNumId="45">
    <w:nsid w:val="42963E5A"/>
    <w:multiLevelType w:val="hybridMultilevel"/>
    <w:lvl w:ilvl="0">
      <w:lvlJc w:val="left"/>
      <w:lvlText w:val="•"/>
      <w:numFmt w:val="bullet"/>
      <w:start w:val="1"/>
    </w:lvl>
  </w:abstractNum>
  <w:abstractNum w:abstractNumId="46">
    <w:nsid w:val="A0382C5"/>
    <w:multiLevelType w:val="hybridMultilevel"/>
    <w:lvl w:ilvl="0">
      <w:lvlJc w:val="left"/>
      <w:lvlText w:val="(%1)"/>
      <w:numFmt w:val="decimal"/>
      <w:start w:val="1"/>
    </w:lvl>
  </w:abstractNum>
  <w:abstractNum w:abstractNumId="47">
    <w:nsid w:val="8F2B15E"/>
    <w:multiLevelType w:val="hybridMultilevel"/>
    <w:lvl w:ilvl="0">
      <w:lvlJc w:val="left"/>
      <w:lvlText w:val="*"/>
      <w:numFmt w:val="bullet"/>
      <w:start w:val="1"/>
    </w:lvl>
  </w:abstractNum>
  <w:abstractNum w:abstractNumId="48">
    <w:nsid w:val="1A32234B"/>
    <w:multiLevelType w:val="hybridMultilevel"/>
    <w:lvl w:ilvl="0">
      <w:lvlJc w:val="left"/>
      <w:lvlText w:val="(%1)"/>
      <w:numFmt w:val="decimal"/>
      <w:start w:val="1"/>
    </w:lvl>
  </w:abstractNum>
  <w:abstractNum w:abstractNumId="49">
    <w:nsid w:val="3B0FD379"/>
    <w:multiLevelType w:val="hybridMultilevel"/>
    <w:lvl w:ilvl="0">
      <w:lvlJc w:val="left"/>
      <w:lvlText w:val="(%1)"/>
      <w:numFmt w:val="decimal"/>
      <w:start w:val="5"/>
    </w:lvl>
  </w:abstractNum>
  <w:abstractNum w:abstractNumId="50">
    <w:nsid w:val="68EB2F6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51">
    <w:nsid w:val="4962813B"/>
    <w:multiLevelType w:val="hybridMultilevel"/>
    <w:lvl w:ilvl="0">
      <w:lvlJc w:val="left"/>
      <w:lvlText w:val="%1"/>
      <w:numFmt w:val="lowerLetter"/>
      <w:start w:val="1"/>
    </w:lvl>
    <w:lvl w:ilvl="1">
      <w:lvlJc w:val="left"/>
      <w:lvlText w:val="(%2)"/>
      <w:numFmt w:val="lowerRoman"/>
      <w:start w:val="2"/>
    </w:lvl>
  </w:abstractNum>
  <w:abstractNum w:abstractNumId="52">
    <w:nsid w:val="60B6DF70"/>
    <w:multiLevelType w:val="hybridMultilevel"/>
    <w:lvl w:ilvl="0">
      <w:lvlJc w:val="left"/>
      <w:lvlText w:val="(%1)"/>
      <w:numFmt w:val="lowerLetter"/>
      <w:start w:val="3"/>
    </w:lvl>
    <w:lvl w:ilvl="1">
      <w:lvlJc w:val="left"/>
      <w:lvlText w:val="(%2)"/>
      <w:numFmt w:val="lowerRoman"/>
      <w:start w:val="1"/>
    </w:lvl>
  </w:abstractNum>
  <w:abstractNum w:abstractNumId="53">
    <w:nsid w:val="6A5EE64"/>
    <w:multiLevelType w:val="hybridMultilevel"/>
    <w:lvl w:ilvl="0">
      <w:lvlJc w:val="left"/>
      <w:lvlText w:val="(%1)"/>
      <w:numFmt w:val="lowerRoman"/>
      <w:start w:val="2"/>
    </w:lvl>
  </w:abstractNum>
  <w:abstractNum w:abstractNumId="54">
    <w:nsid w:val="14330624"/>
    <w:multiLevelType w:val="hybridMultilevel"/>
    <w:lvl w:ilvl="0">
      <w:lvlJc w:val="left"/>
      <w:lvlText w:val="%1"/>
      <w:numFmt w:val="lowerLetter"/>
      <w:start w:val="1"/>
    </w:lvl>
    <w:lvl w:ilvl="1">
      <w:lvlJc w:val="left"/>
      <w:lvlText w:val="(%2)"/>
      <w:numFmt w:val="lowerLetter"/>
      <w:start w:val="4"/>
    </w:lvl>
  </w:abstractNum>
  <w:abstractNum w:abstractNumId="55">
    <w:nsid w:val="7FFFCA11"/>
    <w:multiLevelType w:val="hybridMultilevel"/>
    <w:lvl w:ilvl="0">
      <w:lvlJc w:val="left"/>
      <w:lvlText w:val="(%1)"/>
      <w:numFmt w:val="lowerLetter"/>
      <w:start w:val="9"/>
    </w:lvl>
    <w:lvl w:ilvl="1">
      <w:lvlJc w:val="left"/>
      <w:lvlText w:val="%2"/>
      <w:numFmt w:val="lowerLetter"/>
      <w:start w:val="1"/>
    </w:lvl>
  </w:abstractNum>
  <w:abstractNum w:abstractNumId="56">
    <w:nsid w:val="1A27709E"/>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7">
    <w:nsid w:val="71EA1109"/>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58">
    <w:nsid w:val="100F59D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59">
    <w:nsid w:val="7FB7E0AA"/>
    <w:multiLevelType w:val="hybridMultilevel"/>
    <w:lvl w:ilvl="0">
      <w:lvlJc w:val="left"/>
      <w:lvlText w:val="%1"/>
      <w:numFmt w:val="decimal"/>
      <w:start w:val="1"/>
    </w:lvl>
    <w:lvl w:ilvl="1">
      <w:lvlJc w:val="left"/>
      <w:lvlText w:val="(%2)"/>
      <w:numFmt w:val="lowerLetter"/>
      <w:start w:val="2"/>
    </w:lvl>
  </w:abstractNum>
  <w:abstractNum w:abstractNumId="60">
    <w:nsid w:val="6EB5BD4"/>
    <w:multiLevelType w:val="hybridMultilevel"/>
    <w:lvl w:ilvl="0">
      <w:lvlJc w:val="left"/>
      <w:lvlText w:val="%1."/>
      <w:numFmt w:val="decimal"/>
      <w:start w:val="5"/>
    </w:lvl>
    <w:lvl w:ilvl="1">
      <w:lvlJc w:val="left"/>
      <w:lvlText w:val="%2"/>
      <w:numFmt w:val="lowerLetter"/>
      <w:start w:val="1"/>
    </w:lvl>
  </w:abstractNum>
  <w:abstractNum w:abstractNumId="61">
    <w:nsid w:val="6F6DD9AC"/>
    <w:multiLevelType w:val="hybridMultilevel"/>
    <w:lvl w:ilvl="0">
      <w:lvlJc w:val="left"/>
      <w:lvlText w:val="(%1)"/>
      <w:numFmt w:val="lowerLetter"/>
      <w:start w:val="1"/>
    </w:lvl>
    <w:lvl w:ilvl="1">
      <w:lvlJc w:val="left"/>
      <w:lvlText w:val="(%2)"/>
      <w:numFmt w:val="lowerRoman"/>
      <w:start w:val="1"/>
    </w:lvl>
  </w:abstractNum>
  <w:abstractNum w:abstractNumId="62">
    <w:nsid w:val="94211F2"/>
    <w:multiLevelType w:val="hybridMultilevel"/>
    <w:lvl w:ilvl="0">
      <w:lvlJc w:val="left"/>
      <w:lvlText w:val="%1"/>
      <w:numFmt w:val="lowerLetter"/>
      <w:start w:val="1"/>
    </w:lvl>
    <w:lvl w:ilvl="1">
      <w:lvlJc w:val="left"/>
      <w:lvlText w:val="(%2)"/>
      <w:numFmt w:val="lowerLetter"/>
      <w:start w:val="61"/>
    </w:lvl>
  </w:abstractNum>
  <w:abstractNum w:abstractNumId="63">
    <w:nsid w:val="885E1B"/>
    <w:multiLevelType w:val="hybridMultilevel"/>
    <w:lvl w:ilvl="0">
      <w:lvlJc w:val="left"/>
      <w:lvlText w:val="(%1)"/>
      <w:numFmt w:val="lowerLetter"/>
      <w:start w:val="6"/>
    </w:lvl>
    <w:lvl w:ilvl="1">
      <w:lvlJc w:val="left"/>
      <w:lvlText w:val="%2"/>
      <w:numFmt w:val="lowerLetter"/>
      <w:start w:val="1"/>
    </w:lvl>
  </w:abstractNum>
  <w:abstractNum w:abstractNumId="64">
    <w:nsid w:val="76272110"/>
    <w:multiLevelType w:val="hybridMultilevel"/>
    <w:lvl w:ilvl="0">
      <w:lvlJc w:val="left"/>
      <w:lvlText w:val="%1"/>
      <w:numFmt w:val="decimal"/>
      <w:start w:val="1"/>
    </w:lvl>
    <w:lvl w:ilvl="1">
      <w:lvlJc w:val="left"/>
      <w:lvlText w:val="(%2)"/>
      <w:numFmt w:val="lowerLetter"/>
      <w:start w:val="11"/>
    </w:lvl>
    <w:lvl w:ilvl="2">
      <w:lvlJc w:val="left"/>
      <w:lvlText w:val="%3"/>
      <w:numFmt w:val="lowerRoman"/>
      <w:start w:val="1"/>
    </w:lvl>
  </w:abstractNum>
  <w:abstractNum w:abstractNumId="65">
    <w:nsid w:val="4C04A8AF"/>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66">
    <w:nsid w:val="1716703B"/>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67">
    <w:nsid w:val="14E17E3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68">
    <w:nsid w:val="3222E7CD"/>
    <w:multiLevelType w:val="hybridMultilevel"/>
    <w:lvl w:ilvl="0">
      <w:lvlJc w:val="left"/>
      <w:lvlText w:val="%1"/>
      <w:numFmt w:val="decimal"/>
      <w:start w:val="1"/>
    </w:lvl>
    <w:lvl w:ilvl="1">
      <w:lvlJc w:val="left"/>
      <w:lvlText w:val="(%2)"/>
      <w:numFmt w:val="lowerLetter"/>
      <w:start w:val="3"/>
    </w:lvl>
  </w:abstractNum>
  <w:abstractNum w:abstractNumId="69">
    <w:nsid w:val="74DE0EE3"/>
    <w:multiLevelType w:val="hybridMultilevel"/>
    <w:lvl w:ilvl="0">
      <w:lvlJc w:val="left"/>
      <w:lvlText w:val="%1."/>
      <w:numFmt w:val="decimal"/>
      <w:start w:val="8"/>
    </w:lvl>
    <w:lvl w:ilvl="1">
      <w:lvlJc w:val="left"/>
      <w:lvlText w:val="(%2)"/>
      <w:numFmt w:val="lowerLetter"/>
      <w:start w:val="1"/>
    </w:lvl>
  </w:abstractNum>
  <w:abstractNum w:abstractNumId="70">
    <w:nsid w:val="68EBC550"/>
    <w:multiLevelType w:val="hybridMultilevel"/>
    <w:lvl w:ilvl="0">
      <w:lvlJc w:val="left"/>
      <w:lvlText w:val="%1"/>
      <w:numFmt w:val="decimal"/>
      <w:start w:val="1"/>
    </w:lvl>
    <w:lvl w:ilvl="1">
      <w:lvlJc w:val="left"/>
      <w:lvlText w:val="(%2)"/>
      <w:numFmt w:val="lowerLetter"/>
      <w:start w:val="8"/>
    </w:lvl>
  </w:abstractNum>
  <w:abstractNum w:abstractNumId="71">
    <w:nsid w:val="2DF6D648"/>
    <w:multiLevelType w:val="hybridMultilevel"/>
    <w:lvl w:ilvl="0">
      <w:lvlJc w:val="left"/>
      <w:lvlText w:val="%1."/>
      <w:numFmt w:val="decimal"/>
      <w:start w:val="9"/>
    </w:lvl>
    <w:lvl w:ilvl="1">
      <w:lvlJc w:val="left"/>
      <w:lvlText w:val="(%2)"/>
      <w:numFmt w:val="lowerLetter"/>
      <w:start w:val="1"/>
    </w:lvl>
  </w:abstractNum>
  <w:abstractNum w:abstractNumId="72">
    <w:nsid w:val="46B7D447"/>
    <w:multiLevelType w:val="hybridMultilevel"/>
    <w:lvl w:ilvl="0">
      <w:lvlJc w:val="left"/>
      <w:lvlText w:val="(%1)"/>
      <w:numFmt w:val="lowerLetter"/>
      <w:start w:val="2"/>
    </w:lvl>
    <w:lvl w:ilvl="1">
      <w:lvlJc w:val="left"/>
      <w:lvlText w:val="(%2)"/>
      <w:numFmt w:val="lowerRoman"/>
      <w:start w:val="1"/>
    </w:lvl>
  </w:abstractNum>
  <w:abstractNum w:abstractNumId="73">
    <w:nsid w:val="4A2AC315"/>
    <w:multiLevelType w:val="hybridMultilevel"/>
    <w:lvl w:ilvl="0">
      <w:lvlJc w:val="left"/>
      <w:lvlText w:val="%1"/>
      <w:numFmt w:val="decimal"/>
      <w:start w:val="1"/>
    </w:lvl>
    <w:lvl w:ilvl="1">
      <w:lvlJc w:val="left"/>
      <w:lvlText w:val="(%2)"/>
      <w:numFmt w:val="lowerLetter"/>
      <w:start w:val="4"/>
    </w:lvl>
  </w:abstractNum>
  <w:abstractNum w:abstractNumId="74">
    <w:nsid w:val="39EE015C"/>
    <w:multiLevelType w:val="hybridMultilevel"/>
    <w:lvl w:ilvl="0">
      <w:lvlJc w:val="left"/>
      <w:lvlText w:val="%1."/>
      <w:numFmt w:val="decimal"/>
      <w:start w:val="10"/>
    </w:lvl>
    <w:lvl w:ilvl="1">
      <w:lvlJc w:val="left"/>
      <w:lvlText w:val="(%2)"/>
      <w:numFmt w:val="lowerLetter"/>
      <w:start w:val="1"/>
    </w:lvl>
  </w:abstractNum>
  <w:abstractNum w:abstractNumId="75">
    <w:nsid w:val="57FC4FBB"/>
    <w:multiLevelType w:val="hybridMultilevel"/>
    <w:lvl w:ilvl="0">
      <w:lvlJc w:val="left"/>
      <w:lvlText w:val="%1"/>
      <w:numFmt w:val="decimal"/>
      <w:start w:val="1"/>
    </w:lvl>
    <w:lvl w:ilvl="1">
      <w:lvlJc w:val="left"/>
      <w:lvlText w:val="(%2)"/>
      <w:numFmt w:val="lowerLetter"/>
      <w:start w:val="2"/>
    </w:lvl>
  </w:abstractNum>
  <w:abstractNum w:abstractNumId="76">
    <w:nsid w:val="CC1016F"/>
    <w:multiLevelType w:val="hybridMultilevel"/>
    <w:lvl w:ilvl="0">
      <w:lvlJc w:val="left"/>
      <w:lvlText w:val="%1."/>
      <w:numFmt w:val="decimal"/>
      <w:start w:val="11"/>
    </w:lvl>
    <w:lvl w:ilvl="1">
      <w:lvlJc w:val="left"/>
      <w:lvlText w:val="%2"/>
      <w:numFmt w:val="lowerLetter"/>
      <w:start w:val="1"/>
    </w:lvl>
  </w:abstractNum>
  <w:abstractNum w:abstractNumId="77">
    <w:nsid w:val="43F18422"/>
    <w:multiLevelType w:val="hybridMultilevel"/>
    <w:lvl w:ilvl="0">
      <w:lvlJc w:val="left"/>
      <w:lvlText w:val="%1."/>
      <w:numFmt w:val="decimal"/>
      <w:start w:val="12"/>
    </w:lvl>
  </w:abstractNum>
  <w:abstractNum w:abstractNumId="78">
    <w:nsid w:val="60EF0119"/>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79">
    <w:nsid w:val="26F324BA"/>
    <w:multiLevelType w:val="hybridMultilevel"/>
    <w:lvl w:ilvl="0">
      <w:lvlJc w:val="left"/>
      <w:lvlText w:val="(%1)"/>
      <w:numFmt w:val="lowerRoman"/>
      <w:start w:val="3"/>
    </w:lvl>
  </w:abstractNum>
  <w:abstractNum w:abstractNumId="80">
    <w:nsid w:val="7F01579B"/>
    <w:multiLevelType w:val="hybridMultilevel"/>
    <w:lvl w:ilvl="0">
      <w:lvlJc w:val="left"/>
      <w:lvlText w:val="(%1)"/>
      <w:numFmt w:val="lowerLetter"/>
      <w:start w:val="6"/>
    </w:lvl>
  </w:abstractNum>
  <w:abstractNum w:abstractNumId="81">
    <w:nsid w:val="49DA307D"/>
    <w:multiLevelType w:val="hybridMultilevel"/>
    <w:lvl w:ilvl="0">
      <w:lvlJc w:val="left"/>
      <w:lvlText w:val="(%1)"/>
      <w:numFmt w:val="lowerLetter"/>
      <w:start w:val="8"/>
    </w:lvl>
  </w:abstractNum>
  <w:abstractNum w:abstractNumId="82">
    <w:nsid w:val="7055A5F5"/>
    <w:multiLevelType w:val="hybridMultilevel"/>
    <w:lvl w:ilvl="0">
      <w:lvlJc w:val="left"/>
      <w:lvlText w:val="(%1)"/>
      <w:numFmt w:val="lowerLetter"/>
      <w:start w:val="12"/>
    </w:lvl>
  </w:abstractNum>
  <w:abstractNum w:abstractNumId="83">
    <w:nsid w:val="5FB8370B"/>
    <w:multiLevelType w:val="hybridMultilevel"/>
    <w:lvl w:ilvl="0">
      <w:lvlJc w:val="left"/>
      <w:lvlText w:val="(%1)"/>
      <w:numFmt w:val="lowerRoman"/>
      <w:start w:val="1"/>
    </w:lvl>
  </w:abstractNum>
  <w:abstractNum w:abstractNumId="84">
    <w:nsid w:val="50801EE1"/>
    <w:multiLevelType w:val="hybridMultilevel"/>
    <w:lvl w:ilvl="0">
      <w:lvlJc w:val="left"/>
      <w:lvlText w:val="(%1)"/>
      <w:numFmt w:val="lowerLetter"/>
      <w:start w:val="13"/>
    </w:lvl>
    <w:lvl w:ilvl="1">
      <w:lvlJc w:val="left"/>
      <w:lvlText w:val="(%2)"/>
      <w:numFmt w:val="lowerRoman"/>
      <w:start w:val="1"/>
    </w:lvl>
  </w:abstractNum>
  <w:abstractNum w:abstractNumId="85">
    <w:nsid w:val="488AC1A"/>
    <w:multiLevelType w:val="hybridMultilevel"/>
    <w:lvl w:ilvl="0">
      <w:lvlJc w:val="left"/>
      <w:lvlText w:val="(%1)"/>
      <w:numFmt w:val="lowerLetter"/>
      <w:start w:val="21"/>
    </w:lvl>
  </w:abstractNum>
  <w:abstractNum w:abstractNumId="86">
    <w:nsid w:val="5FB8011C"/>
    <w:multiLevelType w:val="hybridMultilevel"/>
    <w:lvl w:ilvl="0">
      <w:lvlJc w:val="left"/>
      <w:lvlText w:val="(%1)"/>
      <w:numFmt w:val="lowerLetter"/>
      <w:start w:val="27"/>
    </w:lvl>
  </w:abstractNum>
  <w:abstractNum w:abstractNumId="87">
    <w:nsid w:val="6AA78F7F"/>
    <w:multiLevelType w:val="hybridMultilevel"/>
    <w:lvl w:ilvl="0">
      <w:lvlJc w:val="left"/>
      <w:lvlText w:val="(%1)"/>
      <w:numFmt w:val="lowerLetter"/>
      <w:start w:val="34"/>
    </w:lvl>
  </w:abstractNum>
  <w:abstractNum w:abstractNumId="88">
    <w:nsid w:val="7672BD23"/>
    <w:multiLevelType w:val="hybridMultilevel"/>
    <w:lvl w:ilvl="0">
      <w:lvlJc w:val="left"/>
      <w:lvlText w:val="(%1)"/>
      <w:numFmt w:val="lowerLetter"/>
      <w:start w:val="47"/>
    </w:lvl>
  </w:abstractNum>
  <w:abstractNum w:abstractNumId="89">
    <w:nsid w:val="6FC75AF8"/>
    <w:multiLevelType w:val="hybridMultilevel"/>
    <w:lvl w:ilvl="0">
      <w:lvlJc w:val="left"/>
      <w:lvlText w:val="%1."/>
      <w:numFmt w:val="decimal"/>
      <w:start w:val="1"/>
    </w:lvl>
    <w:lvl w:ilvl="1">
      <w:lvlJc w:val="left"/>
      <w:lvlText w:val="(%2)"/>
      <w:numFmt w:val="lowerLetter"/>
      <w:start w:val="1"/>
    </w:lvl>
  </w:abstractNum>
  <w:abstractNum w:abstractNumId="90">
    <w:nsid w:val="6A5F7029"/>
    <w:multiLevelType w:val="hybridMultilevel"/>
    <w:lvl w:ilvl="0">
      <w:lvlJc w:val="left"/>
      <w:lvlText w:val="(%1)"/>
      <w:numFmt w:val="lowerLetter"/>
      <w:start w:val="1"/>
    </w:lvl>
    <w:lvl w:ilvl="1">
      <w:lvlJc w:val="left"/>
      <w:lvlText w:val="(%2)"/>
      <w:numFmt w:val="lowerRoman"/>
      <w:start w:val="1"/>
    </w:lvl>
  </w:abstractNum>
  <w:abstractNum w:abstractNumId="91">
    <w:nsid w:val="7D5E18F8"/>
    <w:multiLevelType w:val="hybridMultilevel"/>
    <w:lvl w:ilvl="0">
      <w:lvlJc w:val="left"/>
      <w:lvlText w:val="%1"/>
      <w:numFmt w:val="decimal"/>
      <w:start w:val="1"/>
    </w:lvl>
    <w:lvl w:ilvl="1">
      <w:lvlJc w:val="left"/>
      <w:lvlText w:val="(%2)"/>
      <w:numFmt w:val="lowerLetter"/>
      <w:start w:val="8"/>
    </w:lvl>
  </w:abstractNum>
  <w:abstractNum w:abstractNumId="92">
    <w:nsid w:val="5F3534A4"/>
    <w:multiLevelType w:val="hybridMultilevel"/>
    <w:lvl w:ilvl="0">
      <w:lvlJc w:val="left"/>
      <w:lvlText w:val="%1."/>
      <w:numFmt w:val="decimal"/>
      <w:start w:val="3"/>
    </w:lvl>
    <w:lvl w:ilvl="1">
      <w:lvlJc w:val="left"/>
      <w:lvlText w:val="(%2)"/>
      <w:numFmt w:val="lowerLetter"/>
      <w:start w:val="1"/>
    </w:lvl>
  </w:abstractNum>
  <w:abstractNum w:abstractNumId="93">
    <w:nsid w:val="73A1821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4">
    <w:nsid w:val="7DE67713"/>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95">
    <w:nsid w:val="555C55B5"/>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96">
    <w:nsid w:val="3FA62ACA"/>
    <w:multiLevelType w:val="hybridMultilevel"/>
    <w:lvl w:ilvl="0">
      <w:lvlJc w:val="left"/>
      <w:lvlText w:val="%1."/>
      <w:numFmt w:val="decimal"/>
      <w:start w:val="5"/>
    </w:lvl>
    <w:lvl w:ilvl="1">
      <w:lvlJc w:val="left"/>
      <w:lvlText w:val="(%2)"/>
      <w:numFmt w:val="lowerLetter"/>
      <w:start w:val="1"/>
    </w:lvl>
  </w:abstractNum>
  <w:abstractNum w:abstractNumId="97">
    <w:nsid w:val="14FCE74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8">
    <w:nsid w:val="6A3DD3E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99">
    <w:nsid w:val="71C91298"/>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00">
    <w:nsid w:val="9DAF632"/>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01">
    <w:nsid w:val="53299938"/>
    <w:multiLevelType w:val="hybridMultilevel"/>
    <w:lvl w:ilvl="0">
      <w:lvlJc w:val="left"/>
      <w:lvlText w:val="%1"/>
      <w:numFmt w:val="decimal"/>
      <w:start w:val="1"/>
    </w:lvl>
    <w:lvl w:ilvl="1">
      <w:lvlJc w:val="left"/>
      <w:lvlText w:val="(%2)"/>
      <w:numFmt w:val="lowerLetter"/>
      <w:start w:val="3"/>
    </w:lvl>
  </w:abstractNum>
  <w:abstractNum w:abstractNumId="102">
    <w:nsid w:val="1FBFE8E0"/>
    <w:multiLevelType w:val="hybridMultilevel"/>
    <w:lvl w:ilvl="0">
      <w:lvlJc w:val="left"/>
      <w:lvlText w:val="%1."/>
      <w:numFmt w:val="decimal"/>
      <w:start w:val="10"/>
    </w:lvl>
    <w:lvl w:ilvl="1">
      <w:lvlJc w:val="left"/>
      <w:lvlText w:val="%2"/>
      <w:numFmt w:val="lowerLetter"/>
      <w:start w:val="1"/>
    </w:lvl>
  </w:abstractNum>
  <w:abstractNum w:abstractNumId="103">
    <w:nsid w:val="5092CA79"/>
    <w:multiLevelType w:val="hybridMultilevel"/>
    <w:lvl w:ilvl="0">
      <w:lvlJc w:val="left"/>
      <w:lvlText w:val="%1."/>
      <w:numFmt w:val="decimal"/>
      <w:start w:val="11"/>
    </w:lvl>
  </w:abstractNum>
  <w:abstractNum w:abstractNumId="104">
    <w:nsid w:val="1D545C4D"/>
    <w:multiLevelType w:val="hybridMultilevel"/>
    <w:lvl w:ilvl="0">
      <w:lvlJc w:val="left"/>
      <w:lvlText w:val="%1."/>
      <w:numFmt w:val="decimal"/>
      <w:start w:val="12"/>
    </w:lvl>
  </w:abstractNum>
  <w:abstractNum w:abstractNumId="105">
    <w:nsid w:val="59ADEA3D"/>
    <w:multiLevelType w:val="hybridMultilevel"/>
    <w:lvl w:ilvl="0">
      <w:lvlJc w:val="left"/>
      <w:lvlText w:val="%1."/>
      <w:numFmt w:val="decimal"/>
      <w:start w:val="13"/>
    </w:lvl>
    <w:lvl w:ilvl="1">
      <w:lvlJc w:val="left"/>
      <w:lvlText w:val="(%2)"/>
      <w:numFmt w:val="lowerLetter"/>
      <w:start w:val="1"/>
    </w:lvl>
  </w:abstractNum>
  <w:abstractNum w:abstractNumId="106">
    <w:nsid w:val="288F1A34"/>
    <w:multiLevelType w:val="hybridMultilevel"/>
    <w:lvl w:ilvl="0">
      <w:lvlJc w:val="left"/>
      <w:lvlText w:val="%1"/>
      <w:numFmt w:val="decimal"/>
      <w:start w:val="1"/>
    </w:lvl>
    <w:lvl w:ilvl="1">
      <w:lvlJc w:val="left"/>
      <w:lvlText w:val="(%2)"/>
      <w:numFmt w:val="lowerLetter"/>
      <w:start w:val="2"/>
    </w:lvl>
  </w:abstractNum>
  <w:abstractNum w:abstractNumId="107">
    <w:nsid w:val="2A155DBC"/>
    <w:multiLevelType w:val="hybridMultilevel"/>
    <w:lvl w:ilvl="0">
      <w:lvlJc w:val="left"/>
      <w:lvlText w:val="%1."/>
      <w:numFmt w:val="decimal"/>
      <w:start w:val="15"/>
    </w:lvl>
    <w:lvl w:ilvl="1">
      <w:lvlJc w:val="left"/>
      <w:lvlText w:val="(%2)"/>
      <w:numFmt w:val="lowerLetter"/>
      <w:start w:val="1"/>
    </w:lvl>
  </w:abstractNum>
  <w:abstractNum w:abstractNumId="108">
    <w:nsid w:val="1D9F6E5F"/>
    <w:multiLevelType w:val="hybridMultilevel"/>
    <w:lvl w:ilvl="0">
      <w:lvlJc w:val="left"/>
      <w:lvlText w:val="%1."/>
      <w:numFmt w:val="decimal"/>
      <w:start w:val="18"/>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2023-04-10T16:15:32Z</dcterms:created>
  <dcterms:modified xsi:type="dcterms:W3CDTF">2023-04-10T16:15:32Z</dcterms:modified>
</cp:coreProperties>
</file>