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1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March 31, 2006</w:t>
      </w:r>
    </w:p>
    <w:p>
      <w:pPr>
        <w:spacing w:after="0" w:line="33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10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29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1160" w:type="dxa"/>
        <w:tblCellMar>
          <w:top w:w="0" w:type="dxa"/>
          <w:left w:w="0" w:type="dxa"/>
          <w:bottom w:w="0" w:type="dxa"/>
          <w:right w:w="0" w:type="dxa"/>
        </w:tblCellMar>
      </w:tblPr>
      <w:tr>
        <w:trPr>
          <w:trHeight w:val="220"/>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Delaware</w:t>
            </w:r>
          </w:p>
        </w:tc>
        <w:tc>
          <w:tcPr>
            <w:tcW w:w="4180" w:type="dxa"/>
            <w:vAlign w:val="bottom"/>
          </w:tcPr>
          <w:p>
            <w:pPr>
              <w:jc w:val="right"/>
              <w:ind w:right="79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(State or other jurisdiction of incorporation</w:t>
            </w:r>
          </w:p>
        </w:tc>
        <w:tc>
          <w:tcPr>
            <w:tcW w:w="4180" w:type="dxa"/>
            <w:vAlign w:val="bottom"/>
          </w:tcPr>
          <w:p>
            <w:pPr>
              <w:jc w:val="center"/>
              <w:ind w:left="14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4680" w:type="dxa"/>
            <w:vAlign w:val="bottom"/>
          </w:tcPr>
          <w:p>
            <w:pPr>
              <w:jc w:val="center"/>
              <w:ind w:right="1470"/>
              <w:spacing w:after="0"/>
              <w:rPr>
                <w:sz w:val="20"/>
                <w:szCs w:val="20"/>
                <w:color w:val="auto"/>
              </w:rPr>
            </w:pPr>
            <w:r>
              <w:rPr>
                <w:rFonts w:ascii="Arial" w:cs="Arial" w:eastAsia="Arial" w:hAnsi="Arial"/>
                <w:sz w:val="18"/>
                <w:szCs w:val="18"/>
                <w:color w:val="auto"/>
                <w:w w:val="92"/>
              </w:rPr>
              <w:t>or organization)</w:t>
            </w:r>
          </w:p>
        </w:tc>
        <w:tc>
          <w:tcPr>
            <w:tcW w:w="4180" w:type="dxa"/>
            <w:vAlign w:val="bottom"/>
          </w:tcPr>
          <w:p>
            <w:pPr>
              <w:spacing w:after="0"/>
              <w:rPr>
                <w:sz w:val="20"/>
                <w:szCs w:val="20"/>
                <w:color w:val="auto"/>
              </w:rPr>
            </w:pPr>
          </w:p>
        </w:tc>
      </w:tr>
      <w:tr>
        <w:trPr>
          <w:trHeight w:val="414"/>
        </w:trPr>
        <w:tc>
          <w:tcPr>
            <w:tcW w:w="46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28903 North Avenue Paine</w:t>
            </w:r>
          </w:p>
        </w:tc>
        <w:tc>
          <w:tcPr>
            <w:tcW w:w="4180" w:type="dxa"/>
            <w:vAlign w:val="bottom"/>
          </w:tcPr>
          <w:p>
            <w:pPr>
              <w:jc w:val="right"/>
              <w:ind w:right="990"/>
              <w:spacing w:after="0"/>
              <w:rPr>
                <w:sz w:val="20"/>
                <w:szCs w:val="20"/>
                <w:color w:val="auto"/>
              </w:rPr>
            </w:pPr>
            <w:r>
              <w:rPr>
                <w:rFonts w:ascii="Arial" w:cs="Arial" w:eastAsia="Arial" w:hAnsi="Arial"/>
                <w:sz w:val="18"/>
                <w:szCs w:val="18"/>
                <w:b w:val="1"/>
                <w:bCs w:val="1"/>
                <w:color w:val="auto"/>
              </w:rPr>
              <w:t>91355</w:t>
            </w:r>
          </w:p>
        </w:tc>
      </w:tr>
      <w:tr>
        <w:trPr>
          <w:trHeight w:val="220"/>
        </w:trPr>
        <w:tc>
          <w:tcPr>
            <w:tcW w:w="46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2"/>
              </w:rPr>
              <w:t>Valencia, California</w:t>
            </w:r>
          </w:p>
        </w:tc>
        <w:tc>
          <w:tcPr>
            <w:tcW w:w="418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r>
        <w:trPr>
          <w:trHeight w:val="230"/>
        </w:trPr>
        <w:tc>
          <w:tcPr>
            <w:tcW w:w="468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4180" w:type="dxa"/>
            <w:vAlign w:val="bottom"/>
          </w:tcPr>
          <w:p>
            <w:pPr>
              <w:spacing w:after="0"/>
              <w:rPr>
                <w:sz w:val="20"/>
                <w:szCs w:val="20"/>
                <w:color w:val="auto"/>
              </w:rPr>
            </w:pPr>
          </w:p>
        </w:tc>
      </w:tr>
    </w:tbl>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Act. (Check one):</w:t>
      </w:r>
    </w:p>
    <w:p>
      <w:pPr>
        <w:spacing w:after="0" w:line="1" w:lineRule="exact"/>
        <w:rPr>
          <w:sz w:val="20"/>
          <w:szCs w:val="20"/>
          <w:color w:val="auto"/>
        </w:rPr>
      </w:pPr>
    </w:p>
    <w:p>
      <w:pPr>
        <w:ind w:right="2800" w:firstLine="3076"/>
        <w:spacing w:after="0" w:line="287" w:lineRule="exact"/>
        <w:rPr>
          <w:sz w:val="20"/>
          <w:szCs w:val="20"/>
          <w:color w:val="auto"/>
        </w:rPr>
      </w:pPr>
      <w:r>
        <w:rPr>
          <w:rFonts w:ascii="Arial" w:cs="Arial" w:eastAsia="Arial" w:hAnsi="Arial"/>
          <w:sz w:val="16"/>
          <w:szCs w:val="16"/>
          <w:color w:val="auto"/>
        </w:rPr>
        <w:t xml:space="preserve">Large accelerated filer o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o 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As of April 27, 2006, there were 49,632,720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22" w:right="5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MANNKIND CORPORATION</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Quarterly Period Ended March 31, 2006</w:t>
      </w:r>
    </w:p>
    <w:p>
      <w:pPr>
        <w:spacing w:after="0" w:line="20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 March 31, 2006 and December 31, 2005</w:t>
        </w:r>
      </w:hyperlink>
    </w:p>
    <w:p>
      <w:pPr>
        <w:spacing w:after="0" w:line="9" w:lineRule="exact"/>
        <w:rPr>
          <w:sz w:val="20"/>
          <w:szCs w:val="20"/>
          <w:color w:val="auto"/>
        </w:rPr>
      </w:pPr>
    </w:p>
    <w:p>
      <w:pPr>
        <w:ind w:left="220" w:right="259" w:hanging="202"/>
        <w:spacing w:after="0" w:line="250"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 Three months ended March 31, 2006 and 2005 and the period from inception (February 14, 1991)</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to March 31, 2006</w:t>
        </w:r>
      </w:hyperlink>
    </w:p>
    <w:p>
      <w:pPr>
        <w:spacing w:after="0" w:line="1" w:lineRule="exact"/>
        <w:rPr>
          <w:sz w:val="20"/>
          <w:szCs w:val="20"/>
          <w:color w:val="auto"/>
        </w:rPr>
      </w:pPr>
    </w:p>
    <w:p>
      <w:pPr>
        <w:ind w:left="220" w:right="199" w:hanging="202"/>
        <w:spacing w:after="0" w:line="25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 Three months ended March 31, 2006 and 2005 and the period from inception (February 14, 1991)</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to March 31, 2006</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p>
      <w:pPr>
        <w:spacing w:after="0" w:line="9" w:lineRule="exact"/>
        <w:rPr>
          <w:sz w:val="20"/>
          <w:szCs w:val="20"/>
          <w:color w:val="auto"/>
        </w:rPr>
      </w:pPr>
    </w:p>
    <w:p>
      <w:pPr>
        <w:ind w:right="3199"/>
        <w:spacing w:after="0" w:line="250" w:lineRule="auto"/>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2.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22">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23">
        <w:r>
          <w:rPr>
            <w:rFonts w:ascii="Arial" w:cs="Arial" w:eastAsia="Arial" w:hAnsi="Arial"/>
            <w:sz w:val="18"/>
            <w:szCs w:val="18"/>
            <w:u w:val="single" w:color="auto"/>
            <w:color w:val="0000EE"/>
          </w:rPr>
          <w:t>Item 4. Controls and Procedures</w:t>
        </w:r>
      </w:hyperlink>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PART II: 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1. Legal Proceedings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1A. Risk Factors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2. Unregistered Sales of Equity Securities and Use of Proceeds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3. Defaults Upon Senior Securities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4. Submission of Matters to a Vote of Security Holders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5. Other Information</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6. Exhibits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Signature</w:t>
        </w:r>
      </w:hyperlink>
    </w:p>
    <w:p>
      <w:pPr>
        <w:spacing w:after="0" w:line="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31.1</w:t>
      </w:r>
    </w:p>
    <w:p>
      <w:pPr>
        <w:spacing w:after="0" w:line="7"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9" w:lineRule="exact"/>
        <w:rPr>
          <w:rFonts w:ascii="Arial" w:cs="Arial" w:eastAsia="Arial" w:hAnsi="Arial"/>
          <w:sz w:val="18"/>
          <w:szCs w:val="18"/>
          <w:u w:val="single" w:color="auto"/>
          <w:color w:val="0000EE"/>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86" w:lineRule="exact"/>
        <w:rPr>
          <w:rFonts w:ascii="Arial" w:cs="Arial" w:eastAsia="Arial" w:hAnsi="Arial"/>
          <w:sz w:val="18"/>
          <w:szCs w:val="18"/>
          <w:u w:val="single" w:color="auto"/>
          <w:color w:val="0000EE"/>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ITEM 1.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rPr>
              <w:t>March 31, 2006</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1"/>
              </w:rPr>
              <w:t>(unaudited)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45,889</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56,700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89,597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research and development credit exchange receivable — current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109,540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80,289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191,991</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228,371</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4,008</w:t>
            </w:r>
          </w:p>
        </w:tc>
        <w:tc>
          <w:tcPr>
            <w:tcW w:w="320" w:type="dxa"/>
            <w:vAlign w:val="bottom"/>
          </w:tcPr>
          <w:p>
            <w:pPr>
              <w:spacing w:after="0"/>
              <w:rPr>
                <w:sz w:val="18"/>
                <w:szCs w:val="18"/>
                <w:color w:val="auto"/>
              </w:rPr>
            </w:pP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20,249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24,257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at March 31, 2006 and December 31, 2005</w:t>
            </w: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spacing w:after="0" w:line="201" w:lineRule="exact"/>
              <w:rPr>
                <w:sz w:val="20"/>
                <w:szCs w:val="20"/>
                <w:color w:val="auto"/>
              </w:rPr>
            </w:pPr>
            <w:r>
              <w:rPr>
                <w:rFonts w:ascii="Arial" w:cs="Arial" w:eastAsia="Arial" w:hAnsi="Arial"/>
                <w:sz w:val="18"/>
                <w:szCs w:val="18"/>
                <w:color w:val="auto"/>
                <w:w w:val="98"/>
              </w:rPr>
              <w:t>Common stock, $0.01 par value — 90,000,000 shares authorized; 49,629,518 and 50,314,108 shares issued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and outstanding at March 31, 2006 and December 31, 2005, respectively</w:t>
            </w:r>
          </w:p>
        </w:tc>
        <w:tc>
          <w:tcPr>
            <w:tcW w:w="10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496</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768,074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763,775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tcPr>
          <w:p>
            <w:pPr>
              <w:spacing w:after="0"/>
              <w:rPr>
                <w:sz w:val="19"/>
                <w:szCs w:val="19"/>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(600,860)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(557,301)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167,710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191,991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6"/>
            <w:vMerge w:val="restart"/>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2005</w:t>
            </w: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18,696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9,138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3,951</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45,088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22,647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612,617</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(44,988)</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(22,647)</w:t>
            </w: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w w:val="92"/>
              </w:rPr>
              <w:t>(43,558)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(22,161)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220" w:type="dxa"/>
            <w:vAlign w:val="bottom"/>
            <w:gridSpan w:val="3"/>
          </w:tcPr>
          <w:p>
            <w:pPr>
              <w:jc w:val="right"/>
              <w:ind w:right="50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w w:val="92"/>
              </w:rPr>
              <w:t>(43,559)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(22,162)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Deemed dividend related to beneficial conversion feature of convertible preferred stock</w:t>
            </w:r>
          </w:p>
        </w:tc>
        <w:tc>
          <w:tcPr>
            <w:tcW w:w="100" w:type="dxa"/>
            <w:vAlign w:val="bottom"/>
          </w:tcPr>
          <w:p>
            <w:pPr>
              <w:spacing w:after="0"/>
              <w:rPr>
                <w:sz w:val="18"/>
                <w:szCs w:val="18"/>
                <w:color w:val="auto"/>
              </w:rPr>
            </w:pPr>
          </w:p>
        </w:tc>
        <w:tc>
          <w:tcPr>
            <w:tcW w:w="1220" w:type="dxa"/>
            <w:vAlign w:val="bottom"/>
            <w:gridSpan w:val="3"/>
          </w:tcPr>
          <w:p>
            <w:pPr>
              <w:jc w:val="right"/>
              <w:ind w:right="5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(43,559</w:t>
            </w:r>
          </w:p>
        </w:tc>
        <w:tc>
          <w:tcPr>
            <w:tcW w:w="640" w:type="dxa"/>
            <w:vAlign w:val="bottom"/>
            <w:gridSpan w:val="2"/>
          </w:tcPr>
          <w:p>
            <w:pPr>
              <w:jc w:val="right"/>
              <w:ind w:right="50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(22,162</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applicable to common 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w w:val="97"/>
              </w:rPr>
              <w:t>Shares used to compute basic and diluted net loss per share applicable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49,787</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40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240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6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6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1120" w:type="dxa"/>
            <w:vAlign w:val="bottom"/>
            <w:gridSpan w:val="2"/>
          </w:tcPr>
          <w:p>
            <w:pPr>
              <w:jc w:val="center"/>
              <w:ind w:left="211"/>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w w:val="87"/>
              </w:rPr>
              <w:t>$ (43,559)</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w w:val="87"/>
              </w:rPr>
              <w:t>$ (22,162)</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 (600,860)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2,000</w:t>
            </w:r>
          </w:p>
        </w:tc>
        <w:tc>
          <w:tcPr>
            <w:tcW w:w="66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1,811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 (benefit)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3,711</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(685)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Accrued interest on investments, net of amortization of premiums</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sale and abandonment/disposal of property and equipment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In-process research and development</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Discount on stockholder notes below market rate</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Non-cash compensation expense of officer resulting from stockholder contribution</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expense on notes payable to stockholders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Non-cash interest expense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on notes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available-for-sale securities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Changes in assets and liabilities:</w:t>
            </w: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State research and development credit exchange receivable</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306</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(366)</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(2,863)</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238</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134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(142)</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461</w:t>
            </w: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1,618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6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(5)</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(28)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of deferred compensation</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ind w:left="60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(37,323)</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(20,294)</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(16,250)</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(66,900)</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(418,968)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Sales of marketable securities</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48,950</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33,495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361,990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340" w:type="dxa"/>
            <w:vAlign w:val="bottom"/>
            <w:gridSpan w:val="2"/>
          </w:tcPr>
          <w:p>
            <w:pPr>
              <w:jc w:val="right"/>
              <w:ind w:right="528"/>
              <w:spacing w:after="0"/>
              <w:rPr>
                <w:sz w:val="20"/>
                <w:szCs w:val="20"/>
                <w:color w:val="auto"/>
              </w:rPr>
            </w:pPr>
            <w:r>
              <w:rPr>
                <w:rFonts w:ascii="Arial" w:cs="Arial" w:eastAsia="Arial" w:hAnsi="Arial"/>
                <w:sz w:val="18"/>
                <w:szCs w:val="18"/>
                <w:color w:val="auto"/>
              </w:rPr>
              <w:t>(6,106)</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(3,393)</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(116,475)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Restricted cash</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(used in) investing activities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26,594</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(36,704)</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(173,271)</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8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for cash</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581</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13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Cash received for common stock to be issued</w:t>
            </w:r>
          </w:p>
        </w:tc>
        <w:tc>
          <w:tcPr>
            <w:tcW w:w="13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391"/>
        </w:trPr>
        <w:tc>
          <w:tcPr>
            <w:tcW w:w="7800" w:type="dxa"/>
            <w:vAlign w:val="bottom"/>
            <w:gridSpan w:val="2"/>
          </w:tcPr>
          <w:p>
            <w:pPr>
              <w:jc w:val="right"/>
              <w:ind w:right="1950"/>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6"/>
            <w:vMerge w:val="restart"/>
          </w:tcPr>
          <w:p>
            <w:pPr>
              <w:jc w:val="center"/>
              <w:ind w:right="48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6"/>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Put shares sold to majority stockholder</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lines of credit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Proceeds from notes receivables</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570,082</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(10,148)</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(56,898)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56,037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78,987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45,889</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22,089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DISCLOSURES: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 in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Issuance of put option by stockholder</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Put option redemption by stockholder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Notes receivable by stockholder issued to officers</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100" w:type="dxa"/>
            <w:vAlign w:val="bottom"/>
          </w:tcPr>
          <w:p>
            <w:pPr>
              <w:spacing w:after="0"/>
              <w:rPr>
                <w:sz w:val="18"/>
                <w:szCs w:val="18"/>
                <w:color w:val="auto"/>
              </w:rPr>
            </w:pP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$15,000,000 and $50,000,000,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MANNKIND CORPORATION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Development Stage Company)</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accompanying unaudited consolidated financial statements of MannKind Corporation (the “Company”), have been prepared in accordance with generally accepted accounting principles in the United States of America for interim financial information and with the instructions to Form 10-Q and Article 10 of Regulation S-X of the Securities and Exchange Commission (the “SEC”). Accordingly, they do not include all of the information and footnotes required by generally accepted accounting principles in the United States of America for complete financial statements. These statements should be read in conjunction with the consolidated financial statements and notes thereto included in the Company’s latest audited annual financial statements. The audited statements for the year ended December 31, 2005 are included in the annual report on Form 10-K for the fiscal year ended December 31, 2005 filed with the SEC on March 16, 2006.</w:t>
      </w:r>
    </w:p>
    <w:p>
      <w:pPr>
        <w:spacing w:after="0" w:line="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months ended March 31, 2006 may not be indicative of the results that may be expected for the full year.</w:t>
      </w:r>
    </w:p>
    <w:p>
      <w:pPr>
        <w:spacing w:after="0" w:line="7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50"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b w:val="1"/>
          <w:bCs w:val="1"/>
          <w:i w:val="1"/>
          <w:iCs w:val="1"/>
          <w:color w:val="auto"/>
        </w:rPr>
        <w:t xml:space="preserve">Business </w:t>
      </w:r>
      <w:r>
        <w:rPr>
          <w:rFonts w:ascii="Arial" w:cs="Arial" w:eastAsia="Arial" w:hAnsi="Arial"/>
          <w:sz w:val="17"/>
          <w:szCs w:val="17"/>
          <w:color w:val="auto"/>
        </w:rPr>
        <w:t>— MannKind Corporation is a biopharmaceutical company focused on the development and commercialization of therapeutic products for diseases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as diabetes and cancer. The Company’s lead investigational product candidate, the Technosphere Insulin System, is currently in Phase 3 clinical trials in the U.S. and Europe to study its safety and efficacy in the treatment of diabetes. The Technosphere Insulin System consists of the Company’s proprietary dry-powder Technosphere formulation of insulin that is inhaled deep into the lung using the Company’s MedTone inhaler.</w:t>
      </w:r>
    </w:p>
    <w:p>
      <w:pPr>
        <w:spacing w:after="0" w:line="6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auto"/>
        </w:rPr>
        <w:t xml:space="preserve">Basis of Presentation </w:t>
      </w:r>
      <w:r>
        <w:rPr>
          <w:rFonts w:ascii="Arial" w:cs="Arial" w:eastAsia="Arial" w:hAnsi="Arial"/>
          <w:sz w:val="16"/>
          <w:szCs w:val="16"/>
          <w:color w:val="auto"/>
        </w:rPr>
        <w:t>— The Company is considered to be in the development stage as its primary activities since incorporation have been establishing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recruiting personnel, conducting research and development, business development, business and financial planning, and raising capital. Since its inception through March 31, 2006 the Company has reported accumulated net losses of $600.9 million, which include a goodwill impairment charge of $151.4 million, and negative cash flow from operations of $350.9 million. It is costly to develop therapeutic products and conduct clinical trials for these products. Based upon the Company’s current expectations, management believes the Company’s existing capital resources will enable it to continue planned operations into the third quarter of 2006. However, the Company cannot provide assurances that its plans will not change or that changed circumstances will not result in the depletion of its capital resources more rapidly than it currently anticipates. Accordingly, the Company expects that it will need to raise additional capital, either through the sale of equity and/or debt securities, a strategic business collaboration with a pharmaceutical company or the establishment of other funding facilities, in order to continue the development and commercialization of its Technosphere Insulin System and other product candidates and to support its other ongoing activities. If planned operating results are not achieved or the Company is not successful in raising additional capital, management believes that planned expenditures could be reduced or eliminated in a relatively short period to continue activities, on a reduced basis, through the first quarter of 2007. Additionally, the Company’s principal stockholder has given assurances that he will provide additional funding for the Company’s operations, if necessary, through the first quarter of 2007.</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 Certain reclassifications have been made to the prior years’ financial statements to conform to the 2006 presentation.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Reverse Stock Split </w:t>
      </w:r>
      <w:r>
        <w:rPr>
          <w:rFonts w:ascii="Arial" w:cs="Arial" w:eastAsia="Arial" w:hAnsi="Arial"/>
          <w:sz w:val="18"/>
          <w:szCs w:val="18"/>
          <w:color w:val="auto"/>
        </w:rPr>
        <w:t>— On May 27, 2004, the Company’s board of directors approved a one-for-three reverse stock split, which was effected on July 22, 2004.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common share and per common share amounts in the consolidated financial statements and notes to financial statements have been adjusted for all periods that are presented prior to July 22, 2004 to give effect to the reverse stock split,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including reclassifying an amount equal to the reduction in par value to additional paid-in capital.</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Segment Information </w:t>
      </w:r>
      <w:r>
        <w:rPr>
          <w:rFonts w:ascii="Arial" w:cs="Arial" w:eastAsia="Arial" w:hAnsi="Arial"/>
          <w:sz w:val="16"/>
          <w:szCs w:val="16"/>
          <w:color w:val="auto"/>
        </w:rPr>
        <w:t>— In accordance with Statement of Financial Accounting Standards (“SFAS”) No. 131,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Disclosures about Segments of an Enterprise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and Related Information</w:t>
      </w:r>
      <w:r>
        <w:rPr>
          <w:rFonts w:ascii="Arial" w:cs="Arial" w:eastAsia="Arial" w:hAnsi="Arial"/>
          <w:sz w:val="16"/>
          <w:szCs w:val="16"/>
          <w:color w:val="auto"/>
        </w:rPr>
        <w:t>, operating segments are identified as components of an enterprise about which separate discrete financial information is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evaluation by the chief operating decision-maker in making decisions regarding resource allocation and assessing performance. To date, the Company has viewed its operations and manages its business as one segment operating entirely in the United States of America.</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Financings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August 5, 2005, the Company completed a $175.0 million private placement of common stock and the concurrent issuance of warrants for the purchase of additional shares of common stock to accredited investors including the Company’s principal stockholder who purchased $87.3 million of the private placement. The Company sold 17,132,000 shares of common stock in the private placement, together with warrants to purchase up to 3,426,000 shares of common stock at an exercise price of $12.228 per share. In connection with this private placement, the Company paid $4.5 million in commissions to the placement agents and incurred $0.3 million in other offering expenses which resulted in net proceeds of approximately $170.2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As of</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As of</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 2006</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Cost basis</w:t>
            </w:r>
          </w:p>
        </w:tc>
        <w:tc>
          <w:tcPr>
            <w:tcW w:w="6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Fair value</w:t>
            </w:r>
          </w:p>
        </w:tc>
        <w:tc>
          <w:tcPr>
            <w:tcW w:w="660" w:type="dxa"/>
            <w:vAlign w:val="bottom"/>
          </w:tcPr>
          <w:p>
            <w:pPr>
              <w:spacing w:after="0"/>
              <w:rPr>
                <w:sz w:val="12"/>
                <w:szCs w:val="12"/>
                <w:color w:val="auto"/>
              </w:rPr>
            </w:pPr>
          </w:p>
        </w:tc>
        <w:tc>
          <w:tcPr>
            <w:tcW w:w="78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0"/>
              </w:rPr>
              <w:t>Cost basis</w:t>
            </w:r>
          </w:p>
        </w:tc>
        <w:tc>
          <w:tcPr>
            <w:tcW w:w="5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Auction rate municipal bonds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52,800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52,800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89,597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89,597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Auction rate preferreds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3,900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56,700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56,700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89,597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89,597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Company’s policy is to maintain a highly liquid short-term investment portfolio. The contractual maturities for auction rate municipal bonds at March 31, 2006 are between 22 and 40 years. Despite the long-term nature of their stated contractual maturities, the Company has the ability to quickly liquidate these securities. Proceeds from the sale and maturities of available-for-sale securities amounted to approximately $49.0 million and $33.5 million for the three months ended March 31, 2006 and 2005, respectively. Gross realized gains and losses for available-for-sale securities were insignificant for the three months ended March 31, 2006 and 2005. Gross realized gains and losses for available-for-sale securities are recorded as other income (expense). The cost of securities sold is based on the specific identification method. Unrealized gains and losses for available-for-sale securities as of the periods presented in the table above were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12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On January 1, 2006, the Company adopted the provisions of SFAS No. 123R (“SFAS No. 123R”), </w:t>
      </w:r>
      <w:r>
        <w:rPr>
          <w:rFonts w:ascii="Arial" w:cs="Arial" w:eastAsia="Arial" w:hAnsi="Arial"/>
          <w:sz w:val="16"/>
          <w:szCs w:val="16"/>
          <w:i w:val="1"/>
          <w:iCs w:val="1"/>
          <w:color w:val="auto"/>
        </w:rPr>
        <w:t>Share-based Payment: an Amendment of FASB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No. 123 and 95</w:t>
      </w:r>
      <w:r>
        <w:rPr>
          <w:rFonts w:ascii="Arial" w:cs="Arial" w:eastAsia="Arial" w:hAnsi="Arial"/>
          <w:sz w:val="16"/>
          <w:szCs w:val="16"/>
          <w:color w:val="auto"/>
        </w:rPr>
        <w:t>, which is a revision of SFAS No. 123 (“SFAS No. 123”),</w:t>
      </w:r>
      <w:r>
        <w:rPr>
          <w:rFonts w:ascii="Arial" w:cs="Arial" w:eastAsia="Arial" w:hAnsi="Arial"/>
          <w:sz w:val="16"/>
          <w:szCs w:val="16"/>
          <w:i w:val="1"/>
          <w:iCs w:val="1"/>
          <w:color w:val="auto"/>
        </w:rPr>
        <w:t xml:space="preserve"> Accounting for Stock-Based Compensation</w:t>
      </w:r>
      <w:r>
        <w:rPr>
          <w:rFonts w:ascii="Arial" w:cs="Arial" w:eastAsia="Arial" w:hAnsi="Arial"/>
          <w:sz w:val="16"/>
          <w:szCs w:val="16"/>
          <w:color w:val="auto"/>
        </w:rPr>
        <w:t>. Prior to January 1, 2006,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accounted for employee stock options and the employee stock purchase plan using the intrinsic value method in accordance with Accounting Principles Board (“APB”) Opinion No. 25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adopted the disclosure only alternative of SFAS No. 123. SFAS No. 123R eliminated the intrinsic value method of accounting for stock options which the Company followed until December 31, 2005. Further, SFAS</w:t>
      </w:r>
    </w:p>
    <w:p>
      <w:pPr>
        <w:spacing w:after="0" w:line="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No. 123R requires all share-based payments to employees, including grants of stock options and the compensatory elements of employee stock purchase plans, to be recognized in the income statement based upon the fair value of the awards at the grant date.</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adoption of SFAS No. 123R, the Company selected the modified prospective transition method whereby unvested awards at the date of adoption as well as awards that are granted, modified, or settled after the date of adoption will be measured and accounted for in accordance with SFAS No. 123R. Measurement and attribution of compensation cost for awards unvested as of January 1, 2006 is based on the same estimate of the grant-date or modification-date fair value and the same attribution method (straight-line) used previously under SFAS No. 123.</w:t>
      </w:r>
    </w:p>
    <w:p>
      <w:pPr>
        <w:spacing w:after="0" w:line="7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the three months ended March 31, 2006, the adoption of SFAS No. 123R resulted in stock-based compensation expense of $3.7 million which caused loss before provision for income taxes to increase by $3.7 million and basic and diluted net loss per share applicable to common stockholders to increase by $0.07 per share. The following table presents stock-based compensation expense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included in operating expenses for the three months ended March 31, 2006 and the pro forma stock-based compensation amounts that would have been included in the statements of operations for three months ended March 31, 2005 had stock-based compensation expense been determined in accordance with the fair value method prescribed by SFAS No. 123: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8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Stock-based employee compensation expense determined under the fair value based method for all awards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Fair value of discount on employee stock purchase plan</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employee compensation expense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0"/>
        </w:trPr>
        <w:tc>
          <w:tcPr>
            <w:tcW w:w="8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tcPr>
          <w:p>
            <w:pPr>
              <w:spacing w:after="0"/>
              <w:rPr>
                <w:sz w:val="20"/>
                <w:szCs w:val="20"/>
                <w:color w:val="auto"/>
              </w:rPr>
            </w:pPr>
            <w:r>
              <w:rPr>
                <w:rFonts w:ascii="Arial" w:cs="Arial" w:eastAsia="Arial" w:hAnsi="Arial"/>
                <w:sz w:val="18"/>
                <w:szCs w:val="18"/>
                <w:color w:val="auto"/>
              </w:rPr>
              <w:t>Net loss — as reported</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 Stock-based employee compensation expense (benefit) included in reported net loss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Deduct: Stock-based compensation expense determined under fair value method</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 pro forma</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(26,223)</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reported</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 forma</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The fair value of each option is estimated on the grant date or modification date, if any, using the Black-Scholes option valuation model. The variables used by the Company for the three months ended March 31, 2006 and 2005 are disclosed in the following table. The risk-free rate for periods within the contractual life of the option is based on the U.S. Treasury yield curve in effect at the time of grant. The stock price volatility used is based on the historical volatility of the stock of several of the Company’s peers. The expected term is calculated using the “simplified” method, which is defined in Staff Accounting Bulletin No. 107, </w:t>
      </w:r>
      <w:r>
        <w:rPr>
          <w:rFonts w:ascii="Arial" w:cs="Arial" w:eastAsia="Arial" w:hAnsi="Arial"/>
          <w:sz w:val="16"/>
          <w:szCs w:val="16"/>
          <w:i w:val="1"/>
          <w:iCs w:val="1"/>
          <w:color w:val="auto"/>
        </w:rPr>
        <w:t>Topic 14: Share-based Payment</w:t>
      </w:r>
      <w:r>
        <w:rPr>
          <w:rFonts w:ascii="Arial" w:cs="Arial" w:eastAsia="Arial" w:hAnsi="Arial"/>
          <w:sz w:val="16"/>
          <w:szCs w:val="16"/>
          <w:color w:val="auto"/>
        </w:rPr>
        <w:t>, and is equal to one-half of the sum of the weighted average time to vest and the option’s contractual term.</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40" w:type="dxa"/>
            <w:vAlign w:val="bottom"/>
            <w:gridSpan w:val="3"/>
          </w:tcPr>
          <w:p>
            <w:pPr>
              <w:jc w:val="right"/>
              <w:ind w:right="799"/>
              <w:spacing w:after="0"/>
              <w:rPr>
                <w:sz w:val="20"/>
                <w:szCs w:val="20"/>
                <w:color w:val="auto"/>
              </w:rPr>
            </w:pPr>
            <w:r>
              <w:rPr>
                <w:rFonts w:ascii="Arial" w:cs="Arial" w:eastAsia="Arial" w:hAnsi="Arial"/>
                <w:sz w:val="14"/>
                <w:szCs w:val="14"/>
                <w:b w:val="1"/>
                <w:bCs w:val="1"/>
                <w:color w:val="auto"/>
                <w:w w:val="90"/>
              </w:rPr>
              <w:t>Three months ended</w:t>
            </w:r>
          </w:p>
        </w:tc>
      </w:tr>
      <w:tr>
        <w:trPr>
          <w:trHeight w:val="171"/>
        </w:trPr>
        <w:tc>
          <w:tcPr>
            <w:tcW w:w="84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2"/>
          </w:tcPr>
          <w:p>
            <w:pPr>
              <w:jc w:val="right"/>
              <w:ind w:right="1119"/>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8400" w:type="dxa"/>
            <w:vAlign w:val="bottom"/>
          </w:tcPr>
          <w:p>
            <w:pPr>
              <w:spacing w:after="0"/>
              <w:rPr>
                <w:sz w:val="12"/>
                <w:szCs w:val="12"/>
                <w:color w:val="auto"/>
              </w:rPr>
            </w:pPr>
          </w:p>
        </w:tc>
        <w:tc>
          <w:tcPr>
            <w:tcW w:w="8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tcBorders>
              <w:bottom w:val="single" w:sz="8" w:color="auto"/>
            </w:tcBorders>
          </w:tcPr>
          <w:p>
            <w:pPr>
              <w:jc w:val="right"/>
              <w:ind w:right="519"/>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14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3.43%-3.89%</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Dividend yield</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140" w:type="dxa"/>
            <w:vAlign w:val="bottom"/>
            <w:gridSpan w:val="3"/>
          </w:tcPr>
          <w:p>
            <w:pPr>
              <w:jc w:val="right"/>
              <w:ind w:right="99"/>
              <w:spacing w:after="0"/>
              <w:rPr>
                <w:sz w:val="20"/>
                <w:szCs w:val="20"/>
                <w:color w:val="auto"/>
              </w:rPr>
            </w:pPr>
            <w:r>
              <w:rPr>
                <w:rFonts w:ascii="Arial" w:cs="Arial" w:eastAsia="Arial" w:hAnsi="Arial"/>
                <w:sz w:val="18"/>
                <w:szCs w:val="18"/>
                <w:color w:val="auto"/>
              </w:rPr>
              <w:t>0%</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14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100%</w:t>
            </w:r>
          </w:p>
        </w:tc>
      </w:tr>
      <w:tr>
        <w:trPr>
          <w:trHeight w:val="230"/>
        </w:trPr>
        <w:tc>
          <w:tcPr>
            <w:tcW w:w="8400" w:type="dxa"/>
            <w:vAlign w:val="bottom"/>
          </w:tcPr>
          <w:p>
            <w:pPr>
              <w:spacing w:after="0"/>
              <w:rPr>
                <w:sz w:val="20"/>
                <w:szCs w:val="20"/>
                <w:color w:val="auto"/>
              </w:rPr>
            </w:pPr>
            <w:r>
              <w:rPr>
                <w:rFonts w:ascii="Arial" w:cs="Arial" w:eastAsia="Arial" w:hAnsi="Arial"/>
                <w:sz w:val="18"/>
                <w:szCs w:val="18"/>
                <w:color w:val="auto"/>
              </w:rPr>
              <w:t>Weighted average expected life</w:t>
            </w:r>
          </w:p>
        </w:tc>
        <w:tc>
          <w:tcPr>
            <w:tcW w:w="880" w:type="dxa"/>
            <w:vAlign w:val="bottom"/>
          </w:tcPr>
          <w:p>
            <w:pPr>
              <w:jc w:val="right"/>
              <w:spacing w:after="0"/>
              <w:rPr>
                <w:sz w:val="20"/>
                <w:szCs w:val="20"/>
                <w:color w:val="auto"/>
              </w:rPr>
            </w:pPr>
            <w:r>
              <w:rPr>
                <w:rFonts w:ascii="Arial" w:cs="Arial" w:eastAsia="Arial" w:hAnsi="Arial"/>
                <w:sz w:val="18"/>
                <w:szCs w:val="18"/>
                <w:color w:val="auto"/>
              </w:rPr>
              <w:t>6.08 years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80" w:type="dxa"/>
            <w:vAlign w:val="bottom"/>
          </w:tcPr>
          <w:p>
            <w:pPr>
              <w:jc w:val="right"/>
              <w:ind w:right="299"/>
              <w:spacing w:after="0"/>
              <w:rPr>
                <w:sz w:val="20"/>
                <w:szCs w:val="20"/>
                <w:color w:val="auto"/>
              </w:rPr>
            </w:pPr>
            <w:r>
              <w:rPr>
                <w:rFonts w:ascii="Arial" w:cs="Arial" w:eastAsia="Arial" w:hAnsi="Arial"/>
                <w:sz w:val="18"/>
                <w:szCs w:val="18"/>
                <w:color w:val="auto"/>
              </w:rPr>
              <w:t>4.00 years</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(benefit) recognized in the accompanying statements of operations is as follows (in thousands):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Three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w:t>
            </w:r>
          </w:p>
        </w:tc>
        <w:tc>
          <w:tcPr>
            <w:tcW w:w="4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Consultant-related</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3,711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Equity Incentive Plan</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Company’s 2004 Equity Incentive Plan (the “Plan”) provides for the granting of stock awards including stock options and restricted stock units, to employees, directors and consultants.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Company’s board of directors determines eligibility, vesting schedules and exercise prices for stock awards granted under the Plan. Options and other stock awards under the Plan expire not more than ten years from the date of the grant and are exercisable upon vesting. Stock options generally vest over four years. Current stock option grants vest and become exercisable at the rate of 25% after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one year and ratably on a monthly basis over a period of 36 months thereafter. Restricted stock units generally vest over four years with consideration satisfied by service to the Company. The Plan provides for full acceleration of vesting if an employee is terminated within thirteen months of a change in control, as defined.</w:t>
      </w:r>
    </w:p>
    <w:p>
      <w:pPr>
        <w:spacing w:after="0" w:line="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February 16, 2006, the Company granted new hire stock options to purchase 153,480 shares of common stock at an exercise price of $16.13 per share and granted 247,554 restricted stock units. Stock options vest and become exercisable at the rate of 25% after one year and ratably on a monthly basis over a period of 36 months thereafter. Restricted stock units generally vest over four years with consideration satisfied by service to the Company. The options were valued at $10.03 per option share and restricted stock units were valued at $16.13 per share, which was the fair market value of the common stock on the grant date. The compensation cost of the awards of approximately $5.1 million is being expensed over the respective service periods of the awards.</w:t>
      </w:r>
    </w:p>
    <w:p>
      <w:pPr>
        <w:spacing w:after="0" w:line="5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As of March 31, 2006, 4,150,052 options and 405,736 restricted stock units were outstanding under the Plan and an additional –206,346 shares of common stock were available for issuance under the Plan. In February 2006, the Company’s board of directors approved an increase of 4.0 million shares in the number of shares reserved under the Plan for future issuance subject to stockholder approval at the annual meeting of stockholders in May 2006.</w:t>
      </w:r>
    </w:p>
    <w:p>
      <w:pPr>
        <w:spacing w:after="0" w:line="3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2004, the Company’s board of directors and stockholders also approved the 2004 Non-Employee Directors’ Stock Option Plan. The plan provides for the automatic, non-discretionary grant of options to the Company’s non-employee directors. As of March 31, 2006, 267,500 options were outstanding under the plan and an additional 532,500 shares of common stock were available for issuance under the plan.</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two other stock award plans: the 1991 Stock Option Plan (the “1991 Plan”) and the 1999 Stock Plan (the “1999 Plan”). Both of these plans provide for the granting of stock options to directors, employees and consultants. As of March 31, 2006, 73,084 options were outstanding under the 1991 Plan and 170,695 options were outstanding under the 1999 Plan. There were no additional shares available for issuance under the 1991 Plan or the 1999 Plan at March 31, 2006.</w:t>
      </w:r>
    </w:p>
    <w:p>
      <w:pPr>
        <w:spacing w:after="0" w:line="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Prior to the merger of CTL and AlleCure into the Company, CTL had granted options to purchase shares of its common stock under its 2000 Stock Option and Stock Plan (the “CTL Plan”). Similarly, AlleCure had granted options to purchase shares of its common stock under its 2000 Stock Option and Stock Plan (the “AlleCure Plan”). Pursuant to the plans of reorganization and agreements of merger between the Company and each of CTL and AlleCure, the Company has assumed the obligation to issue shares of the Company’s common stock, at the exchange ratio agreed to in the merger agreement, upon the exercise of options granted under the CTL Plan and the AlleCure Plan. After the merger date, no further options were granted under either the CTL Plan or AlleCure Plan. As of March 31, 2006 there were an aggregate of 46,107 options outstanding under these plans.</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year ended December 31, 2002, the Company’s board of directors granted 240,972 options at an exercise price of $25.23 per share to an employee who is the principal stockholder. The options vest annually over four years. These options, which were not under any plan, were outstanding at March 31, 2006 and are included in the tables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5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5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Price Per</w:t>
            </w:r>
          </w:p>
        </w:tc>
        <w:tc>
          <w:tcPr>
            <w:tcW w:w="5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5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4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Value ($000)</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4,985,831</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$12.40</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Granted</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153,480</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16.13</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(59,878)</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9.41</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(93,120)</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12.79</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(37,903)</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19.97</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Outstanding at March 31, 2006</w:t>
            </w:r>
          </w:p>
        </w:tc>
        <w:tc>
          <w:tcPr>
            <w:tcW w:w="3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4,948,410</w:t>
            </w:r>
          </w:p>
        </w:tc>
        <w:tc>
          <w:tcPr>
            <w:tcW w:w="280" w:type="dxa"/>
            <w:vAlign w:val="bottom"/>
          </w:tcPr>
          <w:p>
            <w:pPr>
              <w:spacing w:after="0"/>
              <w:rPr>
                <w:sz w:val="19"/>
                <w:szCs w:val="19"/>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12.48</w:t>
            </w:r>
          </w:p>
        </w:tc>
        <w:tc>
          <w:tcPr>
            <w:tcW w:w="1400" w:type="dxa"/>
            <w:vAlign w:val="bottom"/>
            <w:gridSpan w:val="2"/>
          </w:tcPr>
          <w:p>
            <w:pPr>
              <w:jc w:val="center"/>
              <w:ind w:left="410"/>
              <w:spacing w:after="0"/>
              <w:rPr>
                <w:sz w:val="20"/>
                <w:szCs w:val="20"/>
                <w:color w:val="auto"/>
              </w:rPr>
            </w:pPr>
            <w:r>
              <w:rPr>
                <w:rFonts w:ascii="Arial" w:cs="Arial" w:eastAsia="Arial" w:hAnsi="Arial"/>
                <w:sz w:val="18"/>
                <w:szCs w:val="18"/>
                <w:color w:val="auto"/>
                <w:w w:val="87"/>
              </w:rPr>
              <w:t>7.3</w:t>
            </w:r>
          </w:p>
        </w:tc>
        <w:tc>
          <w:tcPr>
            <w:tcW w:w="1660" w:type="dxa"/>
            <w:vAlign w:val="bottom"/>
            <w:gridSpan w:val="2"/>
          </w:tcPr>
          <w:p>
            <w:pPr>
              <w:jc w:val="right"/>
              <w:ind w:right="268"/>
              <w:spacing w:after="0"/>
              <w:rPr>
                <w:sz w:val="20"/>
                <w:szCs w:val="20"/>
                <w:color w:val="auto"/>
              </w:rPr>
            </w:pPr>
            <w:r>
              <w:rPr>
                <w:rFonts w:ascii="Arial" w:cs="Arial" w:eastAsia="Arial" w:hAnsi="Arial"/>
                <w:sz w:val="18"/>
                <w:szCs w:val="18"/>
                <w:color w:val="auto"/>
              </w:rPr>
              <w:t>$39,389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1,990,923</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11.82</w:t>
            </w:r>
          </w:p>
        </w:tc>
        <w:tc>
          <w:tcPr>
            <w:tcW w:w="14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7"/>
              </w:rPr>
              <w:t>5.1</w:t>
            </w:r>
          </w:p>
        </w:tc>
        <w:tc>
          <w:tcPr>
            <w:tcW w:w="16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$17,182</w:t>
            </w:r>
          </w:p>
        </w:tc>
        <w:tc>
          <w:tcPr>
            <w:tcW w:w="0" w:type="dxa"/>
            <w:vAlign w:val="bottom"/>
          </w:tcPr>
          <w:p>
            <w:pPr>
              <w:spacing w:after="0"/>
              <w:rPr>
                <w:sz w:val="1"/>
                <w:szCs w:val="1"/>
                <w:color w:val="auto"/>
              </w:rPr>
            </w:pPr>
          </w:p>
        </w:tc>
      </w:tr>
      <w:tr>
        <w:trPr>
          <w:trHeight w:val="405"/>
        </w:trPr>
        <w:tc>
          <w:tcPr>
            <w:tcW w:w="5500" w:type="dxa"/>
            <w:vAlign w:val="bottom"/>
          </w:tcPr>
          <w:p>
            <w:pPr>
              <w:spacing w:after="0"/>
              <w:rPr>
                <w:sz w:val="24"/>
                <w:szCs w:val="24"/>
                <w:color w:val="auto"/>
              </w:rPr>
            </w:pPr>
          </w:p>
        </w:tc>
        <w:tc>
          <w:tcPr>
            <w:tcW w:w="1040" w:type="dxa"/>
            <w:vAlign w:val="bottom"/>
            <w:gridSpan w:val="2"/>
          </w:tcPr>
          <w:p>
            <w:pPr>
              <w:jc w:val="right"/>
              <w:ind w:right="664"/>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A summary of restricted stock units activity under the plan as of March 31, 2006, and changes during the three months then ended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5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4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Fair value</w:t>
            </w:r>
          </w:p>
        </w:tc>
        <w:tc>
          <w:tcPr>
            <w:tcW w:w="5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4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Value ($000)</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164,901</w:t>
            </w:r>
          </w:p>
        </w:tc>
        <w:tc>
          <w:tcPr>
            <w:tcW w:w="15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$11.00</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Granted</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247,554</w:t>
            </w:r>
          </w:p>
        </w:tc>
        <w:tc>
          <w:tcPr>
            <w:tcW w:w="1560" w:type="dxa"/>
            <w:vAlign w:val="bottom"/>
            <w:gridSpan w:val="2"/>
          </w:tcPr>
          <w:p>
            <w:pPr>
              <w:jc w:val="right"/>
              <w:ind w:right="244"/>
              <w:spacing w:after="0"/>
              <w:rPr>
                <w:sz w:val="20"/>
                <w:szCs w:val="20"/>
                <w:color w:val="auto"/>
              </w:rPr>
            </w:pPr>
            <w:r>
              <w:rPr>
                <w:rFonts w:ascii="Arial" w:cs="Arial" w:eastAsia="Arial" w:hAnsi="Arial"/>
                <w:sz w:val="18"/>
                <w:szCs w:val="18"/>
                <w:color w:val="auto"/>
              </w:rPr>
              <w:t>16.13</w:t>
            </w: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(6,719)</w:t>
            </w:r>
          </w:p>
        </w:tc>
        <w:tc>
          <w:tcPr>
            <w:tcW w:w="156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11.41</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Outstanding at March 31, 2006</w:t>
            </w:r>
          </w:p>
        </w:tc>
        <w:tc>
          <w:tcPr>
            <w:tcW w:w="2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405,736</w:t>
            </w:r>
          </w:p>
        </w:tc>
        <w:tc>
          <w:tcPr>
            <w:tcW w:w="300" w:type="dxa"/>
            <w:vAlign w:val="bottom"/>
          </w:tcPr>
          <w:p>
            <w:pPr>
              <w:spacing w:after="0"/>
              <w:rPr>
                <w:sz w:val="19"/>
                <w:szCs w:val="19"/>
                <w:color w:val="auto"/>
              </w:rPr>
            </w:pPr>
          </w:p>
        </w:tc>
        <w:tc>
          <w:tcPr>
            <w:tcW w:w="1560" w:type="dxa"/>
            <w:vAlign w:val="bottom"/>
            <w:gridSpan w:val="2"/>
          </w:tcPr>
          <w:p>
            <w:pPr>
              <w:jc w:val="right"/>
              <w:ind w:right="244"/>
              <w:spacing w:after="0"/>
              <w:rPr>
                <w:sz w:val="20"/>
                <w:szCs w:val="20"/>
                <w:color w:val="auto"/>
              </w:rPr>
            </w:pPr>
            <w:r>
              <w:rPr>
                <w:rFonts w:ascii="Arial" w:cs="Arial" w:eastAsia="Arial" w:hAnsi="Arial"/>
                <w:sz w:val="18"/>
                <w:szCs w:val="18"/>
                <w:color w:val="auto"/>
              </w:rPr>
              <w:t>$14.12</w:t>
            </w:r>
          </w:p>
        </w:tc>
        <w:tc>
          <w:tcPr>
            <w:tcW w:w="1500" w:type="dxa"/>
            <w:vAlign w:val="bottom"/>
            <w:gridSpan w:val="2"/>
          </w:tcPr>
          <w:p>
            <w:pPr>
              <w:jc w:val="right"/>
              <w:ind w:right="265"/>
              <w:spacing w:after="0"/>
              <w:rPr>
                <w:sz w:val="20"/>
                <w:szCs w:val="20"/>
                <w:color w:val="auto"/>
              </w:rPr>
            </w:pPr>
            <w:r>
              <w:rPr>
                <w:rFonts w:ascii="Arial" w:cs="Arial" w:eastAsia="Arial" w:hAnsi="Arial"/>
                <w:sz w:val="18"/>
                <w:szCs w:val="18"/>
                <w:color w:val="auto"/>
              </w:rPr>
              <w:t>9.63</w:t>
            </w:r>
          </w:p>
        </w:tc>
        <w:tc>
          <w:tcPr>
            <w:tcW w:w="1560" w:type="dxa"/>
            <w:vAlign w:val="bottom"/>
            <w:gridSpan w:val="2"/>
          </w:tcPr>
          <w:p>
            <w:pPr>
              <w:jc w:val="right"/>
              <w:ind w:right="264"/>
              <w:spacing w:after="0"/>
              <w:rPr>
                <w:sz w:val="20"/>
                <w:szCs w:val="20"/>
                <w:color w:val="auto"/>
              </w:rPr>
            </w:pPr>
            <w:r>
              <w:rPr>
                <w:rFonts w:ascii="Arial" w:cs="Arial" w:eastAsia="Arial" w:hAnsi="Arial"/>
                <w:sz w:val="18"/>
                <w:szCs w:val="18"/>
                <w:color w:val="auto"/>
              </w:rPr>
              <w:t>$8,293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2006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4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weighted-average grant-date fair value of options granted during the three months ended March 31, 2005 and 2006 was $9.77 and $10.03, respectively. The total intrinsic value of options exercised during the three months ended March 31, 2005 and 2006 was approximately $81,000 and $0.5 million, respectively. The total fair value of options vested during the three months ended March 31, 2006 and 2005 was $1.9 million and $2.1 million, respectively. Cash received from the exercise of options during the three months ended March 31, 2006 and 2005 was approximately $0.6 million and $0.1 million, respectively.</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 summary of the status of the Company’s nonvested shares, excluding restricted stock units, as of March 31, 2006, and changes during the three months ended March 31, 2006,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3,048,631</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153,480</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(151,504)</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(93,120)</w:t>
            </w: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2,957,487</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summary of the status of the Company’s restricted stock units, as of March 31, 2006, and changes during the three months ended March 31, 2006,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92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9"/>
              </w:rPr>
              <w:t>164,901</w:t>
            </w: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8580" w:type="dxa"/>
            <w:vAlign w:val="bottom"/>
          </w:tcPr>
          <w:p>
            <w:pPr>
              <w:ind w:left="220"/>
              <w:spacing w:after="0"/>
              <w:rPr>
                <w:sz w:val="20"/>
                <w:szCs w:val="20"/>
                <w:color w:val="auto"/>
              </w:rPr>
            </w:pPr>
            <w:r>
              <w:rPr>
                <w:rFonts w:ascii="Arial" w:cs="Arial" w:eastAsia="Arial" w:hAnsi="Arial"/>
                <w:sz w:val="18"/>
                <w:szCs w:val="18"/>
                <w:color w:val="auto"/>
              </w:rPr>
              <w:t>Granted</w:t>
            </w:r>
          </w:p>
        </w:tc>
        <w:tc>
          <w:tcPr>
            <w:tcW w:w="92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247,554</w:t>
            </w:r>
          </w:p>
        </w:tc>
        <w:tc>
          <w:tcPr>
            <w:tcW w:w="320" w:type="dxa"/>
            <w:vAlign w:val="bottom"/>
          </w:tcPr>
          <w:p>
            <w:pPr>
              <w:spacing w:after="0"/>
              <w:rPr>
                <w:sz w:val="18"/>
                <w:szCs w:val="18"/>
                <w:color w:val="auto"/>
              </w:rPr>
            </w:pP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2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(6,719)</w:t>
            </w:r>
          </w:p>
        </w:tc>
        <w:tc>
          <w:tcPr>
            <w:tcW w:w="160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Nonvested at March 31, 2006</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405,736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2"/>
          </w:tcPr>
          <w:p>
            <w:pPr>
              <w:jc w:val="right"/>
              <w:ind w:right="268"/>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31, 2006, there was $21.1 million and $4.8 million of unrecognized compensation cost related to options and restricted stock units, respectively, which is expected to be recognized over the weighted average vesting period of 2.9 years.</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March 2004, the Company’s board of directors approved the 2004 Employee Stock Purchase Plan. The aggregate number of shares that may be sold under the plan is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purchase plan to exceed 10% of the total number of shares of capital stock outstanding on December 31 of the prior year. On January 1, 2005 and 2006, the purchase plan share reserve was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increased by 327,562 and 503,141 shares, respectively. For the three months ended March 31, 2005 and 2006, the Company did not sell any shares of its common stock to employees participating in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loss per common share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and warrants, that are not included in the diluted net loss per share calculation consisted of an aggregate of 7,980,029 shares and 4,517,093 shares as of March 31, 2006 and 2005,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State research and development credit exchange receivable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March 31, 2006, the estimated amount receivable under the program was $2.9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Useful</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Life</w:t>
            </w:r>
          </w:p>
        </w:tc>
        <w:tc>
          <w:tcPr>
            <w:tcW w:w="1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March 31, 2006</w:t>
            </w:r>
          </w:p>
        </w:tc>
        <w:tc>
          <w:tcPr>
            <w:tcW w:w="156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December 31, 2005</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c>
          <w:tcPr>
            <w:tcW w:w="64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5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Buildings</w:t>
            </w:r>
          </w:p>
        </w:tc>
        <w:tc>
          <w:tcPr>
            <w:tcW w:w="680" w:type="dxa"/>
            <w:vAlign w:val="bottom"/>
          </w:tcPr>
          <w:p>
            <w:pPr>
              <w:jc w:val="right"/>
              <w:spacing w:after="0"/>
              <w:rPr>
                <w:sz w:val="20"/>
                <w:szCs w:val="20"/>
                <w:color w:val="auto"/>
              </w:rPr>
            </w:pPr>
            <w:r>
              <w:rPr>
                <w:rFonts w:ascii="Arial" w:cs="Arial" w:eastAsia="Arial" w:hAnsi="Arial"/>
                <w:sz w:val="18"/>
                <w:szCs w:val="18"/>
                <w:color w:val="auto"/>
              </w:rPr>
              <w:t>39-40</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9,566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41,012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39,543</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24,447</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23,087</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5,362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12,580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10,298</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6,411</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107,660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(27,371)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(25,381)</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80,289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and preferred stock</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authorized to issue 90,000,000 shares of common stock, par value $0.01 per share, and 10,000,000 shares of undesignated preferred stock, par value $0.01 per share, issuable in one or more series designated by the Company’s board of directors. No other class of capital stock is authorized. As of March 31, 2006 and December 31, 2005, 49,629,518 and 50,314,108 shares of common stock, respectively, were issued and outstanding. No shares of preferred stock were issued and outstanding at March 31, 2006 and December 31, 2005.</w:t>
      </w:r>
    </w:p>
    <w:p>
      <w:pPr>
        <w:spacing w:after="0" w:line="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 xml:space="preserve">Registration rights </w:t>
      </w:r>
      <w:r>
        <w:rPr>
          <w:rFonts w:ascii="Arial" w:cs="Arial" w:eastAsia="Arial" w:hAnsi="Arial"/>
          <w:sz w:val="18"/>
          <w:szCs w:val="18"/>
          <w:color w:val="auto"/>
        </w:rPr>
        <w:t>— The holders of 17,132,000 shares of common stock together with warrants to purchase up to 3,426,000 shares of common stock, all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were issued in the August 2005 private placement, have rights that require the Company to keep the registration of the shares of common stock purchased in the private placement or underlying warrants continuously effective until at least August 2007.</w:t>
      </w:r>
    </w:p>
    <w:p>
      <w:pPr>
        <w:spacing w:after="0" w:line="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2006 the holders of 916,715 shares of the Company’s common stock and the holders of warrants to purchase 12,436 shares of the Company’s common stock have rights, subject to some conditions, to require the Company to file registration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statements covering their shares or to include their shares in registration statements that the Company may file for itself or other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During 1995 and 1996, the Company issued warrants to purchase shares of common stock. The warrants range in exercise price from $12.53 to $12.70 per share and expire at various dates through 2007. The warrants contain provisions for the adjustment of the exercise price and the number of shares issuable upon the exercise of the warrant in the event the Company declares any stock dividends or effects any stock split, reclassification or consolidation of its common stock. The warrants also contain a provision that provides for an adjustment to the exercise price and the number of shares issuable in the event that the Company issues securities for a per share price less than a specified price. As of March 31, 2006, warrants to purchase 12,436 shares of common stock at a weighted average exercise price of $12.66 per share are outstanding and exercisable.</w:t>
      </w:r>
    </w:p>
    <w:p>
      <w:pPr>
        <w:spacing w:after="0" w:line="70" w:lineRule="exact"/>
        <w:rPr>
          <w:sz w:val="20"/>
          <w:szCs w:val="20"/>
          <w:color w:val="auto"/>
        </w:rPr>
      </w:pPr>
    </w:p>
    <w:p>
      <w:pPr>
        <w:ind w:right="680"/>
        <w:spacing w:after="0" w:line="302" w:lineRule="auto"/>
        <w:rPr>
          <w:sz w:val="20"/>
          <w:szCs w:val="20"/>
          <w:color w:val="auto"/>
        </w:rPr>
      </w:pPr>
      <w:r>
        <w:rPr>
          <w:rFonts w:ascii="Arial" w:cs="Arial" w:eastAsia="Arial" w:hAnsi="Arial"/>
          <w:sz w:val="16"/>
          <w:szCs w:val="16"/>
          <w:color w:val="auto"/>
        </w:rPr>
        <w:t>In connection with the sale of common stock in the private placement which closed on August 5, 2005, the Company concurrently issued warrants to purchase up to 3,426,000 shares of common stock at an exercise price of $12.228 per share. See also Note 2 —Financings. These warrants became exercisable on February 1, 2006 and expire in August 2010. In the three months ended March 31, 2006, warrants for 979 shares were exercised for approximately $12,000 and 98,441 shares were issued upon the cashless warrant exercise of 254,528 warrant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w:t>
      </w:r>
      <w:r>
        <w:rPr>
          <w:rFonts w:ascii="Arial" w:cs="Arial" w:eastAsia="Arial" w:hAnsi="Arial"/>
          <w:sz w:val="16"/>
          <w:szCs w:val="16"/>
          <w:color w:val="auto"/>
        </w:rPr>
        <w:t>— 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color w:val="auto"/>
        </w:rPr>
        <w:t>— The Company is involved in various legal proceedings and other matters. In accordance with SFAS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would record a provision for a liability when it is both probable that a liability has been incurred and the amount of the loss can be reasonably estimated.</w:t>
      </w:r>
    </w:p>
    <w:p>
      <w:pPr>
        <w:spacing w:after="0" w:line="7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In May 2005, the Company’s former Chief Medical Officer filed a complaint against the Company in the California Superior Court, County of Los Angeles, </w:t>
      </w:r>
      <w:r>
        <w:rPr>
          <w:rFonts w:ascii="Arial" w:cs="Arial" w:eastAsia="Arial" w:hAnsi="Arial"/>
          <w:sz w:val="16"/>
          <w:szCs w:val="16"/>
          <w:i w:val="1"/>
          <w:iCs w:val="1"/>
          <w:color w:val="auto"/>
        </w:rPr>
        <w:t>Wayman Wendell Cheatham, M.D. v. MannKind Corporation</w:t>
      </w:r>
      <w:r>
        <w:rPr>
          <w:rFonts w:ascii="Arial" w:cs="Arial" w:eastAsia="Arial" w:hAnsi="Arial"/>
          <w:sz w:val="16"/>
          <w:szCs w:val="16"/>
          <w:color w:val="auto"/>
        </w:rPr>
        <w:t>, Case No. BC333845. The complaint alleges causes of action for wrongful termination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violation of public policy, breach of contract and retaliation, in connection with the Company’s termination of Dr. Cheatham’s employment. In the complaint, Dr. Cheatham seeks compensatory, punitive and exemplary damages in excess of $2.0 million as well as reimbursement of attorneys’ fees. In June 2005, the Company answered the complaint, generally denying each of Dr. Cheatham’s allegations and asserting various defenses. The Company believes the allegations in the complaint are without merit and is vigorously defending against them. The Company also filed a cross-complaint against Dr. Cheatham, alleging claims for libel per se, trade libel, breach of contract, breach of the implied covenant of good faith and fair dealing and breach of the duty of loyalty. The libel claims allege that Dr. Cheatham made certain false and malicious statements about the Company in a letter to the Food and Drug Administration (“FDA”) with regard to a request by the Company to hold a meeting with the FDA. The remaining causes of action in the cross-complaint arise out of the Company’s allegations that Dr. Cheatham had an undisclosed consulting relationship with a Company competitor during his employment with the Company, in violation of his agreement with the Company. In July 2005, Dr. Cheatham filed a demurrer, and a motion to strike the Company’s cross-complaint under California’s anti-SLAPP statute. In September 2005, the California Superior Court overruled Dr. Cheatham’s demurrer and denied his motion to strike the Company’s cross-complaint. Dr. Cheatham has appealed the Court’s ruling denying his motion to strike. Discovery as to Dr. Cheatham’s claims against the Company is proceeding, and this case is scheduled for trial to commence in October 2006. The Company believes that the ultimate resolution of this matter will not have a material impact on the Company’s financial position or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In 2000, the Company issued 699,972 shares of common stock to three consultants in exchange for notes receivable aggregating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approximately $10.9 million. The fixed interest bearing notes were collateralized by the underlying common stock. The notes-for- stock transactions were accounted for as in-substance stock option grants to non-employees. In November 2004, the consultants informed the Company that they had entered into an agreement in October 2001 with Alfred E. Mann, the Company’s chairman, chief executive officer and principal stockholder, under which Mr. Mann would purchase a portion of the consultants’ common stock, and that the Company was to apply the proceeds to the amounts owed under the consultants’ respective notes. The consultants informed the Company that they believed both the Company and Mr. Mann were in breach of the alleged agreement, and indicated their intent to seek alleged damages arising from the Company’s failure to perform the alleged agreement. On October 19, 2005, the principal and interest on the notes aggregating $14.6 million became due and payable and the Company pursued collection. On November 21, 2005, the consultants filed a complaint against the Company in the California Superior Court, County of Los Angeles, </w:t>
      </w:r>
      <w:r>
        <w:rPr>
          <w:rFonts w:ascii="Arial" w:cs="Arial" w:eastAsia="Arial" w:hAnsi="Arial"/>
          <w:sz w:val="16"/>
          <w:szCs w:val="16"/>
          <w:i w:val="1"/>
          <w:iCs w:val="1"/>
          <w:color w:val="auto"/>
        </w:rPr>
        <w:t>Rollins et al. v. MannKind et al</w:t>
      </w:r>
      <w:r>
        <w:rPr>
          <w:rFonts w:ascii="Arial" w:cs="Arial" w:eastAsia="Arial" w:hAnsi="Arial"/>
          <w:sz w:val="16"/>
          <w:szCs w:val="16"/>
          <w:color w:val="auto"/>
        </w:rPr>
        <w:t>, Case No. BC343381. The complaint alleges causes of action for breach of the abovementioned agreement, among other things. On January 19, 2006, the parties mediated and settled the case. Under the settlement, the Company repurchased 620,697 shares from the consultants in full satisfaction of the notes. These shares were tendered and cancelled on February 3, 2006. The Company also agreed to repurchase the remaining 79,275 shares held by the consultants for $1.4 million in cash. The settlement was reflected as a $1.4 million charge to general and administrative expense in the fourth quarter of the year ended December 31, 2005 with a corresponding amount payable included in accrued expenses and other current liabilities as of December 31 2005. On February 21, 2006, the Company received and cancelled the 79,275 shares, and paid the purchase price of $1.4 million to the consultants. The complaint has been dismissed in its entirety with prejudice.</w:t>
      </w:r>
    </w:p>
    <w:p>
      <w:pPr>
        <w:spacing w:after="0" w:line="6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September and October 2005, the principal and interest totaling $1.6 million on notes issued in exchange for approximately 78,000 shares of common stock to a former executive of the Company became due and payable to the Company. On December 31, 2005, the 78,000 shares of common stock issued in exchange for the notes receivable had a market value of approximately $878,000. The Company pursued collection. On January 31, 2006, former executive tendered 143,949 shares as full repayment of the notes in default and an additional note due in April 2006 issued in exchange for approximately 32,000 shares of common stock. The 143,949 shares were valued at $2.6 million on January 31, 2006 and represented principal and interest due through that date on all notes. The Company received and cancelled these shares on January 31,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 interim financial statements and this Management’s Discussion and Analysis of Financial Condition and Results of Operations should be read in conjunction with the financial statements and notes for the year ended December 31, 2005 and the related Management’s Discussion and Analysis of Financial Condition and Results of Operations, both of which are contained in our annual report on Form 10-K filed pursuant to Section 13 of the Securities Exchange Act of 1934.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MannKind Corporation is a biopharmaceutical company focused on the discovery, development and commercialization of therapeutic products for diseases such as diabetes and cancer. Our lead investigational product candidate, the Technosphere Insulin System, is currently in Phase 3 clinical trials in the United States and Europe to study its safety and efficacy in the treatment of diabetes. This therapy consists of a proprietary dry powder formulation of insulin that is inhaled into the deep lung using our proprietary inhaler. We believe that the performance characteristics, unique kinetics, convenience and ease of use of the Technosphere Insulin System may have the potential to change the way diabetes is treated.</w:t>
      </w:r>
    </w:p>
    <w:p>
      <w:pPr>
        <w:spacing w:after="0" w:line="6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particular, we have observed in our clinical trials to date that the Technosphere Insulin System produces a profile of insulin levels in the bloodstream that approximates the insulin profile normally seen in healthy individuals immediately following the beginning of a meal, but which is absent in all patients with diabetes. As a result, we believe that our Technosphere Insulin System will be beneficial not only for insulin-using diabetes patients but also for patients with type 2 diabetes who are currently using conventional therapies other than insulin. If further clinical trials support our initial observations, we believe the Technosphere Insulin System has the potential to be indicated for the treatment of type 2 diabetes after a patient has failed to respond adequately to diet and exercise. The use of insulin early in the progression of diabetes would represent a paradigm shift in the treatment of this disease.</w:t>
      </w:r>
    </w:p>
    <w:p>
      <w:pPr>
        <w:spacing w:after="0" w:line="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To date, we have conducted multiple Phase 1 and Phase 2 clinical trials of our Technosphere Insulin System in Europe and the United States, which have involved more than 800 individuals and over 60,000 patient-days of home use. In a Phase 2 clinical trial conducted in the United States, the use of Technosphere Insulin at mealtimes significantly lowered blood glucose levels in patients with type 2 diabetes who previously were experiencing inadequate control of their disease. Even in patients with only mildly elevated blood glucose levels, we observed in this study that the typical risks of frequent or severe hypoglycemia generally associated with insulin therapy appear not to be associated with Technosphere Insulin, suggesting that our therapy may have a significant safety advantage over other currently available insulin therapies. In a European Phase 2 dosage-tolerance study, Technosphere Insulin was observed to improve glycemic control in a dose-dependent manner as measured by decreases in HbA1c levels and by reductions in glucose excursions following a meal. In addition, there was no indication of a negative effect on pulmonary function and no weight gain at any dose of Technosphere Insulin over 12 weeks of treatment.</w:t>
      </w:r>
    </w:p>
    <w:p>
      <w:pPr>
        <w:spacing w:after="0" w:line="8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Currently, we are enrolling patients in three pivotal Phase 3 clinical trials, including a two-year pulmonary safety study that will compare the pulmonary function of patients with type 1 or type 2 diabetes randomized to either Technosphere Insulin or standard diabetes care. Based on our discussions with the FDA, we plan to accumulate two years of controlled safety data from patients with type 1 diabetes as well as patients with type 2 diabetes before we file a new drug application for the Technosphere Insulin System. We anticipate that our entire clinical trial program will involve more than 3,200 patients. Larger populations and longer durations of exposure may be necessary depending on the safety profile of our product.</w:t>
      </w:r>
    </w:p>
    <w:p>
      <w:pPr>
        <w:spacing w:after="0" w:line="6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Technosphere Insulin System utilizes our proprietary Technosphere formulation technology, which is based on a class of organic molecules that are designed to self-assemble into small particles onto which drug molecules can be loaded. We are also developing additional Technosphere-based products for the delivery of other drugs. We plan to initiate Phase 1 clinical trials of our therapeutic cancer vaccine by the end of 2006.</w:t>
      </w:r>
    </w:p>
    <w:p>
      <w:pPr>
        <w:spacing w:after="0" w:line="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March 31, 2006, we have incurred a cumulative net loss of $600.9 million. To date, we have not generated any product revenues and have funded our operations primarily through the sale of equity securities.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do not anticipate sales of any product prior to regulatory approval and commercialization of our Technosphere Insulin System. We currently do not have the required approvals to market any of our product candidates, and we may not receive such approvals. We may not be profitable even if we succeed in commercializing any of our product candidates. We expect to make substantial and increasing expenditures and to incur additional operating losses for at least the next several years as we:</w:t>
      </w:r>
    </w:p>
    <w:p>
      <w:pPr>
        <w:spacing w:after="0" w:line="79"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and commercialization of our Technosphere Insulin System for the treatment of diabetes;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manufacturing operations for our Technosphere Insulin System to meet our currently anticipated commercial production needs;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proprietary Technosphere platform technology and develop additional applications for the pulmonary delivery of other drugs; and</w:t>
      </w:r>
    </w:p>
    <w:p>
      <w:pPr>
        <w:spacing w:after="0" w:line="142" w:lineRule="exact"/>
        <w:rPr>
          <w:rFonts w:ascii="Arial" w:cs="Arial" w:eastAsia="Arial" w:hAnsi="Arial"/>
          <w:sz w:val="17"/>
          <w:szCs w:val="17"/>
          <w:b w:val="1"/>
          <w:bCs w:val="1"/>
          <w:color w:val="auto"/>
        </w:rPr>
      </w:pPr>
    </w:p>
    <w:p>
      <w:pPr>
        <w:ind w:left="660" w:right="3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Technosphere Insulin System</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are currently conducting a number of studies of the safety and efficacy of the Technosphere Insulin System, including the following trials that are underway or planned for 2006: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Study 010</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ongoing trial is a three-year evaluation of the safety and tolerability of Technosphere Insulin in patients with type 2 diabetes who have participated in study 008 or study 005. The primary objective is to evaluate pulmonary function with secondary objectives to examine changes in HbA1c levels, insulin antibodies, frequency of adverse events and quality of life.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Study 030</w:t>
      </w:r>
    </w:p>
    <w:p>
      <w:pPr>
        <w:spacing w:after="0" w:line="11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This is a two-year, prospective, multi-site study that incorporates two design strategies. The first component is a randomized, open-label trial comparing pulmonary function in two groups of patients with diabetes. One group of approximately 625 patients is being treated with Technosphere Insulin in combination with other antidiabetic therapy and the other group of approximately 625 patients is being treated with existing oral and/or injectable therapies. The second component is a comparison of pulmonary function in the patients with diabetes who are not treated with Technosphere Insulin to a group of 125 subjects without any abnormalities in glucose control. Enrollment for this study began in June 2005 and is expected to be completed later in 2006.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Study 014</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study compared the efficacy of mealtime use of Technosphere Insulin plus basal insulin to mealtime use of rapid-acting, subcutaneous insulin plus basal insulin in approximately 240 patients with type 2 diabetes who had a baseline HbA1c level greater than 7.0% and less than 11.5%. The primary efficacy endpoint for this study was mean change in HbA1c levels from baseline to treatment week 24. Enrollment was completed in July 2005 and the treatment period completed in February 2006.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Study 101</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This trial compared mealtime use of Technosphere Insulin to mealtime use of rapid-acting, subcutaneous insulin in approximately 90 patients with type 1 diabetes, who were evaluated over a 12-week period. The primary efficacy endpoint was the change in blood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glucose levels following a standard meal. Enrollment was completed in July 2005 and treatment completed in January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Study 009</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study will evaluate Technosphere Insulin to prandial insulin analog both used in combination with basal insulin in approximately 500 patients with type 1 diabetes for a 12-month period. Efficacy will be evaluated on the basis of changes in HbA1c levels as well as changes in blood glucose levels after a standardized mixed meal. We began enrolling patients in this study in the first quarter of 2006.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Study 102</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This study will compare the efficacy of mealtime use of Technosphere Insulin together with basal insulin to the twice-daily use of premixed insulin, a mixture of intermediate acting insulin and a rapid-acting insulin analog, in a population of approximately 500 patients with type 2 diabetes. Efficacy will be evaluated on the basis of changes in HbA1c levels as well as changes in blood glucose levels after a standardized mixed meal. We began enrolling patients in this study in the first quarter of 2006.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Study 103</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study will evaluate the efficacy of Technosphere Insulin alone and in combination with metformin, an oral medication, in approximately 500 patients with type 2 diabetes who are not achieving desired glucose control with a combination of metformin and sulphonylurea, another oral medication. Efficacy will be evaluated on the basis of changes in HbA1c levels after 26 weeks of treatment as well as changes in blood glucose levels after a standardized mixed meal. We plan to begin enrolling patients in this study in the second quarter of 2006.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Special population studies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two ongoing studies: one examining the impact of asthma and the other examining the impact of chronic smoking on the pharmacokinetics associated with Technosphere Insulin. We plan to use the results of these studies to conduct safety studies in patients with asthma and in chronic smokers that also have diabetes. We also plan to conduct a safety study in patients with both diabetes and chronic obstructive pulmonary disease. Other special population studies include a trial that will examine the elimination of Technosphere Insulin in patients with kidney disease and a trial that will examine the effect of Technosphere Insulin in patients with liver disease.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immunotherapy program</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also developing therapies for the treatment of solid tumor cancers. The lead product candidate in this program, MKC1106, is intended for the treatment of several solid-tumor cancers, including ovarian, colorectal, pancreatic, renal, breast and prostate carcinomas. We plan to commence clinical trials for MKC1106 late in the fourth quarter of 2006.</w:t>
      </w:r>
    </w:p>
    <w:p>
      <w:pPr>
        <w:spacing w:after="0" w:line="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cancer therapy program utilizes the body’s immune system to help eradicate tumor cells. The immune system is a network of cells and organs that defends the body against infection and abnormal cells, such as cancer. A key element of the immune system is its ability to distinguish between healthy cells and foreign or diseased cells that do not belong in the body. The immune system accomplishes this task by recognizing distinctive molecules called epitopes found on the surface of each cell as either normal or abnormal, and responding to them appropriately. Any substance capable of triggering an immune response is known as an antigen. An antigen can be all or part of a pathogenic organism or it can be a by-product of diseased cells. Certain specialized cells of the immune system sample antigens present in the body and present the epitopes associated with foreign antigens to other cells of the immune system whose function is to destroy any cell that expresses the same epitope; this is known as cell-mediated immunity. In this way, the immune system can launch a very specific response to infection or disease.</w:t>
      </w:r>
    </w:p>
    <w:p>
      <w:pPr>
        <w:spacing w:after="0" w:line="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approach uses DNA- and peptide-based compounds that correspond to tumor-associated antigens that are expressed in a range of solid-tumor cancers. A patient is first “primed” by DNA-based compounds, or plasmids, that are injected directly into the patient’s lymph nodes. This is designed to sensitize the immune system to the tumor-associated antigens encoded by the plasmids. After a period of time, the patient’s lymph nodes are then injected with synthetic peptides that are designed to “boost” or greatly amplify the immune response to the target antigens. This prime-boost regimen is designed to provoke a potent cell-mediated immune response that destroys cancer cells along with the underlying blood supply to a tumor.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therapeutic approach addresses several deficiencies inherent in earlier approaches to cancer immunotherapy,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117" w:lineRule="exact"/>
        <w:rPr>
          <w:sz w:val="20"/>
          <w:szCs w:val="20"/>
          <w:color w:val="auto"/>
        </w:rPr>
      </w:pPr>
    </w:p>
    <w:p>
      <w:pPr>
        <w:ind w:left="900" w:right="20" w:hanging="446"/>
        <w:spacing w:after="0" w:line="257"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Specificity. </w:t>
      </w:r>
      <w:r>
        <w:rPr>
          <w:rFonts w:ascii="Arial" w:cs="Arial" w:eastAsia="Arial" w:hAnsi="Arial"/>
          <w:sz w:val="18"/>
          <w:szCs w:val="18"/>
          <w:color w:val="auto"/>
        </w:rPr>
        <w:t>We target cancer epitopes to which the immune system has not developed a tolerance, instead of targeting the dominant epitopes</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by cancerous cells, many of which are tolerated by the immune system. We have developed technology designed to identify the non-tolerated epitopes on the cancer cell surface, and we have developed a method of modifying these epitopes that is designed to activate an immune response. Through this process, we believe that the body’s tolerance of the cancer cells can be broken, leading to the destruction of the cancer by the immune system.</w:t>
      </w:r>
    </w:p>
    <w:p>
      <w:pPr>
        <w:spacing w:after="0" w:line="93" w:lineRule="exact"/>
        <w:rPr>
          <w:rFonts w:ascii="Arial" w:cs="Arial" w:eastAsia="Arial" w:hAnsi="Arial"/>
          <w:sz w:val="18"/>
          <w:szCs w:val="18"/>
          <w:b w:val="1"/>
          <w:bCs w:val="1"/>
          <w:color w:val="auto"/>
        </w:rPr>
      </w:pPr>
    </w:p>
    <w:p>
      <w:pPr>
        <w:ind w:left="900" w:right="100" w:hanging="446"/>
        <w:spacing w:after="0" w:line="259"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In contrast to the conventional subcutaneous or intramuscular route of administration, our compounds are delivered directly into</w:t>
      </w:r>
      <w:r>
        <w:rPr>
          <w:rFonts w:ascii="Arial" w:cs="Arial" w:eastAsia="Arial" w:hAnsi="Arial"/>
          <w:sz w:val="18"/>
          <w:szCs w:val="18"/>
          <w:i w:val="1"/>
          <w:iCs w:val="1"/>
          <w:color w:val="auto"/>
        </w:rPr>
        <w:t xml:space="preserve"> </w:t>
      </w:r>
      <w:r>
        <w:rPr>
          <w:rFonts w:ascii="Arial" w:cs="Arial" w:eastAsia="Arial" w:hAnsi="Arial"/>
          <w:sz w:val="18"/>
          <w:szCs w:val="18"/>
          <w:color w:val="auto"/>
        </w:rPr>
        <w:t>the patient’s lymph nodes, where studies have shown they will have the greatest impact. We believe that the direct delivery of our compounds will bring local high concentrations of the active components of our compounds into contact with high concentrations of the cells needed to generate a potent cell-mediated immune response.</w:t>
      </w:r>
    </w:p>
    <w:p>
      <w:pPr>
        <w:spacing w:after="0" w:line="92" w:lineRule="exact"/>
        <w:rPr>
          <w:rFonts w:ascii="Arial" w:cs="Arial" w:eastAsia="Arial" w:hAnsi="Arial"/>
          <w:sz w:val="18"/>
          <w:szCs w:val="18"/>
          <w:b w:val="1"/>
          <w:bCs w:val="1"/>
          <w:color w:val="auto"/>
        </w:rPr>
      </w:pPr>
    </w:p>
    <w:p>
      <w:pPr>
        <w:ind w:left="900" w:hanging="446"/>
        <w:spacing w:after="0" w:line="259" w:lineRule="auto"/>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Selectivity, potency and duration of response. </w:t>
      </w:r>
      <w:r>
        <w:rPr>
          <w:rFonts w:ascii="Arial" w:cs="Arial" w:eastAsia="Arial" w:hAnsi="Arial"/>
          <w:sz w:val="18"/>
          <w:szCs w:val="18"/>
          <w:color w:val="auto"/>
        </w:rPr>
        <w:t>We deliver our therapeutic compounds in a manner that we believe primes the immune system to</w:t>
      </w:r>
      <w:r>
        <w:rPr>
          <w:rFonts w:ascii="Arial" w:cs="Arial" w:eastAsia="Arial" w:hAnsi="Arial"/>
          <w:sz w:val="18"/>
          <w:szCs w:val="18"/>
          <w:i w:val="1"/>
          <w:iCs w:val="1"/>
          <w:color w:val="auto"/>
        </w:rPr>
        <w:t xml:space="preserve"> </w:t>
      </w:r>
      <w:r>
        <w:rPr>
          <w:rFonts w:ascii="Arial" w:cs="Arial" w:eastAsia="Arial" w:hAnsi="Arial"/>
          <w:sz w:val="18"/>
          <w:szCs w:val="18"/>
          <w:color w:val="auto"/>
        </w:rPr>
        <w:t>respond to cancer cells expressing specific epitopes, in much the same way that a chronic infection evokes a progressively increased immune response to invading bacteria. Our administrative regimen is designed to boost the immune response over the course of a treatment cycle so that it becomes increasingly potent and long acting.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which have not yet received regulatory approval for marketing and for which no alternative future use has been identified. This includes the salaries, benefits and stock-based compensation of research and development personnel,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7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Clinical development timelines, likelihood of success and total costs vary widely. We are focused primarily on advancing the Technosphere Insulin System through Phase 3 clinical trials and regulatory filings. We plan to commercialize our lead product as a treatment for diabetes.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5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At this time, due to the risks inherent in the clinical trial process and given the early stage of development of our product candidates other than the Technosphere Insulin System, we are unable to estimate with any certainty the costs we will incur in the continued development of our product candidates for commercialization. The costs required to complete the development of our Technosphere Insulin System will be largely dependent on the scope of our clinical trials, the cost and efficiency of our manufacturing process and discussions with the FDA on its requirements. We anticipate that our research and development expenses, particularly for the Technosphere Insulin System, will increase significantly with the continuation of existing clinical trials, the initiation of new trials, the resulting manufacturing costs associated with producing clinical trial materials, and the expansion, qualification and validation of our commercial manufacturing processes and facilities. Additionally, we expect non-cash stock-based compensation expense resulting from the adoption of SFAS No. 123R, </w:t>
      </w:r>
      <w:r>
        <w:rPr>
          <w:rFonts w:ascii="Arial" w:cs="Arial" w:eastAsia="Arial" w:hAnsi="Arial"/>
          <w:sz w:val="16"/>
          <w:szCs w:val="16"/>
          <w:i w:val="1"/>
          <w:iCs w:val="1"/>
          <w:color w:val="auto"/>
        </w:rPr>
        <w:t>Share-based Payment: an Amendment of FASB Statement 123 and 95,</w:t>
      </w:r>
      <w:r>
        <w:rPr>
          <w:rFonts w:ascii="Arial" w:cs="Arial" w:eastAsia="Arial" w:hAnsi="Arial"/>
          <w:sz w:val="16"/>
          <w:szCs w:val="16"/>
          <w:color w:val="auto"/>
        </w:rPr>
        <w:t xml:space="preserve"> effective as of January 1, 2006, to increase in the future. See Critical Accounting Policies below and Note 4 — Accounting for Stock-Based Compensation in the notes to our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business insurance and professional services costs.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We expect general and administrative expenses other than non-cash stock-based compensation expense to increase slightly in the future as a result of increased headcount, public company compliance and establishment of investor relations and marketing programs. We expect overall general and administrative expenses to increase significantly as a result of the adoption of SFAS No. 123R. See Critical Accounting Policies below and Note 4 — Accounting for Stock-Based Compensation in the notes to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than the adoption of SFAS No. 123R, there have been no material changes to our critical accounting policies as described in Item 7 to our annual report on Form 10-K for the year ended December 31,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Prior to January 1, 2006, we accounted for employee stock options and the employee stock purchase plan using the intrinsic value method in accordance with APB No. 25 and adopted the disclosure only alternative of SFAS No. 123. Upon adoption of SFAS No. 123R, we selected the modified prospective transition method whereby we recognized share-based employee costs from the beginning of 2006 as if the fair value accounting method had been used to account for all employee awards granted, modified, or settled after January 1, 2006 and to any awards that were not fully vested as of January 1, 2006. The measurement and attribution of compensation cost for awards that are unvested as of January 1, 2006 are based on the same estimate of the grant-date and the same attribution method used previously under SFAS No. 123. Including the effects of adoption of SFAS No. 123R, we recognized stock-based compensation expense of $3.7 million for the three months ended March 31, 2006. We expect expensing of stock-based compensation will continue to have an impact on our statement of operations. As of March 31, 2006, there was $21.1 million and $4.8 million of unrecognized compensation cost related to options and restricted stock units, respectively, granted by the Company which is expected to be recognized over the weighted average vesting period of 2.9 years.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The discussion and analysis of our financial condition and results of operations for the three months ended March 31, 2006 and 2005 are based upon our consolidated interim financial statements, which have been prepared in accordance with accounting principles generally accepted in the United States of America. The preparation of these consolidated financial statements requires us to make estimates and judgments that affect the reported amount of assets, liabilities, revenues and expenses, and as a result, actual condition or results may differ from our estimates under different assumptions or conditions.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During the three months ended March 31, 2006, we recognized $0.1 million in revenue under a license agreement. There were no revenues recorded for the three months ended March 31, 2005. We do not anticipate sales of any product prior to regulatory approval and commercialization of our Technosphere Insulin System.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a comparison of the research and development expense categories for the three months ended March 31, 2006 and 2005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18,670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9,842</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Manufacturing</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9,223</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5,248</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3,975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4,587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1,831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1,639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1,606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35,950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18,696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17,254</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research and development expenses for the three months ended March 31, 2006, as compared to the same period in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prior year was primarily due to ongoing expenses related to the clinical development of our Technosphere Insulin System. The expansion of our Phase 3 clinical trial program for our Technosphere Insulin System and the continuation of other preclinical studies increased our clinical research expenditures in 2006 as compared to the same period in 2005. This also resulted in increased Technosphere Insulin manufacturing costs to supply clinical trial materials. We also continue to expand our qualification and validation of our manufacturing system. Additionally, research activities related to toxicology studies for our Technosphere Insulin System, expanding our proprietary Technosphere platform technology, developing additional applications for the pulmonary delivery of other drugs and the discovery and development of programs primarily focused on cancer therapies resulted in increased research expenditures. We anticipate that our research and development expenses associated with our Technosphere Insulin System, expanding our Technosphere platform technology and the pursuit of cancer therapies will continue to increase in 2006. Specifically, we anticipate increased expenses related to the continuation of existing and initiation of new clinical trials, and the resulting manufacturing costs associated with producing clinical trial materials.</w:t>
      </w:r>
    </w:p>
    <w:p>
      <w:pPr>
        <w:spacing w:after="0" w:line="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in stock-based compensation expense for the three months ended March 31, 2006 compared to the three months ended March 31, 2005 primarily resulted from the adoption of SFAS No. 123R which requires all share-based payments to employees, including grants of stock options and the compensatory elements of employee stock purchase plans, to be recognized in the income statement based upon the fair value of the awards at the grant date. As described in the Critical Accounting Policies above, we have adopted SFAS No. 123R as of the effective date of January 1, 2006. In connection with our adoption, we expect non-cash stock-based compensation expense to increase significantly in the future. See Note 4 — Accounting for Stock-Based Compensation in the footnotes to our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comparison of the general and administrative expense categories for the three months ended March 31, 2006 and 2005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7,066</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2,397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2,072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2,790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5,187</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General and administrative expenses for the three months ended March 31, 2006 increased as compared to the same period in the prior year. Increased administrative services resulted in increased headcount, compensation adjustments and other employee related expenses. Additionally, litigation, public company compliance (including the Sarbanes-Oxley Act) and our establishment of a marketing function in 2005 increased both professional fees and consulting expenses. Stock-based compensation expense also increased for the three months ended March 31, 2006 compared to the three months ended March 31, 2005 upon the adoption of SFAS No. 123R. We expect general and administrative expenses other than non-cash stock-based compensation expense to increase slightly in the future as a result of increased headcount, public company compliance and establishment of investor relations and marketing programs. We expect overall general and administrative expenses to increase significantly as a result of the adoption of SFAS 123R. See Critical Accounting Policies above and Note 4 — Accounting for Stock-Based Compensation in the footnotes to our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funded our operations primarily through the sale of equity securities. We do not anticipate sales of any product prior to regulatory approval and commercialization of our Technosphere Insulin System. We currently rely on cash resources to maintain adequate working capital levels. At March 31, 2006, we had $102.6 million in cash, cash equivalents and marketable securities as compared to $145.6 million as of December 31, 2005. Although we believe our existing cash resources will be sufficient to fund our anticipated cash requirements into the third quarter of 2006, we will require significant additional financing in the future to fund our operations. If adequate funds are not available, we may be required to delay, reduce or eliminate expenditures for certain of our programs, including our Technosphere Insulin System development activities. Because the majority of our anticipated expenses in the near term can be reduced or eliminated in a relatively short period, we believe that if we are unable to obtain additional capital we can continue activities, on a reduced basis, through the first quarter of 2007. Additionally, our principal stockholder has given assurances that he will provide additional funding for our operations, if necessary, through the first quarter of 2007.</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During the three months ended March 31, 2006, we used $37.3 million of cash for our operations. We had a net loss of $43.6 million for the three months ended March 31, 2006, of which $5.7 million consisted of non-cash charges such as depreciation and amortization and stock-based compensation. We expect our negative operating cash flow to continue at least until we obtain regulatory approval and achieve commercialization of our Technosphere Insulin System.</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Investing activities provided $26.6 million of cash during the three months ended March 31, 2006. Cash provided by investing activities was from net sales of marketable securities of $32.7 million offset by $6.1 million used to purchase machinery and equipment to expand our manufacturing operations and quality systems in support of our expansion of clinical trials for Technosphere Insulin System. We expect to make significant purchases of equipment in the foreseeable future.</w:t>
      </w:r>
    </w:p>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financing activities provided cash of $0.6 million for the three months ended March 31, 2006. Cash from financing activities was primarily from the exercise of stock options and warrants.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intend to use our capital resources to continue the development of our Technosphere Insulin System and to develop additional applications for our proprietary Technosphere platform technology. In addition, portions of our capital resources will be devoted to expanding our other product development programs for the treatment of solid-tumor cancers. We anticipate that we will expend a portion of our capital to scale up our manufacturing capabilities in our Danbury facilities. We also intend to use our capital resources for general corporate purposes, which may include in-licensing or acquiring additional technologies.</w:t>
      </w:r>
    </w:p>
    <w:p>
      <w:pPr>
        <w:spacing w:after="0" w:line="8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held preliminary discussions with a number of pharmaceutical companies concerning a potential strategic business collaboration with us. To date, we have neither concluded these discussions nor reached an agreement concerning such a collaboration. If we enter into a strategic business collaboration with a pharmaceutical or biotechnology company, we would expect, as part of the transaction, to receive additional capital and reimbursements for a portion of the costs associated with the development, manufacture and commercialization of our Technosphere Insulin System.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6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our Technosphere Insulin System development activities, or further reduction of costs for facilities and administration.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2006,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have been no material changes to our contractual obligations disclosed in Item 7 to our annual report on Form 10-K for the year ended December 31, 2005 other than those in the ordinary course of our business, such as contracts related to the continuation of existing clinical trials, the initiation of new trials and the expansion, qualification and validation of our commercial manufacturing processes and facilities.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have not used derivative financial instruments. However, we are exposed to market risk related to changes in interest rates. Our current policy is to maintain a highly liquid short-term investment portfolio consisting mainly of U.S. money market funds and investment-grade corporate, government and municipal debt. Our cash is deposited in and invested through highly rated financial institutions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North America. Our short-term investments are subject to interest rate risk and will fall in value if market interest rates increase. If market interest rates were to increase immediately and uniformly by ten percent from levels at March 31, 2006, we estimate that the fair value of our investment portfolio would decline by an immaterial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or Securities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Our chief executive officer and chief financial officer performed an evaluation under the supervision and with the participation of our management, of our disclosure controls and procedures (as defined in Rule 13a-15(b) of the Securities Exchange Act) as of March 31, 2006. Based on that evaluation, our chief executive officer and chief financial officer concluded that our disclosure controls and procedures were effective at the reasonable assurance level.</w:t>
      </w:r>
    </w:p>
    <w:p>
      <w:pPr>
        <w:spacing w:after="0" w:line="3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March 31, 2006 that has materially affected, or is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In 2000, we issued 699,972 shares of common stock to three consultants in exchange for notes receivable aggregating approximately $10.9 million. The fixed interest bearing notes were collateralized by the underlying common stock. The notes-for-stock transactions were accounted for as in-substance stock option grants to non-employees. In November 2004, the consultants informed us that they had entered into an agreement in October 2001 with Mr. Mann, our Chairman, Chief Executive Officer and principal stockholder, under which Mr. Mann would purchase a portion of the consultants’ common stock, and that MannKind was to apply the proceeds to the amounts owed under the consultants’ respective notes. The consultants informed us that they believed both we and Mr. Mann were in breach of the alleged agreement, and indicated their intent to seek alleged damages arising from our failure to perform the alleged agreement. On October 19, 2005, the principal and interest on the notes aggregating $14.6 million became due and payable and we pursued collection. On November 21, 2005, the consultants filed a complaint against us in the California Superior Court, County of Los Angeles, </w:t>
      </w:r>
      <w:r>
        <w:rPr>
          <w:rFonts w:ascii="Arial" w:cs="Arial" w:eastAsia="Arial" w:hAnsi="Arial"/>
          <w:sz w:val="17"/>
          <w:szCs w:val="17"/>
          <w:i w:val="1"/>
          <w:iCs w:val="1"/>
          <w:color w:val="auto"/>
        </w:rPr>
        <w:t>Rollins et al. v. MannKind et al</w:t>
      </w:r>
      <w:r>
        <w:rPr>
          <w:rFonts w:ascii="Arial" w:cs="Arial" w:eastAsia="Arial" w:hAnsi="Arial"/>
          <w:sz w:val="17"/>
          <w:szCs w:val="17"/>
          <w:color w:val="auto"/>
        </w:rPr>
        <w:t>, Case No. BC343381. The complaint alleges causes of action for breach of the abovementioned agreement, among other things. On January 19, 2006, the parties mediated and settled the case. Under the settlement, MannKind repurchased 620,697 shares from the consultants in full satisfaction of the notes. MannKind also agreed to repurchase the remaining 79,275 shares held by the consultants for $1.4 million. The complaint has been dismissed in its entirety with prejudice.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There have been no material changes to the risk factors described in Item 1A to our annual report on Form 10-K for the year ended December 31, 2005.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operating losses, we expect to continue to incur losses, and we may never become profitable.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are a development stage company with no commercial products. All of our product candidates are still being developed, and all but our Technosphere Insulin System are still in early stages of development. Our product candidates will require significant additional development, clinical trials, regulatory clearances and additional investment before they can be commercialized. We anticipate that our Technosphere Insulin System will not be commercially available for several years, if at all.</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never been profitable, and, as of March 31, 2006, we had an accumulated deficit of $600.9 million.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This accumulated deficit may increase significantly as we expand development and clinical trial efforts.</w:t>
      </w:r>
    </w:p>
    <w:p>
      <w:pPr>
        <w:spacing w:after="0" w:line="8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our Technosphere Insulin System,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raise additional capital, our financial condition and business would suffer.</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It is costly to develop therapeutic products and conduct clinical trials for these products. Although we currently are focusing on our Technosphere Insulin System as our lead product candidate, we may in the future conduct clinical trials for a number of additional product candidates. Our future revenues may not be sufficient to support the expense of these activities.</w:t>
      </w:r>
    </w:p>
    <w:p>
      <w:pPr>
        <w:spacing w:after="0" w:line="7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Based upon our current expectations, we believe that our existing capital resources will enable us to continue planned operations into the third quarter of 2006. However, we cannot assure you that our plans will not change or that changed circumstances will not result in the depletion of our capital resources more rapidly than we currently anticipate. Accordingly, we expect that we will need to raise additional capital, either through the sale of equity and/or debt securities, a strategic business collaboration or the establishment of other funding facilities, in order to continue the development and commercialization of our Technosphere Insulin System and other product candidates and to support our other ongoing activities. The amount of additional funds we need will depend on a number of factors, including:</w:t>
      </w:r>
    </w:p>
    <w:p>
      <w:pPr>
        <w:spacing w:after="0" w:line="85" w:lineRule="exact"/>
        <w:rPr>
          <w:sz w:val="20"/>
          <w:szCs w:val="20"/>
          <w:color w:val="auto"/>
        </w:rPr>
      </w:pPr>
    </w:p>
    <w:p>
      <w:pPr>
        <w:ind w:left="220" w:right="160" w:hanging="212"/>
        <w:spacing w:after="0" w:line="277"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220" w:right="140" w:hanging="212"/>
        <w:spacing w:after="0" w:line="277"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our Technosphere Insulin System or our other product candidates;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220" w:right="280" w:hanging="212"/>
        <w:spacing w:after="0" w:line="277" w:lineRule="auto"/>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 and</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have raised capital in the past primarily through the sale of equity securities. We may in the future pursue the sale of equity and/or debt securities, or the establishment of other funding facilities. Issuances of debt or additional equity could impact your rights as a holder of our common stock, may dilute your ownership percentage and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sale or divestiture of certain intellectual property and other assets, including our Technosphere technology platform. We cannot offer assurances, however, that any strategic collaborations, sales of securities or sale or license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licensing arrangements, sales of securities and/or asset sales on a timely basis, we may be required to reduce expenses through the delay, reduction or curtailment of our projects, including our Technosphere Insulin System development activities, or further reduction of costs for facilities and administration.</w:t>
      </w:r>
    </w:p>
    <w:p>
      <w:pPr>
        <w:spacing w:after="0" w:line="69" w:lineRule="exact"/>
        <w:rPr>
          <w:sz w:val="20"/>
          <w:szCs w:val="20"/>
          <w:color w:val="auto"/>
        </w:rPr>
      </w:pPr>
    </w:p>
    <w:p>
      <w:pPr>
        <w:jc w:val="both"/>
        <w:ind w:right="160"/>
        <w:spacing w:after="0" w:line="282" w:lineRule="auto"/>
        <w:rPr>
          <w:sz w:val="20"/>
          <w:szCs w:val="20"/>
          <w:color w:val="auto"/>
        </w:rPr>
      </w:pPr>
      <w:r>
        <w:rPr>
          <w:rFonts w:ascii="Arial" w:cs="Arial" w:eastAsia="Arial" w:hAnsi="Arial"/>
          <w:sz w:val="18"/>
          <w:szCs w:val="18"/>
          <w:b w:val="1"/>
          <w:bCs w:val="1"/>
          <w:color w:val="auto"/>
        </w:rPr>
        <w:t>We depend heavily on the successful development and commercialization of our lead product candidate, the Technosphere Insulin System, which is still under development, and our other product candidates, which are in preclinical development.</w:t>
      </w:r>
    </w:p>
    <w:p>
      <w:pPr>
        <w:spacing w:after="0" w:line="58"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To date, we have not completed the development of any products through to commercialization. Only our Technosphere Insulin System is currently undergoing clinical trials, while our other product candidates are in research or preclinical development. We anticipate that in the near term our ability to generate revenues will depend solely on the successful development and commercialization of our Technosphere Insulin System.</w:t>
      </w:r>
    </w:p>
    <w:p>
      <w:pPr>
        <w:spacing w:after="0" w:line="3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have expended significant time, money and effort in the development of our lead product candidate, the Technosphere Insulin System, which has not yet received regulatory approval and which may never be commercialized. Before we can market and sell our Technosphere Insulin System, we will need to advance our Technosphere Insulin System through Phase 3 clinical trials and demonstrate in these trials that our Technosphere Insulin System is safe and effective. We initiated two pivotal Phase 3 clinical trials this past quarter with the last pivotal Phase 3 trial scheduled to begin shortly. Also, we currently anticipate conducting several special population studies which will require additional time and substantial expenditure of resources. We must also receive the necessary approvals from the FDA and similar foreign regulatory agencies before this product can be marketed in the United States or elsewhere. Even if we were to receive regulatory approval, we ultimately may be unable to gain market acceptance of our Technosphere Insulin System for a variety of reasons, including the treatment and dosage regimen, potential adverse effects, the availability of alternative treatments and cost effectiveness. If we fail to commercialize our Technosphere Insulin System, our business, financial condition and results of operations will be materially and adversely affected.</w:t>
      </w:r>
    </w:p>
    <w:p>
      <w:pPr>
        <w:spacing w:after="0" w:line="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areas.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our Technosphere Insulin System,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our Technosphere Insulin System or develop or expand our other product candidates, or are significantly delayed in doing so, our business and results of operations will be harmed and the value of our stock could decline.</w:t>
      </w:r>
    </w:p>
    <w:p>
      <w:pPr>
        <w:spacing w:after="0" w:line="5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If we do not achieve our projected development goals in the timeframes we announce and expect, our business would be harmed and the market price of our common stock could decline.</w:t>
      </w:r>
    </w:p>
    <w:p>
      <w:pPr>
        <w:spacing w:after="0" w:line="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compared to our estimates — in many cases for reasons beyond our control —</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depending on numerous factors, including:</w:t>
      </w:r>
    </w:p>
    <w:p>
      <w:pPr>
        <w:spacing w:after="0" w:line="117" w:lineRule="exact"/>
        <w:rPr>
          <w:sz w:val="20"/>
          <w:szCs w:val="20"/>
          <w:color w:val="auto"/>
        </w:rPr>
      </w:pPr>
    </w:p>
    <w:p>
      <w:pPr>
        <w:ind w:left="900" w:right="660" w:hanging="446"/>
        <w:spacing w:after="0" w:line="27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900" w:right="440" w:hanging="446"/>
        <w:spacing w:after="0" w:line="27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our Technosphere Insulin System;</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sale or license of our assets on a timely basis, we may be required to reduce expenses by delaying, reducing or curtailing our Technosphere Insulin System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76"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We face substantial competition in the development of our product candidates and may not be able to compete successfully, and our product candidates may be rendered obsolete by rapid technological change.</w:t>
      </w:r>
    </w:p>
    <w:p>
      <w:pPr>
        <w:spacing w:after="0" w:line="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initially are focusing on the development of the Technosphere Insulin System for the treatment of diabetes, and we face intense competition in this area. In January 2006, the FDA and the European Commission approved Exubera, developed by Pfizer, Inc. in collaboration with Nektar Therapeutics, for the treatment of adults with type 1 and type 2 diabetes. Eli Lilly and Company, in collaboration with Alkermes, Inc., initiated a Phase 3 clinical trial in July 2005, required for registration of their inhaled insulin system. Novo Nordisk A.S. has announced their intention to re-initiate Phase 3 clinical trials of their pulmonary insulin product. In addition, a number of established pharmaceutical companies have or are developing technologies for the treatment of diabetes. We also face substantial competition for the development of our other product candidates.</w:t>
      </w:r>
    </w:p>
    <w:p>
      <w:pPr>
        <w:spacing w:after="0" w:line="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rapid rate of scientific discoveries and technological changes could result in one or more of our products becoming obsolete or noncompetitive. Our competitors may develop or introduce new products that render our technology and our Technosphere Insulin System less competitive, uneconomical or obsolete. Pfizer, the first to commercialize a pulmonary insulin system, will have an advantage in being able to gain reputation and market share as well as set parameters for the pulmonary insulin market such as pricing. Our future success will depend not only on our ability to develop our products but to improve them and to keep pace with emerging industry developments. We cannot assure you that we will be able to do so.</w:t>
      </w:r>
    </w:p>
    <w:p>
      <w:pPr>
        <w:spacing w:after="0" w:line="6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69"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If we fail to enter into a strategic collaboration with respect to our Technosphere Insulin System, we may not be able to execute on our business model.</w:t>
      </w:r>
    </w:p>
    <w:p>
      <w:pPr>
        <w:spacing w:after="0" w:line="5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are currently evaluating potential collaborations with respect to our Technosphere Insulin System. If we are not able to enter into a collaboration on terms that are favorable to us, we could be required to undertake and fund product development, clinical trials, manufacturing and marketing activities solely at our own expense. We currently estimate that the cost to continue the development 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Technosphere Insulin System over the next 12 months would be up to $200 million. However, this estimate may change based on how the program proceeds. Failure to enter into a collaboration with respect to our Technosphere Insulin System could substantially increase our requirements for capital, which might not be available on favorable terms, if at all. Alternatively, we would have to substantially reduce our development efforts, which would delay or otherwise impede the commercialization of our Technosphere Insulin System.</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8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enter into collaborative agreements and if our third-party collaborators do not perform satisfactorily or if our collaborations fail, development or commercialization of our Technosphere Insulin System may be delayed and our business could be harmed.</w:t>
      </w:r>
    </w:p>
    <w:p>
      <w:pPr>
        <w:spacing w:after="0" w:line="5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We currently rely on clinical research organizations and hospitals to conduct, supervise or monitor some or all aspects of clinical trials involving our Technosphere Insulin System. Further, we may also enter into license agreements, partnerships or other collaborative arrangements to support financing, development and marketing of our Technosphere Insulin System.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5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If we enter into collaborative arrangements, we will have less control over the timing, planning and other aspects of our clinical trials, and the sale and marketing of our Technosphere Insulin System and our other product candidates. We cannot offer assurances that we will be able to enter into satisfactory arrangements with third parties as contemplated or that any of our existing or future collaborations will be successful.</w:t>
      </w:r>
    </w:p>
    <w:p>
      <w:pPr>
        <w:spacing w:after="0" w:line="5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Testing of our Technosphere Insulin System or another product candidate may not yield successful results, and even if it does, we may still be unable to commercialize that product candidate.</w:t>
      </w:r>
    </w:p>
    <w:p>
      <w:pPr>
        <w:spacing w:after="0" w:line="58"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Our research and development programs are designed to test the safety and efficacy of our Technosphere Insulin System and our other product candidates through extensive preclinical and clinical testing. We may experience numerous unforeseen events during, or as a result of, the testing process that could delay or prevent commercialization of our Technosphere Insulin System or any of our other product candidates, including the following:</w:t>
      </w:r>
    </w:p>
    <w:p>
      <w:pPr>
        <w:spacing w:after="0" w:line="39" w:lineRule="exact"/>
        <w:rPr>
          <w:sz w:val="20"/>
          <w:szCs w:val="20"/>
          <w:color w:val="auto"/>
        </w:rPr>
      </w:pPr>
    </w:p>
    <w:p>
      <w:pPr>
        <w:jc w:val="both"/>
        <w:ind w:left="900" w:right="100" w:hanging="446"/>
        <w:spacing w:after="0" w:line="264" w:lineRule="auto"/>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preclinical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after reviewing test results, we or any potential collaborators may abandon projects that we previously believed were promising; and</w:t>
      </w:r>
    </w:p>
    <w:p>
      <w:pPr>
        <w:spacing w:after="0" w:line="142" w:lineRule="exact"/>
        <w:rPr>
          <w:rFonts w:ascii="Arial" w:cs="Arial" w:eastAsia="Arial" w:hAnsi="Arial"/>
          <w:sz w:val="17"/>
          <w:szCs w:val="17"/>
          <w:b w:val="1"/>
          <w:bCs w:val="1"/>
          <w:color w:val="auto"/>
        </w:rPr>
      </w:pPr>
    </w:p>
    <w:p>
      <w:pPr>
        <w:ind w:left="900" w:hanging="446"/>
        <w:spacing w:after="0" w:line="277" w:lineRule="auto"/>
        <w:tabs>
          <w:tab w:leader="none" w:pos="9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initiated a pivotal Phase 3 safety study of our Technosphere Insulin System to evaluate pulmonary function over a period of two years. Our Technosphere Insulin System is intended for multiple uses per day. Due to the size and timeframe over which existing and planned clinical trials are conducted, the results of clinical trials, including our existing Phase 3 trials, may not be indicative of the effects of the use of our Technosphere Insulin System over longer terms. If long-term use of our Technosphere Insulin System results in adverse health effects or reduced efficacy or both, the FDA or other regulatory agencies may terminate our ability to market and sell our Technosphere Insulin System, may narrow the approved indications for use or otherwise require restrictive product labeling or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marketing, or may require further clinical trials, which may be time-consuming and expensive, and may not produce favorable results.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As a result of any of these events, the FDA, other regulatory authorities, any collaborator or we may suspend or terminate clinical trials or marketing of our Technosphere Insulin System at any time. Any suspension or termination of our clinical trials or marketing activities may harm our business and results of operations and the market price of our common stock may decline.</w:t>
      </w:r>
    </w:p>
    <w:p>
      <w:pPr>
        <w:spacing w:after="0" w:line="6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are unable to transition successfully from an early-stage development company to a company that commercializes therapeutics, our operations would suffer.</w:t>
      </w:r>
    </w:p>
    <w:p>
      <w:pPr>
        <w:spacing w:after="0" w:line="5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We are reaching a critical juncture in our development, transitioning from an early-stage development company to one with multiple Phase 3 clinical trials. Phase 3 development of the Technosphere Insulin System is far more complex than the earlier phases. Overall, we plan to support a significant number of studies in the near term. We have not previously implemented the range of studies contemplated for our Phase 3 clinical program. Moreover, as a company, we have no previous experience in the Phase 3-through-new drug application, or NDA, stage of product development.</w:t>
      </w:r>
    </w:p>
    <w:p>
      <w:pPr>
        <w:spacing w:after="0" w:line="46"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require a well-structured plan to make this transition. In the past year, we have added a significant number of new executive personnel, particularly in clinical development, regulatory and manufacturing production, including personnel with significant Phase 3-to-commercialization experience. We have aligned our management structure to accommodate the increasing complexity of our operations, and we are implementing the following measures, among others, to accommodate our transition, complete development of our Technosphere Insulin System and successfully implement our commercialization strategy for our Technosphere Insulin System:</w:t>
      </w:r>
    </w:p>
    <w:p>
      <w:pPr>
        <w:spacing w:after="0" w:line="80"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expand our manufacturing capabilities;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 including those for protocol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accomplish these measures in a timely manner, we would be at considerable risk of failing to:</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complete our Phase 3 clinical trial program in a deliberate fashion, on time and within budget;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develop through our Phase 3 trials the key clinical data needed to obtain regulatory approval and compete successfully in the marketplace.</w:t>
      </w:r>
    </w:p>
    <w:p>
      <w:pPr>
        <w:spacing w:after="0" w:line="125"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If our suppliers fail to deliver materials and services needed for the production of our Technosphere Insulin System in a timely and sufficient manner, or they fail to comply with applicable regulations, our business and results of operations would be harmed and the market price of our common stock could decline.</w:t>
      </w:r>
    </w:p>
    <w:p>
      <w:pPr>
        <w:spacing w:after="0" w:line="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our Technosphere Insulin System to be commercially viable, we need access to sufficient, reliable and affordable supplies of insulin, our MedTone inhaler, the related cartridges and other materials. We currently have a long-term supply agreement with Diosynth B.V., an independent supplier of insulin and a subsidiary of Akzo Nobel, which is currently our sole supplier for insulin. We are aware of at least five other suppliers of bulk insulin but to date we have not entered into a commercial relationship with any of the five. Currently we obtain our Technosphere pre-cursor raw material from Degussa AG, a major chemical manufacturer with facilities in Europe and North America. We utilize our in-house chemical manufacturing plant as a back up facility. Degussa AG has the capacity to supply our current clinical and future commercial requirements. We entered into a long-term supply agreement with Vaupell, Inc., the supplier of our MedTone inhaler and cartridges. We must rely on our suppliers to comply with relevant regulatory and other legal requirements, including the production of insulin in accordance with current drug Good Manufacturing Practices, or cGMP, and the production of MedTone inhaler and related cartridges in accordance with device Quality System Regulations, or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our Technosphere Insulin System may be delayed. Any such events would delay the submission of our Technosphere Insulin System for regulatory approval or market introduction and subsequent sales and, if so, our business and results of operations will be harmed and the market price of our common stock may decline.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have never manufactured our Technosphere Insulin System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7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currently obtain our Technosphere pre-cursor raw material primarily from Degussa AG. We use our Danbury, Connecticut facility to formulate Technosphere Insulin, fill plastic cartridges with Technosphere Insulin and blister package the cartridges for our clinical trials. We presently intend to increase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price, our facilities expansion could be delayed or its costs increased.</w:t>
      </w:r>
    </w:p>
    <w:p>
      <w:pPr>
        <w:spacing w:after="0" w:line="5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never manufactured our Technosphere Insulin System or any other product candidate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Technosphere Insulin at our Danbury facility, it would have to undergo a pre-approval inspection by the FDA. The expansion process and preparation for the FDA’s pre-approval inspection for commercial production at the Danbury facility could take an additional six months or longer. If we use a third-party supplier to formulate Technosphere Insulin or produce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7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we were unable to promptly find one or more replacement manufacturers capable of production at a substantially equivalent cost, in substantially equivalent volume and on a timely basis, we would likely be unable to meet demand for such products and we would lose potential revenues.</w:t>
      </w:r>
    </w:p>
    <w:p>
      <w:pPr>
        <w:spacing w:after="0" w:line="60"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We deal with hazardous materials and must comply with environmental laws and regulations, which can be expensive and restrict how we do business.</w:t>
      </w:r>
    </w:p>
    <w:p>
      <w:pPr>
        <w:spacing w:after="0" w:line="5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initiated the final stages of the soil cleanup plan which we estimate will cost $1.5 to $2.0 million to complete by the end of 2007. We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In the event that any cleanup costs are imposed on us and we are unable to collect the full amount of these costs and expenses from the seller or the party responsible for the contamination, we may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be required to pay these costs and our business and results of operations may be harmed.</w:t>
      </w:r>
    </w:p>
    <w:p>
      <w:pPr>
        <w:spacing w:after="0" w:line="11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5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 broad base of physicians and specialists treat patients with diabetes. A large sales force will be required in order to educate and support these physicians and specialists. Therefore, we plan to enter into collaborations with one or more pharmaceutical companies to sell, market and distribute our Technosphere Insulin System, if it is approved. If we fail to enter into collaborations, we would be required to establish our own direct sales, marketing and distribution capabilities. Establishing these capabilities can be time-consuming and expensive and we estimate that establishing a specialty sales force would cost more than $35 million. Because of our size, we would be at a disadvantage to our potential competitors, all of which either are or have collaborated with large pharmaceutical companies that have substantially more resources than we do. As a result, we would not initially be able to field a sales force as large as our competitors or provide the same degree of market research or marketing support. In addition, our competitors would have a greater ability to devote research resources toward expansion of the indications for their products. We cannot assure you that we will succeed in entering into acceptable collaborations, that any such collaboration will be successful or, if not, that we will successfully develop our own sales, marketing and distribution capabilities.</w:t>
      </w:r>
    </w:p>
    <w:p>
      <w:pPr>
        <w:spacing w:after="0" w:line="5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If any product that we may develop does not become widely accepted by physicians, patients, third-party payors and the healthcare community, we may be unable to generate significant revenue, if any.</w:t>
      </w:r>
    </w:p>
    <w:p>
      <w:pPr>
        <w:spacing w:after="0" w:line="5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Technosphere Insulin System and our other product candidates are new and unproven. Even if any of our product candidates obtain regulatory approvals, it may not gain market acceptance among physicians, patients, third-party payors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our Technosphere Insulin System and our other product candidates will depend on many factors, including:</w:t>
      </w:r>
    </w:p>
    <w:p>
      <w:pPr>
        <w:spacing w:after="0" w:line="129"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perceived advantages and disadvantages of competitive products;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ability to manufacture the product in sufficient quantities with acceptable quality and at an acceptable cost;</w:t>
      </w:r>
    </w:p>
    <w:p>
      <w:pPr>
        <w:spacing w:after="0" w:line="130" w:lineRule="exact"/>
        <w:rPr>
          <w:rFonts w:ascii="Arial" w:cs="Arial" w:eastAsia="Arial" w:hAnsi="Arial"/>
          <w:sz w:val="18"/>
          <w:szCs w:val="18"/>
          <w:b w:val="1"/>
          <w:bCs w:val="1"/>
          <w:color w:val="auto"/>
        </w:rPr>
      </w:pPr>
    </w:p>
    <w:p>
      <w:pPr>
        <w:ind w:left="900" w:right="240" w:hanging="446"/>
        <w:spacing w:after="0" w:line="277" w:lineRule="auto"/>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perception of patients and the healthcare community, including third-party payors, regarding the safety, efficacy and benefits of the product compared to those of competing products or therapies;</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convenience and ease of administration of the product relative to existing treatment methods;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pricing and reimbursement of the product relative to existing treatment therapeutics and methods;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Physicians will not recommend a product until clinical data or other factors demonstrate the safety and efficacy of the product. Even if the clinical safety and efficacy of our product candidates is established, physicians may elect not to recommend these product candidates for a variety of factors, including the reimbursement policies of government and third-party payors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third-party payors do not reimburse customers for our products, our products might not be used or purchased, which would adversely affect our revenues.</w:t>
      </w:r>
    </w:p>
    <w:p>
      <w:pPr>
        <w:spacing w:after="0" w:line="5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future revenues and potential for profitability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number of federal and state proposals to implement similar governmental controls. We cannot be certain what legislative proposals will be adopted or what actions federal, state or private payors for healthcare goods and services may take in response to any healthcare reform proposals or legislation. Such reforms may make it difficult to complete the development and testing of our Technosphere Insulin System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In addition, because each third-party payor individually approves reimbursement, obtaining these approvals is a time-consuming and costly process. We would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testing, manufacturing, marketing and sale of our Technosphere Insulin System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$5 million. We believe these limits are reasonable to cover us from potential damages arising from current and previous clinical trials of our Technosphere Insulin System. In addition, we carry local policies per trial in each country in which we conduct clinical trials that requires us to carry coverage based on local statutory requirements. We intend to obtain product liability coverage for commercial sales in the future if our Technosphere Insulin System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we may not have sufficient financial resources to complete development or commercialization of any of our product candidates and, if so, our business and results of operations would be harmed and the market price of our common stock may decline.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lose any key employees or scientific advisors, our operations and our ability to execute our business strategy could be materially harmed.</w:t>
      </w:r>
    </w:p>
    <w:p>
      <w:pPr>
        <w:spacing w:after="0" w:line="144"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may have arrangements with, other companies to assist those companies in developing technologies that may compete with our product candidates.</w:t>
      </w:r>
    </w:p>
    <w:p>
      <w:pPr>
        <w:spacing w:after="0" w:line="1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our Chief Executive Officer is unable to devote sufficient time and attention to our business, our operations and our ability to execute our business strategy could be materially harmed.</w:t>
      </w:r>
    </w:p>
    <w:p>
      <w:pPr>
        <w:spacing w:after="0" w:line="58"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Alfred Mann, our Chairman and Chief Executive Officer, is also serving as the Chairman and Co-Chief Executive Officer of Advanced Bionics Corporation, a wholly owned subsidiary of Boston Scientific Corporation. Mr. Mann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76"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We have been sued by our former Chief Medical Officer. As a result of this litigation, we may incur material costs and suffer other consequences, which may adversely affect us.</w:t>
      </w:r>
    </w:p>
    <w:p>
      <w:pPr>
        <w:spacing w:after="0" w:line="5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May 2005, Dr. Cheatham filed a complaint against us in the California Superior Court. The complaint alleges causes of action for wrongful termination in violation of public policy, breach of contract and retaliation in connection with the termination of Dr. Cheatham’s employment. In the complaint,</w:t>
      </w:r>
    </w:p>
    <w:p>
      <w:pPr>
        <w:ind w:right="100"/>
        <w:spacing w:after="0" w:line="270" w:lineRule="auto"/>
        <w:rPr>
          <w:sz w:val="20"/>
          <w:szCs w:val="20"/>
          <w:color w:val="auto"/>
        </w:rPr>
      </w:pPr>
      <w:r>
        <w:rPr>
          <w:rFonts w:ascii="Arial" w:cs="Arial" w:eastAsia="Arial" w:hAnsi="Arial"/>
          <w:sz w:val="17"/>
          <w:szCs w:val="17"/>
          <w:color w:val="auto"/>
        </w:rPr>
        <w:t>Dr. Cheatham seeks compensatory, punitive and exemplary damages in excess of $2.0 million as well as reimbursement of attorneys’ fees. In June 2005, we answered the complaint and also filed a cross-complaint against Dr. Cheatham, alleging claims for libel per se, trade libel, breach of contract, breach of the implied covenant of good faith and fair dealing and breach of the duty of loyalty. In July 2005, Dr. Cheatham filed a demurrer, and a motion to strike our cross-complaint under California’s anti-SLAPP statute. In September 2005, the California Superior Court overruled Dr. Cheatham’s demurrer and denied his motion to strike the Company’s cross-complaint. Dr. Cheatham has appealed the Court’s ruling denying his motion to strike. Discovery as to Dr. Cheatham’s claims against us is proceeding, and this case is scheduled for trial to commence in October 2006.</w:t>
      </w:r>
    </w:p>
    <w:p>
      <w:pPr>
        <w:spacing w:after="0" w:line="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litigation will result in costs and divert management’s attention and resources, any of which could adversely affect our business, results of operations or financial position. We are also concerned that, despite the findings by an independent counsel following an investigation and despite the endorsement of the independent counsel’s report by our board of directors, investors could give undue weight to Dr. Cheatham’s allegations, resulting in damage to our reputation, or the FDA could begin an investigation, either of which could adversely affect the trading price of our common stock. To date, we have not been notified of any investigation by the FDA. If we are not successful in this litigation, we could be forced to make a significant settlement or judgment payment to Dr. Cheatham, which could adversely affect our business, results of operations or financial position.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 that are located in Southern California may be affected by natural disasters.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an enhanced risk of natural and other disasters such as power and telecommunications failures, mudslides, fires and earthquakes. A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internal controls over financial reporting are not considered effective, our business and stock price could be adversely affected.</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management’s assessment of our internal controls over financial reporting. Our management has concluded, and our independent registered public accounting firm has attested, that our internal control over financial reporting was effective as of December 31, 2005. There has been no change in our internal control over financial reporting during the fiscal quarter ended March 31, 2006 that has materially affected, or is reasonably likely to materially effect, our internal control over financial reporting.</w:t>
      </w:r>
    </w:p>
    <w:p>
      <w:pPr>
        <w:spacing w:after="0" w:line="8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1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product candidates must undergo rigorous preclinical and clinical testing and we must obtain regulatory approvals, which could be costly and time-consuming and subject us to unanticipated delays or prevent us from marketing any products.</w:t>
      </w:r>
    </w:p>
    <w:p>
      <w:pPr>
        <w:spacing w:after="0" w:line="5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our Technosphere Insulin System, are subject to regulation, including regulation for safety, efficacy and quality, by the FDA in the United States and comparable authorities in other countries. FDA regulations are wide-ranging and govern, among other things:</w:t>
      </w:r>
    </w:p>
    <w:p>
      <w:pPr>
        <w:spacing w:after="0" w:line="73"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expect, based on our discussions with the FDA and on our understanding of the interactions between the FDA and other pharmaceutical companies developing inhaled insulin delivery systems, that we will need safety data covering at least two years from patients treated with our Technosphere Insulin System and that we must complete a two-year carcinogenicity study of Technosphere Insulin in rodents to obtain approval, among other requirements. We cannot be certain when or under what conditions we will undertake further clinical trials. The clinical trials of our product candidates may not be completed on schedule, the FDA or foreign regulatory agencies may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order us to stop or modify our research, or these agencies may not ultimately approve any of our product candidates for commercial sale. The data collected from our clinical trials may not be sufficient to support regulatory approval of our various product candidates, including our Technosphere Insulin System.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6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our Technosphere Insulin System,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7"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may impact the development and registration of our Technosphere Insulin System in many ways, including: the approval of Exubera may increase the difficulty of enrolling patients in our clinical trials; Exubera may be viewed as standard of care by the FDA and used as a reference for the safety/efficacy evaluations of our Technosphere Insulin System; and the approval standards set for Exubera may be applied to other products that follow including our Technosphere Insulin System. The FDA has advised us that it will regulate our Technosphere Insulin System as a “combination product” because of the complex nature of the system that includes the combination of a new drug (Technosphere Insulin) and a new medical device (the MedTone inhaler used to administer the insulin). The FDA indicated that the review of a future drug marketing application for our Technosphere Insulin System will involve three separate review groups of the FDA: (1) 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 can make no assurances at this time about what impact FDA review by multiple groups will have on the review and approval of our product or whether we are correct in our understanding of how the Technosphere Insulin System will be reviewed and approved.</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our Technosphere Insulin System as a combination product therapy may lengthen the product development and regulatory approval process, increase our development costs and delay or prevent the commercialization of our Technosphere Insulin System.</w:t>
      </w:r>
    </w:p>
    <w:p>
      <w:pPr>
        <w:spacing w:after="0" w:line="8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developing our Technosphere Insulin System as a new treatment for diabetes utilizing unique, proprietary components. As a combination product, any changes to either the MedTone inhaler, the Technosphere material or the insulin,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our Technosphere Insulin System. Our product candidates that are currently in development for the treatment of cancer also face similar obstacles and costs.</w:t>
      </w:r>
    </w:p>
    <w:p>
      <w:pPr>
        <w:spacing w:after="0" w:line="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currently expect that our inhaler will be reviewed for approval as part of the NDA for our Technosphere Insulin System. No assurances exist that we will not be required to obtain separate device clearances or approval for use of our inhaler with our Technosphere Insulin System. This may result in our being subject to medical device review user fees and to other device requirements to market our inhaler and may result in significant delays in commercialization. Even if the device component is approved as part of our NDA for the Technosphere Insulin System, numerous device regulatory requirements still apply to the device part of the drug-device combination.</w:t>
      </w:r>
    </w:p>
    <w:p>
      <w:pPr>
        <w:spacing w:after="0" w:line="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will not be able to commercialize our Technosphere Insulin System and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53"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6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Even if we obtain regulatory approval for our product candidates, such approval may be limited and we will be subject to stringent, ongoing government regulation.</w:t>
      </w:r>
    </w:p>
    <w:p>
      <w:pPr>
        <w:spacing w:after="0" w:line="58"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Even if regulatory authorities approve any of our product candidates, they could approve less than the full scope of uses or labeling that we seek or otherwise require special warnings or other restrictions on use or marketing. Regulatory authorities may limit the segments of the diabetes population to which we or others may market our Technosphere Insulin System or limit the target population for our other product candidates. Based on currently available clinical studies, we believe that our Technosphere Insulin System may have certain advantages over currently approved insulin products including its approximation of the natural early insulin secretion normally seen in healthy individuals following the beginning of a meal. Nonetheless, there are no assurances that these and other advantages, if any, of the Technosphere Insulin System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 product labeling or advertising and, as a result, our Technosphere Insulin System may not have competitive advantages when compared to other insulin products.</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Congressional and FDA initiatives pertaining to ensuring the safety of marketed drugs or other developments pertaining to the pharmaceutical industry will not adversely affect our operations.</w:t>
      </w:r>
    </w:p>
    <w:p>
      <w:pPr>
        <w:spacing w:after="0" w:line="8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insulin supplier does not yet supply human recombinant insulin for an FDA-approved product and will likely be subject to an FDA preapproval inspection before the agency will approve a future marketing application for our Technosphere Insulin System.</w:t>
      </w:r>
    </w:p>
    <w:p>
      <w:pPr>
        <w:spacing w:after="0" w:line="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insulin supplier sells its product outside of the US,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our Technosphere Insulin System. We also depend on suppliers for other materials that comprise our Technosphere Insulin System, including our MedTone inhaler and cartridges. All of our device suppliers must comply with relevant regulatory requirements including QSR. It also is likely that major suppliers will be subject to FDA preapproval inspections before the agency will approve a future marketing application for our Technosphere Insulin System.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6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regulatory approvals that we receive for our product candidates may also be subject to limitations on the indicated uses for which the product candidate may be marketed or contain requirements for potentially costly post-marketing follow-up clinical trials.</w:t>
      </w:r>
    </w:p>
    <w:p>
      <w:pPr>
        <w:spacing w:after="0" w:line="5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At present, there are a number of clinical trials being conducted by us and other pharmaceutical companies involving insulin delivery systems. If we discover that our product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our Technosphere Insulin System. As well, the public perception of our products might be adversely affected, which could harm our business and results of operations and cause the market price of our common stock to decline, even if the concern relates to another company’s product.</w:t>
      </w:r>
    </w:p>
    <w:p>
      <w:pPr>
        <w:spacing w:after="0" w:line="5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For example, in August 2004, an analyst reported that the United Kingdom Committee on the Safety of Medicines had expressed concern that a European application for approval of a drug for the treatment of diabetes was not licensable at the time. Earlier in 2004, sanofi-aventis, on behalf of Pfizer and Nektar, filed for regulatory approval in Europe of Exubera. Although the identity of the drug was not disclosed in the analyst’s report, the news nonetheless triggered temporary but sharp declines in the market prices of Nektar’s common stock as well as our common stock.</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protect our proprietary rights, we may not be able to compete effectively, or operate profitably.</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know-how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technologies.</w:t>
      </w:r>
    </w:p>
    <w:p>
      <w:pPr>
        <w:spacing w:after="0" w:line="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proceedings such as oppositions in foreign jurisdictions or re-examinations in the US. If we attempt to enforce our patents, they may be challenged in court where they could be held invalid, unenforceable, or have their breadth narrowed to an extent that would destroy their value.</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8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An adverse determination of any litigation or defense proceedings could put one or more of our patents at risk of being invalidated or interpreted narrowly and could put our patent applications at risk of not issuing.</w:t>
      </w:r>
    </w:p>
    <w:p>
      <w:pPr>
        <w:spacing w:after="0" w:line="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Interference proceedings brought by the US Patent and Trademark Office, or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5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5"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third party may claim that we are using inventions covered by such third party’s patents and may go to court to stop us from engaging in our normal operations and activities. These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Although we own a number of domestic and foreign patents and patent applications relating to our Technosphere Insulin System and cancer vaccine products under development, we have identified certain third-party patents that a court may interpret to restrict our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freedom to operate (that is, to cover our products) in the areas of Technosphere formulations, pulmonary insulin delivery and the treatment of cancer. Specifically, we have identified certain third-party patents having claims relating to chemical compositions of matter and pulmonary insulin delivery that may trigger an allegation of infringement upon the commercial manufacture and sale of our Technosphere Insulin System.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Patent litigation is costly and time-consuming. Among other things, such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Although patent and intellectual property disputes in the pharmaceutical area have often been settled for licensing or similar arrangements, associated costs may be substantial and could include ongoing royalties.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obtain trademark registrations for our potential trade names.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not selected trade names for some of our products and product candidates; therefore, we have not filed trademark registrations for our potential trade names for those products in any jurisdiction, including the United States.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volatile.</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stock market, particularly in recent years, has experienced significant volatility particularly with respect to pharmaceutical and biotechnology stocks.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900" w:right="360" w:hanging="446"/>
        <w:spacing w:after="0" w:line="277" w:lineRule="auto"/>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their clinical trial results, acquisitions, strategic alliances, technological innovations and newly approved commercial products;</w:t>
      </w:r>
    </w:p>
    <w:p>
      <w:pPr>
        <w:spacing w:after="0" w:line="75" w:lineRule="exact"/>
        <w:rPr>
          <w:rFonts w:ascii="Arial" w:cs="Arial" w:eastAsia="Arial" w:hAnsi="Arial"/>
          <w:sz w:val="18"/>
          <w:szCs w:val="18"/>
          <w:b w:val="1"/>
          <w:bCs w:val="1"/>
          <w:color w:val="auto"/>
        </w:rPr>
      </w:pPr>
    </w:p>
    <w:p>
      <w:pPr>
        <w:ind w:left="900" w:hanging="446"/>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availability of critical materials used in developing and manufacturing our Technosphere Insulin System or other product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candidates;</w:t>
      </w:r>
    </w:p>
    <w:p>
      <w:pPr>
        <w:spacing w:after="0" w:line="11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developments concerning our patents, proprietary rights and potential infringement claims;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developments in our litigation with our former Chief Medical Officer;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and operating performance;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130" w:lineRule="exact"/>
        <w:rPr>
          <w:rFonts w:ascii="Arial" w:cs="Arial" w:eastAsia="Arial" w:hAnsi="Arial"/>
          <w:sz w:val="18"/>
          <w:szCs w:val="18"/>
          <w:b w:val="1"/>
          <w:bCs w:val="1"/>
          <w:color w:val="auto"/>
        </w:rPr>
      </w:pPr>
    </w:p>
    <w:p>
      <w:pPr>
        <w:ind w:left="900" w:right="480" w:hanging="446"/>
        <w:spacing w:after="0" w:line="277" w:lineRule="auto"/>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discussion of our Technosphere Insulin System, our other product candidates, competitors’ products, or our stock price by the financial and scientific press, the healthcare community and online investor communities such as chat rooms.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1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other biotechnology and biopharmaceutical companies or the securities markets in general encounter problems, the market price of our common stock could be adversely affected.</w:t>
      </w:r>
    </w:p>
    <w:p>
      <w:pPr>
        <w:spacing w:after="0" w:line="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Public companies in general and companies included on The Nasdaq National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69"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Mr. Mann has been our primary source of financing to date. At March 31, 2006, Mr. Mann beneficially owned approximately 49.2% of our outstanding shares of capital stock. Members of Mr. Mann’s family beneficially owned at least an additional 2.0% of our outstanding shares of common stock, although</w:t>
      </w:r>
    </w:p>
    <w:p>
      <w:pPr>
        <w:ind w:right="80"/>
        <w:spacing w:after="0" w:line="254" w:lineRule="auto"/>
        <w:rPr>
          <w:sz w:val="20"/>
          <w:szCs w:val="20"/>
          <w:color w:val="auto"/>
        </w:rPr>
      </w:pPr>
      <w:r>
        <w:rPr>
          <w:rFonts w:ascii="Arial" w:cs="Arial" w:eastAsia="Arial" w:hAnsi="Arial"/>
          <w:sz w:val="18"/>
          <w:szCs w:val="18"/>
          <w:color w:val="auto"/>
        </w:rPr>
        <w:t>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8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Subject to compliance with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and that may serve as funding organizations for any other charities that he may establish. The AEMMRO is a membership foundation consisting of six members, including</w:t>
      </w:r>
    </w:p>
    <w:p>
      <w:pPr>
        <w:spacing w:after="0" w:line="2" w:lineRule="exact"/>
        <w:rPr>
          <w:sz w:val="20"/>
          <w:szCs w:val="20"/>
          <w:color w:val="auto"/>
        </w:rPr>
      </w:pPr>
    </w:p>
    <w:p>
      <w:pPr>
        <w:ind w:right="560"/>
        <w:spacing w:after="0" w:line="281" w:lineRule="auto"/>
        <w:rPr>
          <w:sz w:val="20"/>
          <w:szCs w:val="20"/>
          <w:color w:val="auto"/>
        </w:rPr>
      </w:pPr>
      <w:r>
        <w:rPr>
          <w:rFonts w:ascii="Arial" w:cs="Arial" w:eastAsia="Arial" w:hAnsi="Arial"/>
          <w:sz w:val="16"/>
          <w:szCs w:val="16"/>
          <w:color w:val="auto"/>
        </w:rPr>
        <w:t>Mr. Mann, four of his children and Dr. Joseph Schulman, the director of AMF. The AEMFBE is a membership foundation consisting of five members, including Mr. Mann and the same four of his children. Although we understand that the members of AEMMRO and AEMFBE have been advised of</w:t>
      </w:r>
    </w:p>
    <w:p>
      <w:pPr>
        <w:spacing w:after="0" w:line="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Mr. Mann’s objectives for these foundations, once Mr. Mann’s shares of our capital stock become the property of the foundations, we cannot assure you as to how those shares will be distributed or how they will be voted.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future sale of our common stock could negatively affect our stock price.</w:t>
      </w:r>
    </w:p>
    <w:p>
      <w:pPr>
        <w:spacing w:after="0" w:line="12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of March 31, 2006, we had approximately 49.6 million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5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the market price of our common stock may decline and our existing stockholders may experience significant dilution.</w:t>
      </w:r>
    </w:p>
    <w:p>
      <w:pPr>
        <w:spacing w:after="0" w:line="58" w:lineRule="exact"/>
        <w:rPr>
          <w:sz w:val="20"/>
          <w:szCs w:val="20"/>
          <w:color w:val="auto"/>
        </w:rPr>
      </w:pPr>
    </w:p>
    <w:p>
      <w:pPr>
        <w:ind w:right="680"/>
        <w:spacing w:after="0" w:line="347" w:lineRule="auto"/>
        <w:rPr>
          <w:sz w:val="20"/>
          <w:szCs w:val="20"/>
          <w:color w:val="auto"/>
        </w:rPr>
      </w:pPr>
      <w:r>
        <w:rPr>
          <w:rFonts w:ascii="Arial" w:cs="Arial" w:eastAsia="Arial" w:hAnsi="Arial"/>
          <w:sz w:val="16"/>
          <w:szCs w:val="16"/>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Our amended and restated certificate of incorporation and bylaws include anti-takeover provisions, such as a prohibition on stockholder actions by written consent, the authority of our board of directors to issue preferred stock without stockholder approval, and supermajority voting requirements for specified actions. In addition, because we are incorporated in Delaware,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Because we do not expect to pay dividends in the foreseeable future, you must rely on stock appreciation for any return on your investment.</w:t>
      </w:r>
    </w:p>
    <w:p>
      <w:pPr>
        <w:spacing w:after="0" w:line="13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20" w:type="dxa"/>
            <w:vAlign w:val="bottom"/>
          </w:tcPr>
          <w:p>
            <w:pPr>
              <w:jc w:val="center"/>
              <w:ind w:right="2448"/>
              <w:spacing w:after="0"/>
              <w:rPr>
                <w:sz w:val="20"/>
                <w:szCs w:val="20"/>
                <w:color w:val="auto"/>
              </w:rPr>
            </w:pPr>
            <w:r>
              <w:rPr>
                <w:rFonts w:ascii="Arial" w:cs="Arial" w:eastAsia="Arial" w:hAnsi="Arial"/>
                <w:sz w:val="14"/>
                <w:szCs w:val="14"/>
                <w:b w:val="1"/>
                <w:bCs w:val="1"/>
                <w:color w:val="auto"/>
                <w:w w:val="98"/>
              </w:rPr>
              <w:t>Exhibit</w:t>
            </w:r>
          </w:p>
        </w:tc>
        <w:tc>
          <w:tcPr>
            <w:tcW w:w="3700" w:type="dxa"/>
            <w:vAlign w:val="bottom"/>
            <w:vMerge w:val="restart"/>
          </w:tcPr>
          <w:p>
            <w:pPr>
              <w:ind w:left="250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3020" w:type="dxa"/>
            <w:vAlign w:val="bottom"/>
          </w:tcPr>
          <w:p>
            <w:pPr>
              <w:jc w:val="center"/>
              <w:ind w:right="2448"/>
              <w:spacing w:after="0"/>
              <w:rPr>
                <w:sz w:val="20"/>
                <w:szCs w:val="20"/>
                <w:color w:val="auto"/>
              </w:rPr>
            </w:pPr>
            <w:r>
              <w:rPr>
                <w:rFonts w:ascii="Arial" w:cs="Arial" w:eastAsia="Arial" w:hAnsi="Arial"/>
                <w:sz w:val="14"/>
                <w:szCs w:val="14"/>
                <w:b w:val="1"/>
                <w:bCs w:val="1"/>
                <w:color w:val="auto"/>
                <w:w w:val="94"/>
              </w:rPr>
              <w:t>Number</w:t>
            </w: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0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Restated Certificate of Incorporation.</w:t>
      </w:r>
    </w:p>
    <w:p>
      <w:pPr>
        <w:spacing w:after="0" w:line="209"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00" w:type="dxa"/>
            <w:vAlign w:val="bottom"/>
          </w:tcPr>
          <w:p>
            <w:pPr>
              <w:jc w:val="center"/>
              <w:ind w:right="170"/>
              <w:spacing w:after="0"/>
              <w:rPr>
                <w:sz w:val="20"/>
                <w:szCs w:val="20"/>
                <w:color w:val="auto"/>
              </w:rPr>
            </w:pPr>
            <w:r>
              <w:rPr>
                <w:rFonts w:ascii="Arial" w:cs="Arial" w:eastAsia="Arial" w:hAnsi="Arial"/>
                <w:sz w:val="18"/>
                <w:szCs w:val="18"/>
                <w:color w:val="auto"/>
                <w:w w:val="93"/>
              </w:rPr>
              <w:t>3.2(1)</w:t>
            </w:r>
          </w:p>
        </w:tc>
        <w:tc>
          <w:tcPr>
            <w:tcW w:w="10320" w:type="dxa"/>
            <w:vAlign w:val="bottom"/>
          </w:tcPr>
          <w:p>
            <w:pPr>
              <w:ind w:left="260"/>
              <w:spacing w:after="0"/>
              <w:rPr>
                <w:sz w:val="20"/>
                <w:szCs w:val="20"/>
                <w:color w:val="auto"/>
              </w:rPr>
            </w:pPr>
            <w:r>
              <w:rPr>
                <w:rFonts w:ascii="Arial" w:cs="Arial" w:eastAsia="Arial" w:hAnsi="Arial"/>
                <w:sz w:val="18"/>
                <w:szCs w:val="18"/>
                <w:color w:val="auto"/>
              </w:rPr>
              <w:t>Amended and Restated Bylaws.</w:t>
            </w:r>
          </w:p>
        </w:tc>
      </w:tr>
      <w:tr>
        <w:trPr>
          <w:trHeight w:val="432"/>
        </w:trPr>
        <w:tc>
          <w:tcPr>
            <w:tcW w:w="700" w:type="dxa"/>
            <w:vAlign w:val="bottom"/>
          </w:tcPr>
          <w:p>
            <w:pPr>
              <w:jc w:val="center"/>
              <w:ind w:right="170"/>
              <w:spacing w:after="0"/>
              <w:rPr>
                <w:sz w:val="20"/>
                <w:szCs w:val="20"/>
                <w:color w:val="auto"/>
              </w:rPr>
            </w:pPr>
            <w:r>
              <w:rPr>
                <w:rFonts w:ascii="Arial" w:cs="Arial" w:eastAsia="Arial" w:hAnsi="Arial"/>
                <w:sz w:val="18"/>
                <w:szCs w:val="18"/>
                <w:color w:val="auto"/>
                <w:w w:val="93"/>
              </w:rPr>
              <w:t>4.1(1)</w:t>
            </w:r>
          </w:p>
        </w:tc>
        <w:tc>
          <w:tcPr>
            <w:tcW w:w="10320" w:type="dxa"/>
            <w:vAlign w:val="bottom"/>
          </w:tcPr>
          <w:p>
            <w:pPr>
              <w:ind w:left="260"/>
              <w:spacing w:after="0"/>
              <w:rPr>
                <w:sz w:val="20"/>
                <w:szCs w:val="20"/>
                <w:color w:val="auto"/>
              </w:rPr>
            </w:pPr>
            <w:r>
              <w:rPr>
                <w:rFonts w:ascii="Arial" w:cs="Arial" w:eastAsia="Arial" w:hAnsi="Arial"/>
                <w:sz w:val="18"/>
                <w:szCs w:val="18"/>
                <w:color w:val="auto"/>
              </w:rPr>
              <w:t>Form of common stock certificate.</w:t>
            </w:r>
          </w:p>
        </w:tc>
      </w:tr>
      <w:tr>
        <w:trPr>
          <w:trHeight w:val="432"/>
        </w:trPr>
        <w:tc>
          <w:tcPr>
            <w:tcW w:w="700" w:type="dxa"/>
            <w:vAlign w:val="bottom"/>
          </w:tcPr>
          <w:p>
            <w:pPr>
              <w:jc w:val="center"/>
              <w:ind w:right="170"/>
              <w:spacing w:after="0"/>
              <w:rPr>
                <w:sz w:val="20"/>
                <w:szCs w:val="20"/>
                <w:color w:val="auto"/>
              </w:rPr>
            </w:pPr>
            <w:r>
              <w:rPr>
                <w:rFonts w:ascii="Arial" w:cs="Arial" w:eastAsia="Arial" w:hAnsi="Arial"/>
                <w:sz w:val="18"/>
                <w:szCs w:val="18"/>
                <w:color w:val="auto"/>
                <w:w w:val="91"/>
              </w:rPr>
              <w:t>31.1</w:t>
            </w:r>
          </w:p>
        </w:tc>
        <w:tc>
          <w:tcPr>
            <w:tcW w:w="10320" w:type="dxa"/>
            <w:vAlign w:val="bottom"/>
          </w:tcPr>
          <w:p>
            <w:pPr>
              <w:ind w:left="260"/>
              <w:spacing w:after="0"/>
              <w:rPr>
                <w:sz w:val="20"/>
                <w:szCs w:val="20"/>
                <w:color w:val="auto"/>
              </w:rPr>
            </w:pPr>
            <w:r>
              <w:rPr>
                <w:rFonts w:ascii="Arial" w:cs="Arial" w:eastAsia="Arial" w:hAnsi="Arial"/>
                <w:sz w:val="18"/>
                <w:szCs w:val="18"/>
                <w:color w:val="auto"/>
                <w:w w:val="90"/>
              </w:rPr>
              <w:t>Certification of the Chief Executive Officer Pursuant to Rules 13a-14(a) and 15d-14(a) of the Securities Exchange Act of 1934, as amended</w:t>
            </w:r>
          </w:p>
        </w:tc>
      </w:tr>
      <w:tr>
        <w:trPr>
          <w:trHeight w:val="432"/>
        </w:trPr>
        <w:tc>
          <w:tcPr>
            <w:tcW w:w="700" w:type="dxa"/>
            <w:vAlign w:val="bottom"/>
          </w:tcPr>
          <w:p>
            <w:pPr>
              <w:jc w:val="center"/>
              <w:ind w:right="170"/>
              <w:spacing w:after="0"/>
              <w:rPr>
                <w:sz w:val="20"/>
                <w:szCs w:val="20"/>
                <w:color w:val="auto"/>
              </w:rPr>
            </w:pPr>
            <w:r>
              <w:rPr>
                <w:rFonts w:ascii="Arial" w:cs="Arial" w:eastAsia="Arial" w:hAnsi="Arial"/>
                <w:sz w:val="18"/>
                <w:szCs w:val="18"/>
                <w:color w:val="auto"/>
                <w:w w:val="91"/>
              </w:rPr>
              <w:t>31.2</w:t>
            </w:r>
          </w:p>
        </w:tc>
        <w:tc>
          <w:tcPr>
            <w:tcW w:w="10320" w:type="dxa"/>
            <w:vAlign w:val="bottom"/>
          </w:tcPr>
          <w:p>
            <w:pPr>
              <w:ind w:left="260"/>
              <w:spacing w:after="0"/>
              <w:rPr>
                <w:sz w:val="20"/>
                <w:szCs w:val="20"/>
                <w:color w:val="auto"/>
              </w:rPr>
            </w:pPr>
            <w:r>
              <w:rPr>
                <w:rFonts w:ascii="Arial" w:cs="Arial" w:eastAsia="Arial" w:hAnsi="Arial"/>
                <w:sz w:val="18"/>
                <w:szCs w:val="18"/>
                <w:color w:val="auto"/>
                <w:w w:val="91"/>
              </w:rPr>
              <w:t>Certification of the Chief Financial Officer Pursuant to Rules 13a-14(a) and 15d-14(a) of the Securities Exchange Act of 1934, as amended</w:t>
            </w:r>
          </w:p>
        </w:tc>
      </w:tr>
    </w:tbl>
    <w:p>
      <w:pPr>
        <w:spacing w:after="0" w:line="202" w:lineRule="exact"/>
        <w:rPr>
          <w:sz w:val="20"/>
          <w:szCs w:val="20"/>
          <w:color w:val="auto"/>
        </w:rPr>
      </w:pPr>
    </w:p>
    <w:p>
      <w:pPr>
        <w:ind w:left="1160" w:right="640" w:hanging="837"/>
        <w:spacing w:after="0" w:line="342" w:lineRule="auto"/>
        <w:tabs>
          <w:tab w:leader="none" w:pos="11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Certifications of the Chief Executive Officer and Chief Financial Officer Pursuant to Rules 13a-14(b) and 15d-14(b) of the Securities Exchange Act of 1934, as amended and Section 1350 of Chapter 63 of Title 18 of the United States Code (18 U.S.C. § 1350)</w:t>
      </w:r>
    </w:p>
    <w:p>
      <w:pPr>
        <w:spacing w:after="0" w:line="285" w:lineRule="exact"/>
        <w:rPr>
          <w:rFonts w:ascii="Arial" w:cs="Arial" w:eastAsia="Arial" w:hAnsi="Arial"/>
          <w:sz w:val="16"/>
          <w:szCs w:val="16"/>
          <w:color w:val="auto"/>
        </w:rPr>
      </w:pPr>
    </w:p>
    <w:p>
      <w:pPr>
        <w:jc w:val="center"/>
        <w:ind w:left="5620" w:hanging="5612"/>
        <w:spacing w:after="0" w:line="481" w:lineRule="auto"/>
        <w:tabs>
          <w:tab w:leader="none" w:pos="4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MannKind’s registration statement on Form S-1 (File No. 333-115020), filed with the SEC on April 30, 2004, as amended.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1303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May 5, 2006</w:t>
      </w:r>
      <w:r>
        <w:rPr>
          <w:sz w:val="20"/>
          <w:szCs w:val="20"/>
          <w:color w:val="auto"/>
        </w:rPr>
        <w:tab/>
      </w:r>
      <w:r>
        <w:rPr>
          <w:rFonts w:ascii="Arial" w:cs="Arial" w:eastAsia="Arial" w:hAnsi="Arial"/>
          <w:sz w:val="18"/>
          <w:szCs w:val="18"/>
          <w:color w:val="auto"/>
        </w:rPr>
        <w:t>M</w:t>
      </w:r>
      <w:r>
        <w:rPr>
          <w:rFonts w:ascii="Arial" w:cs="Arial" w:eastAsia="Arial" w:hAnsi="Arial"/>
          <w:sz w:val="12"/>
          <w:szCs w:val="12"/>
          <w:color w:val="auto"/>
        </w:rPr>
        <w:t>ANN</w:t>
      </w:r>
      <w:r>
        <w:rPr>
          <w:rFonts w:ascii="Arial" w:cs="Arial" w:eastAsia="Arial" w:hAnsi="Arial"/>
          <w:sz w:val="18"/>
          <w:szCs w:val="18"/>
          <w:color w:val="auto"/>
        </w:rPr>
        <w:t>K</w:t>
      </w:r>
      <w:r>
        <w:rPr>
          <w:rFonts w:ascii="Arial" w:cs="Arial" w:eastAsia="Arial" w:hAnsi="Arial"/>
          <w:sz w:val="12"/>
          <w:szCs w:val="12"/>
          <w:color w:val="auto"/>
        </w:rPr>
        <w:t>IND</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14605</wp:posOffset>
            </wp:positionV>
            <wp:extent cx="26327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Richard L. Anderson</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19" w:right="4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1260" w:firstLine="1255"/>
        <w:spacing w:after="0" w:line="375" w:lineRule="auto"/>
        <w:rPr>
          <w:sz w:val="20"/>
          <w:szCs w:val="20"/>
          <w:color w:val="auto"/>
        </w:rPr>
      </w:pPr>
      <w:r>
        <w:rPr>
          <w:rFonts w:ascii="Arial" w:cs="Arial" w:eastAsia="Arial" w:hAnsi="Arial"/>
          <w:sz w:val="18"/>
          <w:szCs w:val="18"/>
          <w:color w:val="auto"/>
        </w:rPr>
        <w:t>PURSUANT TO RULES 13a-14(a) AND 15d-14(a) OF THE SECURITIES EXCHANGE ACT OF 1934, AS AMENDED I, Alfred E. Mann, certify that:</w:t>
      </w:r>
    </w:p>
    <w:p>
      <w:pPr>
        <w:spacing w:after="0" w:line="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60" w:right="340" w:firstLine="215"/>
        <w:spacing w:after="0" w:line="264" w:lineRule="auto"/>
        <w:tabs>
          <w:tab w:leader="none" w:pos="8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540" w:firstLine="215"/>
        <w:spacing w:after="0" w:line="264" w:lineRule="auto"/>
        <w:tabs>
          <w:tab w:leader="none" w:pos="8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900" w:firstLine="215"/>
        <w:spacing w:after="0" w:line="342" w:lineRule="auto"/>
        <w:tabs>
          <w:tab w:leader="none" w:pos="83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360" w:right="240" w:firstLine="215"/>
        <w:spacing w:after="0" w:line="264" w:lineRule="auto"/>
        <w:tabs>
          <w:tab w:leader="none" w:pos="8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360" w:right="280" w:firstLine="215"/>
        <w:spacing w:after="0" w:line="277" w:lineRule="auto"/>
        <w:tabs>
          <w:tab w:leader="none" w:pos="83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240" w:firstLine="215"/>
        <w:spacing w:after="0" w:line="277" w:lineRule="auto"/>
        <w:tabs>
          <w:tab w:leader="none" w:pos="8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5, 2006</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2466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3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1260" w:firstLine="1255"/>
        <w:spacing w:after="0" w:line="375" w:lineRule="auto"/>
        <w:rPr>
          <w:sz w:val="20"/>
          <w:szCs w:val="20"/>
          <w:color w:val="auto"/>
        </w:rPr>
      </w:pPr>
      <w:r>
        <w:rPr>
          <w:rFonts w:ascii="Arial" w:cs="Arial" w:eastAsia="Arial" w:hAnsi="Arial"/>
          <w:sz w:val="18"/>
          <w:szCs w:val="18"/>
          <w:color w:val="auto"/>
        </w:rPr>
        <w:t>PURSUANT TO RULES 13a-14(a) AND 15d-14(a) OF THE SECURITIES EXCHANGE ACT OF 1934, AS AMENDED I, Richard L. Anderson, certify that:</w:t>
      </w:r>
    </w:p>
    <w:p>
      <w:pPr>
        <w:spacing w:after="0" w:line="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60" w:right="340" w:firstLine="215"/>
        <w:spacing w:after="0" w:line="264" w:lineRule="auto"/>
        <w:tabs>
          <w:tab w:leader="none" w:pos="8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540" w:firstLine="215"/>
        <w:spacing w:after="0" w:line="264" w:lineRule="auto"/>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900" w:firstLine="215"/>
        <w:spacing w:after="0" w:line="342" w:lineRule="auto"/>
        <w:tabs>
          <w:tab w:leader="none" w:pos="83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360" w:right="240" w:firstLine="215"/>
        <w:spacing w:after="0" w:line="264" w:lineRule="auto"/>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360" w:right="280" w:firstLine="215"/>
        <w:spacing w:after="0" w:line="277" w:lineRule="auto"/>
        <w:tabs>
          <w:tab w:leader="none" w:pos="83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360" w:right="240" w:firstLine="215"/>
        <w:spacing w:after="0" w:line="277" w:lineRule="auto"/>
        <w:tabs>
          <w:tab w:leader="none" w:pos="8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May 5, 2006</w:t>
      </w:r>
    </w:p>
    <w:p>
      <w:pPr>
        <w:spacing w:after="0" w:line="22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Richard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22466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Richard L. Anderson</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Financial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93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13a-14(b) AND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Alfred E. Mann, Chief Executive Officer of MannKind Corporation (the “Company”), and Richard L. Anderson, Chief Financial Officer of the Company, each hereby certifies that, to the best of his knowledge:</w:t>
      </w:r>
    </w:p>
    <w:p>
      <w:pPr>
        <w:spacing w:after="0" w:line="57" w:lineRule="exact"/>
        <w:rPr>
          <w:sz w:val="20"/>
          <w:szCs w:val="20"/>
          <w:color w:val="auto"/>
        </w:rPr>
      </w:pPr>
    </w:p>
    <w:p>
      <w:pPr>
        <w:ind w:right="480" w:firstLine="233"/>
        <w:spacing w:after="0" w:line="277" w:lineRule="auto"/>
        <w:tabs>
          <w:tab w:leader="none" w:pos="4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2006 (the “Report”)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right="600" w:firstLine="233"/>
        <w:spacing w:after="0" w:line="277" w:lineRule="auto"/>
        <w:tabs>
          <w:tab w:leader="none" w:pos="40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 for the period covered by the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5th day of May 2006.</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/s/ Alfred E.Mann</w:t>
            </w:r>
          </w:p>
        </w:tc>
        <w:tc>
          <w:tcPr>
            <w:tcW w:w="5480" w:type="dxa"/>
            <w:vAlign w:val="bottom"/>
            <w:gridSpan w:val="2"/>
          </w:tcPr>
          <w:p>
            <w:pPr>
              <w:ind w:left="1700"/>
              <w:spacing w:after="0"/>
              <w:rPr>
                <w:sz w:val="20"/>
                <w:szCs w:val="20"/>
                <w:color w:val="auto"/>
              </w:rPr>
            </w:pPr>
            <w:r>
              <w:rPr>
                <w:rFonts w:ascii="Arial" w:cs="Arial" w:eastAsia="Arial" w:hAnsi="Arial"/>
                <w:sz w:val="18"/>
                <w:szCs w:val="18"/>
                <w:color w:val="auto"/>
              </w:rPr>
              <w:t>/s/ Richard L.Anderson</w:t>
            </w:r>
          </w:p>
        </w:tc>
      </w:tr>
      <w:tr>
        <w:trPr>
          <w:trHeight w:val="209"/>
        </w:trPr>
        <w:tc>
          <w:tcPr>
            <w:tcW w:w="2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Alfred E. Mann</w:t>
            </w:r>
          </w:p>
        </w:tc>
        <w:tc>
          <w:tcPr>
            <w:tcW w:w="1700" w:type="dxa"/>
            <w:vAlign w:val="bottom"/>
          </w:tcPr>
          <w:p>
            <w:pPr>
              <w:spacing w:after="0"/>
              <w:rPr>
                <w:sz w:val="18"/>
                <w:szCs w:val="18"/>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L. Anderson</w:t>
            </w: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480" w:type="dxa"/>
            <w:vAlign w:val="bottom"/>
            <w:gridSpan w:val="2"/>
          </w:tcPr>
          <w:p>
            <w:pPr>
              <w:ind w:left="1700"/>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signed original of these certifications has been provided to MannKind Corporation and will be retained by MannKind Corporation and furnished to the Securities and Exchange Commission or its staff upon request.</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These certifications are being furnished solely to accompany this Quarterly Report on Form 10-Q pursuant to 18 U.S.C. Section 1350, and shall not be deemed filed for purposes of Section 18 of the Securities Exchange Act of 1934 into any filing of MannKind Corporation, whether made before or after the date hereof, regardless of any general incorporation language in such filing.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lvl w:ilvl="1">
      <w:lvlJc w:val="left"/>
      <w:lvlText w:val="%2"/>
      <w:numFmt w:val="decimal"/>
      <w:start w:val="32"/>
    </w:lvl>
  </w:abstractNum>
  <w:abstractNum w:abstractNumId="14">
    <w:nsid w:val="4E6AFB66"/>
    <w:multiLevelType w:val="hybridMultilevel"/>
    <w:lvl w:ilvl="0">
      <w:lvlJc w:val="left"/>
      <w:lvlText w:val="(%1)"/>
      <w:numFmt w:val="decimal"/>
      <w:start w:val="1"/>
    </w:lvl>
    <w:lvl w:ilvl="1">
      <w:lvlJc w:val="left"/>
      <w:lvlText w:val="%2"/>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2019-12-14T00:44:18Z</dcterms:created>
  <dcterms:modified xsi:type="dcterms:W3CDTF">2019-12-14T00:44:18Z</dcterms:modified>
</cp:coreProperties>
</file>