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540"/>
        <w:spacing w:after="0"/>
        <w:tabs>
          <w:tab w:leader="none" w:pos="6760" w:val="left"/>
          <w:tab w:leader="none" w:pos="7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3717290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MannKind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88"/>
              </w:rPr>
              <w:t>Delaware</w:t>
            </w:r>
          </w:p>
        </w:tc>
        <w:tc>
          <w:tcPr>
            <w:tcW w:w="5080" w:type="dxa"/>
            <w:vAlign w:val="bottom"/>
          </w:tcPr>
          <w:p>
            <w:pPr>
              <w:jc w:val="right"/>
              <w:ind w:right="24"/>
              <w:spacing w:after="0"/>
              <w:rPr>
                <w:sz w:val="20"/>
                <w:szCs w:val="20"/>
                <w:color w:val="auto"/>
              </w:rPr>
            </w:pPr>
            <w:r>
              <w:rPr>
                <w:rFonts w:ascii="Arial" w:cs="Arial" w:eastAsia="Arial" w:hAnsi="Arial"/>
                <w:sz w:val="18"/>
                <w:szCs w:val="18"/>
                <w:b w:val="1"/>
                <w:bCs w:val="1"/>
                <w:color w:val="auto"/>
              </w:rPr>
              <w:t>13-3607736</w:t>
            </w:r>
          </w:p>
        </w:tc>
      </w:tr>
      <w:tr>
        <w:trPr>
          <w:trHeight w:val="149"/>
        </w:trPr>
        <w:tc>
          <w:tcPr>
            <w:tcW w:w="23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080" w:type="dxa"/>
            <w:vAlign w:val="bottom"/>
          </w:tcPr>
          <w:p>
            <w:pPr>
              <w:jc w:val="center"/>
              <w:ind w:left="39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20" w:type="dxa"/>
            <w:vAlign w:val="bottom"/>
          </w:tcPr>
          <w:p>
            <w:pPr>
              <w:jc w:val="center"/>
              <w:ind w:right="2"/>
              <w:spacing w:after="0"/>
              <w:rPr>
                <w:sz w:val="20"/>
                <w:szCs w:val="20"/>
                <w:color w:val="auto"/>
              </w:rPr>
            </w:pPr>
            <w:r>
              <w:rPr>
                <w:rFonts w:ascii="Arial" w:cs="Arial" w:eastAsia="Arial" w:hAnsi="Arial"/>
                <w:sz w:val="14"/>
                <w:szCs w:val="14"/>
                <w:b w:val="1"/>
                <w:bCs w:val="1"/>
                <w:color w:val="auto"/>
                <w:w w:val="88"/>
              </w:rPr>
              <w:t>incorporation or organization)</w:t>
            </w:r>
          </w:p>
        </w:tc>
        <w:tc>
          <w:tcPr>
            <w:tcW w:w="5080" w:type="dxa"/>
            <w:vAlign w:val="bottom"/>
          </w:tcPr>
          <w:p>
            <w:pPr>
              <w:jc w:val="center"/>
              <w:ind w:left="39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87"/>
              </w:rPr>
              <w:t>28903 North Avenue Paine</w:t>
            </w:r>
          </w:p>
        </w:tc>
        <w:tc>
          <w:tcPr>
            <w:tcW w:w="5080" w:type="dxa"/>
            <w:vAlign w:val="bottom"/>
          </w:tcPr>
          <w:p>
            <w:pPr>
              <w:spacing w:after="0"/>
              <w:rPr>
                <w:sz w:val="24"/>
                <w:szCs w:val="24"/>
                <w:color w:val="auto"/>
              </w:rPr>
            </w:pPr>
          </w:p>
        </w:tc>
      </w:tr>
      <w:tr>
        <w:trPr>
          <w:trHeight w:val="231"/>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90"/>
              </w:rPr>
              <w:t>Valencia, California</w:t>
            </w:r>
          </w:p>
        </w:tc>
        <w:tc>
          <w:tcPr>
            <w:tcW w:w="5080" w:type="dxa"/>
            <w:vAlign w:val="bottom"/>
          </w:tcPr>
          <w:p>
            <w:pPr>
              <w:jc w:val="right"/>
              <w:ind w:right="224"/>
              <w:spacing w:after="0"/>
              <w:rPr>
                <w:sz w:val="20"/>
                <w:szCs w:val="20"/>
                <w:color w:val="auto"/>
              </w:rPr>
            </w:pPr>
            <w:r>
              <w:rPr>
                <w:rFonts w:ascii="Arial" w:cs="Arial" w:eastAsia="Arial" w:hAnsi="Arial"/>
                <w:sz w:val="18"/>
                <w:szCs w:val="18"/>
                <w:b w:val="1"/>
                <w:bCs w:val="1"/>
                <w:color w:val="auto"/>
              </w:rPr>
              <w:t>91355</w:t>
            </w:r>
          </w:p>
        </w:tc>
      </w:tr>
      <w:tr>
        <w:trPr>
          <w:trHeight w:val="174"/>
        </w:trPr>
        <w:tc>
          <w:tcPr>
            <w:tcW w:w="2320" w:type="dxa"/>
            <w:vAlign w:val="bottom"/>
          </w:tcPr>
          <w:p>
            <w:pPr>
              <w:jc w:val="center"/>
              <w:ind w:right="2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080" w:type="dxa"/>
            <w:vAlign w:val="bottom"/>
          </w:tcPr>
          <w:p>
            <w:pPr>
              <w:jc w:val="center"/>
              <w:ind w:left="394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20" w:type="dxa"/>
            <w:vAlign w:val="bottom"/>
          </w:tcPr>
          <w:p>
            <w:pPr>
              <w:spacing w:after="0"/>
              <w:rPr>
                <w:sz w:val="24"/>
                <w:szCs w:val="24"/>
                <w:color w:val="auto"/>
              </w:rPr>
            </w:pPr>
          </w:p>
        </w:tc>
        <w:tc>
          <w:tcPr>
            <w:tcW w:w="5080" w:type="dxa"/>
            <w:vAlign w:val="bottom"/>
          </w:tcPr>
          <w:p>
            <w:pPr>
              <w:jc w:val="right"/>
              <w:ind w:right="2844"/>
              <w:spacing w:after="0"/>
              <w:rPr>
                <w:sz w:val="20"/>
                <w:szCs w:val="20"/>
                <w:color w:val="auto"/>
              </w:rPr>
            </w:pPr>
            <w:r>
              <w:rPr>
                <w:rFonts w:ascii="Arial" w:cs="Arial" w:eastAsia="Arial" w:hAnsi="Arial"/>
                <w:sz w:val="18"/>
                <w:szCs w:val="18"/>
                <w:b w:val="1"/>
                <w:bCs w:val="1"/>
                <w:color w:val="auto"/>
              </w:rPr>
              <w:t>(661) 775-5300</w:t>
            </w:r>
          </w:p>
        </w:tc>
      </w:tr>
      <w:tr>
        <w:trPr>
          <w:trHeight w:val="174"/>
        </w:trPr>
        <w:tc>
          <w:tcPr>
            <w:tcW w:w="2320" w:type="dxa"/>
            <w:vAlign w:val="bottom"/>
          </w:tcPr>
          <w:p>
            <w:pPr>
              <w:spacing w:after="0"/>
              <w:rPr>
                <w:sz w:val="15"/>
                <w:szCs w:val="15"/>
                <w:color w:val="auto"/>
              </w:rPr>
            </w:pPr>
          </w:p>
        </w:tc>
        <w:tc>
          <w:tcPr>
            <w:tcW w:w="5080" w:type="dxa"/>
            <w:vAlign w:val="bottom"/>
          </w:tcPr>
          <w:p>
            <w:pPr>
              <w:jc w:val="center"/>
              <w:ind w:right="17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6" w:lineRule="exact"/>
        <w:rPr>
          <w:sz w:val="24"/>
          <w:szCs w:val="24"/>
          <w:color w:val="auto"/>
        </w:rPr>
      </w:pPr>
    </w:p>
    <w:p>
      <w:pPr>
        <w:sectPr>
          <w:pgSz w:w="11900" w:h="16838" w:orient="portrait"/>
          <w:cols w:equalWidth="0" w:num="4">
            <w:col w:w="7240" w:space="160"/>
            <w:col w:w="260" w:space="100"/>
            <w:col w:w="140" w:space="180"/>
            <w:col w:w="3340"/>
          </w:cols>
          <w:pgMar w:left="240" w:top="230" w:right="239" w:bottom="1440" w:gutter="0" w:footer="0" w:header="0"/>
          <w:type w:val="continuous"/>
        </w:sectPr>
      </w:pPr>
    </w:p>
    <w:p>
      <w:pPr>
        <w:spacing w:after="0"/>
        <w:rPr>
          <w:sz w:val="20"/>
          <w:szCs w:val="20"/>
          <w:color w:val="auto"/>
        </w:rPr>
      </w:pPr>
      <w:r>
        <w:rPr>
          <w:rFonts w:ascii="Arial" w:cs="Arial" w:eastAsia="Arial" w:hAnsi="Arial"/>
          <w:sz w:val="15"/>
          <w:szCs w:val="15"/>
          <w:color w:val="auto"/>
        </w:rPr>
        <w:t>As of May 3, 2013, there were 290,882,301 shares of the registrant’s common stock, $.01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MANNKIND CORPORATION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10-Q</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gridSpan w:val="12"/>
            <w:vMerge w:val="restart"/>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PART I: FINANCIAL INFORMATION</w:t>
              </w:r>
            </w:hyperlink>
          </w:p>
        </w:tc>
        <w:tc>
          <w:tcPr>
            <w:tcW w:w="8200" w:type="dxa"/>
            <w:vAlign w:val="bottom"/>
            <w:gridSpan w:val="10"/>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2840" w:type="dxa"/>
            <w:vAlign w:val="bottom"/>
            <w:tcBorders>
              <w:bottom w:val="single" w:sz="8" w:color="0000EE"/>
            </w:tcBorders>
            <w:gridSpan w:val="12"/>
            <w:vMerge w:val="continue"/>
          </w:tcPr>
          <w:p>
            <w:pPr>
              <w:spacing w:after="0"/>
              <w:rPr>
                <w:sz w:val="13"/>
                <w:szCs w:val="13"/>
                <w:color w:val="auto"/>
              </w:rPr>
            </w:pPr>
          </w:p>
        </w:tc>
        <w:tc>
          <w:tcPr>
            <w:tcW w:w="8200" w:type="dxa"/>
            <w:vAlign w:val="bottom"/>
            <w:gridSpan w:val="10"/>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40" w:type="dxa"/>
            <w:vAlign w:val="bottom"/>
            <w:gridSpan w:val="22"/>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40" w:type="dxa"/>
            <w:vAlign w:val="bottom"/>
            <w:tcBorders>
              <w:left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22"/>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March 31, 2013 and December 31, 2012</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4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6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Three months ended March 31, 2013 and 2012 and the period from February 14, 1991 (date of</w:t>
              </w:r>
            </w:hyperlink>
          </w:p>
        </w:tc>
        <w:tc>
          <w:tcPr>
            <w:tcW w:w="68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1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inception) to March 31, 2013</w:t>
              </w:r>
            </w:hyperlink>
          </w:p>
        </w:tc>
        <w:tc>
          <w:tcPr>
            <w:tcW w:w="872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480" w:type="dxa"/>
            <w:vAlign w:val="bottom"/>
            <w:tcBorders>
              <w:bottom w:val="single" w:sz="8" w:color="0000EE"/>
            </w:tcBorders>
            <w:gridSpan w:val="21"/>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Comprehensive Loss: Three months ended March 31, 2013 and 2012 and the period from February 14, 1991</w:t>
              </w:r>
            </w:hyperlink>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(date of inception) to March 31, 2013</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22"/>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Condensed Consolidated Statements of Cash Flows: Three months ended March 31, 2013 and 2012 and the period from February 14, 1991 (date of</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21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inception) to March 31, 2013</w:t>
              </w:r>
            </w:hyperlink>
          </w:p>
        </w:tc>
        <w:tc>
          <w:tcPr>
            <w:tcW w:w="8080" w:type="dxa"/>
            <w:vAlign w:val="bottom"/>
            <w:tcBorders>
              <w:top w:val="single" w:sz="8" w:color="0000EE"/>
            </w:tcBorders>
            <w:gridSpan w:val="11"/>
          </w:tcPr>
          <w:p>
            <w:pPr>
              <w:spacing w:after="0"/>
              <w:rPr>
                <w:sz w:val="17"/>
                <w:szCs w:val="17"/>
                <w:color w:val="auto"/>
              </w:rPr>
            </w:pPr>
          </w:p>
        </w:tc>
        <w:tc>
          <w:tcPr>
            <w:tcW w:w="64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40" w:type="dxa"/>
            <w:vAlign w:val="bottom"/>
            <w:gridSpan w:val="2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22"/>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8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Item 3. Quantitative and Qualitative Disclosures About Market Risk</w:t>
              </w:r>
            </w:hyperlink>
          </w:p>
        </w:tc>
        <w:tc>
          <w:tcPr>
            <w:tcW w:w="2020" w:type="dxa"/>
            <w:vAlign w:val="bottom"/>
            <w:tcBorders>
              <w:top w:val="single" w:sz="8" w:color="0000EE"/>
            </w:tcBorders>
            <w:gridSpan w:val="2"/>
          </w:tcPr>
          <w:p>
            <w:pPr>
              <w:spacing w:after="0"/>
              <w:rPr>
                <w:sz w:val="17"/>
                <w:szCs w:val="17"/>
                <w:color w:val="auto"/>
              </w:rPr>
            </w:pPr>
          </w:p>
        </w:tc>
        <w:tc>
          <w:tcPr>
            <w:tcW w:w="42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230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Item 4. Controls and Procedures</w:t>
              </w:r>
            </w:hyperlink>
          </w:p>
        </w:tc>
        <w:tc>
          <w:tcPr>
            <w:tcW w:w="874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1040" w:type="dxa"/>
            <w:vAlign w:val="bottom"/>
            <w:gridSpan w:val="2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PART II: OTHER INFORMATION</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Item 1. Legal Proceedings</w:t>
              </w:r>
            </w:hyperlink>
          </w:p>
        </w:tc>
        <w:tc>
          <w:tcPr>
            <w:tcW w:w="660" w:type="dxa"/>
            <w:vAlign w:val="bottom"/>
            <w:tcBorders>
              <w:top w:val="single" w:sz="8" w:color="0000EE"/>
            </w:tcBorders>
            <w:gridSpan w:val="4"/>
          </w:tcPr>
          <w:p>
            <w:pPr>
              <w:spacing w:after="0"/>
              <w:rPr>
                <w:sz w:val="17"/>
                <w:szCs w:val="17"/>
                <w:color w:val="auto"/>
              </w:rPr>
            </w:pPr>
          </w:p>
        </w:tc>
        <w:tc>
          <w:tcPr>
            <w:tcW w:w="852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Item 1A. Risk Factors</w:t>
              </w:r>
            </w:hyperlink>
          </w:p>
        </w:tc>
        <w:tc>
          <w:tcPr>
            <w:tcW w:w="948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Item 2. Unregistered Sales of Equity Securities and Use of Proceeds</w:t>
              </w:r>
            </w:hyperlink>
          </w:p>
        </w:tc>
        <w:tc>
          <w:tcPr>
            <w:tcW w:w="62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Item 3. Defaults Upon Senior Securities</w:t>
              </w:r>
            </w:hyperlink>
          </w:p>
        </w:tc>
        <w:tc>
          <w:tcPr>
            <w:tcW w:w="822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Item 4. Mine Safety Disclosures</w:t>
              </w:r>
            </w:hyperlink>
          </w:p>
        </w:tc>
        <w:tc>
          <w:tcPr>
            <w:tcW w:w="876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8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5. Other Information</w:t>
              </w:r>
            </w:hyperlink>
          </w:p>
        </w:tc>
        <w:tc>
          <w:tcPr>
            <w:tcW w:w="920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6. Exhibits</w:t>
              </w:r>
            </w:hyperlink>
          </w:p>
        </w:tc>
        <w:tc>
          <w:tcPr>
            <w:tcW w:w="990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1040" w:type="dxa"/>
            <w:vAlign w:val="bottom"/>
            <w:gridSpan w:val="2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SIGNATURES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AFREZZA</w:t>
      </w:r>
      <w:r>
        <w:rPr>
          <w:rFonts w:ascii="Arial" w:cs="Arial" w:eastAsia="Arial" w:hAnsi="Arial"/>
          <w:sz w:val="11"/>
          <w:szCs w:val="11"/>
          <w:color w:val="auto"/>
        </w:rPr>
        <w:t>®</w:t>
      </w:r>
      <w:r>
        <w:rPr>
          <w:rFonts w:ascii="Arial" w:cs="Arial" w:eastAsia="Arial" w:hAnsi="Arial"/>
          <w:sz w:val="18"/>
          <w:szCs w:val="18"/>
          <w:color w:val="auto"/>
        </w:rPr>
        <w:t>, MedTone</w:t>
      </w:r>
      <w:r>
        <w:rPr>
          <w:rFonts w:ascii="Arial" w:cs="Arial" w:eastAsia="Arial" w:hAnsi="Arial"/>
          <w:sz w:val="11"/>
          <w:szCs w:val="11"/>
          <w:color w:val="auto"/>
        </w:rPr>
        <w:t>®</w:t>
      </w:r>
      <w:r>
        <w:rPr>
          <w:rFonts w:ascii="Arial" w:cs="Arial" w:eastAsia="Arial" w:hAnsi="Arial"/>
          <w:sz w:val="18"/>
          <w:szCs w:val="18"/>
          <w:color w:val="auto"/>
        </w:rPr>
        <w:t xml:space="preserve"> and Technosphere</w:t>
      </w:r>
      <w:r>
        <w:rPr>
          <w:rFonts w:ascii="Arial" w:cs="Arial" w:eastAsia="Arial" w:hAnsi="Arial"/>
          <w:sz w:val="11"/>
          <w:szCs w:val="11"/>
          <w:color w:val="auto"/>
        </w:rPr>
        <w:t>®</w:t>
      </w:r>
      <w:r>
        <w:rPr>
          <w:rFonts w:ascii="Arial" w:cs="Arial" w:eastAsia="Arial" w:hAnsi="Arial"/>
          <w:sz w:val="18"/>
          <w:szCs w:val="18"/>
          <w:color w:val="auto"/>
        </w:rPr>
        <w:t xml:space="preserve"> are our registered trademarks in the United States. We have also applied for and have registered company trademarks in other jurisdictions, including Europe and Japan.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March 31, 2013</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20" w:type="dxa"/>
            <w:vAlign w:val="bottom"/>
            <w:tcBorders>
              <w:top w:val="single" w:sz="8" w:color="auto"/>
            </w:tcBorders>
            <w:gridSpan w:val="4"/>
          </w:tcPr>
          <w:p>
            <w:pPr>
              <w:jc w:val="right"/>
              <w:ind w:right="332"/>
              <w:spacing w:after="0" w:line="142" w:lineRule="exact"/>
              <w:rPr>
                <w:sz w:val="20"/>
                <w:szCs w:val="20"/>
                <w:color w:val="auto"/>
              </w:rPr>
            </w:pPr>
            <w:r>
              <w:rPr>
                <w:rFonts w:ascii="Arial" w:cs="Arial" w:eastAsia="Arial" w:hAnsi="Arial"/>
                <w:sz w:val="14"/>
                <w:szCs w:val="14"/>
                <w:b w:val="1"/>
                <w:bCs w:val="1"/>
                <w:color w:val="auto"/>
                <w:w w:val="97"/>
              </w:rPr>
              <w:t>(In thousands, except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364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28,005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State research and development credit exchange receivable — current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3,830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2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32,285</w:t>
            </w: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66,810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182,290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State research and development credit exchange receivable — net of current portion</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391</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230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vMerge w:val="restart"/>
          </w:tcPr>
          <w:p>
            <w:pPr>
              <w:ind w:left="86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215,196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251,314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00" w:type="dxa"/>
            <w:vAlign w:val="bottom"/>
            <w:shd w:val="clear" w:color="auto" w:fill="CCEEFF"/>
          </w:tcPr>
          <w:p>
            <w:pPr>
              <w:ind w:left="2040"/>
              <w:spacing w:after="0"/>
              <w:rPr>
                <w:sz w:val="20"/>
                <w:szCs w:val="20"/>
                <w:color w:val="auto"/>
              </w:rPr>
            </w:pPr>
            <w:r>
              <w:rPr>
                <w:rFonts w:ascii="Arial" w:cs="Arial" w:eastAsia="Arial" w:hAnsi="Arial"/>
                <w:sz w:val="18"/>
                <w:szCs w:val="18"/>
                <w:b w:val="1"/>
                <w:bCs w:val="1"/>
                <w:color w:val="auto"/>
              </w:rPr>
              <w:t>LIABILITIES AND STOCKHOLDERS’ DEFICIT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3,604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26,379</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convertible notes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114,593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Note payable to related party</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119,635</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264,211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Senior convertible notes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97,791</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related party</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vMerge w:val="restart"/>
          </w:tcPr>
          <w:p>
            <w:pPr>
              <w:ind w:left="86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362,002</w:t>
            </w:r>
          </w:p>
        </w:tc>
        <w:tc>
          <w:tcPr>
            <w:tcW w:w="2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361,993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Stockholders’ deficit: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w w:val="90"/>
              </w:rPr>
              <w:t>Undesignated preferred stock, $0.01 par value — 10,000,000 shares authorized; no shares issued or outstanding</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March 31, 2013 and December 31, 2012</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w w:val="92"/>
              </w:rPr>
              <w:t>Common stock, $0.01 par value — 550,000,000 shares authorized at March 31, 2013 and December 31, 2012;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8"/>
                <w:szCs w:val="18"/>
                <w:color w:val="auto"/>
                <w:w w:val="94"/>
              </w:rPr>
              <w:t>289,375,250 and 286,035,082 shares issued and outstanding at March 31, 2013 and December 31, 2012,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2,894</w:t>
            </w: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4"/>
              </w:rPr>
              <w:t>1,996,185</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during the development stage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(2,145,877)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(2,104,912)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vMerge w:val="restart"/>
          </w:tcPr>
          <w:p>
            <w:pPr>
              <w:ind w:left="420"/>
              <w:spacing w:after="0"/>
              <w:rPr>
                <w:sz w:val="20"/>
                <w:szCs w:val="20"/>
                <w:color w:val="auto"/>
              </w:rPr>
            </w:pPr>
            <w:r>
              <w:rPr>
                <w:rFonts w:ascii="Arial" w:cs="Arial" w:eastAsia="Arial" w:hAnsi="Arial"/>
                <w:sz w:val="18"/>
                <w:szCs w:val="18"/>
                <w:color w:val="auto"/>
              </w:rPr>
              <w:t>Total stockholders’ deficit</w:t>
            </w: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(146,806)</w:t>
            </w: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(110,679)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215,196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from 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6"/>
          </w:tcPr>
          <w:p>
            <w:pPr>
              <w:jc w:val="right"/>
              <w:ind w:right="720"/>
              <w:spacing w:after="0" w:line="149" w:lineRule="exact"/>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1991 (date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0"/>
              </w:rPr>
              <w:t>March 31, 2013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0" w:type="dxa"/>
            <w:vAlign w:val="bottom"/>
            <w:tcBorders>
              <w:top w:val="single" w:sz="8" w:color="auto"/>
            </w:tcBorders>
            <w:gridSpan w:val="8"/>
          </w:tcPr>
          <w:p>
            <w:pPr>
              <w:jc w:val="right"/>
              <w:ind w:right="495"/>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22"/>
        </w:trPr>
        <w:tc>
          <w:tcPr>
            <w:tcW w:w="80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24,156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9,777</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435,743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In-process research and development costs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Goodwill impairment</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33,933</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(36,437)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(33,933)</w:t>
            </w: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(2,097,702)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1,382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Interest expense on note payable to related party</w:t>
            </w: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(1,689)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(3,048)</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(40,514)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senior convertible notes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(2,575)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Interest income</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for income taxes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(40,965)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(38,173)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(2,146,259)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Income tax benefit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(40,965)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(38,173)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(2,145,877)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Deemed dividend related to beneficial conversion feature of convertible preferred stock</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Net loss applicable to common stockholders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4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(40,965)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(38,173)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(2,169,089)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applicable to common stockholders —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basic and diluted net loss per share applicable to common stockholders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280,058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143,154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Cumulative period</w:t>
            </w:r>
          </w:p>
        </w:tc>
        <w:tc>
          <w:tcPr>
            <w:tcW w:w="0" w:type="dxa"/>
            <w:vAlign w:val="bottom"/>
          </w:tcPr>
          <w:p>
            <w:pPr>
              <w:spacing w:after="0"/>
              <w:rPr>
                <w:sz w:val="1"/>
                <w:szCs w:val="1"/>
                <w:color w:val="auto"/>
              </w:rPr>
            </w:pPr>
          </w:p>
        </w:tc>
      </w:tr>
      <w:tr>
        <w:trPr>
          <w:trHeight w:val="149"/>
        </w:trPr>
        <w:tc>
          <w:tcPr>
            <w:tcW w:w="8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from February 14,</w:t>
            </w:r>
          </w:p>
        </w:tc>
        <w:tc>
          <w:tcPr>
            <w:tcW w:w="0" w:type="dxa"/>
            <w:vAlign w:val="bottom"/>
          </w:tcPr>
          <w:p>
            <w:pPr>
              <w:spacing w:after="0"/>
              <w:rPr>
                <w:sz w:val="1"/>
                <w:szCs w:val="1"/>
                <w:color w:val="auto"/>
              </w:rPr>
            </w:pPr>
          </w:p>
        </w:tc>
      </w:tr>
      <w:tr>
        <w:trPr>
          <w:trHeight w:val="149"/>
        </w:trPr>
        <w:tc>
          <w:tcPr>
            <w:tcW w:w="8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20" w:type="dxa"/>
            <w:vAlign w:val="bottom"/>
            <w:gridSpan w:val="4"/>
          </w:tcPr>
          <w:p>
            <w:pPr>
              <w:jc w:val="right"/>
              <w:ind w:right="700"/>
              <w:spacing w:after="0" w:line="149" w:lineRule="exact"/>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1991 (date of</w:t>
            </w:r>
          </w:p>
        </w:tc>
        <w:tc>
          <w:tcPr>
            <w:tcW w:w="0" w:type="dxa"/>
            <w:vAlign w:val="bottom"/>
          </w:tcPr>
          <w:p>
            <w:pPr>
              <w:spacing w:after="0"/>
              <w:rPr>
                <w:sz w:val="1"/>
                <w:szCs w:val="1"/>
                <w:color w:val="auto"/>
              </w:rPr>
            </w:pPr>
          </w:p>
        </w:tc>
      </w:tr>
      <w:tr>
        <w:trPr>
          <w:trHeight w:val="175"/>
        </w:trPr>
        <w:tc>
          <w:tcPr>
            <w:tcW w:w="8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42"/>
        </w:trPr>
        <w:tc>
          <w:tcPr>
            <w:tcW w:w="8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0"/>
              </w:rPr>
              <w:t>March 31, 2013</w:t>
            </w:r>
          </w:p>
        </w:tc>
        <w:tc>
          <w:tcPr>
            <w:tcW w:w="0" w:type="dxa"/>
            <w:vAlign w:val="bottom"/>
          </w:tcPr>
          <w:p>
            <w:pPr>
              <w:spacing w:after="0"/>
              <w:rPr>
                <w:sz w:val="1"/>
                <w:szCs w:val="1"/>
                <w:color w:val="auto"/>
              </w:rPr>
            </w:pPr>
          </w:p>
        </w:tc>
      </w:tr>
      <w:tr>
        <w:trPr>
          <w:trHeight w:val="142"/>
        </w:trPr>
        <w:tc>
          <w:tcPr>
            <w:tcW w:w="8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2"/>
              </w:rPr>
              <w:t>$ (40,965)</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2"/>
              </w:rPr>
              <w:t>$ (38,173)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(2,145,877)</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Cumulative translation (loss) gain</w:t>
            </w: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Unrealized gain (loss) on investments:</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Unrealized holding gain (loss) during the period</w:t>
            </w: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8080" w:type="dxa"/>
            <w:vAlign w:val="bottom"/>
          </w:tcPr>
          <w:p>
            <w:pPr>
              <w:ind w:left="880"/>
              <w:spacing w:after="0"/>
              <w:rPr>
                <w:sz w:val="20"/>
                <w:szCs w:val="20"/>
                <w:color w:val="auto"/>
              </w:rPr>
            </w:pPr>
            <w:r>
              <w:rPr>
                <w:rFonts w:ascii="Arial" w:cs="Arial" w:eastAsia="Arial" w:hAnsi="Arial"/>
                <w:sz w:val="18"/>
                <w:szCs w:val="18"/>
                <w:color w:val="auto"/>
              </w:rPr>
              <w:t>Less: reclassification adjustment for gains (losses) included in net loss</w:t>
            </w:r>
          </w:p>
        </w:tc>
        <w:tc>
          <w:tcPr>
            <w:tcW w:w="20" w:type="dxa"/>
            <w:vAlign w:val="bottom"/>
          </w:tcPr>
          <w:p>
            <w:pPr>
              <w:spacing w:after="0"/>
              <w:rPr>
                <w:sz w:val="18"/>
                <w:szCs w:val="18"/>
                <w:color w:val="auto"/>
              </w:rPr>
            </w:pPr>
          </w:p>
        </w:tc>
        <w:tc>
          <w:tcPr>
            <w:tcW w:w="6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unrealized (loss) gain on investments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80" w:type="dxa"/>
            <w:vAlign w:val="bottom"/>
            <w:vMerge w:val="continue"/>
          </w:tcPr>
          <w:p>
            <w:pPr>
              <w:spacing w:after="0"/>
              <w:rPr>
                <w:sz w:val="19"/>
                <w:szCs w:val="19"/>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(40,967)</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(38,220)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(2,145,885)</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5"/>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from 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6"/>
          </w:tcPr>
          <w:p>
            <w:pPr>
              <w:ind w:left="180"/>
              <w:spacing w:after="0" w:line="149" w:lineRule="exact"/>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1991 (Date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0"/>
              </w:rPr>
              <w:t>March 31, 2013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(40,965)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(38,173)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(2,145,877)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Depreciation and accretion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3,696</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130,125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2,878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Stock expense for shares issued pursuant to research agreement</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loss on sale, abandonment/disposal or impairment of property and equipment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Accrued interest on investments, net of amortization of discounts</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Goodwill impairment</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available-for-sale securities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Litigation Settlement in stock</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Fair value of forward purchase contract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280"/>
              <w:spacing w:after="0"/>
              <w:rPr>
                <w:sz w:val="20"/>
                <w:szCs w:val="20"/>
                <w:color w:val="auto"/>
              </w:rPr>
            </w:pPr>
            <w:r>
              <w:rPr>
                <w:rFonts w:ascii="Arial" w:cs="Arial" w:eastAsia="Arial" w:hAnsi="Arial"/>
                <w:sz w:val="18"/>
                <w:szCs w:val="18"/>
                <w:color w:val="auto"/>
              </w:rPr>
              <w:t>State research and development credit exchange receivable</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690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28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(1,713)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28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w w:val="86"/>
              </w:rPr>
              <w:t>715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vMerge w:val="restart"/>
          </w:tcPr>
          <w:p>
            <w:pPr>
              <w:ind w:left="172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(32,027)</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(32,486)</w:t>
            </w:r>
          </w:p>
        </w:tc>
        <w:tc>
          <w:tcPr>
            <w:tcW w:w="1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(1,628,288)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(796,779)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Sales and maturities of marketable securities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(1,459)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(329,205)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(1,459)</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(329,137)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Issuance of common stock and warrants, net of issuance costs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80,598</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1,397,834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Collection of Series C convertible preferred stock subscriptions receivable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Issuance of Series B convertible preferred stock for cash</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common stock to be issued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Put shares sold to majority stockholder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Borrowings under lines of credit</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notes receivables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Borrowings on notes payable to related party</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6,250</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387,750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 to related party</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Borrowings on notes payable</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Proceeds from senior convertible notes</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207,050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Payment of employment taxes related to vested restricted stock units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vMerge w:val="restart"/>
          </w:tcPr>
          <w:p>
            <w:pPr>
              <w:ind w:left="42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(349)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86,451</w:t>
            </w: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1,985,430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(33,835)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53,674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61,840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28,005</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56,355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28,005</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FLOWS DISCLOSURES: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Interest paid in cash, net of amounts capitalized</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2,595</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Accretion on redeemable convertible preferred stock</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Issuance of common stock upon conversion of notes payable</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additional paid-in capital resulting from merger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Issuance of common stock for notes receivable</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put option by stockholder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Put option redemption by stockholder</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Series C convertible preferred stock subscriptions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Issuance of Series A redeemable convertible preferred stock</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Conversion of Series A redeemable convertible preferred stock</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Non-cash construction in progress and property and equipment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Capitalization of interest on note payable to related party</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Cancellation of principal on note payable to related party</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212,334</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59"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Forward purchase contract contribution to APIC</w:t>
            </w:r>
          </w:p>
        </w:tc>
        <w:tc>
          <w:tcPr>
            <w:tcW w:w="274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29,317</w:t>
            </w:r>
          </w:p>
        </w:tc>
      </w:tr>
      <w:tr>
        <w:trPr>
          <w:trHeight w:val="222"/>
        </w:trPr>
        <w:tc>
          <w:tcPr>
            <w:tcW w:w="6360" w:type="dxa"/>
            <w:vAlign w:val="bottom"/>
          </w:tcPr>
          <w:p>
            <w:pPr>
              <w:ind w:left="440"/>
              <w:spacing w:after="0"/>
              <w:rPr>
                <w:sz w:val="20"/>
                <w:szCs w:val="20"/>
                <w:color w:val="auto"/>
              </w:rPr>
            </w:pPr>
            <w:r>
              <w:rPr>
                <w:rFonts w:ascii="Arial" w:cs="Arial" w:eastAsia="Arial" w:hAnsi="Arial"/>
                <w:sz w:val="18"/>
                <w:szCs w:val="18"/>
                <w:color w:val="auto"/>
              </w:rPr>
              <w:t>Reclassification of forward purchase contract to APIC</w:t>
            </w:r>
          </w:p>
        </w:tc>
        <w:tc>
          <w:tcPr>
            <w:tcW w:w="2740" w:type="dxa"/>
            <w:vAlign w:val="bottom"/>
          </w:tcPr>
          <w:p>
            <w:pPr>
              <w:ind w:left="2100"/>
              <w:spacing w:after="0"/>
              <w:rPr>
                <w:sz w:val="20"/>
                <w:szCs w:val="20"/>
                <w:color w:val="auto"/>
              </w:rPr>
            </w:pPr>
            <w:r>
              <w:rPr>
                <w:rFonts w:ascii="Arial" w:cs="Arial" w:eastAsia="Arial" w:hAnsi="Arial"/>
                <w:sz w:val="18"/>
                <w:szCs w:val="18"/>
                <w:color w:val="auto"/>
              </w:rPr>
              <w:t>—</w:t>
            </w:r>
          </w:p>
        </w:tc>
        <w:tc>
          <w:tcPr>
            <w:tcW w:w="1180" w:type="dxa"/>
            <w:vAlign w:val="bottom"/>
          </w:tcPr>
          <w:p>
            <w:pPr>
              <w:ind w:lef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28,080</w:t>
            </w:r>
          </w:p>
        </w:tc>
      </w:tr>
    </w:tbl>
    <w:p>
      <w:pPr>
        <w:spacing w:after="0" w:line="14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connection with the Company’s initial public offering, all shares of Series B and Series C convertible preferred stock, in the amount of $15.0 million and $50.0 million, respectively, automatically converted into common stock in August 2004.</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0"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accompanying unaudited condensed consolidated financial statements of MannKind Corporation and its subsidiaries (the “Company”),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These statements should be read in conjunction with the financial statements and notes thereto included in the Company’s latest audited annual financial statements. The audited statements for the year ended December 31, 2012 are included in the Company’s annual report on Form 10-K for the fiscal year ended December 31, 2012 filed with the SEC on March 18, 2013 (the “Annual Report”).</w:t>
      </w:r>
    </w:p>
    <w:p>
      <w:pPr>
        <w:spacing w:after="0" w:line="12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months ended March 31, 2013 may not be indicative of the results that may be expected for the full year.</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financial statements and accompanying notes. Actual results could differ from those estimates or assumptions. The more significant estimates reflected in these accompanying financial statements involve assessing long-lived assets for impairment, accrued expenses, including clinical trial expenses, valuation of forward purchase contracts, valuation of stock-based compensation and the determination of the provision for income taxes and corresponding deferred tax assets and liabilities and any valuation allowance recorded against net deferred tax assets.</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Business — </w:t>
      </w:r>
      <w:r>
        <w:rPr>
          <w:rFonts w:ascii="Arial" w:cs="Arial" w:eastAsia="Arial" w:hAnsi="Arial"/>
          <w:sz w:val="18"/>
          <w:szCs w:val="18"/>
          <w:color w:val="auto"/>
        </w:rPr>
        <w:t>The Company is a biopharmaceutical company focused on the discovery and development of therapeutic products for diseases such as diabetes.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lead product candidate, AFREZZA (insulin human [rDNA origin]) inhalation powder, is an ultra rapid-acting insulin therapy in late-stage clinical investigation for the treatment of adults with type 1 or type 2 diabetes for the control of hyperglycemia.</w:t>
      </w:r>
    </w:p>
    <w:p>
      <w:pPr>
        <w:spacing w:after="0" w:line="14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 xml:space="preserve">Basis of Presentation — </w:t>
      </w:r>
      <w:r>
        <w:rPr>
          <w:rFonts w:ascii="Arial" w:cs="Arial" w:eastAsia="Arial" w:hAnsi="Arial"/>
          <w:sz w:val="18"/>
          <w:szCs w:val="18"/>
          <w:color w:val="auto"/>
        </w:rPr>
        <w:t>The Company is considered to be in the development stage as its primary activities since incorporation have been establishing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facilities, recruiting personnel, conducting research and development, business development, business and financial planning, and raising capital. It is costly to develop therapeutic products and conduct clinical trials for these products. Since its inception through March 31, 2013 the Company has reported accumulated net losses of $2.1 billion, which include a goodwill impairment charge of $151.4 million, and cumulative negative cash flow from operations of $1.6 billion. At March 31, 2013, the Company’s capital resources consisted of cash and cash equivalents of $28.0 million and $125.4 million of available borrowings through September 30, 2013 under the loan agreement with an entity controlled by the Company’s principal stockholder, The Mann Group, LLC (“The Mann Group”) (see Note 9 — Related-party arrangements).</w:t>
      </w:r>
    </w:p>
    <w:p>
      <w:pPr>
        <w:spacing w:after="0" w:line="14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October 2012, we sold in an underwritten public offering common stock and warrants resulting in net proceeds of $86.3 million and concurrently issued common stock and warrants to The Mann Group in exchange for cancellation of indebtedness under the amended and restated promissory note with The Mann Group (see Note 7 — Common and preferred stock and Note 9 — Related-party arrangements). To the extent that the trading price of our common stock exceeds the exercise price of the warrants on or about the expiration date of the public offering warrants and The Mann Group Warrants issued in October 2012, the warrant holders may potentially exercise such warrants during the fourth quarter of 2013. If the October 2012 public offering warrants are fully exercised, an additional $89.7 million in gross proceeds may become available. There can be no assurances that the trading price of our common stock will be greater than the exercise price of the warrants on or about the expiration date of the warrants due to a variety of factors, including the factors described under “Risks Related to Our Common Stock” in Item IA of Part II of this quarterly report on Form 10-Q, and there can be no assurances that the warrants will ever be exercised or that we will receive any proceeds from the exercise of the warrants.</w:t>
      </w:r>
    </w:p>
    <w:p>
      <w:pPr>
        <w:spacing w:after="0" w:line="12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March 18, 2013, we entered into at-the-market issuance sales agreements (the “ATM Agreements”) with two sales agents, under which we may issue and sell shares of our common stock having an aggregate offering price of up to $50.0 million under each ATM Agreement (provided that in no event may we issue and sell more than $50.0 million of shares of our common stock under both ATM Agreements in the aggregate) from time to time through either of the sales agents. Neither we nor either of the sales agents has any obligation to sell shares of our common stock under the ATM Agreements. Any sales of common stock made under the ATM Agreements will be made in “at the market” offerings as defined in Rule 415 of the Securities Act of 1933, as amended. We have not yet issued any shares of our common stock under the ATM Agreements.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Based upon the Company’s current expectations, management believes the Company’s existing capital resources, including the available borrowings under the loan arrangement with The Mann Group and the proceeds that may be raised under the ATM agreements, will enable it to continue planned operations through at least the third quarter of 2013. However, the Company cannot provide assurances that its plans will not change or that changed circumstances will not result in the depletion of its capital resources more rapidly than it currently anticipates. The Company will need to raise additional capital, through the sale of equity or debt securities, a strategic business collaboration with a pharmaceutical company, the establishment of other funding facilities, licensing arrangements, assets sales or other means, in order to continue the development and commercialization of AFREZZA and other product candidates and to support its other ongoing activities. However, the Company cannot provide assurances that such additional capital will be available through the sale of equity or debt securities, a strategic business collaboration with a pharmaceutical company, the establishment of other funding facilities, licensing arrangements, asset sales or other means. On December 15, 2013, $115.0 million of aggregate principal under the 3.75% Senior Convertible Notes (the “2013 notes”) will mature (see Note 10 — Senior convertible notes) , and on January 1, 2014, the Company’s borrowings under the amended and restated promissory note with The Mann Group will mature. These factors raise substantial doubt about the Company’s ability to continue as a going concern. The financial statements do not include any adjustments that might result from the outcome of these uncertainties.</w:t>
      </w:r>
    </w:p>
    <w:p>
      <w:pPr>
        <w:spacing w:after="0" w:line="12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b w:val="1"/>
          <w:bCs w:val="1"/>
          <w:i w:val="1"/>
          <w:iCs w:val="1"/>
          <w:color w:val="auto"/>
        </w:rPr>
        <w:t xml:space="preserve">Fair Value of Financial Instruments — </w:t>
      </w:r>
      <w:r>
        <w:rPr>
          <w:rFonts w:ascii="Arial" w:cs="Arial" w:eastAsia="Arial" w:hAnsi="Arial"/>
          <w:sz w:val="18"/>
          <w:szCs w:val="18"/>
          <w:color w:val="auto"/>
        </w:rPr>
        <w:t>The carrying amounts of financial instruments, which include cash equivalents and accounts payable, approximate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fair values due to their relatively short maturities. The fair value of the note payable to related party cannot be reasonably estimated as the Company would not be able to obtain a similar credit arrangement in the current economic environment.</w:t>
      </w:r>
    </w:p>
    <w:p>
      <w:pPr>
        <w:spacing w:after="0" w:line="14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Cash equivalents consist of highly liquid investments with original or remaining maturities of 90 days or less at the time of purchase, that are readily convertible into cash. As of March 31, 2013 and December 31, 2012, the Company held $28.0 million and $61.8 million, respectively of cash and cash equivalents, consisting primarily of money market funds of $25.7 million and $60.8 million, respectively, and the remaining in non-interest bearing checking accounts. The fair value of these money market funds was determined by using quoted prices for identical investments in an active market (Level 1 in the fair value hierarchy).</w:t>
      </w:r>
    </w:p>
    <w:p>
      <w:pPr>
        <w:spacing w:after="0" w:line="11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is a summary of the carrying values and estimated fair values of the 2013 notes and the Company’s senior convertible notes due in 2015 (the “2015 notes”) (in millions).</w:t>
      </w:r>
    </w:p>
    <w:p>
      <w:pPr>
        <w:spacing w:after="0" w:line="37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ind w:left="280"/>
              <w:spacing w:after="0"/>
              <w:rPr>
                <w:sz w:val="20"/>
                <w:szCs w:val="20"/>
                <w:color w:val="auto"/>
              </w:rPr>
            </w:pPr>
            <w:r>
              <w:rPr>
                <w:rFonts w:ascii="Arial" w:cs="Arial" w:eastAsia="Arial" w:hAnsi="Arial"/>
                <w:sz w:val="14"/>
                <w:szCs w:val="14"/>
                <w:b w:val="1"/>
                <w:bCs w:val="1"/>
                <w:color w:val="auto"/>
                <w:w w:val="88"/>
              </w:rPr>
              <w:t>March 31, 2013</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ind w:left="80"/>
              <w:spacing w:after="0"/>
              <w:rPr>
                <w:sz w:val="20"/>
                <w:szCs w:val="20"/>
                <w:color w:val="auto"/>
              </w:rPr>
            </w:pPr>
            <w:r>
              <w:rPr>
                <w:rFonts w:ascii="Arial" w:cs="Arial" w:eastAsia="Arial" w:hAnsi="Arial"/>
                <w:sz w:val="14"/>
                <w:szCs w:val="14"/>
                <w:b w:val="1"/>
                <w:bCs w:val="1"/>
                <w:color w:val="auto"/>
              </w:rPr>
              <w:t>December 31, 2012</w:t>
            </w:r>
          </w:p>
        </w:tc>
      </w:tr>
      <w:tr>
        <w:trPr>
          <w:trHeight w:val="129"/>
        </w:trPr>
        <w:tc>
          <w:tcPr>
            <w:tcW w:w="38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80" w:type="dxa"/>
            <w:vAlign w:val="bottom"/>
            <w:tcBorders>
              <w:top w:val="single" w:sz="8" w:color="auto"/>
            </w:tcBorders>
            <w:gridSpan w:val="3"/>
          </w:tcPr>
          <w:p>
            <w:pPr>
              <w:jc w:val="center"/>
              <w:ind w:right="560"/>
              <w:spacing w:after="0" w:line="129" w:lineRule="exact"/>
              <w:rPr>
                <w:sz w:val="20"/>
                <w:szCs w:val="20"/>
                <w:color w:val="auto"/>
              </w:rPr>
            </w:pPr>
            <w:r>
              <w:rPr>
                <w:rFonts w:ascii="Arial" w:cs="Arial" w:eastAsia="Arial" w:hAnsi="Arial"/>
                <w:sz w:val="14"/>
                <w:szCs w:val="14"/>
                <w:b w:val="1"/>
                <w:bCs w:val="1"/>
                <w:color w:val="auto"/>
                <w:w w:val="90"/>
              </w:rPr>
              <w:t>Carrying</w:t>
            </w: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Estimated</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0"/>
              </w:rPr>
              <w:t>Carrying</w:t>
            </w: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Estimated</w:t>
            </w:r>
          </w:p>
        </w:tc>
        <w:tc>
          <w:tcPr>
            <w:tcW w:w="300" w:type="dxa"/>
            <w:vAlign w:val="bottom"/>
          </w:tcPr>
          <w:p>
            <w:pPr>
              <w:spacing w:after="0"/>
              <w:rPr>
                <w:sz w:val="11"/>
                <w:szCs w:val="11"/>
                <w:color w:val="auto"/>
              </w:rPr>
            </w:pPr>
          </w:p>
        </w:tc>
      </w:tr>
      <w:tr>
        <w:trPr>
          <w:trHeight w:val="161"/>
        </w:trPr>
        <w:tc>
          <w:tcPr>
            <w:tcW w:w="38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value</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42"/>
              <w:spacing w:after="0"/>
              <w:rPr>
                <w:sz w:val="20"/>
                <w:szCs w:val="20"/>
                <w:color w:val="auto"/>
              </w:rPr>
            </w:pPr>
            <w:r>
              <w:rPr>
                <w:rFonts w:ascii="Arial" w:cs="Arial" w:eastAsia="Arial" w:hAnsi="Arial"/>
                <w:sz w:val="14"/>
                <w:szCs w:val="14"/>
                <w:b w:val="1"/>
                <w:bCs w:val="1"/>
                <w:color w:val="auto"/>
                <w:w w:val="83"/>
              </w:rPr>
              <w:t>value</w:t>
            </w:r>
          </w:p>
        </w:tc>
        <w:tc>
          <w:tcPr>
            <w:tcW w:w="28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3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Notes due 2013</w:t>
            </w:r>
          </w:p>
        </w:tc>
        <w:tc>
          <w:tcPr>
            <w:tcW w:w="2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114.6</w:t>
            </w: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102.2</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114.4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300" w:type="dxa"/>
            <w:vAlign w:val="bottom"/>
            <w:tcBorders>
              <w:top w:val="single" w:sz="8" w:color="CCEEFF"/>
            </w:tcBorders>
            <w:shd w:val="clear" w:color="auto" w:fill="CCEEFF"/>
          </w:tcPr>
          <w:p>
            <w:pPr>
              <w:spacing w:after="0"/>
              <w:rPr>
                <w:sz w:val="18"/>
                <w:szCs w:val="18"/>
                <w:color w:val="auto"/>
              </w:rPr>
            </w:pP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Notes due 2015</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97.8</w:t>
            </w:r>
          </w:p>
        </w:tc>
        <w:tc>
          <w:tcPr>
            <w:tcW w:w="5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83.8</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97.6</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63.2</w:t>
            </w:r>
          </w:p>
        </w:tc>
        <w:tc>
          <w:tcPr>
            <w:tcW w:w="300" w:type="dxa"/>
            <w:vAlign w:val="bottom"/>
          </w:tcPr>
          <w:p>
            <w:pPr>
              <w:spacing w:after="0"/>
              <w:rPr>
                <w:sz w:val="19"/>
                <w:szCs w:val="19"/>
                <w:color w:val="auto"/>
              </w:rPr>
            </w:pPr>
          </w:p>
        </w:tc>
      </w:tr>
    </w:tbl>
    <w:p>
      <w:pPr>
        <w:spacing w:after="0" w:line="14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The Company concluded that The Mann Group Common Stock Purchase Agreement entered into in February 2012 (see Note 7 — Common and preferred stock) represented a contingent forward purchase contract that met the definition of a derivative instrument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(“ASC 815”). </w:t>
      </w:r>
      <w:r>
        <w:rPr>
          <w:rFonts w:ascii="Arial" w:cs="Arial" w:eastAsia="Arial" w:hAnsi="Arial"/>
          <w:sz w:val="16"/>
          <w:szCs w:val="16"/>
          <w:color w:val="auto"/>
        </w:rPr>
        <w:t>Of the 31,250,000 shares issuable pursuant to The Mann Group Common Stock Purchase Agreement, the portion of the derivative instrument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representing 14.7 million shares were recorded as equity (“Equity Portion”) as they met the criteria for equity classification under ASC 815-40 </w:t>
      </w:r>
      <w:r>
        <w:rPr>
          <w:rFonts w:ascii="Arial" w:cs="Arial" w:eastAsia="Arial" w:hAnsi="Arial"/>
          <w:sz w:val="16"/>
          <w:szCs w:val="16"/>
          <w:i w:val="1"/>
          <w:iCs w:val="1"/>
          <w:color w:val="auto"/>
        </w:rPr>
        <w:t>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Contracts in an Entity’s Own Stock. </w:t>
      </w:r>
      <w:r>
        <w:rPr>
          <w:rFonts w:ascii="Arial" w:cs="Arial" w:eastAsia="Arial" w:hAnsi="Arial"/>
          <w:sz w:val="16"/>
          <w:szCs w:val="16"/>
          <w:color w:val="auto"/>
        </w:rPr>
        <w:t>The remaining 16.5 million shares (“Non-Equity Portion”) required classification outside of equity as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did not have sufficient available shares at the time of issuance. The Company revalued the Non-Equity Portion of the forward purchase contract at each reporting date and recorded a fair value adjustment within “Other income (expense).” The estimated fair value of the 2013 notes was calculated based on quoted prices in an active market (Level 1 in the fair value hierarchy). The estimated fair value of the 2015 notes was calculated based on model-derived valuations whose inputs were observable, such as the Company’s stock price, and non-observable, such as the Company’s longer-term historical volatility (Level 3 in the fair value hierarchy). As there is no current observable market for the 2015 notes, the Company determined the estimated fair value using a convertible bond valuation model within a lattice framework. The convertible bond valuation model combined expected cash outflows with market-based assumptions regarding risk-adjusted yields, stock price volatility and recent price quotes and trading information regarding Company issued debt instruments and shares of common stock into which the notes are convertible.</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estimated fair value of The Mann Group Common Stock Purchase Agreement entered into in February 2012 was based on a forward purchase contract valuation (Level 3 in the fair value hierarchy). The fair value of the forward purchase contract is highly sensitive to the discount applied for lack of marketability and the stock price, and changes in this discount and/or the stock price caused the value of the forward purchase contract to change significantly. The Company recognized the change in fair value of $(336,000) in “Other income (expense)” for the three months ended March 31, 2012. The Company revalued the Non-Equity Portion using a forward contract valuation formula, in which the forward contract was estimated to be equal to the valuation date stock price minus the strike price discounted to the valuation date using a risk-free rate of 0.08% at issuance and 0.06% at March 31, 2012. As the shares which would be received upon settlement were unregistered, the Company applied a discount for lack of marketability of 2.57% at issuance and 1.64% at March 31, 2012 based on quantitative put models, adjusted to take into account qualitative factors, including the fact that the Company’s stock was publicly traded and the fact that there was no contractual restriction on the unregistered shares being registered.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roll-forward provides a summary of changes in fair value of the Company’s Level 3 forward purchase contract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Three months</w:t>
            </w:r>
          </w:p>
        </w:tc>
        <w:tc>
          <w:tcPr>
            <w:tcW w:w="1780" w:type="dxa"/>
            <w:vAlign w:val="bottom"/>
            <w:gridSpan w:val="4"/>
          </w:tcPr>
          <w:p>
            <w:pPr>
              <w:jc w:val="center"/>
              <w:ind w:left="662"/>
              <w:spacing w:after="0"/>
              <w:rPr>
                <w:sz w:val="20"/>
                <w:szCs w:val="20"/>
                <w:color w:val="auto"/>
              </w:rPr>
            </w:pPr>
            <w:r>
              <w:rPr>
                <w:rFonts w:ascii="Arial" w:cs="Arial" w:eastAsia="Arial" w:hAnsi="Arial"/>
                <w:sz w:val="14"/>
                <w:szCs w:val="14"/>
                <w:b w:val="1"/>
                <w:bCs w:val="1"/>
                <w:color w:val="auto"/>
                <w:w w:val="86"/>
              </w:rPr>
              <w:t>Three months</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2"/>
              </w:rPr>
              <w:t>ended</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2"/>
              </w:rPr>
              <w:t>March 31,</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1"/>
        </w:trPr>
        <w:tc>
          <w:tcPr>
            <w:tcW w:w="60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3"/>
              </w:rPr>
              <w:t>2013</w:t>
            </w:r>
          </w:p>
        </w:tc>
        <w:tc>
          <w:tcPr>
            <w:tcW w:w="8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Issuance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gain/(loss) included in other income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8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Recently Issued Accounting Standards — </w:t>
      </w:r>
      <w:r>
        <w:rPr>
          <w:rFonts w:ascii="Arial" w:cs="Arial" w:eastAsia="Arial" w:hAnsi="Arial"/>
          <w:sz w:val="16"/>
          <w:szCs w:val="16"/>
          <w:color w:val="auto"/>
        </w:rPr>
        <w:t>In February 2013, the FASB issued ASU 2013-02,</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Comprehensive Income (Topic 220) – Reporting of Amounts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Reclassified Out of Accumulated Other Comprehensive Income. </w:t>
      </w:r>
      <w:r>
        <w:rPr>
          <w:rFonts w:ascii="Arial" w:cs="Arial" w:eastAsia="Arial" w:hAnsi="Arial"/>
          <w:sz w:val="16"/>
          <w:szCs w:val="16"/>
          <w:color w:val="auto"/>
        </w:rPr>
        <w:t>These amendments do not change the current requirements for reporting net income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comprehensive income in the financial statements. These amendments provide for additional disclosure requirements for amounts reclassified out of accumulated other comprehensive income. These amendments are effective prospectively for interim and annual periods beginning after December 15, 2012. Early adoption is permitted. Effective January 1, 2013, the Company adopted the new requirements as set forth in ASU 2013-02 in the disclosure of comprehensive income on the Company’s consolidated financial statements. The adoption of the new requirements did not have a significant impact on the Company’s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Accrued expenses and other current liabilities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89"/>
              </w:rPr>
              <w:t>March 31,</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6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Salary and related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Research and clinical trial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9,187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5,995</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3,753</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3,878</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00" w:type="dxa"/>
            <w:vAlign w:val="bottom"/>
            <w:shd w:val="clear" w:color="auto" w:fill="CCEEFF"/>
          </w:tcPr>
          <w:p>
            <w:pPr>
              <w:spacing w:after="0"/>
              <w:rPr>
                <w:sz w:val="18"/>
                <w:szCs w:val="18"/>
                <w:color w:val="auto"/>
              </w:rPr>
            </w:pPr>
          </w:p>
        </w:tc>
      </w:tr>
      <w:tr>
        <w:trPr>
          <w:trHeight w:val="222"/>
        </w:trPr>
        <w:tc>
          <w:tcPr>
            <w:tcW w:w="660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26,379</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25,777</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for 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Total stock-based compensation expense recognized in the accompanying condensed consolidated statements of operations for the three months ended March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2013 and 2012 was as follows (in thousands):</w:t>
      </w:r>
    </w:p>
    <w:p>
      <w:pPr>
        <w:spacing w:after="0" w:line="200" w:lineRule="exact"/>
        <w:rPr>
          <w:sz w:val="20"/>
          <w:szCs w:val="20"/>
          <w:color w:val="auto"/>
        </w:rPr>
      </w:pPr>
    </w:p>
    <w:p>
      <w:pPr>
        <w:spacing w:after="0" w:line="203"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Three months ended</w:t>
      </w:r>
    </w:p>
    <w:p>
      <w:pPr>
        <w:jc w:val="center"/>
        <w:ind w:left="7040"/>
        <w:spacing w:after="0" w:line="221"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45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2013</w:t>
            </w:r>
          </w:p>
        </w:tc>
        <w:tc>
          <w:tcPr>
            <w:tcW w:w="94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4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w:t>
            </w:r>
          </w:p>
        </w:tc>
        <w:tc>
          <w:tcPr>
            <w:tcW w:w="26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5,189</w:t>
            </w:r>
          </w:p>
        </w:tc>
        <w:tc>
          <w:tcPr>
            <w:tcW w:w="4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$ 2,878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On March 7, 2013, the Board approved a management proposal designed to encourage employee retention, as recommended for approval by the Compensation Committee. The Company granted 5,846,000 performance-based restricted stock units to employees, including executive officers of the Company other than our Chief Executive Officer, with vesting terms subject to the achievement of specified regulatory and business development milestones related to AFREZZA. The performance-based restricted stock units had a grant date fair value of $2.81 per unit.</w:t>
      </w:r>
    </w:p>
    <w:p>
      <w:pPr>
        <w:spacing w:after="0" w:line="113" w:lineRule="exact"/>
        <w:rPr>
          <w:sz w:val="20"/>
          <w:szCs w:val="20"/>
          <w:color w:val="auto"/>
        </w:rPr>
      </w:pPr>
    </w:p>
    <w:p>
      <w:pPr>
        <w:ind w:right="200"/>
        <w:spacing w:after="0" w:line="318" w:lineRule="auto"/>
        <w:rPr>
          <w:sz w:val="20"/>
          <w:szCs w:val="20"/>
          <w:color w:val="auto"/>
        </w:rPr>
      </w:pPr>
      <w:r>
        <w:rPr>
          <w:rFonts w:ascii="Arial" w:cs="Arial" w:eastAsia="Arial" w:hAnsi="Arial"/>
          <w:sz w:val="15"/>
          <w:szCs w:val="15"/>
          <w:color w:val="auto"/>
        </w:rPr>
        <w:t>As of March 31, 2013, there was $13.6 million and $22.7 million of unrecognized compensation cost related to options and restricted stock units, respectively, which are expected to be recognized over the remaining weighted average vesting period of 1.6 years.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 As of March 31, 2013, there was $107,000 and $3.7 million of unrecognized expenses related to performance options and restricted stock units, respectively, for milestones not considered probable of achievement.</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common share</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Basic net loss per share excludes dilution for potentially dilutive securities and is computed by dividing net loss applicable to common stockholders by the weighted average number of common shares outstanding during the period excluding the shares loaned to Bank of America, N.A. under a share lending arrangement (see Note 7 — Common and preferred stock). As of March 31, 2013, 9,000,000 shares of the Company’s common stock, which were loaned to Bank of America, N.A. pursuant to the terms of a share lending agreement as described in Note 7, were issued and are outstanding, and holders of the borrowed shares have all the rights of a holder of the Company’s common stock. However, because the share borrower must return all borrowed shares to the Company (or, in certain circumstances, the cash value thereof), the borrowed shares are not considered outstanding for the purpose of computing and reporting basic or diluted earnings (loss) per share.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condensed consolidated statements of operations because the reported net loss in each of these periods results in their inclusion being antidilutive. Antidilutive securities, which consist of stock options, restricted stock units, warrants, and shares that could be issued upon conversion of the senior convertible notes, that are not included in the diluted net loss per share calculation consisted of an aggregate of 133,500,568 shares and 54,310,177 shares as of March 31, 2013 and March 31, 2012, respectively, and exclude the 9,000,000 shares loaned under the share lending arrangement as of March 31, 2013 and 2012.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State research and development credit exchange receivable</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Current estimated amounts receivable under the program were $450,000 at March 31, 2013 and December 31, 2012. Long-term estimated amounts receivable under the program were $391,000 and $313,000 at March 31, 2013 and December 31, 2012,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 net consist of the following (dollar amounts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Estimated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2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Useful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2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Life</w:t>
            </w:r>
          </w:p>
        </w:tc>
        <w:tc>
          <w:tcPr>
            <w:tcW w:w="260" w:type="dxa"/>
            <w:vAlign w:val="bottom"/>
          </w:tcPr>
          <w:p>
            <w:pPr>
              <w:spacing w:after="0"/>
              <w:rPr>
                <w:sz w:val="12"/>
                <w:szCs w:val="12"/>
                <w:color w:val="auto"/>
              </w:rPr>
            </w:pPr>
          </w:p>
        </w:tc>
        <w:tc>
          <w:tcPr>
            <w:tcW w:w="128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99"/>
              </w:rPr>
              <w:t>March 31,</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61"/>
        </w:trPr>
        <w:tc>
          <w:tcPr>
            <w:tcW w:w="628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(Years)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6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Buildings</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39-40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54,948</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54,948</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114,245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114,245</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81,396</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81,382</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5,239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5,239</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11,876</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11,840</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13,535</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12,266</w:t>
            </w:r>
          </w:p>
        </w:tc>
        <w:tc>
          <w:tcPr>
            <w:tcW w:w="100" w:type="dxa"/>
            <w:vAlign w:val="bottom"/>
          </w:tcPr>
          <w:p>
            <w:pPr>
              <w:spacing w:after="0"/>
              <w:rPr>
                <w:sz w:val="19"/>
                <w:szCs w:val="19"/>
                <w:color w:val="auto"/>
              </w:rPr>
            </w:pPr>
          </w:p>
        </w:tc>
      </w:tr>
      <w:tr>
        <w:trPr>
          <w:trHeight w:val="216"/>
        </w:trPr>
        <w:tc>
          <w:tcPr>
            <w:tcW w:w="6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286,529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285,210</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(104,239)</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(101,249)</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182,290</w:t>
            </w: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183,961</w:t>
            </w:r>
          </w:p>
        </w:tc>
        <w:tc>
          <w:tcPr>
            <w:tcW w:w="100" w:type="dxa"/>
            <w:vAlign w:val="bottom"/>
            <w:shd w:val="clear" w:color="auto" w:fill="CCEEFF"/>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amortized over four years which is the shorter of the term of the lease or the service lives of the improvements.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related to property and equipment for the three months ended March 31, 2013 and 2012 was as follows (in thousands):</w:t>
      </w:r>
    </w:p>
    <w:p>
      <w:pPr>
        <w:spacing w:after="0" w:line="230"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Three months ended</w:t>
      </w:r>
    </w:p>
    <w:p>
      <w:pPr>
        <w:jc w:val="center"/>
        <w:ind w:left="7020"/>
        <w:spacing w:after="0" w:line="221"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35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2013</w:t>
            </w:r>
          </w:p>
        </w:tc>
        <w:tc>
          <w:tcPr>
            <w:tcW w:w="9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 expense</w:t>
            </w:r>
          </w:p>
        </w:tc>
        <w:tc>
          <w:tcPr>
            <w:tcW w:w="36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2,990</w:t>
            </w:r>
          </w:p>
        </w:tc>
        <w:tc>
          <w:tcPr>
            <w:tcW w:w="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$ 3,357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600" w:type="dxa"/>
            <w:vAlign w:val="bottom"/>
            <w:vMerge w:val="restart"/>
          </w:tcPr>
          <w:p>
            <w:pPr>
              <w:jc w:val="right"/>
              <w:ind w:right="2652"/>
              <w:spacing w:after="0"/>
              <w:rPr>
                <w:sz w:val="20"/>
                <w:szCs w:val="20"/>
                <w:color w:val="auto"/>
              </w:rPr>
            </w:pPr>
            <w:r>
              <w:rPr>
                <w:rFonts w:ascii="Arial" w:cs="Arial" w:eastAsia="Arial" w:hAnsi="Arial"/>
                <w:sz w:val="18"/>
                <w:szCs w:val="18"/>
                <w:color w:val="auto"/>
              </w:rPr>
              <w:t>9</w:t>
            </w: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2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and preferred stock</w:t>
      </w:r>
    </w:p>
    <w:p>
      <w:pPr>
        <w:spacing w:after="0" w:line="9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 is authorized to issue 550,000,000 shares of common stock, par value $0.01 per share, and 10,000,000 shares of undesignated preferred stock, par value $0.01 per share, issuable in one or more series designated by the Company’s board of directors. No other class of capital stock is authorized. As of March 31, 2013 and December 31, 2012, 289,375,250 and 286,035,082 shares of common stock, respectively, were issued and outstanding and no shares of preferred stock were outstanding. Included in the common stock outstanding as of March 31, 2013 and December 31, 2012 are 9,000,000 shares of common stock loaned to Bank of America under a share lending agreement in connection with the offering of the $100.0 million aggregate principal amount of 5.75% Senior Convertible Notes due 2015 (see Note 10 — Senior convertible notes). Bank of America is obligated to return the borrowed shares (or, in certain circumstances, the cash value thereof) to the Company on or about the 45th business day following the date as of which the entire principal amount of the notes ceases to be outstanding, subject to extension or acceleration in certain circumstances or early termination at Bank of America’s option. The Company did not receive any proceeds from the sale of the borrowed shares by Bank of America, but the Company did receive a nominal lending fee of $0.01 per share from Bank of America for the use of borrowed shares.</w:t>
      </w:r>
    </w:p>
    <w:p>
      <w:pPr>
        <w:spacing w:after="0" w:line="1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February 2012, the Company sold in an underwritten public offering 35,937,500 units worth $86.3 million, including the full exercise of an over-allotment option granted to the underwriters, with each unit consisting of one share of common stock and a warrant to purchase 0.6 of a share of common stock. Net proceeds from this offering were approximately $80.6 million, excluding any future proceeds from the exercise of warrants. The warrants are exercisable at $2.40 per share and expire in February 2016. Concurrent with this public offering, pursuant to The Mann Group Common Stock Purchase Agreement entered into in February 2012, The Mann Group agreed to purchase $77.2 million worth of restricted shares or 31,250,000 restricted shares of common stock, which were issued in June 2012 in exchange for cancellation of principal indebtedness of $77.2 million under the revolving amended and restated loan arrangement (see Note 9 — Related-party arrangements).</w:t>
      </w:r>
    </w:p>
    <w:p>
      <w:pPr>
        <w:spacing w:after="0" w:line="14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October 2012, the Company sold in an underwritten public offering 46,000,000 units worth $92.0 million, including the full exercise of an over-allotment option granted to the underwriters, with each unit consisting of one share of common stock and a warrant to purchase 0.75 of a share of common stock. Net proceeds from this offering were approximately $86.3 million, excluding any future proceeds from the exercise of warrants. The warrants are exercisable at $2.60 per share and expire in the fourth quarter of 2013. Concurrent with this public offering, pursuant to The Mann Group Common Stock and Warrant Purchase Agreement, The Mann Group agreed to purchase for an aggregate purchase price of $107.4 million, 40,000,000 restricted shares of common stock and warrants to purchase 30,000,000 shares of common stock, which were issued in October 2012 in exchange for cancellation of principal indebtedness of $107.4 million under the revolving amended and restated loan arrangement (see Note 9 — Related-party arrangements). The Mann Group warrants are exercisable at $2.60 per share and expire in the fourth quarter of 2013.</w:t>
      </w:r>
    </w:p>
    <w:p>
      <w:pPr>
        <w:spacing w:after="0" w:line="11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 xml:space="preserve">In connection with both the February and October 2012 public offerings, the Company performed an analysis of the warrants to determine their appropriate classification and concluded that in both instances the warrants should be classified within equity. In connection with The Mann Group Common Stock Purchase Agreement entered into in February 2012, the Company concluded that this agreement represented a contingent forward contract that met the definition of a derivative instrument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and that a portion of the restricted common stock issued should be classified as equity and the remaining portion should be classified as assets or liabilities accounted for at fair value. In connection with The Mann Group Common Stock and Warrant Purchase Agreement entered into in October 2012, the Company concluded that this agreement represented a contingent forward contract and that the restricted common stock and warrants issued to The Mann Group should be classified as assets or liabilities accounted for at fair value. Both the February and October forward contracts settled during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 xml:space="preserve">Guarantees and Indemnifications — </w:t>
      </w:r>
      <w:r>
        <w:rPr>
          <w:rFonts w:ascii="Arial" w:cs="Arial" w:eastAsia="Arial" w:hAnsi="Arial"/>
          <w:sz w:val="16"/>
          <w:szCs w:val="16"/>
          <w:color w:val="auto"/>
        </w:rPr>
        <w:t>In the ordinary course of its business, the Company makes certain indemnities, commitments and guarantees under which 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w:t>
      </w:r>
    </w:p>
    <w:p>
      <w:pPr>
        <w:spacing w:after="0" w:line="11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b w:val="1"/>
          <w:bCs w:val="1"/>
          <w:i w:val="1"/>
          <w:iCs w:val="1"/>
          <w:color w:val="auto"/>
        </w:rPr>
        <w:t xml:space="preserve">Litigation — </w:t>
      </w:r>
      <w:r>
        <w:rPr>
          <w:rFonts w:ascii="Arial" w:cs="Arial" w:eastAsia="Arial" w:hAnsi="Arial"/>
          <w:sz w:val="16"/>
          <w:szCs w:val="16"/>
          <w:color w:val="auto"/>
        </w:rPr>
        <w:t>The Company is subject to legal proceedings and claims which arise in the ordinary course of its business. As of the date hereof,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believes that the final disposition of such matters will not have a material adverse effect on the financial position, results of operations or cash flows of the Company. The Company maintains liability insurance coverage to protect the Company’s assets from losses arising out of or involving activities associated with ongoing and normal business operations. In accordance with ASC 450 </w:t>
      </w:r>
      <w:r>
        <w:rPr>
          <w:rFonts w:ascii="Arial" w:cs="Arial" w:eastAsia="Arial" w:hAnsi="Arial"/>
          <w:sz w:val="16"/>
          <w:szCs w:val="16"/>
          <w:i w:val="1"/>
          <w:iCs w:val="1"/>
          <w:color w:val="auto"/>
        </w:rPr>
        <w:t>Contingencies</w:t>
      </w:r>
      <w:r>
        <w:rPr>
          <w:rFonts w:ascii="Arial" w:cs="Arial" w:eastAsia="Arial" w:hAnsi="Arial"/>
          <w:sz w:val="16"/>
          <w:szCs w:val="16"/>
          <w:color w:val="auto"/>
        </w:rPr>
        <w:t>, the Company would record a provision for a liability when it is both probable that a liability has been incurred and the amount of the loss can be reasonably estimated.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Related-party arrangements</w:t>
      </w:r>
    </w:p>
    <w:p>
      <w:pPr>
        <w:spacing w:after="0" w:line="96"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 xml:space="preserve">In October 2007, the Company entered into a $350.0 million loan arrangement with its principal stockholder. In February 2009, the promissory note underlying the loan arrangement was revised as a result of the Company’s principal stockholder being subject to the licensing requirement under the California Finance Lenders Law. Accordingly, the lender was changed to The Mann Group. Until January 1, 2013, interest on outstanding principal amounts accrued at a fixed rate equal to the one-year LIBOR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 plus 3% per annum. The promissory note underlying the loan arrangement was amended at various dates during 2012. The most recent amendment occurred in October 2012 to extend the maturity date to January 1, 2014, extend the date through which the Company can borrow under the promissory note to September 30, 2013, and adjust the annual interest rate on all outstanding principal to the one-year LIBOR on December 31, 2012 plus 5%, effective beginning on January 1, 2013. The borrowing rate was 4.5% at March 31, 2013 and December 31, 2012.</w:t>
      </w:r>
    </w:p>
    <w:p>
      <w:pPr>
        <w:spacing w:after="0" w:line="118"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As of March 31, 2013, the total principal amount outstanding under the credit facility was $119.6 million, and the amount available for future borrowings was $125.4 million. Interest is due and payable quarterly in arrears on the first day of each calendar quarter for the preceding quarter, or at such other time as the Company and The Mann Group mutually agree. All or any portion of accrued and unpaid interest that becomes due and payable may be paid-in-kind and capitalized at any time upon mutual agreement of both parties. The Mann Group can require the Company to prepay up to $200.0 million in advances that have been outstanding for at least 12 months. If The Mann Group exercises this right, the Company will have 90 days after The Mann Group provides written notice (or the number of days to maturity of the note if less than 90 days) to prepay such advances (see discussion regarding letter agreement below).</w:t>
      </w:r>
    </w:p>
    <w:p>
      <w:pPr>
        <w:spacing w:after="0" w:line="12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August 2010, the Company entered into a letter agreement confirming a previous commitment by The Mann Group to not require the Company to prepay amounts outstanding under the amended and restated promissory note if the prepayment would require the Company to use its working capital resources. In the event of a default, all unpaid principal and interest either becomes immediately due and payable or may be accelerated at The Mann Group’s option, and the interest rate will increase to the one-year LIBOR calculated on the date of the initial advance or in effect on the date of default, whichever is greater, plus 5% per annum. All borrowings under the loan arrangement are unsecured. The loan arrangement contains no financial covenants. There are no warrants associated with the loan arrangement.</w:t>
      </w:r>
    </w:p>
    <w:p>
      <w:pPr>
        <w:spacing w:after="0" w:line="14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February 2012, concurrent with an the underwritten public offering (see Note 7 — Common and preferred stock), pursuant to The Mann Group Common Stock Purchase Agreement, The Mann Group agreed to purchase $77.2 million worth of restricted shares or 31,250,000 restricted shares of common stock, which were issued in June 2012 in exchange for cancellation of principal indebtedness of $77.2 million under the revolving amended and restated loan arrangement.</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October 2012, concurrent with an underwritten public offering (see Note 7 — Common and preferred stock), pursuant to The Mann Group Common Stock and Warrant Purchase Agreement, The Mann Group agreed to purchase for an aggregate purchase price of $107.4 million, 40,000,000 restricted shares of common stock and warrants to purchase 30,000,000 shares of common stock, which were issued in October 2012 in exchange for cancellation of principal indebtedness of $107.4 million under the revolving amended and restated loan arrangement. The Mann Group warrants are exercisable at $2.60 per share and expire in October 2013.</w:t>
      </w:r>
    </w:p>
    <w:p>
      <w:pPr>
        <w:spacing w:after="0" w:line="143"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The restricted shares sold to The Mann Group in both the June and October 2012 transactions may not be sold, pledged, assigned or transferred unless (i) the shares have been registered with the Securities and Exchange Commission (“SEC”) or (ii) the restricted shares are exempt from SEC registration requirements and the company has obtained an opinion from the company’s counsel that the shares may be sold lawfully without registration.</w:t>
      </w:r>
    </w:p>
    <w:p>
      <w:pPr>
        <w:spacing w:after="0" w:line="107"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cancelled principal amount became available for reborrowing. Additionally, in accordance with the terms of the note, the Company elected to capitalize the accrued and unpaid interest on the cancelled principal amount that became due upon the closing (see Note 7 – Common and preferred stock). During the first quarter of 2013, there were no borrowings under or amendments to The Mann Group loan arrangement.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Senior convertible notes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Senior convertible notes consist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March 31</w:t>
            </w:r>
          </w:p>
        </w:tc>
        <w:tc>
          <w:tcPr>
            <w:tcW w:w="1100" w:type="dxa"/>
            <w:vAlign w:val="bottom"/>
            <w:gridSpan w:val="4"/>
          </w:tcPr>
          <w:p>
            <w:pPr>
              <w:ind w:left="220"/>
              <w:spacing w:after="0"/>
              <w:rPr>
                <w:sz w:val="20"/>
                <w:szCs w:val="20"/>
                <w:color w:val="auto"/>
              </w:rPr>
            </w:pPr>
            <w:r>
              <w:rPr>
                <w:rFonts w:ascii="Arial" w:cs="Arial" w:eastAsia="Arial" w:hAnsi="Arial"/>
                <w:sz w:val="14"/>
                <w:szCs w:val="14"/>
                <w:b w:val="1"/>
                <w:bCs w:val="1"/>
                <w:color w:val="auto"/>
                <w:w w:val="98"/>
              </w:rPr>
              <w:t>December 31</w:t>
            </w: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78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55"/>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2013 notes</w:t>
            </w:r>
          </w:p>
        </w:tc>
        <w:tc>
          <w:tcPr>
            <w:tcW w:w="2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amount</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$ 115,000</w:t>
            </w:r>
          </w:p>
        </w:tc>
        <w:tc>
          <w:tcPr>
            <w:tcW w:w="30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115,000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Unaccreted debt issuance expense</w:t>
            </w:r>
          </w:p>
        </w:tc>
        <w:tc>
          <w:tcPr>
            <w:tcW w:w="2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w:t>
            </w: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Net carrying amount</w:t>
            </w:r>
          </w:p>
        </w:tc>
        <w:tc>
          <w:tcPr>
            <w:tcW w:w="21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114,593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114,443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 notes</w:t>
            </w:r>
          </w:p>
        </w:tc>
        <w:tc>
          <w:tcPr>
            <w:tcW w:w="2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amount</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100,000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Unaccreted debt issuance expense</w:t>
            </w:r>
          </w:p>
        </w:tc>
        <w:tc>
          <w:tcPr>
            <w:tcW w:w="2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(2,209)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(2,417)</w:t>
            </w: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Net carrying amount</w:t>
            </w:r>
          </w:p>
        </w:tc>
        <w:tc>
          <w:tcPr>
            <w:tcW w:w="21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97,791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97,583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212,384</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212,026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On August 18, 2010, the Company completed a Rule 144A offering of $100.0 million aggregate principal amount of the 2015 notes. The 2015 notes are governed by the terms of an indenture dated as of August 24, 2010 (the “2015 Note Indenture”). The 2015 notes bear interest at the rate of 5.75% per year on the principal amount, payable in cash semi-annually in arrears on February 15 and August 15 of each year, beginning February 15, 2011. In connection with the 2015 notes, the Company had accrued interest of $735,000 and $2.2 million as of March 31, 2013 and December 31, 2012, respectively. The 2015 notes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2015 notes is August 15, 2015 and payment is due in full on that date for unconverted securities. Holders of the 2015 notes may convert, at any time prior to the close of business on the business day immediately preceding the stated maturity date, any outstanding principal into shares of the Company’s common stock at an initial conversion rate of 147.0859 shares per $1,000 principal amount, which is equal to a conversion price of approximately $6.80 per share, subject to adjustment. Except in certain circumstances, if the Company undergoes a fundamental change: (1) the Company will pay a make-whole premium on the 2015 notes converted in connection with a fundamental change by increasing the conversion rate on such 2015 notes, which amount, if any, will be based on the Company’s common stock price and the effective date of the fundamental change, and (2) each holder of 2015 notes will have the option to require the Company to repurchase all or any portion of such holder’s 2015 notes at a repurchase price of 100% of the principal amount of the 2015 notes to be repurchased plus accrued and unpaid interest, if any. The Company may elect to redeem some or all of the 2015 notes if the closing stock price has equaled 150% of the conversion price for at least 20 of the 30 consecutive trading days ending on the trading day before the Company’s redemption notice. The redemption price will equal 100% of the principal amount of the 2015 notes to be redeemed, plus accrued and unpaid interest, if any, to, but excluding, the redemption date, plus a make-whole payment equal to the sum of the present values of the remaining scheduled interest payments through and including August 15, 2015 (other than interest accrued up to, but excluding, the redemption date). The Company will be obligated to make the make-whole payment on all the 2015 notes called for redemption and converted during the period from the date the Company mailed the notice of redemption to and including the redemption date. The Company may elect to make the make-whole payment in cash or shares of its common stock, subject to certain limitations. Under the terms of the 2015 Note Indenture, the conversion option can be net-share settled and the maximum number of shares that could be required to be delivered under the contract, including the make-whole shares, is fixed and less than the number of authorized and unissued shares less the maximum number of shares that could be required to be delivered during the contract period under existing commitments. Applying the Company’s sequencing policy, the Company performed an analysis at the time of the offering of the 2015 notes and each reporting date since and has concluded that the number of available authorized shares at the time of the offering and each subsequent reporting date was sufficient to deliver the number of shares that could be required to be delivered during the contract period under existing commitments.</w:t>
      </w:r>
    </w:p>
    <w:p>
      <w:pPr>
        <w:spacing w:after="0" w:line="140" w:lineRule="exact"/>
        <w:rPr>
          <w:sz w:val="20"/>
          <w:szCs w:val="20"/>
          <w:color w:val="auto"/>
        </w:rPr>
      </w:pPr>
    </w:p>
    <w:p>
      <w:pPr>
        <w:ind w:right="840"/>
        <w:spacing w:after="0" w:line="370" w:lineRule="auto"/>
        <w:rPr>
          <w:sz w:val="20"/>
          <w:szCs w:val="20"/>
          <w:color w:val="auto"/>
        </w:rPr>
      </w:pPr>
      <w:r>
        <w:rPr>
          <w:rFonts w:ascii="Arial" w:cs="Arial" w:eastAsia="Arial" w:hAnsi="Arial"/>
          <w:sz w:val="15"/>
          <w:szCs w:val="15"/>
          <w:color w:val="auto"/>
        </w:rPr>
        <w:t>The Company incurred approximately $4.2 million in issuance costs which are recorded as an offset to the 2015 notes in the accompanying condensed consolidated balance sheets. These costs are being amortized to interest expense using the effective interest method over the term of the 2015 notes.</w:t>
      </w:r>
    </w:p>
    <w:p>
      <w:pPr>
        <w:spacing w:after="0" w:line="6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On December 12, 2006, the Company completed an offering of $115.0 million aggregate principal amount of 3.75% Senior Convertible Notes due 2013 (the “2013 notes”), including $15.0 million aggregate principal amount of the 2013 notes sold pursuant to the underwriters’ over-allotment option that was exercised in full. The 2013 notes are governed by the terms of an indenture dated as of November 1, 2006 and a First Supplemental Indenture, dated as of December 12, 2006 (the “2013 Note Indenture”). The 2013 notes bear interest at the rate of 3.75% per year on the principal amount, payable in cash semi-annually in arrears on June 15 and December 15 of each year, beginning June 15, 2007. In connection with the 2013 notes, the Company had accrued interest of $1.3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303" w:lineRule="auto"/>
        <w:rPr>
          <w:sz w:val="20"/>
          <w:szCs w:val="20"/>
          <w:color w:val="auto"/>
        </w:rPr>
      </w:pPr>
      <w:r>
        <w:rPr>
          <w:rFonts w:ascii="Arial" w:cs="Arial" w:eastAsia="Arial" w:hAnsi="Arial"/>
          <w:sz w:val="15"/>
          <w:szCs w:val="15"/>
          <w:color w:val="auto"/>
        </w:rPr>
        <w:t>million and $192,000 as of March 31, 2013 and December 31, 2012, respectively. The 2013 notes are general, unsecured, senior obligations of the Company and effectively rank junior in right of payment to all of the Company’s secured debt, to the extent of the value of the assets securing such debt, and to the debt and all other liabilities of the Company. The maturity date of the 2013 notes is December 15, 2013, and payment is due in full on that date for unconverted securities.</w:t>
      </w:r>
    </w:p>
    <w:p>
      <w:pPr>
        <w:spacing w:after="0" w:line="1" w:lineRule="exact"/>
        <w:rPr>
          <w:sz w:val="20"/>
          <w:szCs w:val="20"/>
          <w:color w:val="auto"/>
        </w:rPr>
      </w:pPr>
    </w:p>
    <w:p>
      <w:pPr>
        <w:ind w:right="60"/>
        <w:spacing w:after="0" w:line="300" w:lineRule="auto"/>
        <w:rPr>
          <w:sz w:val="20"/>
          <w:szCs w:val="20"/>
          <w:color w:val="auto"/>
        </w:rPr>
      </w:pPr>
      <w:r>
        <w:rPr>
          <w:rFonts w:ascii="Arial" w:cs="Arial" w:eastAsia="Arial" w:hAnsi="Arial"/>
          <w:sz w:val="15"/>
          <w:szCs w:val="15"/>
          <w:color w:val="auto"/>
        </w:rPr>
        <w:t>Holders of the 2013 notes may convert, at any time prior to the close of business on the business day immediately preceding the stated maturity date, any outstanding principal into shares of the Company’s common stock at an initial conversion rate of 44.5002 shares per $1,000 principal amount, which is equal to a conversion price of approximately $22.47 per share, subject to adjustment. Except in certain circumstances, if the Company undergoes a fundamental change:</w:t>
      </w:r>
    </w:p>
    <w:p>
      <w:pPr>
        <w:spacing w:after="0" w:line="1" w:lineRule="exact"/>
        <w:rPr>
          <w:sz w:val="20"/>
          <w:szCs w:val="20"/>
          <w:color w:val="auto"/>
        </w:rPr>
      </w:pPr>
    </w:p>
    <w:p>
      <w:pPr>
        <w:ind w:firstLine="8"/>
        <w:spacing w:after="0" w:line="287" w:lineRule="auto"/>
        <w:tabs>
          <w:tab w:leader="none" w:pos="2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will pay a make-whole premium on the 2013 notes converted in connection with a fundamental change by increasing the conversion rate on such Notes, which amount, if any, will be based on the Company’s common stock price and the effective date of the fundamental change, and (2) each holder of 2013 notes will have the option to require the Company to repurchase all or any portion of such holder’s Notes at a repurchase price of 100% of the principal amount of the Notes to be repurchased plus accrued and unpaid interest, if any. Under the terms of the 2013 Note Indenture, the conversion option can be net-share settled and the maximum number of shares that could be required to be delivered under the contract, including the make-whole shares, is fixed and less than the number of authorized and unissued shares less the maximum number of shares that could be required to be delivered during the contract period under existing commitments. Applying the Company’s sequencing policy, the Company performed an analysis at the time of the offering of the 2013 notes and each reporting date since and has concluded that the number of available authorized shares at the time of the offering and each subsequent reporting date was sufficient to deliver the number of shares that could be required to be delivered during the contract period under existing commitments.</w:t>
      </w:r>
    </w:p>
    <w:p>
      <w:pPr>
        <w:spacing w:after="0" w:line="120" w:lineRule="exact"/>
        <w:rPr>
          <w:sz w:val="20"/>
          <w:szCs w:val="20"/>
          <w:color w:val="auto"/>
        </w:rPr>
      </w:pPr>
    </w:p>
    <w:p>
      <w:pPr>
        <w:ind w:right="820"/>
        <w:spacing w:after="0" w:line="370" w:lineRule="auto"/>
        <w:rPr>
          <w:sz w:val="20"/>
          <w:szCs w:val="20"/>
          <w:color w:val="auto"/>
        </w:rPr>
      </w:pPr>
      <w:r>
        <w:rPr>
          <w:rFonts w:ascii="Arial" w:cs="Arial" w:eastAsia="Arial" w:hAnsi="Arial"/>
          <w:sz w:val="15"/>
          <w:szCs w:val="15"/>
          <w:color w:val="auto"/>
        </w:rPr>
        <w:t>The Company incurred approximately $3.7 million in issuance costs which are recorded as an offset to the 2013 notes in the accompanying condensed consolidated balance sheets. These costs are being amortized to interest expense using the effective interest method over the term of the 2013 notes.</w:t>
      </w:r>
    </w:p>
    <w:p>
      <w:pPr>
        <w:spacing w:after="0" w:line="6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Accretion of debt issuance expense in connection with the offerings of the 2015 notes and the 2013 notes during the three months ended March 31, 2013 and 2012 were $358,000 and $339,000,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As required by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w:t>
      </w:r>
      <w:r>
        <w:rPr>
          <w:rFonts w:ascii="Arial" w:cs="Arial" w:eastAsia="Arial" w:hAnsi="Arial"/>
          <w:sz w:val="18"/>
          <w:szCs w:val="18"/>
          <w:i w:val="1"/>
          <w:iCs w:val="1"/>
          <w:color w:val="auto"/>
        </w:rPr>
        <w:t>,</w:t>
      </w:r>
      <w:r>
        <w:rPr>
          <w:rFonts w:ascii="Arial" w:cs="Arial" w:eastAsia="Arial" w:hAnsi="Arial"/>
          <w:sz w:val="18"/>
          <w:szCs w:val="18"/>
          <w:color w:val="auto"/>
        </w:rPr>
        <w:t xml:space="preserve"> management of the Company has evaluated the positive and negative evidence bearing upon the realizability of its deferred tax assets. Management has concluded, in accordance with the applicable accounting standards, that it is more likely than not that the Company may not realize the benefit of its deferred tax assets due to its history of operating losses. Accordingly, the net deferred tax assets have been fully reserved.</w:t>
      </w:r>
    </w:p>
    <w:p>
      <w:pPr>
        <w:spacing w:after="0" w:line="143"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 xml:space="preserve">ASC 740-10-25 </w:t>
      </w:r>
      <w:r>
        <w:rPr>
          <w:rFonts w:ascii="Arial" w:cs="Arial" w:eastAsia="Arial" w:hAnsi="Arial"/>
          <w:sz w:val="16"/>
          <w:szCs w:val="16"/>
          <w:i w:val="1"/>
          <w:iCs w:val="1"/>
          <w:color w:val="auto"/>
        </w:rPr>
        <w:t>Income Taxes Recognition</w:t>
      </w:r>
      <w:r>
        <w:rPr>
          <w:rFonts w:ascii="Arial" w:cs="Arial" w:eastAsia="Arial" w:hAnsi="Arial"/>
          <w:sz w:val="16"/>
          <w:szCs w:val="16"/>
          <w:color w:val="auto"/>
        </w:rPr>
        <w:t xml:space="preserve"> clarifies the accounting and disclosure for uncertainty in tax positions, as defined. This guidance seeks to reduce the diversity in practice associated with certain aspects of the recognition and measurement related to accounting for income taxes.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Tax years since 1993 remain subject to examination by the major tax jurisdictions in which the Company is subject to tax.</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below in Part II, Item 1A Risk Factors and elsewhere in this quarterly report on Form 10-Q. These interim condensed consolidated financial statements and this Management’s Discussion and Analysis of Financial Condition and Results of Operations should be read in conjunction with the financial statements and notes for the year ended December 31, 2012 and the related Management’s Discussion and Analysis of Financial Condition and Results of Operations, both of which are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a biopharmaceutical company focused on the discovery, development and commercialization of therapeutic products for diseases such as diabetes. Our lead product candidate, AFREZZA (insulin human [rDNA origin]) inhalation powder, is an ultra rapid-acting insulin that is in late-stage clinical investigation for the treatment of adults with type 1 or type 2 diabetes for the control of hyperglycemia.</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currently conducting two Phase 3 clinical studies at sites in the United States, Eastern Europe and South America, that we expect to complete in the second quarter of 2013. Upon completion, we expect to submit the results of these studies to the U.S. Food and Drug Administration, or the FDA, as an amendment to our new drug application, or NDA, during the fourth quarter of 2013. However, the data collected from these clinical trials may not reach statistical significance or may not otherwise be sufficient to support an amendment to our NDA, or FDA approval. Moreover, there can be no assurance that we will satisfy all of the FDA’s requirements with these two clinical studies or that the FDA will ultimately find our proposed approach to these clinical studies acceptable. The FDA could also request that we conduct additional clinical studies in order to provide sufficient data for approval of AFREZZA.</w:t>
      </w:r>
    </w:p>
    <w:p>
      <w:pPr>
        <w:spacing w:after="0" w:line="1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a development stage enterprise and have incurred significant losses since our inception in 1991. As of March 31, 2013, we have incurred a cumulative net loss of $2.1 billion and an accumulated stockholders’ deficit of $146.8 million. To date, we have not generated any product revenues and have funded our operations primarily through the sale of equity securities and convertible debt securities and borrowings under a loan arrangement provided by our principal stockholder. As discussed below in “Liquidity and Capital Resources,” if we are unable to obtain additional funding in the future, there will be substantial doubt about our ability to continue as a going concern.</w:t>
      </w:r>
    </w:p>
    <w:p>
      <w:pPr>
        <w:spacing w:after="0" w:line="1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intend to pursue collaboration opportunities with large pharmaceutical companies in the United States, Europe and elsewhere to provide the operational and financial resources to develop, commercialize, market and sell AFREZZA. Although we have held extensive discussions with a number of pharmaceutical companies concerning a potential strategic business collaboration for AFREZZA, to date, we have not reached an agreement on a collaboration with any of these companies. We cannot predict when, if ever, we may conclude an agreement with a partner. There can be no assurance that any such collaboration will be available to us on a timely basis or on acceptable terms, if at all.</w:t>
      </w:r>
    </w:p>
    <w:p>
      <w:pPr>
        <w:spacing w:after="0" w:line="14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do not expect to record sales of any product prior to regulatory approval and commercialization of AFREZZA. We currently do not have the required approvals to market any of our product candidates, and we may not receive such approvals. We may not be able to achieve positive cash flow from operations even if we succeed in commercializing any of our product candidates. We expect to make substantial expenditures and to incur additional operating losses for at least the next several years as we:</w:t>
      </w:r>
    </w:p>
    <w:p>
      <w:pPr>
        <w:spacing w:after="0" w:line="62"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the clinical development of AFREZZA and new inhalation systems for the treatment of diabetes;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seek regulatory approval to sell AFREZZA in the United States and other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seek development and commercialization collaborations for AFREZZA;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 additional applications of our proprietary Technosphere platform technology for the pulmonary delivery of other drugs.</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business is subject to significant risks, including but not limited to the risks inherent in our ongoing clinical trials and the regulatory approval process, our potential inability to enter into sales and marketing collaborations or to commercialize AFREZZA in a timely manner, the results of our research and development efforts, competition from other products and technologies and uncertainties associated with obtaining and enforcing patent rights.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9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research and development expenses consist mainly of costs associated with the clinical trials of our product candidates that have not yet received regulatory approval for marketing and for which no alternative future use has been identified. This includes the salaries, benefits and stock-based compensation of research and development personnel, raw materials, such as insulin purchases, laboratory supplies and materials, facility 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12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research and development costs as we incur them.</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Clinical development timelines, likelihood of success and total costs vary widely. We are focused primarily on advancing AFREZZA through regulatory filings. At this time, due to the risks inherent in the clinical trial process and given the early stage of development of our product candidates other than AFREZZA, we are unable to estimate with any certainty the costs that we will incur in the continued development of our product candidates for commercialization. The costs required to complete the development of AFREZZA will be largely dependent on the cost and efficiency of our clinical trial operations and discussions with the FDA regarding its requirements.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professional service fees and business insurance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as described in Item 7 of our Annual Report.</w:t>
      </w:r>
    </w:p>
    <w:p>
      <w:pPr>
        <w:spacing w:after="0" w:line="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i w:val="1"/>
          <w:iCs w:val="1"/>
          <w:color w:val="auto"/>
        </w:rPr>
        <w:t xml:space="preserve">Recently Issued Accounting Standards — </w:t>
      </w:r>
      <w:r>
        <w:rPr>
          <w:rFonts w:ascii="Arial" w:cs="Arial" w:eastAsia="Arial" w:hAnsi="Arial"/>
          <w:sz w:val="16"/>
          <w:szCs w:val="16"/>
          <w:color w:val="auto"/>
        </w:rPr>
        <w:t>In February 2013, the FASB issued ASU 2013-02,</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Comprehensive Income (Topic 220) – Reporting of Amounts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Reclassified Out of Accumulated Other Comprehensive Income. </w:t>
      </w:r>
      <w:r>
        <w:rPr>
          <w:rFonts w:ascii="Arial" w:cs="Arial" w:eastAsia="Arial" w:hAnsi="Arial"/>
          <w:sz w:val="16"/>
          <w:szCs w:val="16"/>
          <w:color w:val="auto"/>
        </w:rPr>
        <w:t>These amendments do not change the current requirements for reporting net income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comprehensive income in the financial statements. These amendments provide for additional disclosure requirements for amounts reclassified out of accumulated other comprehensive income. These amendments are effective prospectively for interim and annual periods beginning after December 15, 2012. Early adoption is permitted. Effective January 1, 2013, the Company adopted the new requirements as set forth in ASU No. 2013-02 in the disclosure of comprehensive income on the Company’s consolidated financial statements. The adoption of the new requirements did not have a significant impact on the Company’s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2013 and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did not recognize any revenue for the three months ended March 31, 2013 and 2012. We do not anticipate sales of any product prior to regulatory approval and commercialization of AFREZZA.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table provides a comparison of the research and development expense categories for the three months ended March 31, 2013 and 2012 (dollars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2"/>
              </w:rPr>
              <w:t>$ Change</w:t>
            </w:r>
          </w:p>
        </w:tc>
        <w:tc>
          <w:tcPr>
            <w:tcW w:w="280" w:type="dxa"/>
            <w:vAlign w:val="bottom"/>
            <w:vMerge w:val="restart"/>
          </w:tcPr>
          <w:p>
            <w:pPr>
              <w:spacing w:after="0"/>
              <w:rPr>
                <w:sz w:val="14"/>
                <w:szCs w:val="14"/>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8"/>
              </w:rPr>
              <w:t>% Change</w:t>
            </w:r>
          </w:p>
        </w:tc>
        <w:tc>
          <w:tcPr>
            <w:tcW w:w="3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Borders>
              <w:bottom w:val="single" w:sz="8" w:color="CCEEFF"/>
            </w:tcBorders>
          </w:tcPr>
          <w:p>
            <w:pPr>
              <w:spacing w:after="0"/>
              <w:rPr>
                <w:sz w:val="12"/>
                <w:szCs w:val="12"/>
                <w:color w:val="auto"/>
              </w:rPr>
            </w:pPr>
          </w:p>
        </w:tc>
        <w:tc>
          <w:tcPr>
            <w:tcW w:w="25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Clinical</w:t>
            </w:r>
          </w:p>
        </w:tc>
        <w:tc>
          <w:tcPr>
            <w:tcW w:w="25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$13,282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$10,879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$ 2,403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Manufacturing</w:t>
            </w:r>
          </w:p>
        </w:tc>
        <w:tc>
          <w:tcPr>
            <w:tcW w:w="3460" w:type="dxa"/>
            <w:vAlign w:val="bottom"/>
            <w:gridSpan w:val="3"/>
          </w:tcPr>
          <w:p>
            <w:pPr>
              <w:jc w:val="right"/>
              <w:ind w:right="300"/>
              <w:spacing w:after="0"/>
              <w:rPr>
                <w:sz w:val="20"/>
                <w:szCs w:val="20"/>
                <w:color w:val="auto"/>
              </w:rPr>
            </w:pPr>
            <w:r>
              <w:rPr>
                <w:rFonts w:ascii="Arial" w:cs="Arial" w:eastAsia="Arial" w:hAnsi="Arial"/>
                <w:sz w:val="18"/>
                <w:szCs w:val="18"/>
                <w:color w:val="auto"/>
              </w:rPr>
              <w:t>9,390</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10,093</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(703)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3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1,316</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1,940</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3460" w:type="dxa"/>
            <w:vAlign w:val="bottom"/>
            <w:gridSpan w:val="3"/>
          </w:tcPr>
          <w:p>
            <w:pPr>
              <w:jc w:val="right"/>
              <w:ind w:right="260"/>
              <w:spacing w:after="0"/>
              <w:rPr>
                <w:sz w:val="20"/>
                <w:szCs w:val="20"/>
                <w:color w:val="auto"/>
              </w:rPr>
            </w:pPr>
            <w:r>
              <w:rPr>
                <w:rFonts w:ascii="Arial" w:cs="Arial" w:eastAsia="Arial" w:hAnsi="Arial"/>
                <w:sz w:val="18"/>
                <w:szCs w:val="18"/>
                <w:color w:val="auto"/>
              </w:rPr>
              <w:t>(78)</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(92)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2,488</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1,336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Research and development expenses</w:t>
            </w:r>
          </w:p>
        </w:tc>
        <w:tc>
          <w:tcPr>
            <w:tcW w:w="2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line="20" w:lineRule="exact"/>
              <w:rPr>
                <w:sz w:val="1"/>
                <w:szCs w:val="1"/>
                <w:color w:val="auto"/>
              </w:rPr>
            </w:pPr>
          </w:p>
        </w:tc>
      </w:tr>
      <w:tr>
        <w:trPr>
          <w:trHeight w:val="221"/>
        </w:trPr>
        <w:tc>
          <w:tcPr>
            <w:tcW w:w="3880" w:type="dxa"/>
            <w:vAlign w:val="bottom"/>
            <w:vMerge w:val="continue"/>
          </w:tcPr>
          <w:p>
            <w:pPr>
              <w:spacing w:after="0"/>
              <w:rPr>
                <w:sz w:val="19"/>
                <w:szCs w:val="19"/>
                <w:color w:val="auto"/>
              </w:rPr>
            </w:pPr>
          </w:p>
        </w:tc>
        <w:tc>
          <w:tcPr>
            <w:tcW w:w="25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26,398</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24,156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$ 2,242</w:t>
            </w:r>
          </w:p>
        </w:tc>
        <w:tc>
          <w:tcPr>
            <w:tcW w:w="28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560" w:type="dxa"/>
            <w:vAlign w:val="bottom"/>
            <w:vMerge w:val="restart"/>
          </w:tcPr>
          <w:p>
            <w:pPr>
              <w:jc w:val="right"/>
              <w:ind w:right="1012"/>
              <w:spacing w:after="0"/>
              <w:rPr>
                <w:sz w:val="20"/>
                <w:szCs w:val="20"/>
                <w:color w:val="auto"/>
              </w:rPr>
            </w:pPr>
            <w:r>
              <w:rPr>
                <w:rFonts w:ascii="Arial" w:cs="Arial" w:eastAsia="Arial" w:hAnsi="Arial"/>
                <w:sz w:val="18"/>
                <w:szCs w:val="18"/>
                <w:color w:val="auto"/>
              </w:rPr>
              <w:t>15</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increase in overall research and development expenses for the three months ended March 31, 2013, compared to the three months ended March 31, 2012, was primarily due to a $2.6 million increase in clinical trial related expenses in connection with studies 171 and 175 subsequent to the completion of enrollment of these studies in October 2012, partially offset by $0.6 million decrease in facilities related costs and depreciation.</w:t>
      </w:r>
    </w:p>
    <w:p>
      <w:pPr>
        <w:spacing w:after="0" w:line="10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relation to the research and development expenses categories, total clinical expenses increased $2.6 million in connection with studies 171 and 175, partially offset by $0.2 million in decreased employee related expenses resulting from the positive effect of our cost cutting measures on operating expenses. Manufacturing expenses decreased by $0.7 million primarily due to a $0.6 million decrease in facilities related costs and depreciation. Research expenses decreased by $0.6 million primarily due to $0.2 million in reduced employee related expenses resulting from the positive effect of our cost cutting measures on operating expenses and $0.2 million in reduced outside services and insulin purchases. Stock-based compensation expense increase primarily due to stock awards granted during the first quarter of 2013 (see Note 3 — Accounting for stock-based compensation).</w:t>
      </w:r>
    </w:p>
    <w:p>
      <w:pPr>
        <w:spacing w:after="0" w:line="12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anticipate that our overall research and development expense will decrease in 2013 as compared to 2012 as we complete our clinical trials and prepare our resubmission for regulatory approval of AFREZZA.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table provides a comparison of the general and administrative expense categories for the three months ended March 31, 2013 and 2012 (dollars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17"/>
              <w:spacing w:after="0"/>
              <w:rPr>
                <w:sz w:val="20"/>
                <w:szCs w:val="20"/>
                <w:color w:val="auto"/>
              </w:rPr>
            </w:pPr>
            <w:r>
              <w:rPr>
                <w:rFonts w:ascii="Arial" w:cs="Arial" w:eastAsia="Arial" w:hAnsi="Arial"/>
                <w:sz w:val="14"/>
                <w:szCs w:val="14"/>
                <w:b w:val="1"/>
                <w:bCs w:val="1"/>
                <w:color w:val="auto"/>
                <w:w w:val="85"/>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left="322"/>
              <w:spacing w:after="0"/>
              <w:rPr>
                <w:sz w:val="20"/>
                <w:szCs w:val="20"/>
                <w:color w:val="auto"/>
              </w:rPr>
            </w:pPr>
            <w:r>
              <w:rPr>
                <w:rFonts w:ascii="Arial" w:cs="Arial" w:eastAsia="Arial" w:hAnsi="Arial"/>
                <w:sz w:val="14"/>
                <w:szCs w:val="14"/>
                <w:b w:val="1"/>
                <w:bCs w:val="1"/>
                <w:color w:val="auto"/>
                <w:w w:val="89"/>
              </w:rPr>
              <w:t>March 31,</w:t>
            </w:r>
          </w:p>
        </w:tc>
        <w:tc>
          <w:tcPr>
            <w:tcW w:w="500" w:type="dxa"/>
            <w:vAlign w:val="bottom"/>
            <w:tcBorders>
              <w:bottom w:val="single" w:sz="8" w:color="auto"/>
            </w:tcBorders>
          </w:tcPr>
          <w:p>
            <w:pPr>
              <w:spacing w:after="0"/>
              <w:rPr>
                <w:sz w:val="14"/>
                <w:szCs w:val="14"/>
                <w:color w:val="auto"/>
              </w:rPr>
            </w:pPr>
          </w:p>
        </w:tc>
        <w:tc>
          <w:tcPr>
            <w:tcW w:w="540" w:type="dxa"/>
            <w:vAlign w:val="bottom"/>
            <w:vMerge w:val="restart"/>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1"/>
              </w:rPr>
              <w:t>Change</w:t>
            </w:r>
          </w:p>
        </w:tc>
        <w:tc>
          <w:tcPr>
            <w:tcW w:w="280" w:type="dxa"/>
            <w:vAlign w:val="bottom"/>
            <w:vMerge w:val="restart"/>
          </w:tcPr>
          <w:p>
            <w:pPr>
              <w:spacing w:after="0"/>
              <w:rPr>
                <w:sz w:val="14"/>
                <w:szCs w:val="14"/>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8"/>
              </w:rPr>
              <w:t>% Change</w:t>
            </w:r>
          </w:p>
        </w:tc>
        <w:tc>
          <w:tcPr>
            <w:tcW w:w="3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w w:val="96"/>
              </w:rPr>
              <w:t>2013</w:t>
            </w:r>
          </w:p>
        </w:tc>
        <w:tc>
          <w:tcPr>
            <w:tcW w:w="5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 employee related and other general expenses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$8,235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w:t>
            </w:r>
          </w:p>
        </w:tc>
        <w:tc>
          <w:tcPr>
            <w:tcW w:w="5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1,159</w:t>
            </w:r>
          </w:p>
        </w:tc>
        <w:tc>
          <w:tcPr>
            <w:tcW w:w="2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3"/>
              </w:rPr>
              <w:t>10,039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9,777</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General and administrative expenses for the three months ended March 31, 2013 increased compared to the three months ended March 31, 2012 primarily due to $1.2 million increase in stock-based compensation expense related to stock awards granted during the first quarter of 2013 (see Note 3 — Accounting for stock-based compensation), offset by a $0.7 million decrease in legal expenses due primarily to the settlement of certain litigation during 2012.</w:t>
      </w:r>
    </w:p>
    <w:p>
      <w:pPr>
        <w:spacing w:after="0" w:line="10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expect general and administrative expenses overall to be lower in 2013 as compared to 2012 due to reduced legal expenses and the effect of our cost cutting measures on operating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Other income decreased from $1.4 million for the three months ended March 31, 2012 to $23,000 for the three months ended March 31, 2013. The decrease was primarily due to a $2.0 million benefit recorded during the three months ended March 31, 2012 on a forward purchase contract in other income, offset by a change in fair value of $336,000 recognized during the three months ended March 31, 2012 and by our common stock investment determined to be permanently impaired at a realized loss of $117,000.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Interest expense for the three months ended March 31, 2013 decreased compared to the same period in the prior year primarily due to a reduced principal amount outstanding under our loan arrangement with our principal stockholder resulting from the issuance of common stock and warrants in exchange for the cancellation of principal indebtedness and the conversion of accrued and unpaid interest to principal during 2012.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have funded our operations primarily through the sale of equity securities and convertible debt securities and borrowings under our loan arrangement with our principal stockholder.</w:t>
      </w:r>
    </w:p>
    <w:p>
      <w:pPr>
        <w:spacing w:after="0" w:line="132"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 xml:space="preserve">In October 2007, we entered into a $350.0 million loan arrangement with our principal stockholder. In February 2009, as a result of our principal stockholder being subject to the licensing requirement under the California Finance Lenders Law, the promissory note underlying the loan arrangement was revised to reflect the lender as The Mann Group LLC, an entity controlled by our principal stockholder. Until January 1, 2013, interest on outstanding principal amounts accrued at a fixed rate equal to the one-year LIBOR as reported by the </w:t>
      </w:r>
      <w:r>
        <w:rPr>
          <w:rFonts w:ascii="Arial" w:cs="Arial" w:eastAsia="Arial" w:hAnsi="Arial"/>
          <w:sz w:val="15"/>
          <w:szCs w:val="15"/>
          <w:i w:val="1"/>
          <w:iCs w:val="1"/>
          <w:color w:val="auto"/>
        </w:rPr>
        <w:t>Wall Street Journal</w:t>
      </w:r>
      <w:r>
        <w:rPr>
          <w:rFonts w:ascii="Arial" w:cs="Arial" w:eastAsia="Arial" w:hAnsi="Arial"/>
          <w:sz w:val="15"/>
          <w:szCs w:val="15"/>
          <w:color w:val="auto"/>
        </w:rPr>
        <w:t xml:space="preserve"> on the date of such advance plus 3% per annum. We amended the promissory note underlying the loan arrangement at various dates during 2012. The most recent amendment occurred in October 2012 to extend the maturity date to January 1, 2014, extend the date through which we can borrow under the promissory note to September 30, 2013, and adjust the annual interest rate on all outstanding principal to the one-year LIBOR on December 31, 2012 plus 5%, effective beginning on January 1, 2013. The borrowing rate was 4.5% at March 31, 2013.</w:t>
      </w:r>
    </w:p>
    <w:p>
      <w:pPr>
        <w:spacing w:after="0" w:line="10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of March 31, 2013, the total principal amount outstanding under the credit facility was $119.6 million, and the amount available for future borrowings was $125.4 million. Interest is due and payable quarterly in arrears on the first day of each calendar quarter for the preceding quarter, or at such other time as we and The Mann Group mutually agree. All or any portion of accrued and unpaid interest that becomes due and payable may be paid-in-kind and capitalized at any time upon mutual agreement of both parties. The Mann Group can require us to prepay up to $200.0 million in advances that have been outstanding for at least 12 months. If The Mann Group exercises this right, we will have 90 days after The Mann Group provides written notice (or the number of days to maturity of the note if less than 90 days) to prepay such advances (see discussion regarding letter agreement below).</w:t>
      </w:r>
    </w:p>
    <w:p>
      <w:pPr>
        <w:sectPr>
          <w:pgSz w:w="11900" w:h="16838" w:orient="portrait"/>
          <w:cols w:equalWidth="0" w:num="1">
            <w:col w:w="11420"/>
          </w:cols>
          <w:pgMar w:left="240" w:top="459" w:right="239"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5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August 2010, we entered into a letter agreement confirming a previous commitment by The Mann Group to not require us to prepay amounts outstanding under the amended and restated promissory note if the prepayment would require us to use its working capital resources. In the event of a default, all unpaid principal and interest either becomes immediately due and payable or may be accelerated at The Mann Group’s option, and the interest rate will increase to the one-year LIBOR calculated on the date of the initial advance or in effect on the date of default, whichever is greater, plus 5% per annum. All borrowings under the loan arrangement are unsecured. The loan arrangement contains no financial covenants. There are no warrants associated with the loan arrangement.</w:t>
      </w:r>
    </w:p>
    <w:p>
      <w:pPr>
        <w:spacing w:after="0" w:line="1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October 2012, we sold in an underwritten public offering common stock and warrants resulting in net proceeds of $86.3 million and concurrently issued common stock and warrants to The Mann Group in exchange for cancellation of indebtedness under the amended and restated promissory note with The Mann Group (see Note 7 — Common and preferred stock and Note 9 — Related-party arrangements). To the extent that the trading price of our common stock exceeds the exercise price of the warrants on or about the expiration date of the public offering warrants and The Mann Group Warrants issued in October 2012, the warrant holders may potentially exercise such warrants during the fourth quarter of 2013. If the October 2012 public offering warrants are fully exercised, an additional $89.7 million in gross proceeds may become available. There can be no assurances that the trading price of our common stock will be greater than the exercise price of the warrants on or about the expiration date of the warrants due to a variety of factors, including the factors described under “Risks Related to Our Common Stock” in Item IA of Part II of this quarterly report on Form 10-Q, and there can be no assurances that the warrants will ever be exercised or that we will receive any proceeds from the exercise of the warrants.</w:t>
      </w:r>
    </w:p>
    <w:p>
      <w:pPr>
        <w:spacing w:after="0" w:line="12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March 18, 2013, we entered into at-the-market issuance sales agreements (the “ATM Agreements”) with two sales agents, under which we may issue and sell shares of our common stock having an aggregate offering price of up to $50.0 million under each ATM Agreement (provided that in no event may we issue and sell more than $50.0 million of shares of our common stock under both ATM Agreements in the aggregate) from time to time through either of the sales agents. Neither we nor either of the sales agents has any obligation to sell shares of our common stock under the ATM Agreements. Any sales of common stock made under the ATM Agreements will be made in “at the market” offerings as defined in Rule 415 of the Securities Act of 1933, as amended. We have not yet issued any shares of our common stock under the ATM Agreements.</w:t>
      </w:r>
    </w:p>
    <w:p>
      <w:pPr>
        <w:spacing w:after="0" w:line="12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During the three months ended March 31, 2013, we used $32.0 million of cash for our operations and had a net loss of $41.0 million, which included $8.5 million of non-cash charges primarily consisting of depreciation and accretion and stock-based compensation. By comparison, during the three months ended March 31, 2012, we used $32.5 million of cash for our operations and had a net loss of $38.2 million, which included $5.2 million of non-cash charges primarily consisting of depreciation and accretion and stock-based compensation. Cash used for our operations decreased by $0.5 million. We expect our negative operating cash flow to continue at least until we obtain regulatory approval and achieve commercialization of AFREZZA.</w:t>
      </w:r>
    </w:p>
    <w:p>
      <w:pPr>
        <w:spacing w:after="0" w:line="1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used $1.5 million of cash for investing activities during the three months ended March 31, 2013, compared to $0.3 million of cash used for the three months ended March 31, 2012. Cash used for investing activities for the three months ended March 31, 2013 compared to the same period in the prior year increased $1.2 million, primarily due to a $1.1 million increase in purchases of machinery and equipment to expand the manufacturing lines in preparation for a future approval AFREZZA.</w:t>
      </w:r>
    </w:p>
    <w:p>
      <w:pPr>
        <w:spacing w:after="0" w:line="14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financing activities resulted in negative cash flow of $0.3 million during the three months ended March 31, 2013, compared to positive cash flow of $86.5 million for the same period in 2012. For the three months ended March 31, 2012, cash provided by financing activities was primarily from $80.6 million related to the February 2012 issuance of common stock and warrants through the sale of 35,937,500 units, with each unit consisting of one share of common stock and a warrant to purchase 0.6 of a share of common stock as well as the exercise of stock options. Additionally, we generated cash of $6.3 million from related party borrowings.</w:t>
      </w:r>
    </w:p>
    <w:p>
      <w:pPr>
        <w:spacing w:after="0" w:line="143" w:lineRule="exact"/>
        <w:rPr>
          <w:sz w:val="20"/>
          <w:szCs w:val="20"/>
          <w:color w:val="auto"/>
        </w:rPr>
      </w:pPr>
    </w:p>
    <w:p>
      <w:pPr>
        <w:ind w:right="60"/>
        <w:spacing w:after="0" w:line="306" w:lineRule="auto"/>
        <w:rPr>
          <w:sz w:val="20"/>
          <w:szCs w:val="20"/>
          <w:color w:val="auto"/>
        </w:rPr>
      </w:pPr>
      <w:r>
        <w:rPr>
          <w:rFonts w:ascii="Arial" w:cs="Arial" w:eastAsia="Arial" w:hAnsi="Arial"/>
          <w:sz w:val="15"/>
          <w:szCs w:val="15"/>
          <w:color w:val="auto"/>
        </w:rPr>
        <w:t>At March 31, 2013, our capital resources consisted of cash and cash equivalents of $28.0 million and $125.4 million of available borrowings under the loan agreement with an entity controlled by the Company’s principal stockholder, The Mann Group. Based on our current expectations, we believe our existing cash resources, including the available borrowings under the loan arrangement with The Mann Group and the proceeds that may be raised under the ATM agreements, will enable us to continue planned operations through at least the third quarter of 2013. The $115.0 million aggregate principal amount of 2013 notes mature in December 2013, and our cash and cash equivalents as of March 31, 2013 will be insufficient to repay these notes. Accordingly, we will need to raise additional capital, either through the sale of equity or debt securities, the entry into a strategic business collaboration with a pharmaceutical or biotechnology company, the establishment of other funding facilities, licensing arrangements, asset sales or other means, and/or refinance our indebtedness under the 2013 notes, in order to continue the development and commercialization of AFREZZA and other product candidates and to support our other ongoing activities. There can be no assurance that we will be able to do so on favorable terms by the applicable repayment date, or at all. In addition, if we undergo a fundamental change, as that term is defined in the indentures governing the terms of the 2013 notes, each holder of 2013 notes will have the option to require us to repurchase all or any portion of such holder’s notes at a repurchase price of 100% of the principal amount of such notes to be repurchased plus accrued and unpaid interest, if any. Any of these events could have a material adverse effect on our business, results of operations and financial condition, up to and including the noteholders initiating bankruptcy proceedings or causing us to cease operations altogether. This raises substantial doubt about our ability to continue as a going concern.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We intend to use our capital resources to continue the development and commercialization of AFREZZA, if approved. We are expending a portion of our capital to scale up our manufacturing capabilities in our Danbury facilities. We also intend to use our capital resources for general corporate purposes.</w:t>
      </w:r>
    </w:p>
    <w:p>
      <w:pPr>
        <w:spacing w:after="0" w:line="85"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We intend to pursue potential collaboration opportunities with large pharmaceutical companies in the United States, Europe and elsewhere to provide the operational and financial resources to develop, commercialize, market and sell AFREZZA. Although we have held extensive discussions with a number of pharmaceutical companies concerning a potential strategic business collaboration for AFREZZA, to date, we have not reached an agreement on a collaboration with any of these companies. We cannot predict when, if ever, we may conclude an agreement with a partner. There can be no assurance that any such collaboration will be available to us on a timely basis or on acceptable terms, if at all.</w:t>
      </w:r>
    </w:p>
    <w:p>
      <w:pPr>
        <w:spacing w:after="0" w:line="1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If we enter into a strategic business collaboration with a pharmaceutical or biotechnology company, we would expect, as part of the transaction, to receive additional capital.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12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If planned operating results are not achieved or we are not successful in raising additional capital through equity or debt financing or entering a business collaboration, we may be required to reduce expenses through the delay, reduction or curtailment of our projects, including AFREZZA development activities, or further reduction of costs for facilities and administration, and there will continue to be substantial doubt about our ability to continue as a going concern.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2013, we did not have any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 xml:space="preserve">We are exposed to market risk related to changes in interest rates impacting our short-term investment portfolio as well as the interest rate on the promissory note underlying our revolving credit facility with The Mann Group. The interest rate on amounts borrowed under our credit facility with The Mann Group for the year ended December 31, 2012 was a fixed rate equal to the one-year LIBOR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 plus 3% per annum. Pursuant to an amendment to the promissory note in October 2012, as of January 1, 2013 the interest rate on all outstanding principal amounts under our credit facility with The Mann Group was adjusted to the one-year LIBOR on December 31, 2012 plus 5%. As of March 31, 2013, the total principal amount outstanding under the credit facility was $119.6 million. In addition, all borrowings under the credit facility for periods on and after January 1, 2013 bear interest at the one-year LIBOR on December 31, 2012 plus 5%. Our current policy requires us to maintain a highly liquid short-term investment portfolio consisting mainly of U.S. money market funds and investment-grade corporate, government and municipal debt. None of these investments is entered into for trading purposes. Our cash is deposited in and invested through highly rated financial institutions in North America. We continue to utilize our $350.0 million revolving credit facility with The Mann Group to fund operations. As of March 31, 2013, the amount available for borrowing under our revolving credit facility with The Mann Group was $125.4 million. If a 10% change in interest rates were to have occurred on March 31, 2013, this change would not have had a material effect on the value of our short-term investment portfolio.</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filed under the Securities Exchange Act of 1934, as amended, or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performed an evaluation under the supervision and with the participation of our management, including our Chief Executive Officer and Chief Financial Officer, of our disclosure controls and procedures (as defined in Rules 13a-15(e) and 15d-15(e) of the Exchange Act) as of March 31, 2013. Based on that evaluation, our chief executive officer and chief financial officer concluded that our disclosure controls and procedures were effective at the reasonable assurance level.</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evaluation was also performed under the supervision and with the participation of our management, including our Chief Executive Officer and Chief Financial Officer, of any change in our internal control over financial reporting that occurred during our last fiscal quarter that has materially affected, or is reasonably likely to materially affect, our internal control over financial reporting. That evaluation did not identify any change in our internal control over financial reporting during the fiscal quarter ended March 31, 2013 that has materially affected, or is reasonably likely to materially affect, our internal control over financial reporting.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with an asterisk (*) next to the title contain changes to the description of the risk factors previously disclosed in Item 1A to our Annual Report on Form 10-K.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heavily on the successful development and commercialization of our lead product candidate, AFREZZA, which is not yet approved.</w:t>
      </w:r>
    </w:p>
    <w:p>
      <w:pPr>
        <w:spacing w:after="0" w:line="11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To date, we have not commercialized any product candidates. We have expended significant time, money and effort in the development of our lead product candidate, AFREZZA, which has not yet received regulatory approval and which may not be approved by the FDA in a timely manner, or at all. Our other product candidates are generally in early clinical or preclinical development. We anticipate that in the near term, our ability to generate revenues will depend on the successful development and commercialization of AFREZZA.</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January 2011, the FDA issued a Complete Response letter and requested that we conduct additional clinical studies of AFREZZA using our next-generation inhaler, Dreamboat. Over the next eight months, we participated in a number of written and verbal exchanges with the FDA in order to clarify the FDA’s requirements for approval of AFREZZA, culminating in an in-person meeting in August 2011 in which we confirmed with the FDA the designs of the two requested studies. There can be no assurance that we will satisfy all of the FDA’s requirements with our current clinical studies. The FDA could also again request that we conduct additional clinical trials to provide sufficient data for approval of the NDA. There can be no assurance that we will obtain approval of the NDA in a timely manner or at all.</w:t>
      </w:r>
    </w:p>
    <w:p>
      <w:pPr>
        <w:spacing w:after="0" w:line="144"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We must receive the necessary approvals from the FDA before AFREZZA can be marketed and sold in the United States and must receive the necessary approvals from similar foreign regulatory agencies before AFREZZA can be marketed outside of the United States. Even if we were to receive regulatory approval, we ultimately may be unable to gain market acceptance of AFREZZA for a variety of reasons, including the treatment and dosage regimen, potential adverse effects, the availability of alternative treatments and lack of coverage or adequate reimbursement. If we fail to commercialize AFREZZA, our business, financial condition and results of operations will be materially and adversely affected.</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sought to develop our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 significant portion of the research that we have conducted involves new and unproven compounds and technologies, including AFREZZA and our Technosphere platform technology.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results we obtain at one stage are not necessarily indicative of future testing results. If we fail to successfully complete the development and commercialization of AFREZZA or develop or expand our other product candidates, or are significantly delayed in doing so, our business and results of operations will be harmed and the value of our stock could decline.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operating losses, we expect to continue to incur losses and we may never generate positive cash flow from operations.*</w:t>
      </w:r>
    </w:p>
    <w:p>
      <w:pPr>
        <w:spacing w:after="0" w:line="11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are a development stage company with no commercial products. All of our product candidates are still being developed, and all but AFREZZA are still in the early stages of development. Our product candidates will require significant additional development, clinical trials, regulatory clearances and additional investment before they can be commercialized. We cannot be certain when AFREZZA may be approved or if it will be approved.</w:t>
      </w:r>
    </w:p>
    <w:p>
      <w:pPr>
        <w:spacing w:after="0" w:line="10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have never been profitable or generated positive cash flow from operations and, as of March 31, 2013, we had incurred a cumulative net loss of $2.1 billion. The cumulative net loss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 approvals and market our product candidates, including AFREZZA. This cumulative net loss may increase significantly as we continue development and clinical trial efforts. Our losses have had, and are expected to continue to have, an adverse impact on our working capital, total assets and stockholders’ equity. As of March 31, 2013, we had a stockholders’ deficit of $146.8 million. Our ability to achieve and sustain positive cash flow from operations and profitability primarily depends upon obtaining regulatory approvals for and successfully commercializing AFREZZA, either alone or with third parties. We do not currently have the required approvals to market any of our product candidates, and we may not receive them. We may not generate positive cash flow from operations or be profitable even if we succeed in commercializing any of our product candidates. As a result, we cannot be sure when we will generate positive cash flow from operations or become profitable, if at all.</w:t>
      </w:r>
    </w:p>
    <w:p>
      <w:pPr>
        <w:spacing w:after="0" w:line="20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will be required to raise additional capital to fund our operations, and our inability to do so could raise substantial doubt about our ability to continue as a going concern.*</w:t>
      </w:r>
    </w:p>
    <w:p>
      <w:pPr>
        <w:spacing w:after="0" w:line="5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Based upon our current expectations, we believe that our existing capital resources including the available borrowings under our loan arrangement with The Mann Group and the proceeds that may be raised under the ATM agreements will enable us to continue planned operations through at least the third quarter of 2013. However, we cannot assure you that our plans will not change or that changed circumstances will not result in the depletion of our capital resources more rapidly than we currently anticipate. We will need to raise additional funds, through the sale of equity or debt securities, the entry into strategic business collaborations, the establishment of other funding facilities, licensing arrangements, asset sales or other means, or an increase in the borrowings available under the loan arrangement with The Mann Group, in order to continue the development and commercialization of AFREZZA and other product candidates and to support our other ongoing activities. However, it may be difficult for us to raise additional funds through these planned measures. As of March 31, 2013, we had a stockholders’ deficit of $146.8 million which may raise concerns about our solvency and affect our ability to raise additional capital. The amount of additional funds we need will depend on a number of factors, including:</w:t>
      </w:r>
    </w:p>
    <w:p>
      <w:pPr>
        <w:spacing w:after="0" w:line="39" w:lineRule="exact"/>
        <w:rPr>
          <w:sz w:val="20"/>
          <w:szCs w:val="20"/>
          <w:color w:val="auto"/>
        </w:rPr>
      </w:pPr>
    </w:p>
    <w:p>
      <w:pPr>
        <w:ind w:left="900" w:right="2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any or all of the holders of the 2013 notes, or of any or all of the holders of the 2015 notes, to require us to repay or repurchase such notes when required;</w:t>
      </w:r>
    </w:p>
    <w:p>
      <w:pPr>
        <w:spacing w:after="0" w:line="5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refinance existing indebtedness, including indebtedness under the 2013 notes or 2015 notes which mature in December 2013 and August 2015, respectively;</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rate of progress and costs of our clinical trials and research and development activities, including costs of procuring clinical materials and operating our manufacturing facilities;</w:t>
      </w:r>
    </w:p>
    <w:p>
      <w:pPr>
        <w:spacing w:after="0" w:line="5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in establishing strategic business collaborations or other sales or licensing of assets, and the timing and amount of any payments we might receive from any such transactions;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preparing applications for regulatory approvals for our product candidates, including AFREZZA;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 affecting our product candidates and competitive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degree of success in commercializing AFREZZA assuming receipt of required regulatory approvals;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market developments;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our legal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associated with litigation;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discontinuing projects and technologies, and/or decommissioning existing facilities, if we undertake any such activities.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raised capital in the past primarily through the sale of equity and debt securities. We may in the future pursue the sale of additional equity and/or debt securities, or the establishment of other funding facilities including asset based borrowings. There can be no assurances, however, that we will be able to raise additional capital through such an offering on acceptable terms, or at all. Issuances of additional debt or equity securities, or the conversion of any of our currently outstanding convertible debt securities into shares of our common stock or the exercise of our currently outstanding warrants for shares of our common stock could impact the rights of the holders of our common stock and may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also may seek to raise additional capital by pursuing opportunities for the licensing or sale of certain intellectual property and other assets.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sales of securities, funding facilities, licensing arrangements and/or asset sales on a timely basis, we will be required to reduce expenses through the delay, reduction or curtailment of our projects, including AFREZZA development activities, or further reduction of costs for facilities and administration. Moreover, if we do not obtain such additional funds, there will be substantial doubt about our ability to continue as a going concern and increased risk of insolvency and loss of investment to the holders of our securities. As of the date hereof, we have not obtained a solvency opinion or otherwise conducted a valuation of our properties to determine whether our debts exceed the fair value of our property within the meaning of applicable solvency laws. If we are or become insolvent, investors in our stock may lose the entire value of their investment.</w:t>
      </w:r>
    </w:p>
    <w:p>
      <w:pPr>
        <w:spacing w:after="0" w:line="14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do not anticipate generating operating cash flow before AFREZZA is commercialized, which we expect will require us to reach an agreement with a commercialization partner, and therefore cannot provide assurances that changed or unexpected circumstances, including, among other things, delays in obtaining regulatory approval and in identifying and reaching agreements with a commercialization partner, will not result in the depletion of our capital resources more rapidly than we currently anticipate, in which case we may be required to raise additional capital. There can be no assurances that we will be able to raise additional capital on acceptable terms, or at all. If planned operating results are not achieved or we are not successful in raising additional capital through equity or debt financings or entering into a strategic business collaboration with a pharmaceutical or biotechnology company, we will be required to reduce expenses through the delay, reduction or curtailment of our projects, including AFREZZA development activities, or further reduction of costs for facilities and administration, and there will be continued substantial doubt about our ability to continue as a going concern.</w:t>
      </w:r>
    </w:p>
    <w:p>
      <w:pPr>
        <w:spacing w:after="0" w:line="19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have a substantial amount of convertible debt and may be unable to make required interest payments in the future or to refinance or repay this debt before it becomes due.*</w:t>
      </w:r>
    </w:p>
    <w:p>
      <w:pPr>
        <w:spacing w:after="0" w:line="5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December 2006, we completed the sale of $115.0 million aggregate principal amount of 2013 notes, which mature in December 2013, and in August 2010, we completed the sale of $100.0 million aggregate principal amount of 2015 notes, which mature in August 2015. As of May 3, 2013, all $115.0 million principal amount of the 2013 notes remained outstanding, and all $100.0 million principal amount of the 2015 notes remained outstanding. As of March 31, 2013, we did not have sufficient cash and cash equivalents to repay the 2013 notes or the 2015 notes. In addition, as of March 31, 2013, the effective conversion prices of the 2013 notes and 2015 notes were approximately $22.47 per share and $6.80 per share, respectively, subject to adjustment, which are substantially above the closing price of our common stock on May 3, 2013. We may therefore need to refinance our 2013 notes and/or 2015 notes before such notes mature, or raise additional funds to repay such notes, and there can be no assurance that we will be able to do so on favorable terms by the applicable repayment dates, or at all. In addition, if we undergo a fundamental change, as that term is defined in the indentures governing the terms of the 2013 notes and the 2015 notes, each holder of 2013 notes or 2015 notes will have the option to require us to repurchase all or any portion of such holder’s notes at a repurchase price of 100% of the principal amount of such notes to be repurchased plus accrued and unpaid interest, if any. The 2013 notes bear interest at the rate of 3.75% per year on the outstanding principal amount, payable in cash semi-annually in arrears on June 15 and December 15 of each year, and the 2015 notes bear interest at the rate of 5.75% per year on the outstanding principal amount, payable in cash semiannually in arrears on February 15</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and August 15 of each year. While we have been able to timely make our required interest payments to date, we cannot guarantee that we will be able to do so in the future. If we fail to pay interest on the 2013 notes or 2015 notes or repay or repurchase the 2013 notes or 2015 notes when required, we will be in default under the applicable indenture(s) for such note(s), and may also suffer an event of default under the terms of other borrowing arrangements that we may enter into from time to time. Any of these events could have a material adverse effect on our business, results of operations and financial condition, up to and including the noteholders initiating bankruptcy proceedings or causing us to cease operations altogether.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Deterioration of the general global economic conditions may have an adverse impact on our loan facility with The Mann Group.*</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recent past, financial markets in the United States, Europe and Asia have experienced a period of unprecedented turmoil and upheaval characterized by extreme volatility and declines in security prices, severely diminished liquidity and credit availability, inability to access capital markets, the bankruptcy, failure, collapse or sale of various financial institutions and an unprecedented level of intervention from the United States federal government and other governments. We cannot predict the impact of the deterioration, if any, of the general stock market and global economy on the financial condition of The Mann Group. If The Mann Group has insufficient assets or if we are otherwise unable to draw on The Mann Group loan facility, our business and financial condition may be adversely affected.</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our business will be harmed and the market price of our common stock could decline.</w:t>
      </w:r>
    </w:p>
    <w:p>
      <w:pPr>
        <w:spacing w:after="0" w:line="5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62" w:lineRule="exact"/>
        <w:rPr>
          <w:sz w:val="20"/>
          <w:szCs w:val="20"/>
          <w:color w:val="auto"/>
        </w:rPr>
      </w:pPr>
    </w:p>
    <w:p>
      <w:pPr>
        <w:ind w:left="900" w:right="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 and research and development activities, which will be impacted by the level of proficiency and experience of our clinical staff;</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trial eligibility criteria;</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components used in the manufacture of our product candidates, including insulin and other materials for AFREZZA;</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of scheduling conflicts with participating clinicians and clinical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receipt of approvals by our competitors and by us from the FDA and other regulatory agencies;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enter into sales and marketing collaborations for AFREZZA;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actions by regulators.</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addition, if we do not obtain sufficient additional funds through sales of securities, strategic collaborations or the license or sale of certain of our assets on a timely basis, we will be required to reduce expenses by delaying, reducing or curtailing our development of AFREZZA. If we fail to commence or complete, or experience delays in or are forced to curtail, our proposed clinical programs or otherwise fail to adhere to our projected development goals in the timeframes we announce and expect (or within the timeframes expected by analysts or investors), our business and results of operations will be harmed and the market price of our common stock may decline.</w:t>
      </w:r>
    </w:p>
    <w:p>
      <w:pPr>
        <w:spacing w:after="0" w:line="22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face substantial competition in the development of our product candidates and may not be able to compete successfully, and our product candidates may be rendered obsolete by rapid technological change.</w:t>
      </w:r>
    </w:p>
    <w:p>
      <w:pPr>
        <w:spacing w:after="0" w:line="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number of established pharmaceutical companies have or are developing technologies for the treatment of diabetes. We also face substantial competition for the development of our other product candidates.</w:t>
      </w:r>
    </w:p>
    <w:p>
      <w:pPr>
        <w:spacing w:after="0" w:line="132"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 In addition, gaining favorable reimbursement is critical to the success of AFREZZA. Many of our competitors have existing infrastructure and relationships with managed care organizations and reimbursement authorities which can be used to their advantage.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rapid rate of scientific discoveries and technological changes could result in one or more of our product candidates becoming obsolete or noncompetitive. Our competitors may develop or introduce new products that render our technology and AFREZZA less competitive, uneconomical or obsolete. Our future success will depend not only on our ability to develop our product candidates but to improve them and keep pace with emerging industry developments. We cannot assure you that we will be able to do so.</w:t>
      </w:r>
    </w:p>
    <w:p>
      <w:pPr>
        <w:spacing w:after="0" w:line="14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enter into a strategic collaboration with respect to AFREZZA, we may not be able to execute on our business model.</w:t>
      </w:r>
    </w:p>
    <w:p>
      <w:pPr>
        <w:spacing w:after="0" w:line="9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have held extensive discussions with a number of pharmaceutical companies concerning a potential strategic business collaboration for AFREZZA. To date we have not reached an agreement on a collaboration with any of these companies. We cannot predict when, if ever, we will conclude an agreement with a partner. There can be no assurance that any such collaboration will be available to us on a timely basis or on acceptable terms. If we are not able to enter into a collaboration on terms that are favorable to us, we may be unable to undertake and fund product development, clinical trials, manufacturing and/or marketing activities at our own expense, which would delay or otherwise impede the commercialization of AFREZZA. Our product candidates are intended to be used by a large number of healthcare professionals who will require substantial education and support. For example, a broad base of physicians, including primary care physicians and endocrinologists, treat patients with diabetes. A large sales force would be required in order to educate these physicians about the benefits and advantages of AFREZZA and to provide adequate support for them. With respect to the commercialization of AFREZZA, if approved, if we fail to enter into collaborations, we would be required to establish our own direct sales, marketing and distribution capabilities. Establishing these capabilities can be time-consuming and expensive and would delay our ability to commercialize AFREZZA. Because we lack experience in selling pharmaceutical products to the diabetes market, we would be at a disadvantage compared to our potential competitors, many of whom have substantially more resources and experience than we do. For example, several other companies selling products to treat diabetes have existing sales forces in excess of 1,500 sales representatives. We, acting alone, would not initially be able to field a sales force as large as our competitors or provide the same degree of marketing support. Also, we would not be able to match our competitors’ spending levels for pre-launch marketing preparation, including medical education. We cannot assure you that we will succeed in entering into acceptable collaborations, that any such collaboration will be successful or, if not, that we will successfully develop our own sales, marketing and distribution capabilities.</w:t>
      </w:r>
    </w:p>
    <w:p>
      <w:pPr>
        <w:spacing w:after="0" w:line="12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will face similar challenges as we seek to develop our other product candidates. Our current strategy for developing, manufacturing and commercializing our other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efforts.</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If we enter into collaborative agreements with respect to AFREZZA and if our third-party collaborators do not perform satisfactorily or if our collaborations fail, development or commercialization of AFREZZA may be delayed and our business could be harmed.</w:t>
      </w:r>
    </w:p>
    <w:p>
      <w:pPr>
        <w:spacing w:after="0" w:line="5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may enter into license agreements, partnerships or other collaborative arrangements to support the financing, development and marketing of AFREZZA.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we enter into collaborative arrangements, we will have less control over the timing, planning and other aspects of our clinical trials, and the sale and marketing of AFREZZA and our other product candidates. We cannot offer assurances that we will be able to enter into satisfactory arrangements with third parties as contemplated or that any of our existing or future collaborations will be successful.</w:t>
      </w:r>
    </w:p>
    <w:p>
      <w:pPr>
        <w:spacing w:after="0" w:line="22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Continued testing of AFREZZA or our other product candidates may not yield successful results, and even if it does, we may still be unable to commercialize our product candidates.</w:t>
      </w:r>
    </w:p>
    <w:p>
      <w:pPr>
        <w:spacing w:after="0" w:line="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research and development programs are designed to test the safety and efficacy of AFREZZA and our other product candidates through extensive nonclinical and clinical testing. We may experience numerous unforeseen events during, or as a result of, the testing process that could delay or prevent commercialization of AFREZZA or any of our other product candidates, including the following:</w:t>
      </w:r>
    </w:p>
    <w:p>
      <w:pPr>
        <w:spacing w:after="0" w:line="59" w:lineRule="exact"/>
        <w:rPr>
          <w:sz w:val="20"/>
          <w:szCs w:val="20"/>
          <w:color w:val="auto"/>
        </w:rPr>
      </w:pPr>
    </w:p>
    <w:p>
      <w:pPr>
        <w:jc w:val="both"/>
        <w:ind w:left="900" w:right="18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safety and efficacy results for AFREZZA obtained in our nonclinical and previous clinical testing may be inconclusive or may not be predictive of results that we may obtain in our future clinical trials or following long-term use, and we may as a result be forced to stop developing AFREZZA;</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data collected from clinical trials of AFREZZA or our other product candidates may not reach statistical significance or otherwise be sufficient to support FDA or other regulatory approval;</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after reviewing test results, we or any potential collaborators may abandon projects that we previously believed were promising; and</w:t>
      </w:r>
    </w:p>
    <w:p>
      <w:pPr>
        <w:spacing w:after="0" w:line="211"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13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Forecasts about the effects of the use of drugs, including AFREZZA, over terms longer than the clinical trials or in much larger populations may not be consistent with the clinical results. If use of AFREZZA results in adverse health effects or reduced efficacy or both, the FDA or other regulatory agencies may terminate our ability to market and sell AFREZZA, may narrow the approved indications for use or otherwise require restrictive product labeling or marketing, or may require further clinical trials, which may be time-consuming and expensive and may not produce favorable results.</w:t>
      </w:r>
    </w:p>
    <w:p>
      <w:pPr>
        <w:spacing w:after="0" w:line="11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trials or marketing of AFREZZA at any time. Any suspension or termination of our clinical trials or marketing activities may harm our business and results of operations and the market price of our common stock may decline.</w:t>
      </w:r>
    </w:p>
    <w:p>
      <w:pPr>
        <w:spacing w:after="0" w:line="221" w:lineRule="exact"/>
        <w:rPr>
          <w:sz w:val="20"/>
          <w:szCs w:val="20"/>
          <w:color w:val="auto"/>
        </w:rPr>
      </w:pPr>
    </w:p>
    <w:p>
      <w:pPr>
        <w:ind w:right="280"/>
        <w:spacing w:after="0" w:line="357" w:lineRule="auto"/>
        <w:rPr>
          <w:sz w:val="20"/>
          <w:szCs w:val="20"/>
          <w:color w:val="auto"/>
        </w:rPr>
      </w:pPr>
      <w:r>
        <w:rPr>
          <w:rFonts w:ascii="Arial" w:cs="Arial" w:eastAsia="Arial" w:hAnsi="Arial"/>
          <w:sz w:val="15"/>
          <w:szCs w:val="15"/>
          <w:b w:val="1"/>
          <w:bCs w:val="1"/>
          <w:i w:val="1"/>
          <w:iCs w:val="1"/>
          <w:color w:val="auto"/>
        </w:rPr>
        <w:t>If our suppliers fail to deliver materials and services needed for the production of AFREZZA in a timely and sufficient manner, or they fail to comply with applicable regulations, our business and results of operations would be harmed and the market price of our common stock could decline.</w:t>
      </w:r>
    </w:p>
    <w:p>
      <w:pPr>
        <w:ind w:right="20"/>
        <w:spacing w:after="0" w:line="289" w:lineRule="auto"/>
        <w:rPr>
          <w:sz w:val="20"/>
          <w:szCs w:val="20"/>
          <w:color w:val="auto"/>
        </w:rPr>
      </w:pPr>
      <w:r>
        <w:rPr>
          <w:rFonts w:ascii="Arial" w:cs="Arial" w:eastAsia="Arial" w:hAnsi="Arial"/>
          <w:sz w:val="16"/>
          <w:szCs w:val="16"/>
          <w:color w:val="auto"/>
        </w:rPr>
        <w:t>For AFREZZA to be commercially viable, we need access to sufficient, reliable and affordable supplies of insulin, our AFREZZA inhaler, the related cartridges and other materials. We must rely on our suppliers to comply with relevant regulatory and other legal requirements, including the production of insulin in accordance with the FDA’s current Good Manufacturing Practices, or cGMP for drug products, and the production of the AFREZZA inhaler and related cartridges in accordance with Quality System Regulations, or QSRs. The supply of any of these materials may be limited or any of the manufacturers may not meet relevant regulatory requirements, and if we are unable to obtain any of these materials in sufficient amounts, in a timely manner and at reasonable prices, or if we encounter delays or difficulties in our relationships with manufacturers or suppliers, the development or manufacturing of AFREZZA may be delayed. Any such events could delay market introduction and subsequent sales of AFREZZA and, if so, our business and results of operations will be harmed and the market price of our common stock may decline.</w:t>
      </w:r>
    </w:p>
    <w:p>
      <w:pPr>
        <w:spacing w:after="0" w:line="199" w:lineRule="exact"/>
        <w:rPr>
          <w:sz w:val="20"/>
          <w:szCs w:val="20"/>
          <w:color w:val="auto"/>
        </w:rPr>
      </w:pPr>
    </w:p>
    <w:p>
      <w:pPr>
        <w:ind w:right="440"/>
        <w:spacing w:after="0" w:line="357" w:lineRule="auto"/>
        <w:rPr>
          <w:sz w:val="20"/>
          <w:szCs w:val="20"/>
          <w:color w:val="auto"/>
        </w:rPr>
      </w:pPr>
      <w:r>
        <w:rPr>
          <w:rFonts w:ascii="Arial" w:cs="Arial" w:eastAsia="Arial" w:hAnsi="Arial"/>
          <w:sz w:val="15"/>
          <w:szCs w:val="15"/>
          <w:b w:val="1"/>
          <w:bCs w:val="1"/>
          <w:i w:val="1"/>
          <w:iCs w:val="1"/>
          <w:color w:val="auto"/>
        </w:rPr>
        <w:t>We have never manufactured AFREZZA or any other product candidates in commercial quantities, and if we fail to develop an effective manufacturing capability for our product candidates or to engage third-party manufacturers with this capability, we may be unable to commercialize these products.</w:t>
      </w:r>
    </w:p>
    <w:p>
      <w:pPr>
        <w:spacing w:after="0" w:line="286" w:lineRule="auto"/>
        <w:rPr>
          <w:sz w:val="20"/>
          <w:szCs w:val="20"/>
          <w:color w:val="auto"/>
        </w:rPr>
      </w:pPr>
      <w:r>
        <w:rPr>
          <w:rFonts w:ascii="Arial" w:cs="Arial" w:eastAsia="Arial" w:hAnsi="Arial"/>
          <w:sz w:val="16"/>
          <w:szCs w:val="16"/>
          <w:color w:val="auto"/>
        </w:rPr>
        <w:t>We use our Danbury, Connecticut facility to formulate AFREZZA inhalation powder, fill plastic cartridges with the powder, package the cartridges in blister packs, and place the blister packs into foil pouches. We will utilize a contract packager to do the final kitting and cartoning of foil pouched blisters containing cartridges, as well as inhalers and the package insert. Although the Danbury facility has been qualified and undergone an inspection by the FDA in connection with our original NDA submission that sought approval of AFREZZA using our MedTone inhaler, we anticipate that our facility will need to undergo further inspection related to our ability to fill and package cartridges for our next-generation Dreamboat inhaler before we can be approved to distribute AFREZZA commercially.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12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Any of these factors could cause us to delay or suspend clinical trials, regulatory submissions or required approvals of our product candidates, could entail higher costs and may result in our being unable to effectively commercialize our products. Furthermore, if we or a third-party manufacturer fail to deliver the required commercial quantities of any product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such products and we would lose potential revenues.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If any product that we develop does not become widely accepted by physicians, patients, third-party payors and the healthcare community, we may be unable to generate significant revenue, if any.</w:t>
      </w:r>
    </w:p>
    <w:p>
      <w:pPr>
        <w:spacing w:after="0" w:line="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AFREZZA and our other product candidates are new and unproven. Even if any of our product candidates obtain regulatory approval, they may not gain market acceptance among physicians, patients, third-party payors and the healthcare community. Failure to achieve market acceptance would limit our ability to generate revenue and would adversely affect our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degree of market acceptance of AFREZZA and our other product candidates will depend on many factors, including the:</w:t>
      </w:r>
    </w:p>
    <w:p>
      <w:pPr>
        <w:spacing w:after="0" w:line="90"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for which FDA approval can be obtained, including superiority claims;</w:t>
      </w:r>
    </w:p>
    <w:p>
      <w:pPr>
        <w:spacing w:after="0" w:line="90" w:lineRule="exact"/>
        <w:rPr>
          <w:rFonts w:ascii="Arial" w:cs="Arial" w:eastAsia="Arial" w:hAnsi="Arial"/>
          <w:sz w:val="18"/>
          <w:szCs w:val="18"/>
          <w:color w:val="auto"/>
        </w:rPr>
      </w:pPr>
    </w:p>
    <w:p>
      <w:pPr>
        <w:ind w:left="900" w:right="44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effectiveness of our or our third party collaborator(s) efforts to educate physicians about the benefits and advantages of AFREZZA or our other products and to provide adequate support for them, and the perceived advantages and disadvantages of competitive products;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payors, regarding the safety, efficacy and benefits compared to competing products or therapies;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coverage and pricing and reimbursement relative to other treatment therapeutics and methods;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17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Because of these and other factors, any product that we may develop may not gain market acceptance, which would materially harm our business, financial condition and results of operations.</w:t>
      </w:r>
    </w:p>
    <w:p>
      <w:pPr>
        <w:spacing w:after="0" w:line="21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If third-party payors do not cover any products for which we receive regulatory approval or adequately reimburse consumers for any such products, our products might not be used or purchased, which would adversely affect our revenues.</w:t>
      </w:r>
    </w:p>
    <w:p>
      <w:pPr>
        <w:spacing w:after="0" w:line="5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future revenues and ability to generate positive cash flow from operations may be affected by the continuing efforts of governments and third-party payors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payors for healthcare goods and services may take in response to any drug pricing reform proposals or legislation. Such reforms may make it difficult to complete the development and testing of AFREZZA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the United States and elsewhere, sales of prescription pharmaceuticals still depend in large part on the availability of reimbursement to the consumer from third-party payors, such as governmental and private insurance plans. Third-party payors are increasingly challenging the prices charged for medical products and services. The market for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We would be required to provide scientific and 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1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If we are unable to obtain coverage of, and adequate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legislation may make it more difficult to receive revenues, even if we have products that are approved.</w:t>
      </w:r>
    </w:p>
    <w:p>
      <w:pPr>
        <w:spacing w:after="0" w:line="90" w:lineRule="exact"/>
        <w:rPr>
          <w:sz w:val="20"/>
          <w:szCs w:val="20"/>
          <w:color w:val="auto"/>
        </w:rPr>
      </w:pPr>
    </w:p>
    <w:p>
      <w:pPr>
        <w:ind w:right="360"/>
        <w:spacing w:after="0" w:line="294" w:lineRule="auto"/>
        <w:rPr>
          <w:sz w:val="20"/>
          <w:szCs w:val="20"/>
          <w:color w:val="auto"/>
        </w:rPr>
      </w:pPr>
      <w:r>
        <w:rPr>
          <w:rFonts w:ascii="Arial" w:cs="Arial" w:eastAsia="Arial" w:hAnsi="Arial"/>
          <w:sz w:val="16"/>
          <w:szCs w:val="16"/>
          <w:color w:val="auto"/>
        </w:rPr>
        <w:t>In both the United States and certain foreign jurisdictions, there have been a number of legislative and regulatory proposals in recent years to change the healthcare system in ways that could impact our ability to sell our products profitably. In March 2010, the Patient Protection and Affordable Care Act, as amended by the Health Care and Education Affordability Reconciliation Act, or collectively, PPACA, became law in the United States. PPACA substantially changes the way healthcare is financed by both governmental and private insurers and significantly affects the healthcare industry. Among the provisions of PPACA of importance to our potential product candidates are the following:</w:t>
      </w:r>
    </w:p>
    <w:p>
      <w:pPr>
        <w:spacing w:after="0" w:line="35" w:lineRule="exact"/>
        <w:rPr>
          <w:sz w:val="20"/>
          <w:szCs w:val="20"/>
          <w:color w:val="auto"/>
        </w:rPr>
      </w:pPr>
    </w:p>
    <w:p>
      <w:pPr>
        <w:ind w:left="900" w:right="1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 beginning in 2011;</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2.3% medical device excise tax on certain transactions, including many U.S. sales of medical devices, which currently includes and we expect will continue to include U.S. sales of drug-device combination products;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retroactive to January 1, 2010, to 23% and 13% of the average manufacturer price for most branded and generic drugs, respectively;</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59"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50" w:lineRule="exact"/>
        <w:rPr>
          <w:rFonts w:ascii="Arial" w:cs="Arial" w:eastAsia="Arial" w:hAnsi="Arial"/>
          <w:sz w:val="18"/>
          <w:szCs w:val="18"/>
          <w:color w:val="auto"/>
        </w:rPr>
      </w:pPr>
    </w:p>
    <w:p>
      <w:pPr>
        <w:jc w:val="both"/>
        <w:ind w:left="900" w:right="14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beginning in 2014 and by adding new mandatory eligibility categories for certain individuals with income at or below 133% of the Federal Poverty Level, thereby potentially increasing manufacturers’ Medicaid rebate liability;</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90" w:lineRule="exact"/>
        <w:rPr>
          <w:rFonts w:ascii="Arial" w:cs="Arial" w:eastAsia="Arial" w:hAnsi="Arial"/>
          <w:sz w:val="18"/>
          <w:szCs w:val="18"/>
          <w:color w:val="auto"/>
        </w:rPr>
      </w:pPr>
    </w:p>
    <w:p>
      <w:pPr>
        <w:ind w:left="900" w:right="420" w:hanging="325"/>
        <w:spacing w:after="0" w:line="318"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new requirements to report certain financial arrangements with physicians and teaching hospitals, as defined in PPACA and its implementing regulations, including reporting any “payments or transfers of value” made or distributed to prescribers, teaching hospitals and other healthcare providers and reporting any ownership and investment interests held by physicians and their immediate family members and applicable group purchasing organizations during the preceding calendar year, with data collection to be required beginning August 1, 2013 and reporting to the Centers for Medicare &amp; Medicaid Services, or CMS, to be required by March 31, 2014 and by the 90th day of each subsequent calendar year;</w:t>
      </w:r>
    </w:p>
    <w:p>
      <w:pPr>
        <w:spacing w:after="0" w:line="18" w:lineRule="exact"/>
        <w:rPr>
          <w:rFonts w:ascii="Arial" w:cs="Arial" w:eastAsia="Arial" w:hAnsi="Arial"/>
          <w:sz w:val="15"/>
          <w:szCs w:val="15"/>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3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addition, other legislative changes have been proposed and adopted since PPACA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starting in 2013. On January 2, 2013, President Obama signed into law the American Taxpayer Relief Act of 2012, or the ATRA, which, among other things, reduced Medicare payments to several providers, including hospitals, imaging centers and cancer treatment centers, and increased the statute of limitations period for the government to recover overpayments to providers from three to five years. These new laws may result in additional reductions in Medicare and other healthcare funding, which could have a material adverse effect on our customers and accordingly, our financial operations.</w:t>
      </w:r>
    </w:p>
    <w:p>
      <w:pPr>
        <w:spacing w:after="0" w:line="118" w:lineRule="exact"/>
        <w:rPr>
          <w:sz w:val="20"/>
          <w:szCs w:val="20"/>
          <w:color w:val="auto"/>
        </w:rPr>
      </w:pPr>
    </w:p>
    <w:p>
      <w:pPr>
        <w:ind w:right="420"/>
        <w:spacing w:after="0" w:line="298" w:lineRule="auto"/>
        <w:rPr>
          <w:sz w:val="20"/>
          <w:szCs w:val="20"/>
          <w:color w:val="auto"/>
        </w:rPr>
      </w:pPr>
      <w:r>
        <w:rPr>
          <w:rFonts w:ascii="Arial" w:cs="Arial" w:eastAsia="Arial" w:hAnsi="Arial"/>
          <w:sz w:val="16"/>
          <w:szCs w:val="16"/>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94"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b w:val="1"/>
          <w:bCs w:val="1"/>
          <w:i w:val="1"/>
          <w:iCs w:val="1"/>
          <w:color w:val="auto"/>
        </w:rPr>
        <w:t>If we fail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4"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As a biopharmaceutical company,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We could be subject to healthcare fraud and abuse and patient privacy regulation by both the federal government and the states in which we conduct our business. The laws that may affect our ability to operate include:</w:t>
      </w:r>
    </w:p>
    <w:p>
      <w:pPr>
        <w:spacing w:after="0" w:line="62" w:lineRule="exact"/>
        <w:rPr>
          <w:sz w:val="20"/>
          <w:szCs w:val="20"/>
          <w:color w:val="auto"/>
        </w:rPr>
      </w:pPr>
    </w:p>
    <w:p>
      <w:pPr>
        <w:ind w:left="900" w:hanging="325"/>
        <w:spacing w:after="0" w:line="25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Anti-Kickback Statute, which constrains our marketing practices, educational programs, pricing policies, and relationships with healthcare providers or other entities, by prohibiting, among other things,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62" w:lineRule="exact"/>
        <w:rPr>
          <w:rFonts w:ascii="Arial" w:cs="Arial" w:eastAsia="Arial" w:hAnsi="Arial"/>
          <w:sz w:val="18"/>
          <w:szCs w:val="18"/>
          <w:color w:val="auto"/>
        </w:rPr>
      </w:pPr>
    </w:p>
    <w:p>
      <w:pPr>
        <w:jc w:val="both"/>
        <w:ind w:left="900" w:right="66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59" w:lineRule="exact"/>
        <w:rPr>
          <w:rFonts w:ascii="Arial" w:cs="Arial" w:eastAsia="Arial" w:hAnsi="Arial"/>
          <w:sz w:val="18"/>
          <w:szCs w:val="18"/>
          <w:color w:val="auto"/>
        </w:rPr>
      </w:pPr>
    </w:p>
    <w:p>
      <w:pPr>
        <w:ind w:left="900" w:right="64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executing a scheme to defraud any healthcare benefit program or making false statements relating to healthcare matters;</w:t>
      </w:r>
    </w:p>
    <w:p>
      <w:pPr>
        <w:spacing w:after="0" w:line="4" w:lineRule="exact"/>
        <w:rPr>
          <w:rFonts w:ascii="Arial" w:cs="Arial" w:eastAsia="Arial" w:hAnsi="Arial"/>
          <w:sz w:val="16"/>
          <w:szCs w:val="16"/>
          <w:color w:val="auto"/>
        </w:rPr>
      </w:pPr>
    </w:p>
    <w:p>
      <w:pPr>
        <w:ind w:left="900" w:right="6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its implementing regulations, which imposes certain requirements relating to the privacy, security and transmission of individually identifiable health information; and</w:t>
      </w:r>
    </w:p>
    <w:p>
      <w:pPr>
        <w:spacing w:after="0" w:line="4" w:lineRule="exact"/>
        <w:rPr>
          <w:rFonts w:ascii="Arial" w:cs="Arial" w:eastAsia="Arial" w:hAnsi="Arial"/>
          <w:sz w:val="16"/>
          <w:szCs w:val="16"/>
          <w:color w:val="auto"/>
        </w:rPr>
      </w:pPr>
    </w:p>
    <w:p>
      <w:pPr>
        <w:ind w:left="900" w:right="40" w:hanging="325"/>
        <w:spacing w:after="0" w:line="25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 and foreign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4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Because of the breadth of these laws and the narrowness of available statutory and regulatory exceptions, it is possible that some of our business activities could be subject to challenge under one or more of such laws. To the extent that any of our product candidates is ultimately sold in a foreign country, we may be subject to similar foreign laws and regulations. If we or our operations are found to be in violation of any of the laws described above or any other governmental regulations that apply to us, we may be subject to penalties, including civil and criminal penalties, damages, fines, imprisonment, exclusion of products from reimbursement under U.S. federal or state healthcare programs,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testing, manufacturing, marketing and sale of AFREZZA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liability insurance in the amount of $10.0 million. In addition, we carry local policies per trial in each country in which we conduct clinical trials that require us to carry coverage based on local statutory requirements. We intend to obtain product liability coverage for commercial sales in the future if AFREZZA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our business and results of operations would be harmed and the market price of our common stock may decline.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1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in order to commercialize our product candidates successfully, we may be required to expand our work force, particularly in the areas of manufacturing, and, if we are unable to enter into collaborations with third parties to commercialize AFREZZA or any other approved products, sales and marketing.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14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our Chairman and Chief Executive Officer is unable to devote sufficient time and attention to our business, our operations and our ability to execute our business strategy could be materially harmed.</w:t>
      </w:r>
    </w:p>
    <w:p>
      <w:pPr>
        <w:spacing w:after="0" w:line="5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Alfred Mann, our Chairman and Chief Executive Officer,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internal controls over financial reporting are not considered effective, our business and stock price could be adversely affected.</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expect that at least for the foreseeable future, our manufacturing facility in Danbury, Connecticut will be the sole location for the manufacturing of AFREZZA. This facility and the manufacturing equipment we use would be costly to replace and could require substantial lead time to repair or replace. In addition, we are headquartered in Valencia, California. This facility contains our principal executive offices and is used to provide support for the development of our AFREZZA programs. We depend on our facilities and on collaborators, contractors and vendors for the continued operation of our business, some of whom are located in Europe.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and adversely affect, which may include stopping, our readiness for commercial production.</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25"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Our research and development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w:t>
      </w:r>
    </w:p>
    <w:p>
      <w:pPr>
        <w:spacing w:after="0" w:line="1" w:lineRule="exact"/>
        <w:rPr>
          <w:sz w:val="20"/>
          <w:szCs w:val="20"/>
          <w:color w:val="auto"/>
        </w:rPr>
      </w:pPr>
    </w:p>
    <w:p>
      <w:pPr>
        <w:ind w:right="80" w:firstLine="8"/>
        <w:spacing w:after="0" w:line="287" w:lineRule="auto"/>
        <w:tabs>
          <w:tab w:leader="none" w:pos="258" w:val="left"/>
        </w:tabs>
        <w:numPr>
          <w:ilvl w:val="0"/>
          <w:numId w:val="14"/>
        </w:numPr>
        <w:rPr>
          <w:rFonts w:ascii="Arial" w:cs="Arial" w:eastAsia="Arial" w:hAnsi="Arial"/>
          <w:sz w:val="16"/>
          <w:szCs w:val="16"/>
          <w:color w:val="auto"/>
        </w:rPr>
      </w:pPr>
      <w:r>
        <w:rPr>
          <w:rFonts w:ascii="Arial" w:cs="Arial" w:eastAsia="Arial" w:hAnsi="Arial"/>
          <w:sz w:val="16"/>
          <w:szCs w:val="16"/>
          <w:color w:val="auto"/>
        </w:rPr>
        <w:t>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$4.0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2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When we purchased the facilities located in Danbury, Connecticut in 2001, a soil and groundwater investigation and remediation was being conducted by a former site operator (the responsible party) under the oversight of the Connecticut Department of Environmental Protection. During the construction of our expanded manufacturing facility, we excavated contaminated soil under the footprint of our building expansion location. The responsible party reimbursed us for our increased excavation and disposal costs of contaminated soil in the amount of $1.625 million. It has conducted at its expense all work and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and results of operations may be harmed.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Our product candidates must undergo rigorous nonclinical and clinical testing and we must obtain regulatory approvals, which could be costly and time-consuming and subject us to unanticipated delays or prevent us from marketing any products.</w:t>
      </w:r>
    </w:p>
    <w:p>
      <w:pPr>
        <w:spacing w:after="0" w:line="5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Our research and development activities, as well as the manufacturing and marketing of our product candidates, including AFREZZA,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2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Clinical testing can be costly and take many years, and the outcome is uncertain and susceptible to varying interpretations. We cannot be certain if or when the FDA might request additional studies, under what conditions such studies might be requested, or what the size or length of any such studies might be. The clinical trials of our 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AFREZZA. Even if we believe the data collected from our clinical trials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1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requirements governing the conduct of clinical trials and manufacturing and marketing of our product candidates, including AFREZZA, outside the United States vary widely from country to country. Foreign approvals may take longer to obtain than FDA approvals and can require, among other things, additional testing and different clinical trial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2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In January 2006, the FDA approved the first pulmonary insulin product, Exubera. This approval has had an impact on, and notwithstanding the voluntary withdrawal of the product from the market by its manufacturer could still impact, the development and registration of AFREZZA in different ways. For example, Exubera may be used as a reference for safety and efficacy evaluations of AFREZZA, and the approval standards set for Exubera may be applied to other products that follow, including AFREZZA.</w:t>
      </w:r>
    </w:p>
    <w:p>
      <w:pPr>
        <w:spacing w:after="0" w:line="12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FDA is regulating AFREZZA as a “combination product” because of the complex nature of the system that includes the combination of a new drug (AFREZZA) and a new medical device (the inhaler used to administer the insulin). The review of our NDA for AFREZZA involves several separate review groups of the FDA including: (1) the Metabolic and Endocrine Drug Products Division; (2) the Pulmonary Drug Products Division; and (3) the Center for Devices and Radiological Health, which reviews medical devices. The Metabolic and Endocrine Drug Products Division is the lead group and obtains consulting reviews from the other two FDA groups. We can make no assurances at this time about what impact FDA review by multiple groups will have on the approvability of our product or that we will obtain approval of the NDA in a timely manner or at all.</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AFREZZA as a combination product may lengthen the product development and regulatory approval process, increase our development costs and delay or prevent the commercialization of AFREZZA. Other product candidates that we may develop could face similar obstacles and costs.</w:t>
      </w:r>
    </w:p>
    <w:p>
      <w:pPr>
        <w:spacing w:after="0" w:line="20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5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We will not be able to commercialize AFREZZA or any other product candidates unless we have obtained regulatory approval. Until we prepared and submitted our NDA for AFREZZA, we had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59"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19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Even if we obtain regulatory approval for our product candidates, such approval may be limited and we will be subject to stringent, ongoing government regulation.</w:t>
      </w:r>
    </w:p>
    <w:p>
      <w:pPr>
        <w:spacing w:after="0" w:line="5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Even if regulatory authorities approve any of our product candidates, they could approve less than the full scope of uses or labeling that we seek or otherwise require special warnings or other restrictions on use or marketing or could require potentially costly post-marketing follow-up clinical trials. Regulatory authorities may limit the segments of the diabetes population to which we or others may market AFREZZA or limit the target population for our other product candidates. There are no assurances that any advantages of AFREZZA will be agreed to by the FDA or otherwise included in product labeling or advertising and, as a result, AFREZZA may not have our expected competitive advantages when compared to other insulin products.</w:t>
      </w:r>
    </w:p>
    <w:p>
      <w:pPr>
        <w:spacing w:after="0" w:line="1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manufacture, marketing and sale of any of our product candidates will be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w:t>
      </w:r>
    </w:p>
    <w:p>
      <w:pPr>
        <w:spacing w:after="0" w:line="14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 </w:t>
      </w:r>
      <w:r>
        <w:rPr>
          <w:rFonts w:ascii="Arial" w:cs="Arial" w:eastAsia="Arial" w:hAnsi="Arial"/>
          <w:sz w:val="16"/>
          <w:szCs w:val="16"/>
          <w:i w:val="1"/>
          <w:iCs w:val="1"/>
          <w:color w:val="auto"/>
        </w:rPr>
        <w:t>e.g.</w:t>
      </w:r>
      <w:r>
        <w:rPr>
          <w:rFonts w:ascii="Arial" w:cs="Arial" w:eastAsia="Arial" w:hAnsi="Arial"/>
          <w:sz w:val="16"/>
          <w:szCs w:val="16"/>
          <w:color w:val="auto"/>
        </w:rPr>
        <w:t xml:space="preserve"> ,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suppliers will be subject to FDA inspection before the agency approves an NDA for AFREZZA.</w:t>
      </w:r>
    </w:p>
    <w:p>
      <w:pPr>
        <w:spacing w:after="0" w:line="9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When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future commercialization of AFREZZA. We also depend on suppliers for other materials that comprise AFREZZA, including our AFREZZA inhaler and cartridges. Each supplier must comply with relevant regulatory requirements including QSR, and is subject to inspection by the FDA. There can be no assurance, in the conduct of an inspection of any of our suppliers, that the agency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99"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5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At present, there are a number of clinical trials being conducted by us and other pharmaceutical companies involving insulin delivery systems. If we discover that AFREZZA is associated with a significantly increased frequency of adverse events, or if other pharmaceutical companies announce that they observed frequent adverse events in their trials involving insulin therapies, we could encounter delays in the timing of our clinical trials, difficulties in obtaining approval of AFREZZA or be subject to class warnings in the label for AFREZZA, if approved. In addition, the public perception of AFREZZA might be adversely affected, which could harm our business and results of operations and cause the market price of our common stock to decline, even if the concern relates to another company’s products or product candidates.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9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Moreover, the term of a patent is limited and, as a result, the patents protecting our products expire at various dates. For example, some patents providing protection for our AFREZZA inhalation powder expired in 2012. Other patents providing similar protection have terms extending into 2020 and 2031. In addition, patents providing protection for our inhaler and cartridges have terms extending into 2023 and 2031, and we have method of treatment claims that extend into 2026 and 2029. As and when these different patents expire, AFREZZA could become subject to increased competition. As a consequence, we may not be able to recover our development costs.</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in the United States. If we attempt to enforce our patents, they may be challenged in court where they could be held invalid, unenforceable, or have their breadth narrowed to an extent that would destroy their value.</w:t>
      </w:r>
    </w:p>
    <w:p>
      <w:pPr>
        <w:spacing w:after="0" w:line="14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September 16, 2011, the Leahy-Smith America Invents Act, or the Leahy-Smith Act, was signed into law. The Leahy-Smith Act includes a number of significant changes to United States patent law. These include provisions that affect the way patent applications will be prosecuted, subjected to post-grant challenge, and may also affect patent litigation. The USPTO is continuing to develop regulations and procedures to govern administration of the Leahy-Smith Act, and while all of the substantive changes to patent law associated with the Leahy-Smith Act have become effective, many changes have only recently become effective. Moreover there will be a transitional period of many years during which some applications may be eligible for prosecution under the previous rules.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1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Interference proceedings brought by the United States Patent and Trademark Office, or USPTO, may be necessary to determine the priority of inventions with respect to our patent applications or those of our collaborators or licensors. Additionally, the Leahy-Smith Act has greatly expanded the options for post-grant review of patents that can be brought by third parties. Litigation, post-grant review,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post-grant review, or interference proceeding in which we are involved. Even if we do prevail, these proceedings can be very expensive and distract our management.</w:t>
      </w:r>
    </w:p>
    <w:p>
      <w:pPr>
        <w:spacing w:after="0" w:line="10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224"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3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1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Moreover, certain components of AFREZZA may be manufactured outside the United States and imported into the United States. As such, third parties could file complaints under 19 U.S.C. Section 337(a)(1)(B), or a 337 action, with the International Trade Commission, or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18"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Although we own a number of domestic and foreign patents and patent applications relating to AFREZZA, we have identified certain third-party patents having claims relating to pulmonary insulin delivery that may trigger an allegation of infringement upon the commercial manufacture and sale of AFREZZA. If a court were to determine that AFREZZA was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12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not selected trade names for some of our product candidates; therefore, we have not filed trademark registrations for all of our potential trade names for our product candidates in all jurisdictions, nor can we assure that we will be granted registration of those potential trade names for which we have filed.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4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2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progress and results of our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concerning clinical trial results, acquisitions, strategic alliances, technological innovations, newly approved commercial products, product discontinuations, or other developments;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market conditions and fluctuations for emerging growth and pharmaceutical market sectors;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status of any legal proceedings against us or any of our executive officers and directors, including the legal proceedings described under Item 3 of this Annual Report;</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existence of, and the issuance of shares of our common stock pursuant to, the share lending agreement and the short sales of our common stock effected in connection with the sale of our 2015 notes;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conversion of any of our 2013 notes or 2015 notes into shares of our common stock;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325"/>
        <w:spacing w:after="0" w:line="25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25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could be adversely affected.</w:t>
      </w:r>
    </w:p>
    <w:p>
      <w:pPr>
        <w:spacing w:after="0" w:line="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Public companies in general and companies included on the NASDAQ Global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12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2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Our Chairman and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5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At March 31, 2013, Mr. Mann beneficially owned 42.5% of our outstanding shares of capital stock. By virtue of his holdings, Mr. Mann may be able to continue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14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Subject to compliance with United States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Institutes at the University of Southern California, the Technion-Israel Institute of Technology, and Purdue University, and that may serve as funding organizations for any other charities that he may establish. The AEMMRO is a membership foundation consisting of six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20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The future sale of our common stock, the conversion of our senior convertible notes into common stock or the exercise of our warrants for common stock could negatively affect our stock price.</w:t>
      </w:r>
    </w:p>
    <w:p>
      <w:pPr>
        <w:spacing w:after="0" w:line="5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of March 31, 2013, we had 289,375,250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Likewise the issuance of additional shares of our common stock upon the conversion of some or all of our senior convertible notes, or upon the exercise of some or all of the warrants we issued in February 2012 and October 2012, could adversely affect the trading price of our common stock. In addition, the existence of these notes and warrants may encourage short selling of our common stock by market participants. Furthermore, if we were to include in a company-initiated registration statement shares held by our stockholders pursuant to the exercise of their registration rights, the sale of those shares could impair our ability to raise needed capital by depressing the price at which we could sell our common stock.</w:t>
      </w:r>
    </w:p>
    <w:p>
      <w:pPr>
        <w:spacing w:after="0" w:line="118"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In addition, we will need to raise substantial additional capital in the future to fund our operations. If we raise additional funds by issuing equity securities or additional convertible debt, the market price of our common stock may decline and our existing stockholders may experience significant dilution.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we do not expect to pay dividends in the foreseeable future, you must rely on stock appreciation for any return on your investment.</w:t>
      </w:r>
    </w:p>
    <w:p>
      <w:pPr>
        <w:spacing w:after="0" w:line="11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or maintain its current price. You could lose the entire value of your investment in our common stock.</w:t>
      </w:r>
    </w:p>
    <w:p>
      <w:pPr>
        <w:spacing w:after="0" w:line="195" w:lineRule="exact"/>
        <w:rPr>
          <w:sz w:val="20"/>
          <w:szCs w:val="20"/>
          <w:color w:val="auto"/>
        </w:rPr>
      </w:pPr>
    </w:p>
    <w:p>
      <w:pPr>
        <w:ind w:right="4460"/>
        <w:spacing w:after="0" w:line="369"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10180" w:type="dxa"/>
            <w:vAlign w:val="bottom"/>
          </w:tcPr>
          <w:p>
            <w:pPr>
              <w:spacing w:after="0"/>
              <w:rPr>
                <w:sz w:val="14"/>
                <w:szCs w:val="14"/>
                <w:color w:val="auto"/>
              </w:rPr>
            </w:pPr>
          </w:p>
        </w:tc>
      </w:t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4"/>
                <w:szCs w:val="14"/>
                <w:color w:val="auto"/>
              </w:rPr>
            </w:pPr>
          </w:p>
        </w:tc>
        <w:tc>
          <w:tcPr>
            <w:tcW w:w="10180" w:type="dxa"/>
            <w:vAlign w:val="bottom"/>
          </w:tcPr>
          <w:p>
            <w:pPr>
              <w:ind w:left="436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180" w:type="dxa"/>
            <w:vAlign w:val="bottom"/>
            <w:tcBorders>
              <w:bottom w:val="single" w:sz="8" w:color="auto"/>
            </w:tcBorders>
          </w:tcPr>
          <w:p>
            <w:pPr>
              <w:spacing w:after="0" w:line="20" w:lineRule="exact"/>
              <w:rPr>
                <w:sz w:val="1"/>
                <w:szCs w:val="1"/>
                <w:color w:val="auto"/>
              </w:rPr>
            </w:pPr>
          </w:p>
        </w:tc>
      </w:tr>
      <w:tr>
        <w:trPr>
          <w:trHeight w:val="289"/>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4"/>
                <w:szCs w:val="24"/>
                <w:color w:val="auto"/>
              </w:rPr>
            </w:pPr>
          </w:p>
        </w:tc>
        <w:tc>
          <w:tcPr>
            <w:tcW w:w="10500" w:type="dxa"/>
            <w:vAlign w:val="bottom"/>
            <w:gridSpan w:val="2"/>
          </w:tcPr>
          <w:p>
            <w:pPr>
              <w:ind w:left="320"/>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24"/>
                <w:szCs w:val="24"/>
                <w:color w:val="auto"/>
              </w:rPr>
            </w:pPr>
          </w:p>
        </w:tc>
        <w:tc>
          <w:tcPr>
            <w:tcW w:w="10500" w:type="dxa"/>
            <w:vAlign w:val="bottom"/>
            <w:gridSpan w:val="2"/>
          </w:tcPr>
          <w:p>
            <w:pPr>
              <w:ind w:left="320"/>
              <w:spacing w:after="0"/>
              <w:rPr>
                <w:sz w:val="20"/>
                <w:szCs w:val="20"/>
                <w:color w:val="auto"/>
              </w:rPr>
            </w:pPr>
            <w:r>
              <w:rPr>
                <w:rFonts w:ascii="Arial" w:cs="Arial" w:eastAsia="Arial" w:hAnsi="Arial"/>
                <w:sz w:val="18"/>
                <w:szCs w:val="18"/>
                <w:color w:val="auto"/>
              </w:rPr>
              <w:t>Certificate of Amendment of Amended and Restated Certificate of Incorporation.</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3.3(3)</w:t>
            </w:r>
          </w:p>
        </w:tc>
        <w:tc>
          <w:tcPr>
            <w:tcW w:w="420" w:type="dxa"/>
            <w:vAlign w:val="bottom"/>
          </w:tcPr>
          <w:p>
            <w:pPr>
              <w:spacing w:after="0"/>
              <w:rPr>
                <w:sz w:val="24"/>
                <w:szCs w:val="24"/>
                <w:color w:val="auto"/>
              </w:rPr>
            </w:pPr>
          </w:p>
        </w:tc>
        <w:tc>
          <w:tcPr>
            <w:tcW w:w="10500" w:type="dxa"/>
            <w:vAlign w:val="bottom"/>
            <w:gridSpan w:val="2"/>
          </w:tcPr>
          <w:p>
            <w:pPr>
              <w:ind w:left="320"/>
              <w:spacing w:after="0"/>
              <w:rPr>
                <w:sz w:val="20"/>
                <w:szCs w:val="20"/>
                <w:color w:val="auto"/>
              </w:rPr>
            </w:pPr>
            <w:r>
              <w:rPr>
                <w:rFonts w:ascii="Arial" w:cs="Arial" w:eastAsia="Arial" w:hAnsi="Arial"/>
                <w:sz w:val="18"/>
                <w:szCs w:val="18"/>
                <w:color w:val="auto"/>
              </w:rPr>
              <w:t>Certificate of Amendment of Amended and Restated Certificate of Incorporation.</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3.4(4)</w:t>
            </w:r>
          </w:p>
        </w:tc>
        <w:tc>
          <w:tcPr>
            <w:tcW w:w="420" w:type="dxa"/>
            <w:vAlign w:val="bottom"/>
          </w:tcPr>
          <w:p>
            <w:pPr>
              <w:spacing w:after="0"/>
              <w:rPr>
                <w:sz w:val="24"/>
                <w:szCs w:val="24"/>
                <w:color w:val="auto"/>
              </w:rPr>
            </w:pPr>
          </w:p>
        </w:tc>
        <w:tc>
          <w:tcPr>
            <w:tcW w:w="10500" w:type="dxa"/>
            <w:vAlign w:val="bottom"/>
            <w:gridSpan w:val="2"/>
          </w:tcPr>
          <w:p>
            <w:pPr>
              <w:ind w:left="320"/>
              <w:spacing w:after="0"/>
              <w:rPr>
                <w:sz w:val="20"/>
                <w:szCs w:val="20"/>
                <w:color w:val="auto"/>
              </w:rPr>
            </w:pPr>
            <w:r>
              <w:rPr>
                <w:rFonts w:ascii="Arial" w:cs="Arial" w:eastAsia="Arial" w:hAnsi="Arial"/>
                <w:sz w:val="18"/>
                <w:szCs w:val="18"/>
                <w:color w:val="auto"/>
              </w:rPr>
              <w:t>Certificate of Amendment of Amended and Restated Certificate of Incorporation.</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3.5(10)</w:t>
            </w:r>
          </w:p>
        </w:tc>
        <w:tc>
          <w:tcPr>
            <w:tcW w:w="10500" w:type="dxa"/>
            <w:vAlign w:val="bottom"/>
            <w:gridSpan w:val="2"/>
          </w:tcPr>
          <w:p>
            <w:pPr>
              <w:ind w:left="320"/>
              <w:spacing w:after="0"/>
              <w:rPr>
                <w:sz w:val="20"/>
                <w:szCs w:val="20"/>
                <w:color w:val="auto"/>
              </w:rPr>
            </w:pPr>
            <w:r>
              <w:rPr>
                <w:rFonts w:ascii="Arial" w:cs="Arial" w:eastAsia="Arial" w:hAnsi="Arial"/>
                <w:sz w:val="18"/>
                <w:szCs w:val="18"/>
                <w:color w:val="auto"/>
              </w:rPr>
              <w:t>Certificate of Amendment of Amended and Restated Certificate of Incorporation.</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3.6(5)</w:t>
            </w:r>
          </w:p>
        </w:tc>
        <w:tc>
          <w:tcPr>
            <w:tcW w:w="420" w:type="dxa"/>
            <w:vAlign w:val="bottom"/>
          </w:tcPr>
          <w:p>
            <w:pPr>
              <w:spacing w:after="0"/>
              <w:rPr>
                <w:sz w:val="24"/>
                <w:szCs w:val="24"/>
                <w:color w:val="auto"/>
              </w:rPr>
            </w:pPr>
          </w:p>
        </w:tc>
        <w:tc>
          <w:tcPr>
            <w:tcW w:w="10500" w:type="dxa"/>
            <w:vAlign w:val="bottom"/>
            <w:gridSpan w:val="2"/>
          </w:tcPr>
          <w:p>
            <w:pPr>
              <w:ind w:left="320"/>
              <w:spacing w:after="0"/>
              <w:rPr>
                <w:sz w:val="20"/>
                <w:szCs w:val="20"/>
                <w:color w:val="auto"/>
              </w:rPr>
            </w:pPr>
            <w:r>
              <w:rPr>
                <w:rFonts w:ascii="Arial" w:cs="Arial" w:eastAsia="Arial" w:hAnsi="Arial"/>
                <w:sz w:val="18"/>
                <w:szCs w:val="18"/>
                <w:color w:val="auto"/>
              </w:rPr>
              <w:t>Amended and Restated Bylaws.</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4.1(6)</w:t>
            </w:r>
          </w:p>
        </w:tc>
        <w:tc>
          <w:tcPr>
            <w:tcW w:w="420" w:type="dxa"/>
            <w:vAlign w:val="bottom"/>
          </w:tcPr>
          <w:p>
            <w:pPr>
              <w:spacing w:after="0"/>
              <w:rPr>
                <w:sz w:val="24"/>
                <w:szCs w:val="24"/>
                <w:color w:val="auto"/>
              </w:rPr>
            </w:pPr>
          </w:p>
        </w:tc>
        <w:tc>
          <w:tcPr>
            <w:tcW w:w="10500" w:type="dxa"/>
            <w:vAlign w:val="bottom"/>
            <w:gridSpan w:val="2"/>
          </w:tcPr>
          <w:p>
            <w:pPr>
              <w:ind w:left="320"/>
              <w:spacing w:after="0"/>
              <w:rPr>
                <w:sz w:val="20"/>
                <w:szCs w:val="20"/>
                <w:color w:val="auto"/>
              </w:rPr>
            </w:pPr>
            <w:r>
              <w:rPr>
                <w:rFonts w:ascii="Arial" w:cs="Arial" w:eastAsia="Arial" w:hAnsi="Arial"/>
                <w:sz w:val="18"/>
                <w:szCs w:val="18"/>
                <w:color w:val="auto"/>
              </w:rPr>
              <w:t>Indenture, by and between MannKind and Wells Fargo Bank, N.A., dated November 1, 2006.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4.2(7)</w:t>
            </w:r>
          </w:p>
        </w:tc>
        <w:tc>
          <w:tcPr>
            <w:tcW w:w="420" w:type="dxa"/>
            <w:vAlign w:val="bottom"/>
          </w:tcPr>
          <w:p>
            <w:pPr>
              <w:spacing w:after="0"/>
              <w:rPr>
                <w:sz w:val="24"/>
                <w:szCs w:val="24"/>
                <w:color w:val="auto"/>
              </w:rPr>
            </w:pPr>
          </w:p>
        </w:tc>
        <w:tc>
          <w:tcPr>
            <w:tcW w:w="10500" w:type="dxa"/>
            <w:vAlign w:val="bottom"/>
            <w:gridSpan w:val="2"/>
          </w:tcPr>
          <w:p>
            <w:pPr>
              <w:ind w:left="320"/>
              <w:spacing w:after="0"/>
              <w:rPr>
                <w:sz w:val="20"/>
                <w:szCs w:val="20"/>
                <w:color w:val="auto"/>
              </w:rPr>
            </w:pPr>
            <w:r>
              <w:rPr>
                <w:rFonts w:ascii="Arial" w:cs="Arial" w:eastAsia="Arial" w:hAnsi="Arial"/>
                <w:sz w:val="18"/>
                <w:szCs w:val="18"/>
                <w:color w:val="auto"/>
              </w:rPr>
              <w:t>First Supplemental Indenture, by and between MannKind and Wells Fargo Bank, N.A., dated December 12, 2006.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4.3(7)</w:t>
            </w:r>
          </w:p>
        </w:tc>
        <w:tc>
          <w:tcPr>
            <w:tcW w:w="420" w:type="dxa"/>
            <w:vAlign w:val="bottom"/>
          </w:tcPr>
          <w:p>
            <w:pPr>
              <w:spacing w:after="0"/>
              <w:rPr>
                <w:sz w:val="24"/>
                <w:szCs w:val="24"/>
                <w:color w:val="auto"/>
              </w:rPr>
            </w:pPr>
          </w:p>
        </w:tc>
        <w:tc>
          <w:tcPr>
            <w:tcW w:w="10500" w:type="dxa"/>
            <w:vAlign w:val="bottom"/>
            <w:gridSpan w:val="2"/>
          </w:tcPr>
          <w:p>
            <w:pPr>
              <w:ind w:left="320"/>
              <w:spacing w:after="0"/>
              <w:rPr>
                <w:sz w:val="20"/>
                <w:szCs w:val="20"/>
                <w:color w:val="auto"/>
              </w:rPr>
            </w:pPr>
            <w:r>
              <w:rPr>
                <w:rFonts w:ascii="Arial" w:cs="Arial" w:eastAsia="Arial" w:hAnsi="Arial"/>
                <w:sz w:val="18"/>
                <w:szCs w:val="18"/>
                <w:color w:val="auto"/>
              </w:rPr>
              <w:t>Form of 3.75% Senior Convertible Note due 2013.</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4.4(11)</w:t>
            </w:r>
          </w:p>
        </w:tc>
        <w:tc>
          <w:tcPr>
            <w:tcW w:w="10500" w:type="dxa"/>
            <w:vAlign w:val="bottom"/>
            <w:gridSpan w:val="2"/>
          </w:tcPr>
          <w:p>
            <w:pPr>
              <w:ind w:left="320"/>
              <w:spacing w:after="0"/>
              <w:rPr>
                <w:sz w:val="20"/>
                <w:szCs w:val="20"/>
                <w:color w:val="auto"/>
              </w:rPr>
            </w:pPr>
            <w:r>
              <w:rPr>
                <w:rFonts w:ascii="Arial" w:cs="Arial" w:eastAsia="Arial" w:hAnsi="Arial"/>
                <w:sz w:val="18"/>
                <w:szCs w:val="18"/>
                <w:color w:val="auto"/>
              </w:rPr>
              <w:t>Form of common stock certificate.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4.5(1)</w:t>
            </w:r>
          </w:p>
        </w:tc>
        <w:tc>
          <w:tcPr>
            <w:tcW w:w="420" w:type="dxa"/>
            <w:vAlign w:val="bottom"/>
          </w:tcPr>
          <w:p>
            <w:pPr>
              <w:spacing w:after="0"/>
              <w:rPr>
                <w:sz w:val="24"/>
                <w:szCs w:val="24"/>
                <w:color w:val="auto"/>
              </w:rPr>
            </w:pPr>
          </w:p>
        </w:tc>
        <w:tc>
          <w:tcPr>
            <w:tcW w:w="10500" w:type="dxa"/>
            <w:vAlign w:val="bottom"/>
            <w:gridSpan w:val="2"/>
          </w:tcPr>
          <w:p>
            <w:pPr>
              <w:ind w:left="320"/>
              <w:spacing w:after="0"/>
              <w:rPr>
                <w:sz w:val="20"/>
                <w:szCs w:val="20"/>
                <w:color w:val="auto"/>
              </w:rPr>
            </w:pPr>
            <w:r>
              <w:rPr>
                <w:rFonts w:ascii="Arial" w:cs="Arial" w:eastAsia="Arial" w:hAnsi="Arial"/>
                <w:sz w:val="18"/>
                <w:szCs w:val="18"/>
                <w:color w:val="auto"/>
                <w:w w:val="89"/>
              </w:rPr>
              <w:t>Registration Rights Agreement, dated October 15, 1998, by and among CTL ImmunoTherapies Corp., Medical Research Group, LLC, McLean</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gridSpan w:val="2"/>
          </w:tcPr>
          <w:p>
            <w:pPr>
              <w:ind w:left="320"/>
              <w:spacing w:after="0"/>
              <w:rPr>
                <w:sz w:val="20"/>
                <w:szCs w:val="20"/>
                <w:color w:val="auto"/>
              </w:rPr>
            </w:pPr>
            <w:r>
              <w:rPr>
                <w:rFonts w:ascii="Arial" w:cs="Arial" w:eastAsia="Arial" w:hAnsi="Arial"/>
                <w:sz w:val="18"/>
                <w:szCs w:val="18"/>
                <w:color w:val="auto"/>
              </w:rPr>
              <w:t>Watson Advisory Inc. and Alfred E. Mann, as amended.</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4.6(8)</w:t>
            </w:r>
          </w:p>
        </w:tc>
        <w:tc>
          <w:tcPr>
            <w:tcW w:w="420" w:type="dxa"/>
            <w:vAlign w:val="bottom"/>
          </w:tcPr>
          <w:p>
            <w:pPr>
              <w:spacing w:after="0"/>
              <w:rPr>
                <w:sz w:val="24"/>
                <w:szCs w:val="24"/>
                <w:color w:val="auto"/>
              </w:rPr>
            </w:pPr>
          </w:p>
        </w:tc>
        <w:tc>
          <w:tcPr>
            <w:tcW w:w="10500" w:type="dxa"/>
            <w:vAlign w:val="bottom"/>
            <w:gridSpan w:val="2"/>
          </w:tcPr>
          <w:p>
            <w:pPr>
              <w:ind w:left="320"/>
              <w:spacing w:after="0"/>
              <w:rPr>
                <w:sz w:val="20"/>
                <w:szCs w:val="20"/>
                <w:color w:val="auto"/>
              </w:rPr>
            </w:pPr>
            <w:r>
              <w:rPr>
                <w:rFonts w:ascii="Arial" w:cs="Arial" w:eastAsia="Arial" w:hAnsi="Arial"/>
                <w:sz w:val="18"/>
                <w:szCs w:val="18"/>
                <w:color w:val="auto"/>
              </w:rPr>
              <w:t>Indenture, by and between MannKind and Wells Fargo Bank, N.A., dated August 24, 2010.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4.7(8)</w:t>
            </w:r>
          </w:p>
        </w:tc>
        <w:tc>
          <w:tcPr>
            <w:tcW w:w="420" w:type="dxa"/>
            <w:vAlign w:val="bottom"/>
          </w:tcPr>
          <w:p>
            <w:pPr>
              <w:spacing w:after="0"/>
              <w:rPr>
                <w:sz w:val="24"/>
                <w:szCs w:val="24"/>
                <w:color w:val="auto"/>
              </w:rPr>
            </w:pPr>
          </w:p>
        </w:tc>
        <w:tc>
          <w:tcPr>
            <w:tcW w:w="10500" w:type="dxa"/>
            <w:vAlign w:val="bottom"/>
            <w:gridSpan w:val="2"/>
          </w:tcPr>
          <w:p>
            <w:pPr>
              <w:ind w:left="320"/>
              <w:spacing w:after="0"/>
              <w:rPr>
                <w:sz w:val="20"/>
                <w:szCs w:val="20"/>
                <w:color w:val="auto"/>
              </w:rPr>
            </w:pPr>
            <w:r>
              <w:rPr>
                <w:rFonts w:ascii="Arial" w:cs="Arial" w:eastAsia="Arial" w:hAnsi="Arial"/>
                <w:sz w:val="18"/>
                <w:szCs w:val="18"/>
                <w:color w:val="auto"/>
              </w:rPr>
              <w:t>Form of 5.75% Senior Convertible Note due 2015.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4.8(9)</w:t>
            </w:r>
          </w:p>
        </w:tc>
        <w:tc>
          <w:tcPr>
            <w:tcW w:w="420" w:type="dxa"/>
            <w:vAlign w:val="bottom"/>
          </w:tcPr>
          <w:p>
            <w:pPr>
              <w:spacing w:after="0"/>
              <w:rPr>
                <w:sz w:val="24"/>
                <w:szCs w:val="24"/>
                <w:color w:val="auto"/>
              </w:rPr>
            </w:pPr>
          </w:p>
        </w:tc>
        <w:tc>
          <w:tcPr>
            <w:tcW w:w="10500" w:type="dxa"/>
            <w:vAlign w:val="bottom"/>
            <w:gridSpan w:val="2"/>
          </w:tcPr>
          <w:p>
            <w:pPr>
              <w:ind w:left="320"/>
              <w:spacing w:after="0"/>
              <w:rPr>
                <w:sz w:val="20"/>
                <w:szCs w:val="20"/>
                <w:color w:val="auto"/>
              </w:rPr>
            </w:pPr>
            <w:r>
              <w:rPr>
                <w:rFonts w:ascii="Arial" w:cs="Arial" w:eastAsia="Arial" w:hAnsi="Arial"/>
                <w:sz w:val="18"/>
                <w:szCs w:val="18"/>
                <w:color w:val="auto"/>
              </w:rPr>
              <w:t>Form of Warrant to Purchase Common Stock issued February 8, 2012.</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4.9(12)</w:t>
            </w:r>
          </w:p>
        </w:tc>
        <w:tc>
          <w:tcPr>
            <w:tcW w:w="10500" w:type="dxa"/>
            <w:vAlign w:val="bottom"/>
            <w:gridSpan w:val="2"/>
          </w:tcPr>
          <w:p>
            <w:pPr>
              <w:ind w:left="320"/>
              <w:spacing w:after="0"/>
              <w:rPr>
                <w:sz w:val="20"/>
                <w:szCs w:val="20"/>
                <w:color w:val="auto"/>
              </w:rPr>
            </w:pPr>
            <w:r>
              <w:rPr>
                <w:rFonts w:ascii="Arial" w:cs="Arial" w:eastAsia="Arial" w:hAnsi="Arial"/>
                <w:sz w:val="18"/>
                <w:szCs w:val="18"/>
                <w:color w:val="auto"/>
              </w:rPr>
              <w:t>Form of Warrant to Purchase Common Stock issued October 23, 2012.</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4.10(11)</w:t>
            </w:r>
          </w:p>
        </w:tc>
        <w:tc>
          <w:tcPr>
            <w:tcW w:w="10500" w:type="dxa"/>
            <w:vAlign w:val="bottom"/>
            <w:gridSpan w:val="2"/>
          </w:tcPr>
          <w:p>
            <w:pPr>
              <w:ind w:left="320"/>
              <w:spacing w:after="0"/>
              <w:rPr>
                <w:sz w:val="20"/>
                <w:szCs w:val="20"/>
                <w:color w:val="auto"/>
              </w:rPr>
            </w:pPr>
            <w:r>
              <w:rPr>
                <w:rFonts w:ascii="Arial" w:cs="Arial" w:eastAsia="Arial" w:hAnsi="Arial"/>
                <w:sz w:val="18"/>
                <w:szCs w:val="18"/>
                <w:color w:val="auto"/>
              </w:rPr>
              <w:t>Form of Warrant to Purchase Common Stock issued December 21, 2012.</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10.1(11)</w:t>
            </w:r>
          </w:p>
        </w:tc>
        <w:tc>
          <w:tcPr>
            <w:tcW w:w="10500" w:type="dxa"/>
            <w:vAlign w:val="bottom"/>
            <w:gridSpan w:val="2"/>
          </w:tcPr>
          <w:p>
            <w:pPr>
              <w:ind w:left="320"/>
              <w:spacing w:after="0"/>
              <w:rPr>
                <w:sz w:val="20"/>
                <w:szCs w:val="20"/>
                <w:color w:val="auto"/>
              </w:rPr>
            </w:pPr>
            <w:r>
              <w:rPr>
                <w:rFonts w:ascii="Arial" w:cs="Arial" w:eastAsia="Arial" w:hAnsi="Arial"/>
                <w:sz w:val="18"/>
                <w:szCs w:val="18"/>
                <w:color w:val="auto"/>
              </w:rPr>
              <w:t>At-The-Market Issuance Sales Agreement, dated March 18, 2013, by and between MannKind and MLV &amp; Co. LLC.</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10.2(11)</w:t>
            </w:r>
          </w:p>
        </w:tc>
        <w:tc>
          <w:tcPr>
            <w:tcW w:w="10500" w:type="dxa"/>
            <w:vAlign w:val="bottom"/>
            <w:gridSpan w:val="2"/>
          </w:tcPr>
          <w:p>
            <w:pPr>
              <w:ind w:left="320"/>
              <w:spacing w:after="0"/>
              <w:rPr>
                <w:sz w:val="20"/>
                <w:szCs w:val="20"/>
                <w:color w:val="auto"/>
              </w:rPr>
            </w:pPr>
            <w:r>
              <w:rPr>
                <w:rFonts w:ascii="Arial" w:cs="Arial" w:eastAsia="Arial" w:hAnsi="Arial"/>
                <w:sz w:val="18"/>
                <w:szCs w:val="18"/>
                <w:color w:val="auto"/>
                <w:w w:val="92"/>
              </w:rPr>
              <w:t>At-The-Market Issuance Sales Agreement, dated March 18, 2013, by and between MannKind and Brinson Patrick Securities Corporation.</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4"/>
                <w:szCs w:val="24"/>
                <w:color w:val="auto"/>
              </w:rPr>
            </w:pPr>
          </w:p>
        </w:tc>
        <w:tc>
          <w:tcPr>
            <w:tcW w:w="10500" w:type="dxa"/>
            <w:vAlign w:val="bottom"/>
            <w:gridSpan w:val="2"/>
          </w:tcPr>
          <w:p>
            <w:pPr>
              <w:ind w:left="320"/>
              <w:spacing w:after="0"/>
              <w:rPr>
                <w:sz w:val="20"/>
                <w:szCs w:val="20"/>
                <w:color w:val="auto"/>
              </w:rPr>
            </w:pPr>
            <w:r>
              <w:rPr>
                <w:rFonts w:ascii="Arial" w:cs="Arial" w:eastAsia="Arial" w:hAnsi="Arial"/>
                <w:sz w:val="18"/>
                <w:szCs w:val="18"/>
                <w:color w:val="auto"/>
                <w:w w:val="93"/>
              </w:rPr>
              <w:t>Certification of the Chief Executive Officer Pursuant to Rule 13a-14(a) or 15d-14(a) of the Securities Exchange Act of 1934, as amended.</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4"/>
                <w:szCs w:val="24"/>
                <w:color w:val="auto"/>
              </w:rPr>
            </w:pPr>
          </w:p>
        </w:tc>
        <w:tc>
          <w:tcPr>
            <w:tcW w:w="10500" w:type="dxa"/>
            <w:vAlign w:val="bottom"/>
            <w:gridSpan w:val="2"/>
          </w:tcPr>
          <w:p>
            <w:pPr>
              <w:ind w:left="320"/>
              <w:spacing w:after="0"/>
              <w:rPr>
                <w:sz w:val="20"/>
                <w:szCs w:val="20"/>
                <w:color w:val="auto"/>
              </w:rPr>
            </w:pPr>
            <w:r>
              <w:rPr>
                <w:rFonts w:ascii="Arial" w:cs="Arial" w:eastAsia="Arial" w:hAnsi="Arial"/>
                <w:sz w:val="18"/>
                <w:szCs w:val="18"/>
                <w:color w:val="auto"/>
                <w:w w:val="93"/>
              </w:rPr>
              <w:t>Certification of the Chief Financial Officer Pursuant to Rule 13a-14(a) or 15d-14(a) of the Securities Exchange Act of 1934, as amended.</w:t>
            </w:r>
          </w:p>
        </w:tc>
      </w:tr>
    </w:tbl>
    <w:p>
      <w:pPr>
        <w:spacing w:after="0" w:line="102" w:lineRule="exact"/>
        <w:rPr>
          <w:sz w:val="20"/>
          <w:szCs w:val="20"/>
          <w:color w:val="auto"/>
        </w:rPr>
      </w:pPr>
    </w:p>
    <w:p>
      <w:pPr>
        <w:ind w:left="1240" w:right="260" w:hanging="1232"/>
        <w:spacing w:after="0" w:line="332"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Certifications of the Chief Executive Officer and Chief Financial Officer Pursuant to Rule 13a-14(b) or 15d-14(b) of the Securities Exchange Act of 1934, as amended and Section 1350 of Chapter 63 of Title 18 of the United States Code (18 U.S.C. § 1350).</w:t>
      </w:r>
    </w:p>
    <w:p>
      <w:pPr>
        <w:spacing w:after="0" w:line="3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Files pursuant to Rule 405 of Regulation 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Incorporated by reference to MannKind’s registration statement on Form S-1 (File No. 333-115020), filed with the SEC on April 30, 2004, as amended.</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 No. 000-50865), filed with the SEC on August 9,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 No. 000-50865), filed with the SEC on August 2,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 No. 000-50865), filed with the SEC on August 4,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November 19, 2007.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Incorporated by reference to MannKind’s registration statement on Form S-3 (File No. 333-138373), filed with the SEC on November 2, 2006.</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Incorporated by reference to MannKind’s current report on Form 8-K (File No. 000-50865), filed with the SEC on December 12, 2006.</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Incorporated by reference to MannKind’s current report on Form 8-K (File No. 000-50865), filed with the SEC on August 24,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Incorporated by reference to MannKind’s current report on Form 8-K (File No. 000-50865), filed with the SEC on February 6, 2012.</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Incorporated by reference to MannKind’s current report on Form 8-K (File No. 000-50865), filed with the SEC on December 24, 2012.</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Incorporated by reference to MannKind’s annual report on Form 10-K (File No. 000-50865), filed with the SEC on March 18, 2013.</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Incorporated by reference to MannKind’s current report on Form 8-K (File No. 000-50865), filed with the SEC on October 19, 2012.</w:t>
      </w:r>
    </w:p>
    <w:p>
      <w:pPr>
        <w:spacing w:after="0" w:line="1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500"/>
          </w:cols>
          <w:pgMar w:left="240" w:top="459" w:right="11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ectPr>
          <w:pgSz w:w="11900" w:h="16838" w:orient="portrait"/>
          <w:cols w:equalWidth="0" w:num="1">
            <w:col w:w="10940"/>
          </w:cols>
          <w:pgMar w:left="240" w:top="459" w:right="71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Dated: May 10, 2013</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MANNKIND CORPORATION</w:t>
      </w:r>
    </w:p>
    <w:p>
      <w:pPr>
        <w:spacing w:after="0" w:line="200" w:lineRule="exact"/>
        <w:rPr>
          <w:sz w:val="20"/>
          <w:szCs w:val="20"/>
          <w:color w:val="auto"/>
        </w:rPr>
      </w:pPr>
    </w:p>
    <w:p>
      <w:pPr>
        <w:sectPr>
          <w:pgSz w:w="11900" w:h="16838" w:orient="portrait"/>
          <w:cols w:equalWidth="0" w:num="2">
            <w:col w:w="5120" w:space="720"/>
            <w:col w:w="5100"/>
          </w:cols>
          <w:pgMar w:left="240" w:top="459" w:right="719" w:bottom="1440" w:gutter="0" w:footer="0" w:header="0"/>
          <w:type w:val="continuous"/>
        </w:sectPr>
      </w:pPr>
    </w:p>
    <w:p>
      <w:pPr>
        <w:spacing w:after="0" w:line="48"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M</w:t>
      </w:r>
      <w:r>
        <w:rPr>
          <w:rFonts w:ascii="Arial" w:cs="Arial" w:eastAsia="Arial" w:hAnsi="Arial"/>
          <w:sz w:val="13"/>
          <w:szCs w:val="13"/>
          <w:color w:val="auto"/>
        </w:rPr>
        <w:t>ATTHEW</w:t>
      </w:r>
      <w:r>
        <w:rPr>
          <w:rFonts w:ascii="Arial" w:cs="Arial" w:eastAsia="Arial" w:hAnsi="Arial"/>
          <w:sz w:val="16"/>
          <w:szCs w:val="16"/>
          <w:color w:val="auto"/>
        </w:rPr>
        <w:t xml:space="preserve"> J. P</w:t>
      </w:r>
      <w:r>
        <w:rPr>
          <w:rFonts w:ascii="Arial" w:cs="Arial" w:eastAsia="Arial" w:hAnsi="Arial"/>
          <w:sz w:val="13"/>
          <w:szCs w:val="13"/>
          <w:color w:val="auto"/>
        </w:rPr>
        <w:t>FEFFER</w:t>
      </w:r>
    </w:p>
    <w:p>
      <w:pPr>
        <w:spacing w:after="0" w:line="40" w:lineRule="exact"/>
        <w:rPr>
          <w:sz w:val="20"/>
          <w:szCs w:val="20"/>
          <w:color w:val="auto"/>
        </w:rPr>
      </w:pPr>
    </w:p>
    <w:p>
      <w:pPr>
        <w:sectPr>
          <w:pgSz w:w="11900" w:h="16838" w:orient="portrait"/>
          <w:cols w:equalWidth="0" w:num="2">
            <w:col w:w="7240" w:space="720"/>
            <w:col w:w="2980"/>
          </w:cols>
          <w:pgMar w:left="240" w:top="459" w:right="719" w:bottom="1440" w:gutter="0" w:footer="0" w:header="0"/>
          <w:type w:val="continuous"/>
        </w:sectPr>
      </w:pPr>
    </w:p>
    <w:p>
      <w:pPr>
        <w:jc w:val="center"/>
        <w:ind w:left="6280"/>
        <w:spacing w:after="0"/>
        <w:rPr>
          <w:sz w:val="20"/>
          <w:szCs w:val="20"/>
          <w:color w:val="auto"/>
        </w:rPr>
      </w:pPr>
      <w:r>
        <w:rPr>
          <w:rFonts w:ascii="Arial" w:cs="Arial" w:eastAsia="Arial" w:hAnsi="Arial"/>
          <w:sz w:val="18"/>
          <w:szCs w:val="18"/>
          <w:b w:val="1"/>
          <w:bCs w:val="1"/>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33274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 w:lineRule="exact"/>
        <w:rPr>
          <w:sz w:val="20"/>
          <w:szCs w:val="20"/>
          <w:color w:val="auto"/>
        </w:rPr>
      </w:pPr>
    </w:p>
    <w:p>
      <w:pPr>
        <w:jc w:val="center"/>
        <w:ind w:left="6280"/>
        <w:spacing w:after="0"/>
        <w:rPr>
          <w:sz w:val="20"/>
          <w:szCs w:val="20"/>
          <w:color w:val="auto"/>
        </w:rPr>
      </w:pPr>
      <w:r>
        <w:rPr>
          <w:rFonts w:ascii="Arial" w:cs="Arial" w:eastAsia="Arial" w:hAnsi="Arial"/>
          <w:sz w:val="15"/>
          <w:szCs w:val="15"/>
          <w:b w:val="1"/>
          <w:bCs w:val="1"/>
          <w:i w:val="1"/>
          <w:iCs w:val="1"/>
          <w:color w:val="auto"/>
        </w:rPr>
        <w:t>Corporate Vice President and Chief Financial Officer</w:t>
      </w:r>
    </w:p>
    <w:p>
      <w:pPr>
        <w:spacing w:after="0" w:line="44" w:lineRule="exact"/>
        <w:rPr>
          <w:sz w:val="20"/>
          <w:szCs w:val="20"/>
          <w:color w:val="auto"/>
        </w:rPr>
      </w:pPr>
    </w:p>
    <w:p>
      <w:pPr>
        <w:jc w:val="center"/>
        <w:ind w:left="6300"/>
        <w:spacing w:after="0"/>
        <w:rPr>
          <w:sz w:val="20"/>
          <w:szCs w:val="20"/>
          <w:color w:val="auto"/>
        </w:rPr>
      </w:pPr>
      <w:r>
        <w:rPr>
          <w:rFonts w:ascii="Arial" w:cs="Arial" w:eastAsia="Arial" w:hAnsi="Arial"/>
          <w:sz w:val="18"/>
          <w:szCs w:val="18"/>
          <w:b w:val="1"/>
          <w:bCs w:val="1"/>
          <w:i w:val="1"/>
          <w:iCs w:val="1"/>
          <w:color w:val="auto"/>
        </w:rPr>
        <w:t>(Principal Financial and Accounting Officer)</w:t>
      </w:r>
    </w:p>
    <w:p>
      <w:pPr>
        <w:spacing w:after="0" w:line="165"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0940"/>
          </w:cols>
          <w:pgMar w:left="240" w:top="459" w:right="71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CERTIFICATION OF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Alfred E. Mann, certify that:</w:t>
      </w:r>
    </w:p>
    <w:p>
      <w:pPr>
        <w:spacing w:after="0" w:line="171"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2013 of MannKind Corporation;</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160" w:hanging="257"/>
        <w:spacing w:after="0"/>
        <w:tabs>
          <w:tab w:leader="none" w:pos="11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8"/>
          <w:szCs w:val="18"/>
          <w:color w:val="auto"/>
        </w:rPr>
      </w:pPr>
    </w:p>
    <w:p>
      <w:pPr>
        <w:ind w:left="460" w:right="220" w:firstLine="443"/>
        <w:spacing w:after="0" w:line="268" w:lineRule="auto"/>
        <w:tabs>
          <w:tab w:leader="none" w:pos="1137"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May 10, 2013</w:t>
      </w:r>
      <w:r>
        <w:rPr>
          <w:sz w:val="20"/>
          <w:szCs w:val="20"/>
          <w:color w:val="auto"/>
        </w:rPr>
        <w:tab/>
      </w:r>
      <w:r>
        <w:rPr>
          <w:rFonts w:ascii="Arial" w:cs="Arial" w:eastAsia="Arial" w:hAnsi="Arial"/>
          <w:sz w:val="16"/>
          <w:szCs w:val="16"/>
          <w:color w:val="auto"/>
        </w:rPr>
        <w:t>/s/ 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Alfred E. Mann</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CERTIFICATION OF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Matthew J. Pfeffer, certify that:</w:t>
      </w:r>
    </w:p>
    <w:p>
      <w:pPr>
        <w:spacing w:after="0" w:line="171"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2013 of MannKind Corporation;</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160" w:hanging="257"/>
        <w:spacing w:after="0"/>
        <w:tabs>
          <w:tab w:leader="none" w:pos="11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8"/>
          <w:szCs w:val="18"/>
          <w:color w:val="auto"/>
        </w:rPr>
      </w:pPr>
    </w:p>
    <w:p>
      <w:pPr>
        <w:ind w:left="460" w:right="220" w:firstLine="443"/>
        <w:spacing w:after="0" w:line="268" w:lineRule="auto"/>
        <w:tabs>
          <w:tab w:leader="none" w:pos="1137"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May 10, 2013</w:t>
      </w:r>
      <w:r>
        <w:rPr>
          <w:sz w:val="20"/>
          <w:szCs w:val="20"/>
          <w:color w:val="auto"/>
        </w:rPr>
        <w:tab/>
      </w:r>
      <w:r>
        <w:rPr>
          <w:rFonts w:ascii="Arial" w:cs="Arial" w:eastAsia="Arial" w:hAnsi="Arial"/>
          <w:sz w:val="16"/>
          <w:szCs w:val="16"/>
          <w:color w:val="auto"/>
        </w:rPr>
        <w:t>/s/ 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Matthew J. Pfeffer</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March 31, 2013, as filed with the Securities and Exchange Commission on or about the date hereof to which this certification is attached as Exhibit 32 (the “Report”) and pursuant to the requirement set forth in Rule 13a-14(b) of the Securities Exchange Act of 1934, as amended (the “Exchange Act”), and Section 1350 of Chapter 63 of Title 18 of the United States Code (18 U.S.C. §1350), Alfred E. Mann, Chief Executive Officer of the Company, and Matthew J. Pfeffer, Chief Financial Officer of the Company, each hereby certifies that to the best of his knowledge:</w:t>
      </w:r>
    </w:p>
    <w:p>
      <w:pPr>
        <w:spacing w:after="0" w:line="143" w:lineRule="exact"/>
        <w:rPr>
          <w:sz w:val="20"/>
          <w:szCs w:val="20"/>
          <w:color w:val="auto"/>
        </w:rPr>
      </w:pPr>
    </w:p>
    <w:p>
      <w:pPr>
        <w:ind w:left="640" w:hanging="17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71" w:lineRule="exact"/>
        <w:rPr>
          <w:rFonts w:ascii="Arial" w:cs="Arial" w:eastAsia="Arial" w:hAnsi="Arial"/>
          <w:sz w:val="18"/>
          <w:szCs w:val="18"/>
          <w:color w:val="auto"/>
        </w:rPr>
      </w:pPr>
    </w:p>
    <w:p>
      <w:pPr>
        <w:ind w:right="600" w:firstLine="464"/>
        <w:spacing w:after="0" w:line="438" w:lineRule="auto"/>
        <w:tabs>
          <w:tab w:leader="none" w:pos="6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10, 2013</w:t>
      </w:r>
    </w:p>
    <w:p>
      <w:pPr>
        <w:spacing w:after="0"/>
        <w:rPr>
          <w:rFonts w:ascii="Arial" w:cs="Arial" w:eastAsia="Arial" w:hAnsi="Arial"/>
          <w:sz w:val="18"/>
          <w:szCs w:val="18"/>
          <w:color w:val="auto"/>
        </w:rPr>
      </w:pPr>
      <w:r>
        <w:rPr>
          <w:rFonts w:ascii="Arial" w:cs="Arial" w:eastAsia="Arial" w:hAnsi="Arial"/>
          <w:sz w:val="18"/>
          <w:szCs w:val="18"/>
          <w:color w:val="auto"/>
        </w:rPr>
        <w:t>In witness whereof, the undersigned have set their hands hereto as of the 10th day of May 2013.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E. Mann</w:t>
            </w:r>
          </w:p>
        </w:tc>
        <w:tc>
          <w:tcPr>
            <w:tcW w:w="680" w:type="dxa"/>
            <w:vAlign w:val="bottom"/>
          </w:tcPr>
          <w:p>
            <w:pPr>
              <w:spacing w:after="0"/>
              <w:rPr>
                <w:sz w:val="19"/>
                <w:szCs w:val="19"/>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Pfeffer</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Alfred E. Mann</w:t>
            </w: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Matthew J. Pfeffer</w:t>
            </w: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6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56"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lowerRoman"/>
      <w:start w:val="2"/>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32"/>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6"/>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2019-12-06T08:45:23Z</dcterms:created>
  <dcterms:modified xsi:type="dcterms:W3CDTF">2019-12-06T08:45:23Z</dcterms:modified>
</cp:coreProperties>
</file>