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4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7"/>
              </w:rPr>
              <w:t>28903 North Avenue Paine</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Valencia, California</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91355</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(661) 775-5300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240" w:space="220"/>
            <w:col w:w="260" w:space="80"/>
            <w:col w:w="160" w:space="180"/>
            <w:col w:w="32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August 6, 2012, there were 199,384,118 shares of the registrant’s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14"/>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8200" w:type="dxa"/>
            <w:vAlign w:val="bottom"/>
            <w:gridSpan w:val="10"/>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14"/>
            <w:vMerge w:val="continue"/>
          </w:tcPr>
          <w:p>
            <w:pPr>
              <w:spacing w:after="0"/>
              <w:rPr>
                <w:sz w:val="13"/>
                <w:szCs w:val="13"/>
                <w:color w:val="auto"/>
              </w:rPr>
            </w:pPr>
          </w:p>
        </w:tc>
        <w:tc>
          <w:tcPr>
            <w:tcW w:w="8200" w:type="dxa"/>
            <w:vAlign w:val="bottom"/>
            <w:gridSpan w:val="10"/>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9020" w:type="dxa"/>
            <w:vAlign w:val="bottom"/>
            <w:gridSpan w:val="17"/>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June 30, 2012 and December 31, 2011</w:t>
              </w:r>
            </w:hyperlink>
          </w:p>
        </w:tc>
        <w:tc>
          <w:tcPr>
            <w:tcW w:w="53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Three and six months ended June 30, 2012 and 2011 and the period from February 14, 1991 (date</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of inception) to June 30, 2012</w:t>
              </w:r>
            </w:hyperlink>
          </w:p>
        </w:tc>
        <w:tc>
          <w:tcPr>
            <w:tcW w:w="8220" w:type="dxa"/>
            <w:vAlign w:val="bottom"/>
            <w:tcBorders>
              <w:top w:val="single" w:sz="8" w:color="0000EE"/>
            </w:tcBorders>
            <w:gridSpan w:val="12"/>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Loss: Three and six months ended June 30, 2012 and 2011 and the period from February 14,</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2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1991 (date of inception) to June 30, 2012</w:t>
              </w:r>
            </w:hyperlink>
          </w:p>
        </w:tc>
        <w:tc>
          <w:tcPr>
            <w:tcW w:w="5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Six months ended June 30, 2012 and 2011 and the period from February 14, 1991 (date of</w:t>
              </w:r>
            </w:hyperlink>
          </w:p>
        </w:tc>
        <w:tc>
          <w:tcPr>
            <w:tcW w:w="94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inception) to June 30,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4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4. Controls and Procedures</w:t>
              </w:r>
            </w:hyperlink>
          </w:p>
        </w:tc>
        <w:tc>
          <w:tcPr>
            <w:tcW w:w="87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1. Legal Proceedings</w:t>
              </w:r>
            </w:hyperlink>
          </w:p>
        </w:tc>
        <w:tc>
          <w:tcPr>
            <w:tcW w:w="660" w:type="dxa"/>
            <w:vAlign w:val="bottom"/>
            <w:tcBorders>
              <w:top w:val="single" w:sz="8" w:color="0000EE"/>
            </w:tcBorders>
            <w:gridSpan w:val="6"/>
          </w:tcPr>
          <w:p>
            <w:pPr>
              <w:spacing w:after="0"/>
              <w:rPr>
                <w:sz w:val="17"/>
                <w:szCs w:val="17"/>
                <w:color w:val="auto"/>
              </w:rPr>
            </w:pPr>
          </w:p>
        </w:tc>
        <w:tc>
          <w:tcPr>
            <w:tcW w:w="85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Item 1A. Risk Factors</w:t>
              </w:r>
            </w:hyperlink>
          </w:p>
        </w:tc>
        <w:tc>
          <w:tcPr>
            <w:tcW w:w="94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Item 2. Unregistered Sales of Equity Securities and Use of Proceeds</w:t>
              </w:r>
            </w:hyperlink>
          </w:p>
        </w:tc>
        <w:tc>
          <w:tcPr>
            <w:tcW w:w="62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Item 3. Defaults Upon Senior Securities</w:t>
              </w:r>
            </w:hyperlink>
          </w:p>
        </w:tc>
        <w:tc>
          <w:tcPr>
            <w:tcW w:w="82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4. Mine Safety Disclosures</w:t>
              </w:r>
            </w:hyperlink>
          </w:p>
        </w:tc>
        <w:tc>
          <w:tcPr>
            <w:tcW w:w="87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5. Other Information</w:t>
              </w:r>
            </w:hyperlink>
          </w:p>
        </w:tc>
        <w:tc>
          <w:tcPr>
            <w:tcW w:w="92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 Exhibits</w:t>
              </w:r>
            </w:hyperlink>
          </w:p>
        </w:tc>
        <w:tc>
          <w:tcPr>
            <w:tcW w:w="99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04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AFREZZA</w:t>
      </w:r>
      <w:r>
        <w:rPr>
          <w:rFonts w:ascii="Arial" w:cs="Arial" w:eastAsia="Arial" w:hAnsi="Arial"/>
          <w:sz w:val="11"/>
          <w:szCs w:val="11"/>
          <w:color w:val="auto"/>
        </w:rPr>
        <w:t>®</w:t>
      </w:r>
      <w:r>
        <w:rPr>
          <w:rFonts w:ascii="Arial" w:cs="Arial" w:eastAsia="Arial" w:hAnsi="Arial"/>
          <w:sz w:val="18"/>
          <w:szCs w:val="18"/>
          <w:color w:val="auto"/>
        </w:rPr>
        <w:t>, MedTone</w:t>
      </w:r>
      <w:r>
        <w:rPr>
          <w:rFonts w:ascii="Arial" w:cs="Arial" w:eastAsia="Arial" w:hAnsi="Arial"/>
          <w:sz w:val="11"/>
          <w:szCs w:val="11"/>
          <w:color w:val="auto"/>
        </w:rPr>
        <w:t>®</w:t>
      </w:r>
      <w:r>
        <w:rPr>
          <w:rFonts w:ascii="Arial" w:cs="Arial" w:eastAsia="Arial" w:hAnsi="Arial"/>
          <w:sz w:val="18"/>
          <w:szCs w:val="18"/>
          <w:color w:val="auto"/>
        </w:rPr>
        <w:t xml:space="preserve"> and Technosphere</w:t>
      </w:r>
      <w:r>
        <w:rPr>
          <w:rFonts w:ascii="Arial" w:cs="Arial" w:eastAsia="Arial" w:hAnsi="Arial"/>
          <w:sz w:val="11"/>
          <w:szCs w:val="11"/>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June 30,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tcBorders>
              <w:top w:val="single" w:sz="8" w:color="CCEEFF"/>
            </w:tcBorders>
            <w:shd w:val="clear" w:color="auto" w:fill="CCEEFF"/>
          </w:tcPr>
          <w:p>
            <w:pPr>
              <w:ind w:left="37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Available for sale securities and certificate of deposit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50,345</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189,159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240,392</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shd w:val="clear" w:color="auto" w:fill="CCEEFF"/>
          </w:tcPr>
          <w:p>
            <w:pPr>
              <w:ind w:left="216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49,624</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211,184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218,142</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484,767</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w w:val="94"/>
              </w:rPr>
              <w:t>Undesignated preferred stock, $0.01 par value — 10,000,000 shares authorized; no shares issued or outstanding at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2012 and December 31, 2011</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Common stock, $0.01 par value — 350,000,000 and 250,000,000 shares authorized at June 30, 2012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w w:val="94"/>
              </w:rPr>
              <w:t>December 31, 2011, respectively; 199,300,833 and 131,522,945 shares issued and outstanding at June 30, 2012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and December 31, 2011, respectively</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1,993</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1,763,939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(2,010,298)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(1,935,546)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(244,375)</w:t>
            </w: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240,392</w:t>
            </w: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7"/>
          </w:tcPr>
          <w:p>
            <w:pPr>
              <w:jc w:val="right"/>
              <w:ind w:right="680"/>
              <w:spacing w:after="0" w:line="149" w:lineRule="exact"/>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2"/>
                <w:szCs w:val="12"/>
                <w:color w:val="auto"/>
              </w:rPr>
            </w:pPr>
          </w:p>
        </w:tc>
        <w:tc>
          <w:tcPr>
            <w:tcW w:w="206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17,416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8,890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20,652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407,424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1,995,423</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(44,054)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(39,186)</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(77,987)</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(77,187)</w:t>
            </w: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(1,992,292)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(3,028)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36,990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(36,578)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(44,480)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(74,751)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(86,005)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(36,578)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(44,480)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(74,751)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(86,005)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(2,010,298)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(36,578)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(44,480)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(74,751)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(86,005)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(2,033,510)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 applicable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159,859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121,708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151,506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121,385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120" w:type="dxa"/>
            <w:vAlign w:val="bottom"/>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4"/>
          </w:tcPr>
          <w:p>
            <w:pPr>
              <w:jc w:val="right"/>
              <w:ind w:right="740"/>
              <w:spacing w:after="0" w:line="149"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21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21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(36,578)</w:t>
            </w:r>
          </w:p>
        </w:tc>
        <w:tc>
          <w:tcPr>
            <w:tcW w:w="4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(44,480)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(74,751)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(86,005)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translation (loss) gain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holding gain (loss) during the period</w:t>
            </w: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8"/>
        </w:trPr>
        <w:tc>
          <w:tcPr>
            <w:tcW w:w="6000" w:type="dxa"/>
            <w:vAlign w:val="bottom"/>
          </w:tcPr>
          <w:p>
            <w:pPr>
              <w:ind w:left="880"/>
              <w:spacing w:after="0"/>
              <w:rPr>
                <w:sz w:val="20"/>
                <w:szCs w:val="20"/>
                <w:color w:val="auto"/>
              </w:rPr>
            </w:pPr>
            <w:r>
              <w:rPr>
                <w:rFonts w:ascii="Arial" w:cs="Arial" w:eastAsia="Arial" w:hAnsi="Arial"/>
                <w:sz w:val="18"/>
                <w:szCs w:val="18"/>
                <w:color w:val="auto"/>
                <w:w w:val="97"/>
              </w:rPr>
              <w:t>Less: reclassification adjustment for gains (losses) included in net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0" w:type="dxa"/>
            <w:vAlign w:val="bottom"/>
          </w:tcPr>
          <w:p>
            <w:pPr>
              <w:ind w:left="1080"/>
              <w:spacing w:after="0"/>
              <w:rPr>
                <w:sz w:val="20"/>
                <w:szCs w:val="20"/>
                <w:color w:val="auto"/>
              </w:rPr>
            </w:pPr>
            <w:r>
              <w:rPr>
                <w:rFonts w:ascii="Arial" w:cs="Arial" w:eastAsia="Arial" w:hAnsi="Arial"/>
                <w:sz w:val="18"/>
                <w:szCs w:val="18"/>
                <w:color w:val="auto"/>
              </w:rPr>
              <w:t>loss</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(loss) gain on investments</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(36,572)</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(44,528)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(74,698)</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(86,041)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(2,010,297)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5"/>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w w:val="85"/>
              </w:rPr>
              <w:t>$ (74,751)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(86,005)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(2,010,298)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4,701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Stock expense for shares issued pursuant to research agreement</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sale, abandonment/disposal or impairment of property and equipment</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23, 498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Accrued interest on investments, net of amortization of discounts</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available-for-sale securities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Fair value adjustment of warrant liability</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(2,709)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of forward purchase contract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State research and development credit exchange receivable</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33,308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vMerge w:val="continue"/>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(57,504)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(67,447)</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(1,533,905)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(796,779)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3,828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992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10,424</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on notes payable to related party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18,000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837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28,374</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1,893,037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$ 28,</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958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(41,291)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66,061</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$ 31,</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639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24,770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31,639</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Interest paid in cash, net of amounts capitalized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10,136</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on redeemable convertible preferred stock</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common stock upon conversion of notes payable</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additional paid-in capital resulting from merger</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common stock for notes receivable</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put option by stockholder</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Put option redemption by stockholder</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Series C convertible preferred stock subscriptions</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Series A redeemable convertible preferred stock</w:t>
            </w:r>
          </w:p>
        </w:tc>
        <w:tc>
          <w:tcPr>
            <w:tcW w:w="3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Series A redeemable convertible preferred stock</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Non-cash construction in progress and property and equipment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Capitalization of interest on note payable to related party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tcPr>
          <w:p>
            <w:pPr>
              <w:ind w:left="440"/>
              <w:spacing w:after="0"/>
              <w:rPr>
                <w:sz w:val="20"/>
                <w:szCs w:val="20"/>
                <w:color w:val="auto"/>
              </w:rPr>
            </w:pPr>
            <w:r>
              <w:rPr>
                <w:rFonts w:ascii="Arial" w:cs="Arial" w:eastAsia="Arial" w:hAnsi="Arial"/>
                <w:sz w:val="18"/>
                <w:szCs w:val="18"/>
                <w:color w:val="auto"/>
              </w:rPr>
              <w:t>Cancellation of principal on note payable to related party</w:t>
            </w:r>
          </w:p>
        </w:tc>
        <w:tc>
          <w:tcPr>
            <w:tcW w:w="2120" w:type="dxa"/>
            <w:vAlign w:val="bottom"/>
          </w:tcPr>
          <w:p>
            <w:pPr>
              <w:jc w:val="right"/>
              <w:ind w:right="212"/>
              <w:spacing w:after="0"/>
              <w:rPr>
                <w:sz w:val="20"/>
                <w:szCs w:val="20"/>
                <w:color w:val="auto"/>
              </w:rPr>
            </w:pPr>
            <w:r>
              <w:rPr>
                <w:rFonts w:ascii="Arial" w:cs="Arial" w:eastAsia="Arial" w:hAnsi="Arial"/>
                <w:sz w:val="18"/>
                <w:szCs w:val="18"/>
                <w:color w:val="auto"/>
              </w:rPr>
              <w:t>77,187</w:t>
            </w: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11,116</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104,984</w:t>
            </w:r>
          </w:p>
        </w:tc>
      </w:tr>
      <w:tr>
        <w:trPr>
          <w:trHeight w:val="217"/>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 liability</w:t>
            </w:r>
          </w:p>
        </w:tc>
        <w:tc>
          <w:tcPr>
            <w:tcW w:w="2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7,632</w:t>
            </w:r>
          </w:p>
        </w:tc>
        <w:tc>
          <w:tcPr>
            <w:tcW w:w="1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7,632</w:t>
            </w: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Forward purchase contract contribution to additional paid-in capital</w:t>
            </w:r>
          </w:p>
        </w:tc>
        <w:tc>
          <w:tcPr>
            <w:tcW w:w="2120" w:type="dxa"/>
            <w:vAlign w:val="bottom"/>
          </w:tcPr>
          <w:p>
            <w:pPr>
              <w:jc w:val="right"/>
              <w:ind w:right="212"/>
              <w:spacing w:after="0"/>
              <w:rPr>
                <w:sz w:val="20"/>
                <w:szCs w:val="20"/>
                <w:color w:val="auto"/>
              </w:rPr>
            </w:pPr>
            <w:r>
              <w:rPr>
                <w:rFonts w:ascii="Arial" w:cs="Arial" w:eastAsia="Arial" w:hAnsi="Arial"/>
                <w:sz w:val="18"/>
                <w:szCs w:val="18"/>
                <w:color w:val="auto"/>
              </w:rPr>
              <w:t>1,080</w:t>
            </w:r>
          </w:p>
        </w:tc>
        <w:tc>
          <w:tcPr>
            <w:tcW w:w="1240" w:type="dxa"/>
            <w:vAlign w:val="bottom"/>
          </w:tcPr>
          <w:p>
            <w:pPr>
              <w:ind w:left="5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1,080</w:t>
            </w: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of forward purchase contract to additional paid-in capital</w:t>
            </w:r>
          </w:p>
        </w:tc>
        <w:tc>
          <w:tcPr>
            <w:tcW w:w="2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13,091</w:t>
            </w:r>
          </w:p>
        </w:tc>
        <w:tc>
          <w:tcPr>
            <w:tcW w:w="1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13,091</w:t>
            </w:r>
          </w:p>
        </w:tc>
      </w:tr>
    </w:tbl>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2011 (which includes disclosures regarding the Company’s ability to continue as a going concern) are included in the Company’s annual report on Form 10-K for the fiscal year ended December 31, 2011 filed with the SEC on March 15, 2012 (the “Annual Report”).</w:t>
      </w:r>
    </w:p>
    <w:p>
      <w:pPr>
        <w:spacing w:after="0" w:line="11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six months ended June 30, 2012 may not be indicative of the results that may be expected for the full year.</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assessing long-lived assets for impairment, accrued expenses including the valuation of warrant liabilities, the valuation of stock-based compensation and the determination of the provision for income taxes and corresponding deferred tax assets and liabilities and any valuation allowance recorded against net deferred tax assets.</w:t>
      </w:r>
    </w:p>
    <w:p>
      <w:pPr>
        <w:spacing w:after="0" w:line="14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 xml:space="preserve">Business — </w:t>
      </w:r>
      <w:r>
        <w:rPr>
          <w:rFonts w:ascii="Arial" w:cs="Arial" w:eastAsia="Arial" w:hAnsi="Arial"/>
          <w:sz w:val="16"/>
          <w:szCs w:val="16"/>
          <w:color w:val="auto"/>
        </w:rPr>
        <w:t>The Company is a biopharmaceutical company focused on the discovery and development of therapeutic products for diseases such as diabetes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The 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1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It is costly to develop therapeutic products and conduct clinical trials for these products. Since its inception through June 30, 2012 the Company has reported accumulated net losses of $2.0 billion, which include a goodwill impairment charge of $151.4 million, and cumulative negative cash flow from operations of $1.5 billion. At June 30, 2012, the Company’s capital resources consisted of cash, cash equivalents, and a certificate of deposit of $32.0 million and $26.9 million of available borrowings under the loan agreement with an entity controlled by the Company’s principal stockholder (see Note 11 — Related-party arrangements). Based upon the Company’s current expectations, management believes the Company’s existing capital resources will enable it to continue planned operations into the fourth quarter of 2012. However, the Company cannot provide assurances that its plans will not change or that changed circumstances will not result in the depletion of its capital resources more rapidly than it currently anticipates. The Company will need to raise additional capital, whether through the sale of equity or debt securities, a strategic business collaboration with a pharmaceutical company, the establishment of other funding facilities, licensing arrangements, assets sales or other means, or an increase in the borrowings available under the loan arrangement with its related party, in order to continue the development and commercialization of AFREZZA and other product candidates and to support its other ongoing activities. This raises substantial doubt about the Company’s ability to continue as a going concern. The financial statements do not include any adjustments that might result from the outcome of these uncertainties.</w:t>
      </w:r>
    </w:p>
    <w:p>
      <w:pPr>
        <w:spacing w:after="0" w:line="12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b w:val="1"/>
          <w:bCs w:val="1"/>
          <w:i w:val="1"/>
          <w:iCs w:val="1"/>
          <w:color w:val="auto"/>
        </w:rPr>
        <w:t xml:space="preserve">Fair Value of Financial Instruments — </w:t>
      </w:r>
      <w:r>
        <w:rPr>
          <w:rFonts w:ascii="Arial" w:cs="Arial" w:eastAsia="Arial" w:hAnsi="Arial"/>
          <w:sz w:val="16"/>
          <w:szCs w:val="16"/>
          <w:color w:val="auto"/>
        </w:rPr>
        <w:t>The carrying amounts of financial instruments, which include cash equivalents, available for sale securities, a certificate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 and accounts payable, 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Cash equivalents consist of highly liquid investments, with original or remaining maturities of 90 days or less at the time of purchase, that are readily convertible into cash. As of June 30, 2012 and December 31, 2011, the Company held $31.6 million and $2.7 million, respectively of cash and cash equivalents, consisting primarily of money market funds and the remaining funds in non-interest bearing checking accounts. The fair value of these investments was determined by using quoted prices for identical investments in an active market (Level 1 in the fair value hierarchy).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available for sale securities consisted a common stock investment which the Company had determined to be other than temporarily impaired and had recorded a $117,000 realized loss in the quarter ended March 31, 2012. The certificate of deposit, having a maturity greater than 90 days, is held as collateral for the Company’s commercial credit card programs. The carrying value of the certificate of deposit approximates fair value based on quoted prices for similar instruments in an active market (Level 2 in the fair value hierarchy) and the common stock investment is stated at fair value based on quoted prices in an active market (Level 1 in the fair value hierarchy). As of June 30, 2012 and December 31, 2011, there were available for sale securities and a certificate of deposit of $350,000 and $515,000,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carrying values and estimated fair values of the Company’s senior convertible notes due in 2013 and 2015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June 30, 2012</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38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560" w:type="dxa"/>
            <w:vAlign w:val="bottom"/>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Estimated</w:t>
            </w:r>
          </w:p>
        </w:tc>
        <w:tc>
          <w:tcPr>
            <w:tcW w:w="280" w:type="dxa"/>
            <w:vAlign w:val="bottom"/>
          </w:tcPr>
          <w:p>
            <w:pPr>
              <w:spacing w:after="0"/>
              <w:rPr>
                <w:sz w:val="11"/>
                <w:szCs w:val="11"/>
                <w:color w:val="auto"/>
              </w:rPr>
            </w:pPr>
          </w:p>
        </w:tc>
      </w:tr>
      <w:tr>
        <w:trPr>
          <w:trHeight w:val="161"/>
        </w:trPr>
        <w:tc>
          <w:tcPr>
            <w:tcW w:w="3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Notes due 2013</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114.1</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80" w:type="dxa"/>
            <w:vAlign w:val="bottom"/>
            <w:tcBorders>
              <w:top w:val="single" w:sz="8" w:color="CCEEFF"/>
            </w:tcBorders>
            <w:shd w:val="clear" w:color="auto" w:fill="CCEEFF"/>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Notes due 2015</w:t>
            </w:r>
          </w:p>
        </w:tc>
        <w:tc>
          <w:tcPr>
            <w:tcW w:w="2820" w:type="dxa"/>
            <w:vAlign w:val="bottom"/>
            <w:gridSpan w:val="2"/>
          </w:tcPr>
          <w:p>
            <w:pPr>
              <w:ind w:left="27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97.1</w:t>
            </w:r>
          </w:p>
        </w:tc>
        <w:tc>
          <w:tcPr>
            <w:tcW w:w="5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56.8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60.8</w:t>
            </w:r>
          </w:p>
        </w:tc>
      </w:tr>
    </w:tbl>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estimated fair value of the senior convertible notes due 2013 was calculated based on quoted prices in an active market (Level 1 in the fair value hierarchy). The estimated fair value of the senior convertible notes due 2015 was calculated based on model derived valuations whose inputs were observable, such as the Company’s stock price, and non-observable, such as the Company’s long-term historical volatility (Level 3 in the fair value hierarchy). As there is no current observable market for the senior convertible notes due 2015,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14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estimated fair value of the warrant liability was calculated based on the Black-Scholes option pricing model (Level 3 in the fair value hierarchy). See Note 9 – Warrant Liability for further discussion.</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estimated fair value of Mann Purchase Agreement was based on a forward purchase contract valuation (Level 3 in the fair value hierarchy). See Note 8-Common and Preferred Stock for further discussion.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roll-forward provides a summary of changes in fair value of the Company’s Level 3 financial assets and liabilities (in thousands):</w:t>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Balance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Issuance</w:t>
      </w:r>
    </w:p>
    <w:p>
      <w:pPr>
        <w:spacing w:after="0" w:line="23" w:lineRule="exact"/>
        <w:rPr>
          <w:sz w:val="20"/>
          <w:szCs w:val="20"/>
          <w:color w:val="auto"/>
        </w:rPr>
      </w:pPr>
    </w:p>
    <w:p>
      <w:pPr>
        <w:ind w:left="460" w:right="2060"/>
        <w:spacing w:after="0" w:line="308" w:lineRule="auto"/>
        <w:rPr>
          <w:sz w:val="20"/>
          <w:szCs w:val="20"/>
          <w:color w:val="auto"/>
        </w:rPr>
      </w:pPr>
      <w:r>
        <w:rPr>
          <w:rFonts w:ascii="Arial" w:cs="Arial" w:eastAsia="Arial" w:hAnsi="Arial"/>
          <w:sz w:val="16"/>
          <w:szCs w:val="16"/>
          <w:color w:val="auto"/>
        </w:rPr>
        <w:t>Adjustments to fair value included in other income Transfers to additional paid-in-capital</w:t>
      </w:r>
    </w:p>
    <w:p>
      <w:pPr>
        <w:ind w:left="46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7"/>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June 30, 2012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2012</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w w:val="97"/>
              </w:rPr>
              <w:t>Forward</w:t>
            </w:r>
          </w:p>
        </w:tc>
        <w:tc>
          <w:tcPr>
            <w:tcW w:w="5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rPr>
              <w:t>Forward</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85"/>
              </w:rPr>
              <w:t>Purchase</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Warrant</w:t>
            </w:r>
          </w:p>
        </w:tc>
        <w:tc>
          <w:tcPr>
            <w:tcW w:w="240" w:type="dxa"/>
            <w:vAlign w:val="bottom"/>
          </w:tcPr>
          <w:p>
            <w:pPr>
              <w:spacing w:after="0"/>
              <w:rPr>
                <w:sz w:val="12"/>
                <w:szCs w:val="12"/>
                <w:color w:val="auto"/>
              </w:rPr>
            </w:pPr>
          </w:p>
        </w:tc>
        <w:tc>
          <w:tcPr>
            <w:tcW w:w="9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8"/>
              </w:rPr>
              <w:t>Purchase</w:t>
            </w:r>
          </w:p>
        </w:tc>
        <w:tc>
          <w:tcPr>
            <w:tcW w:w="24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Warrant</w:t>
            </w:r>
          </w:p>
        </w:tc>
      </w:tr>
      <w:tr>
        <w:trPr>
          <w:trHeight w:val="161"/>
        </w:trPr>
        <w:tc>
          <w:tcPr>
            <w:tcW w:w="20" w:type="dxa"/>
            <w:vAlign w:val="bottom"/>
          </w:tcPr>
          <w:p>
            <w:pPr>
              <w:spacing w:after="0"/>
              <w:rPr>
                <w:sz w:val="14"/>
                <w:szCs w:val="1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Contract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Liability</w:t>
            </w:r>
          </w:p>
        </w:tc>
        <w:tc>
          <w:tcPr>
            <w:tcW w:w="24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Contract</w:t>
            </w:r>
          </w:p>
        </w:tc>
        <w:tc>
          <w:tcPr>
            <w:tcW w:w="24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Liability</w:t>
            </w:r>
          </w:p>
        </w:tc>
      </w:tr>
      <w:tr>
        <w:trPr>
          <w:trHeight w:val="215"/>
        </w:trPr>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5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$(7,915)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(7,631)</w:t>
            </w: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12,347</w:t>
            </w:r>
          </w:p>
        </w:tc>
        <w:tc>
          <w:tcPr>
            <w:tcW w:w="560" w:type="dxa"/>
            <w:vAlign w:val="bottom"/>
          </w:tcPr>
          <w:p>
            <w:pPr>
              <w:jc w:val="right"/>
              <w:spacing w:after="0"/>
              <w:rPr>
                <w:sz w:val="20"/>
                <w:szCs w:val="20"/>
                <w:color w:val="auto"/>
              </w:rPr>
            </w:pPr>
            <w:r>
              <w:rPr>
                <w:rFonts w:ascii="Arial" w:cs="Arial" w:eastAsia="Arial" w:hAnsi="Arial"/>
                <w:sz w:val="18"/>
                <w:szCs w:val="18"/>
                <w:color w:val="auto"/>
              </w:rPr>
              <w:t>2,993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12,011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2,709</w:t>
            </w: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(13,091)</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(13,091)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(4,922)</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-753745</wp:posOffset>
            </wp:positionV>
            <wp:extent cx="666369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-462280</wp:posOffset>
            </wp:positionV>
            <wp:extent cx="666369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-162560</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6100" w:space="720"/>
            <w:col w:w="4520"/>
          </w:cols>
          <w:pgMar w:left="240" w:top="459" w:right="319" w:bottom="1440" w:gutter="0" w:footer="0" w:header="0"/>
          <w:type w:val="continuous"/>
        </w:sectPr>
      </w:pPr>
    </w:p>
    <w:p>
      <w:pPr>
        <w:ind w:right="20"/>
        <w:spacing w:after="0" w:line="298" w:lineRule="auto"/>
        <w:rPr>
          <w:sz w:val="20"/>
          <w:szCs w:val="20"/>
          <w:color w:val="auto"/>
        </w:rPr>
      </w:pPr>
      <w:r>
        <w:rPr>
          <w:rFonts w:ascii="Arial" w:cs="Arial" w:eastAsia="Arial" w:hAnsi="Arial"/>
          <w:sz w:val="16"/>
          <w:szCs w:val="16"/>
          <w:color w:val="auto"/>
        </w:rPr>
        <w:t>Recently Issued Accounting Standards — 0 In June 2011, the FASB issued Accounting Standards Update No. 2011-05 (“ASU 2011-05”) for Comprehensive Income (Topic 220): “Presentation of Comprehensive Income”. This update improves the comparability, consistency and transparency of financial reporting and increases the prominence of items reported in other comprehensive income. This update is effective for interim and annual periods beginning after December 15, 2011. The Company has adopted all current required provisions of ASU 2011-05 on a retrospective basis.</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May 2011, the FASB issued Accounting Standards Update No. 2011-04 (“ASU 2011-04”) for Fair Value Measurement (Topic 820): “Amendments to Achieve Common Fair Value Measurement and Disclosure Requirements in U.S. GAAP and IFRSs”. This update addresses how to measure fair value and requires new disclosures about fair value measurements. The amendments in this update are effective for interim and annual periods beginning after December 15, 2011. The Company has adopted all current required provisions of ASU 2011-04.</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Available for sale securities and certificate of deposit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 2012</w:t>
            </w: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 2011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640" w:type="dxa"/>
            <w:vAlign w:val="bottom"/>
          </w:tcPr>
          <w:p>
            <w:pPr>
              <w:spacing w:after="0"/>
              <w:rPr>
                <w:sz w:val="12"/>
                <w:szCs w:val="12"/>
                <w:color w:val="auto"/>
              </w:rPr>
            </w:pPr>
          </w:p>
        </w:tc>
        <w:tc>
          <w:tcPr>
            <w:tcW w:w="3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Cost</w:t>
            </w:r>
          </w:p>
        </w:tc>
        <w:tc>
          <w:tcPr>
            <w:tcW w:w="32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66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80"/>
              </w:rPr>
              <w:t>Basis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Gain</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0"/>
              </w:rPr>
              <w:t>Basis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Gain</w:t>
            </w: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 investment</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$ 117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three months ended March 31, 2012, the Company determined its common stock investment to be other than temporarily impaired and recorded the $117,000 realized loss for available-for-sale securities as “Other income (expense)” in the condensed consolidated statements of operations. Gross unrealized gains and losses are included in “Other comprehensive gain (loss).”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Company’s $350,000 certificate of deposit, having a maturity greater than 90 days, is held as collateral for the Company’s commercial credit card programs.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Salary and related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7,087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2,100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Accrued litigation settlement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24,547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49,624</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20,736</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2012 and 2011 was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7200" w:type="dxa"/>
            <w:vAlign w:val="bottom"/>
          </w:tcPr>
          <w:p>
            <w:pPr>
              <w:spacing w:after="0"/>
              <w:rPr>
                <w:sz w:val="14"/>
                <w:szCs w:val="14"/>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20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3,072</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$ 1,993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5,951</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On May 17, 2012, the Compensation Committee approved a management proposal designed to encourage employee retention. The proposal involved the grant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options and restricted stock units to employees, including executive officers of the Company. 3,942,500 options were granted with vesting terms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achievement of certain performance milestones. 3,942,500 options were granted with time-based vesting terms of 25% every 6 months beginning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1, 2012, to be fully vested on May 1, 2014. 62,700 options were granted with time-based vesting terms of 25% after one year and ratably on a monthly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over a period of 36 months thereafter. 50,600 restricted stock units were granted with time-based vesting terms of 25% per year commencing on the first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anniversary. The performance-based options, time-based stock options, and restricted stock units had a grant date per share fair value of $0.60, $1.12 and $1.69,</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grant date fair value of employee stock options. Restricted stock units are valued based on the market price on the grant date. The Company calculated the fair value of employee stock options for the three months ended June 30, 2012 using the following assumptions: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Performance-based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Time-based</w:t>
            </w:r>
          </w:p>
        </w:tc>
      </w:tr>
      <w:tr>
        <w:trPr>
          <w:trHeight w:val="210"/>
        </w:trPr>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0.20%</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 0.32%</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0.74% —1.16%</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Expected lives</w:t>
            </w: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1.2 — 2.1 years</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5.6 — 6.1 years</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70%</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 — 83%</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Dividends</w:t>
            </w:r>
          </w:p>
        </w:tc>
        <w:tc>
          <w:tcPr>
            <w:tcW w:w="54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w:t>
            </w:r>
          </w:p>
        </w:tc>
      </w:tr>
    </w:tbl>
    <w:p>
      <w:pPr>
        <w:spacing w:after="0" w:line="147" w:lineRule="exact"/>
        <w:rPr>
          <w:sz w:val="20"/>
          <w:szCs w:val="20"/>
          <w:color w:val="auto"/>
        </w:rPr>
      </w:pPr>
    </w:p>
    <w:p>
      <w:pPr>
        <w:ind w:right="260"/>
        <w:spacing w:after="0" w:line="318" w:lineRule="auto"/>
        <w:rPr>
          <w:sz w:val="20"/>
          <w:szCs w:val="20"/>
          <w:color w:val="auto"/>
        </w:rPr>
      </w:pPr>
      <w:r>
        <w:rPr>
          <w:rFonts w:ascii="Arial" w:cs="Arial" w:eastAsia="Arial" w:hAnsi="Arial"/>
          <w:sz w:val="15"/>
          <w:szCs w:val="15"/>
          <w:color w:val="auto"/>
        </w:rPr>
        <w:t>As of June 30, 2012, there was $14.0 million and $11.5 million of unrecognized compensation cost related to options and restricted stock units, respectively, which are expected to be recognized over the remaining weighted average vesting period of 1.9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June 30, 2012, there was $128,000 and $3.7 million of unrecognized expenses related to performance options and restricted stock units, respectively, for milestones not considered probable of achievement.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Basic net loss per share excludes dilution for potentially dilutive securities and is computed by dividing net loss applicable to common stockholders by the weighted average number of common shares outstanding during the period excluding the shares loaned under the share lending arrangement (see Note 8 — Common and preferred stock). As of June 30, 2012, 9,000,000 shares of the Company’s common stock, which were loaned to a share borrower pursuant to the terms of a share lending agreement as described in Note 12,</w:t>
      </w:r>
    </w:p>
    <w:p>
      <w:pPr>
        <w:sectPr>
          <w:pgSz w:w="11900" w:h="16838" w:orient="portrait"/>
          <w:cols w:equalWidth="0" w:num="1">
            <w:col w:w="11420"/>
          </w:cols>
          <w:pgMar w:left="240" w:top="459" w:right="239" w:bottom="882"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882"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61,741,900 shares and 32,048,936 shares as of June 30, 2012 and 2011, respectively, and exclude the 9,000,000 shares loaned under the share lending arrangement.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State research and development credit exchange receivable</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June 30, 2012 and December 31, 2011, the estimated amounts receivable under the program were $658,000 and $473,000,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4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Useful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4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2"/>
              </w:rPr>
              <w:t>June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64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Buildings</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39-40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54,948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114,225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114,247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82,402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83,476</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12,177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13,049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285,395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284,793</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(96,236)</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(91,764)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189,159</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193,029</w:t>
            </w:r>
          </w:p>
        </w:tc>
        <w:tc>
          <w:tcPr>
            <w:tcW w:w="10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17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three and six months ended June 30, 2012 and 2011 was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7200" w:type="dxa"/>
            <w:vAlign w:val="bottom"/>
          </w:tcPr>
          <w:p>
            <w:pPr>
              <w:spacing w:after="0"/>
              <w:rPr>
                <w:sz w:val="14"/>
                <w:szCs w:val="14"/>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720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expense</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3,304</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$ 3,580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6,661</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and preferred stock</w:t>
      </w:r>
    </w:p>
    <w:p>
      <w:pPr>
        <w:spacing w:after="0" w:line="9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February 8, 2012, the Company sold 35,937,500 units in an underwritten public offering, including 4,687,500 units, sold pursuant to the full exercise of an over-allotment option granted to the underwriters, with each unit consisting of one share of common stock and a warrant to purchase 0.6 of a share of common stock. All of the securities were offered by the Company at a combined price to the public of $2.40 per unit and the underwriters purchased the units at a price of $2.256 per unit. Net proceeds from this offering were approximately $80.6 million, excluding any warrant exercises. The 21,562,500 warrants are exercisable at $2.40 per share and expire four years from the date of the issuance (See Note 9 – Warrant liability). The shares of common stock and warrants are immediately separable and were issued separately. Concurrent with the underwritten public offering, The Mann Group LLC (“The Mann Group”) agreed to purchase $77.2 million worth of restricted shares of common stock which will be paid, at the discretion of the Company, by cash or by cancellation of principal indebtedness under the amended loan arrangement, subject to stockholder approval to increase the number of our authorized shares (see Note 11 — Related-party arrangements).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The Company concluded that the Mann Group common stock purchase agreement represented a contingent forward purchase contract that met the definition of a derivative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Of the 31,250,000 shares pursuant to the common stock purchase agreement, the portion of the derivative instrument representing 14.7 million shares were recorded as equity (“Equity Portion”) as they met the criteria for equity classification under ASC 815-40 </w:t>
      </w:r>
      <w:r>
        <w:rPr>
          <w:rFonts w:ascii="Arial" w:cs="Arial" w:eastAsia="Arial" w:hAnsi="Arial"/>
          <w:sz w:val="16"/>
          <w:szCs w:val="16"/>
          <w:i w:val="1"/>
          <w:iCs w:val="1"/>
          <w:color w:val="auto"/>
        </w:rPr>
        <w:t>Derivatives and Hedging, Contracts in an Entity’s Own Stock.</w:t>
      </w:r>
      <w:r>
        <w:rPr>
          <w:rFonts w:ascii="Arial" w:cs="Arial" w:eastAsia="Arial" w:hAnsi="Arial"/>
          <w:sz w:val="16"/>
          <w:szCs w:val="16"/>
          <w:color w:val="auto"/>
        </w:rPr>
        <w:t xml:space="preserve"> The remaining 16.7 million shares (“Non-Equity Portion”) required classification outside of equity as the Company did not have sufficient available shares at the time of issuance and at March 31, 2012. The Company revalues the Non-Equity Portion of the forward purchase contract at each reporting date and records a fair value adjustment within “Other income”. At the time of issuance, the fair value of the forward purchase contract was $2.0 million. The Equity Portion of $0.9 million was classified as equity, and the Non-Equity Portion of $1.1 million was initially recorded to “Prepaid expenses and other current assets.</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May 17, 2012, the Company’s stockholders approved an increase in its authorized shares of common stock from 250,000,000 to 350,000,000. Accordingly, the shares of common stock needed to consummate the Mann Group common stock purchase agreement became available. As of May 17, 2012, the fair value of the Non-Equity Portion was $13.1 million. As of result of receiving stockholder approval of the increase in authorized shares, the Non-Equity Portion met the criteria for equity classification. Consequently, the Company reclassified the $13.1 million from “Prepaid expenses and other current assets” to “Additional paid-in capital.”</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fair value of the forward purchase contract is highly sensitive to the discount applied for lack of marketability and the stock price, and changes in this discount and/or the stock price caused the value of the forward purchase contract to change significantly. As of and for the six months ended June 30, 2012, the Company recognized the change in fair value of $12.0 million in “Other income.” The Company revalued the Non-Equity Portion using a forward contract valuation formula, in which the forward contract is estimated to be equal to the valuation date stock price of $2.40 at issuance and $1.69 at May 17, 2012 minus the strike price discounted to the valuation date using a risk-free rate of 0.08% at issuance and 0.18% at May 17, 2012. As the shares which would be received upon settlement are currently unregistered, the Company applied a discount for lack of marketability of 10.27% at issuance and 1.67% at May 17, 2012 based on quantitative put models, adjusted to take into account qualitative factors, including the fact that the Company’s stock is publicly traded and the fact that there is no contractual restriction on the unregistered shares being registered.</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is authorized to issue 350,000,000 shares of common stock, par value $0.01 per share, and 10,000,000 shares of undesignated preferred stock, par value $0.01 per share, issuable in one or more series designated by the Company’s board of directors. No other class of capital stock is authorized. As of June 30, 2012 and December 31, 2011, 199,300,833 and 131,522,945 shares of common stock, respectively, were issued and outstanding. Included in the common stock outstanding as of June 30, 2012 are 9,000,000 shares of common stock loaned to Bank of America under a share lending agreement in connection with the offering of the $100.0 million aggregate principal amount of 5.75% Senior Convertible Notes due 2015 (see Note 12 — Senior convertible notes). Bank of America is obligated to return the borrowed shares (or, in certain circumstances, the cash value thereof) to the Company on or about the 45th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 As of June 30, 2012 the Company had not issued any shares of undesignated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 liability</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sale of units in February 2012, the Company issued separable warrants representing 21,562,500 shares of common stock which are exercisable at $2.40 per share and are exercisable any time prior to February 8, 2016. Warrants representing 60 shares of common stock have been exercised as of June 30, 2012.</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Of the 21,562,500 shares represented by warrants, 16,145,833 shares were recorded as equity as they met the criteria for equity classification under ASC 815-40 </w:t>
      </w:r>
      <w:r>
        <w:rPr>
          <w:rFonts w:ascii="Arial" w:cs="Arial" w:eastAsia="Arial" w:hAnsi="Arial"/>
          <w:sz w:val="16"/>
          <w:szCs w:val="16"/>
          <w:i w:val="1"/>
          <w:iCs w:val="1"/>
          <w:color w:val="auto"/>
        </w:rPr>
        <w:t>Derivatives and Hedging, Contracts in an Entity’s Own Stock</w:t>
      </w:r>
      <w:r>
        <w:rPr>
          <w:rFonts w:ascii="Arial" w:cs="Arial" w:eastAsia="Arial" w:hAnsi="Arial"/>
          <w:sz w:val="16"/>
          <w:szCs w:val="16"/>
          <w:color w:val="auto"/>
        </w:rPr>
        <w:t>. The remaining warrants representing 5,416,667 shares require liability classification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 the Company did not have sufficient registered shares available at the time of issuance. The fair value of these shares was recorded in accrued expenses and other current liabilities in the condensed consolidated balance sheet. The warrants will be reported as a liability until they are exercised, or at the time that the Company has sufficient registered shares available, at which time the warrants will be adjusted to fair value and reclassified from liabilities to stockholders’ equity.</w:t>
      </w:r>
    </w:p>
    <w:p>
      <w:pPr>
        <w:spacing w:after="0" w:line="12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warrants requiring liability classification were recorded at fair value at issuance and will be adjusted to fair value at each reporting period until exercised or expiration. The fair value of the warrant liability at the date of issuance was $7.6 million and was estimated using the Black-Scholes option pricing model, based on the following assumptions: expected dividend yield of 0%; expected volatility of 93%; risk free interest rate of 0.59%; and contractual term of 4.0 years.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March 31, 2012, the fair value of the warrant liability was $7.9 million and was estimated using the Black-Scholes option pricing model based on the following assumptions: expected dividend yield of 0%; expected volatility of 93%; risk-free interest rate of 0.59%; and contractual term of 4 years. Any change in fair value between reporting periods is recorded as other income (expense) in the condensed consolidated statements of operations. During the quarter ended March 31, 2012, a loss of $284,000 was recognized from the fair value adjustment of the warrant liability.</w:t>
      </w:r>
    </w:p>
    <w:p>
      <w:pPr>
        <w:spacing w:after="0" w:line="1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of June 30, 2012, the fair value of the warrant liability was $4.9 million and was estimated using the Black-Scholes option pricing model based on the following assumptions: expected dividend yield of 0%; expected volatility of 75.7%; risk-free interest rate of 0.41%; and contractual term of 3.6 years. Any change in fair value between reporting periods is recorded as other income (expense) in the condensed consolidated statements of operations. During the quarter ended June 30, 2012, a gain of $3.0 million was recognized from the fair value adjustment of the warrant liability. The fair value of the warrant liability is highly sensitive to the volatility rate used in the option pricing model and an increase in the volatility rate would cause an increase in the warrant liability. The volatility assumption is calculated based on historical activity.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 which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1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The Company is involved in various legal proceedings and other matters. In accordance with ASC 450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records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a liability when it is both probable that a liability has been incurred and the amount of the loss can be reasonably estimated.</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The Securities Action</w:t>
      </w:r>
      <w:r>
        <w:rPr>
          <w:rFonts w:ascii="Arial" w:cs="Arial" w:eastAsia="Arial" w:hAnsi="Arial"/>
          <w:sz w:val="16"/>
          <w:szCs w:val="16"/>
          <w:color w:val="auto"/>
        </w:rPr>
        <w:t>. Beginning January 31, 2011, several complaints were filed in the U.S. District Court for the Central District of California against us and</w:t>
      </w:r>
      <w:r>
        <w:rPr>
          <w:rFonts w:ascii="Arial" w:cs="Arial" w:eastAsia="Arial" w:hAnsi="Arial"/>
          <w:sz w:val="16"/>
          <w:szCs w:val="16"/>
          <w:b w:val="1"/>
          <w:bCs w:val="1"/>
          <w:color w:val="auto"/>
        </w:rPr>
        <w:t xml:space="preserve"> </w:t>
      </w:r>
      <w:r>
        <w:rPr>
          <w:rFonts w:ascii="Arial" w:cs="Arial" w:eastAsia="Arial" w:hAnsi="Arial"/>
          <w:sz w:val="16"/>
          <w:szCs w:val="16"/>
          <w:color w:val="auto"/>
        </w:rPr>
        <w:t>four of our officers – Alfred E. Mann, Hakan S. Edstrom, Dr. Peter C. Richardson and Matthew J. Pfeffer – on behalf of certain purchasers of our common stock. The complaints include claims asserted under Sections 10(b) and 20(a) of the Exchange Act and have been brought as purported shareholder class actions. In general, the complaints allege that the defendants violated federal securities laws by making materially false and misleading statements regarding our business and prospects for AFREZZA, thereby artificially inflating the price of the Company’s common stock. The U.S. District Court for the Central District of California has consolidated the pending actions for all purposes and appointed lead counsel.</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July 23, 2012, the Company, while continuing to deny all allegations of wrongdoing or liability whatsoever arising out of the Securities Action, and without in any way admitting fault or liability, entered into a stipulation of settlement to resolve the Securities Action. Subject to preliminary and final approval of the settlement by the U.S. District Court and notice to potential class members, and in exchange for a release of all claims by the class members, among others, and a dismissal of the consolidated lawsuits, the Company has agreed (i) to cause the Company’s insurers to pay class members and their attorneys a total of $16 million; and (ii) to issue class members and their attorneys 2,777,778 shares of the Company’s common stock. The Company has also agreed that if the consolidated closing bid price for the Company’s common stock is below $1.00 per share on the date the U.S. District Court enters an order of final judgment, then the Company will issue class members and their attorneys an additional one million shares of its common stock. Following final approval of the settlement by the U.S. District Court, the shares will be issued pursuant to an exemption from registration provided by Section 3(a)(10) of the Securities Act of 1933, as amended.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The Derivative Action</w:t>
      </w:r>
      <w:r>
        <w:rPr>
          <w:rFonts w:ascii="Arial" w:cs="Arial" w:eastAsia="Arial" w:hAnsi="Arial"/>
          <w:sz w:val="16"/>
          <w:szCs w:val="16"/>
          <w:color w:val="auto"/>
        </w:rPr>
        <w:t>. In February 2011, shareholder derivative complaints were filed in the Superior Court of California for the County of Los Angeles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U.S. District Court for the Central District of California against all of the Company’s directors and certain of its officers. The complaints in the shareholder derivative actions allege breaches of fiduciary duties by the defendants and other violations of law. In general, the complaints allege that the defendants caused or allowed for the dissemination of materially false and misleading statements regarding its business and prospects for AFREZZA, thereby artificially inflating the price of its common stock. The Superior Court of California for the County of Los Angeles has consolidated the actions pending before it and appointed lead counsel. The U.S. District Court for the Central District of California has also consolidated the derivative actions pending before it.</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August 3, 2012, the Company, while continuing to deny all allegations of wrongdoing or liability whatsoever arising out of the Derivative Actions and without in any way admitting fault or liability, entered into a stipulation of settlement to resolve the Derivative Action. Subject to preliminary and final approval of the settlement by the U.S. District Court and notice to shareholders, and in an exchange for a release of all claims by the plaintiffs, among others, and a dismissal of the Derivative Actions, the Company has agreed (i) to adopt certain corporate governance measures, (ii) to cause the Company’s insurers to pay the plaintiffs’ attorneys a total of $800,000, and (iii) to issue plaintiffs’ attorneys 225,000 shares of the Company’s common stock. Following final approval of the settlement by the U.S. District Court, the shares will be issued pursuant to an exemption from registration provided by Section 3(a)(10) of the Securities Act of 1933, as amended.</w:t>
      </w:r>
    </w:p>
    <w:p>
      <w:pPr>
        <w:spacing w:after="0" w:line="1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 result of settlement discussions with the plaintiffs taking place in the latter part of the quarter ended June 30, 2012 and entering into the stipulation of settlement for the Securities Action on July 23, 2012 and for the Derivative Action on August 3, 2012, the Company determined that the liabilities pertaining to both the securities and derivative lawsuits were probable as of June 30, 2012. The Company’s financial statements as of and for the three months ended June 30, 2012 reflect the following accruals:</w:t>
      </w:r>
    </w:p>
    <w:p>
      <w:pPr>
        <w:spacing w:after="0" w:line="62" w:lineRule="exact"/>
        <w:rPr>
          <w:sz w:val="20"/>
          <w:szCs w:val="20"/>
          <w:color w:val="auto"/>
        </w:rPr>
      </w:pPr>
    </w:p>
    <w:p>
      <w:pPr>
        <w:ind w:left="900" w:right="80" w:hanging="446"/>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Cash consideration</w:t>
      </w:r>
      <w:r>
        <w:rPr>
          <w:rFonts w:ascii="Arial" w:cs="Arial" w:eastAsia="Arial" w:hAnsi="Arial"/>
          <w:sz w:val="18"/>
          <w:szCs w:val="18"/>
          <w:color w:val="auto"/>
        </w:rPr>
        <w:t>. The Company recorded a current liability of $16.8 million under “Accrued expense and other current liabilities”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current asset under “Prepaid expenses and other current asset” to reflect a receivable from the Company’s insurers. The Company has determined that the collectability of the receivable from the insurers is probable. The cash obligation resulted in no charge to the Company’s Condensed Consolidated Statements of Operations for the period.</w:t>
      </w:r>
    </w:p>
    <w:p>
      <w:pPr>
        <w:spacing w:after="0" w:line="62"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Stock consideration</w:t>
      </w:r>
      <w:r>
        <w:rPr>
          <w:rFonts w:ascii="Arial" w:cs="Arial" w:eastAsia="Arial" w:hAnsi="Arial"/>
          <w:sz w:val="18"/>
          <w:szCs w:val="18"/>
          <w:color w:val="auto"/>
        </w:rPr>
        <w:t>. The Company recorded a charge to “General and administrative” expenses and an estimated current liability under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other current liabilities” of $7.7 million representing the estimated fair value of the 3,002,778 common shares to be issued in the aggregate subject to court approval.</w:t>
      </w:r>
    </w:p>
    <w:p>
      <w:pPr>
        <w:spacing w:after="0" w:line="59" w:lineRule="exact"/>
        <w:rPr>
          <w:rFonts w:ascii="Arial" w:cs="Arial" w:eastAsia="Arial" w:hAnsi="Arial"/>
          <w:sz w:val="18"/>
          <w:szCs w:val="18"/>
          <w:color w:val="auto"/>
        </w:rPr>
      </w:pPr>
    </w:p>
    <w:p>
      <w:pPr>
        <w:ind w:left="900" w:hanging="446"/>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Additional stock consideration</w:t>
      </w:r>
      <w:r>
        <w:rPr>
          <w:rFonts w:ascii="Arial" w:cs="Arial" w:eastAsia="Arial" w:hAnsi="Arial"/>
          <w:sz w:val="18"/>
          <w:szCs w:val="18"/>
          <w:color w:val="auto"/>
        </w:rPr>
        <w:t>. The Company concluded that the contingent obligation to issue an additional one million shares of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defined in the stipulation of settlement agreement, met the definition of a derivative instrument in accordance with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The Company estimated the fair value of the derivative instrument using the Monte Carlo simulation model to forecast the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applying probabilities that the stock price will be lower than $1.00 based on the following assumptions: expected volatility of 60%, risk free interest rate of 0.16% and final judgment dates ranging from four to six months. As a result, the Company estimated the fair value of this contingent obligation to be immaterial.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arrangements</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In February 2009, the promissory note underlying the loan arrangement was revised as a result of the principal stockholder being licensed as a finance lender under the California Finance Lenders Law. Accordingly, the lender was revised to The Mann Group. Interest accrues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is payable quarterly in arrears. The borrowing rate was 4.5% at both June 30, 2012 and December 31, 2011, respectively. In August 2010, the Company amended and restated the promissory note to extend the maturity date from December 31, 2011 to December 31, 2012. In January 2012, the Company amended the note with The Mann Group to extend the maturity date from December 31, 2012 to March 31, 2013 and to extend the date through which the Company can continue to borrow under the amended terms of the note until June 30, 2012. In addition, interest is payable on the first day of the calendar quarter following the calendar quarter in which an advance is made, or such other time as the Company and The Mann Group mutually agree. On May 9, 2012, the Company amended the note with The Mann Group to extend the maturity date of the $350.0 million loan arrangement from March 31, 2013 to July 1, 2013. Under the amended and restated promissory note The Mann Group may require the Company to prepay up to $200.0 million in advances that have been outstanding for at least 12 months. If The Mann Group exercises this right, the Company will have 90 days after The Mann Group provides written notice (or the number of days to maturity of the note if less than 90 days) to prepay such advances. On June 27, 2012, the Company amended the note with the Mann Group to allow accrued and unpaid interest that becomes due and payable under the note to be paid-in-kind and capitalized into new principal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indebtedness upon agreement of the parties. In addition, the Company and The Mann Group agreed that the cancelled principal amount related to the common stock purchase agreement (see Note 6 – Common and preferred stock) would be permanently retired and not available for re-borrowing under the note. The amendment also extends the date through which the Company can borrow under the note to December 31, 2012.</w:t>
      </w:r>
    </w:p>
    <w:p>
      <w:pPr>
        <w:spacing w:after="0" w:line="1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August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principal amount outstanding under the loan arrangement as of June 30, 2012, subsequent to the completion of the common stock purchase agreement was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outstanding at December 31, 2011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$277,216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Borrowings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9"/>
              </w:rPr>
              <w:t>Capitalization of accrued and unpaid interest due and payable as of June 27, 2012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w w:val="92"/>
              </w:rPr>
              <w:t>Cancellation of principal indebtedness related to the common stock purchase agreement</w:t>
            </w:r>
          </w:p>
        </w:tc>
        <w:tc>
          <w:tcPr>
            <w:tcW w:w="420" w:type="dxa"/>
            <w:vAlign w:val="bottom"/>
            <w:vMerge w:val="restart"/>
          </w:tcPr>
          <w:p>
            <w:pPr>
              <w:spacing w:after="0"/>
              <w:rPr>
                <w:sz w:val="18"/>
                <w:szCs w:val="18"/>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(77,200)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completed on June 27, 2012</w:t>
            </w:r>
          </w:p>
        </w:tc>
        <w:tc>
          <w:tcPr>
            <w:tcW w:w="42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outstanding at June 30, 2012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of June 30, 2012, the Company had accrued interest of $97,500 related to the remaining principal outstanding and $26.9 million of available borrowings remained under the loan arrangement.</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February 8, 2012, the Company sold $86.3 million worth of units in an underwritten public offering, with each unit consisting of one share of common stock and a warrant to purchase 0.6 of a share of common stock. Concurrent with this public offering, The Mann Group LLC purchased $77.2 million worth of restricted shares of common stock and on June 27, 2012, the Company completed the closing of the sale of 31,250,000 share of its common stock (see Note 8 – Common and preferred stock and Note 11 – Related-party arrangements).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Senior convertible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7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due 2013</w:t>
            </w:r>
          </w:p>
        </w:tc>
        <w:tc>
          <w:tcPr>
            <w:tcW w:w="2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amount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$ 115,000</w:t>
            </w:r>
          </w:p>
        </w:tc>
        <w:tc>
          <w:tcPr>
            <w:tcW w:w="3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114,148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113,860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2015</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amount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(3,218)</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97, 036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96,782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$ 211,184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210,642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August 2010, the Company completed a Rule 144A offering of $100.0 million aggregate principal amount of 5.75% Senior Convertible Notes due 2015. The Notes due 2015 are governed by the terms of an indenture dated as of August 24, 2010 (the “2015 Note Indenture”). The Notes due 2015 bear interest at the rate of 5.75% per year on the principal amount, payable in cash semi-annually in arrears on February 15 and August 15 of each year, beginning February 15, 2011. As of June 30, 2012 and December 31, 2011, the Company had accrued interest of $2.2 million related to the Notes due 2015. The Notes due 2015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2015 is August 15, 2015 and payment is due in full on that date for unconverted securities. Holders of the Notes due 2015 may convert, at any time prior to the close of business on the business day immediately preceding the stated maturity date, any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w:t>
      </w:r>
    </w:p>
    <w:p>
      <w:pPr>
        <w:ind w:right="20" w:firstLine="8"/>
        <w:spacing w:after="0" w:line="284"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will pay a make-whole premium on the Notes due 2015 converted in connection with a fundamental change by increasing the conversion rate on such Notes due 2015, which amount, if any, will be based on the Company’s common stock price and the effective date of the fundamental change, and (2) each holder of Notes due 2015 will have the option to require the Company to repurchase all or any portion of such holder’s Notes due 2015 at a repurchase price of 100% of the principal amount of the Notes due 2015 to be repurchased plus accrued and unpaid interest, if any. The Company may elect to redeem some or all of the Notes due 2015 if the closing stock price has equaled 150% of the conversion price for at least 20 of the 30 consecutive trading days ending on the trading day before the Company’s redemption notice. The redemption price will equal 100% of the principal amount of the Notes due 2015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Notes due 2015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The Company performed an analysis at the time of the offering of the Notes due 2015 and each reporting date since and has concluded that the number of available authorized shares at the time of the offering and each subsequent reporting date was in excess of the maximum number of shares that could be required to be delivered during the contract period under existing commitments, including the outstanding convertible notes, stock options, restricted stock units, warrants, and other potential common stock issuances. The Company incurred approximately $4.2 million in issuance costs which are recorded as an offset to the Notes due 2015 in the accompanying condensed consolidated balance sheets. These costs are being amortized to interest expense using the effective interest method over the term of the Notes due 2015.</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2006, the Company completed a registered offering of $115.0 million aggregate principal amount of 3.75% Senior Convertible Notes due 2013. The Notes due 2013 are governed by the terms of an indenture dated as of November 1, 2006 and a First Supplemental Indenture, dated as of December 12, 2006 (the “2013 Note Indenture”). The Notes due 2013 bear interest at the rate of 3.75% per year on the principal amount, payable in cash semi-annually in arrears on June 15 and December 15 of each year, beginning June 15, 2007. As of June 30, 2012 and December 31, 2011, the Company had accrued interest of $192,000 related to the Notes due 2013. The Notes due 2013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2013 is December 15, 2013 and payment is due in full on that date for unconverted securities. Holders of the Notes due 2013 may convert, at any time prior to the close of business on the business day immediately preceding the stated maturity date, any outstanding principal into shares of the Company’s common stock at an initial conversion rate of 44.5002 shares per $1,000 principal amount, which is equal to a conversion price of approximately $22.47 per share, subject to adjustment. Except in certain circumstances, if the Company undergoes a fundamental change: (1) the Company will pay a make-whole premium on the Notes due 2013 converted in connection with a fundamental change by increasing the conversion rate on such Notes, which amount, if any, will be based on the Company’s common stock price and the effective date of the fundamental change, and (2) each holder of Notes due 2013 will have the option to require the Company to repurchase all or any portion of such holder’s Notes at a repurchase price of 100% of the principal amount of the Notes to be repurchased plus accrued and unpaid interest, if any. Under the terms of the 2013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The Company performed an analysis at the time of the offering of the Notes due 2013 and each reporting date since and has concluded that the number of available authorized shares at the time of the offering and each subsequent reporting date was in excess of the maximum number of shares that could be required to be delivered during the contract period under existing commitments, including the outstanding convertible notes, stock options, restricted stock units, warrants, and other potential common stock issuances.</w:t>
      </w:r>
    </w:p>
    <w:p>
      <w:pPr>
        <w:spacing w:after="0" w:line="129"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The Company incurred approximately $3.7 million in issuance costs which are recorded as an offset to the Notes due 2013 in the accompanying condensed consolidated balance sheets. These costs are being amortized to interest expense using the effective interest method over the term of the Notes due 2013.</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debt issuance expense in connection with the offerings of the Notes due 2015 and the Notes due 2013 during the three and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2012 and 2011 was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80" w:type="dxa"/>
            <w:vAlign w:val="bottom"/>
          </w:tcPr>
          <w:p>
            <w:pPr>
              <w:spacing w:after="0"/>
              <w:rPr>
                <w:sz w:val="14"/>
                <w:szCs w:val="14"/>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8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6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Pr>
          <w:p>
            <w:pPr>
              <w:spacing w:after="0"/>
              <w:rPr>
                <w:sz w:val="12"/>
                <w:szCs w:val="12"/>
                <w:color w:val="auto"/>
              </w:rPr>
            </w:pPr>
          </w:p>
        </w:tc>
        <w:tc>
          <w:tcPr>
            <w:tcW w:w="420" w:type="dxa"/>
            <w:vAlign w:val="bottom"/>
            <w:tcBorders>
              <w:top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4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343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$ 682</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040" w:type="dxa"/>
            <w:vAlign w:val="bottom"/>
            <w:vMerge w:val="restart"/>
          </w:tcPr>
          <w:p>
            <w:pPr>
              <w:jc w:val="right"/>
              <w:ind w:right="1972"/>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36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w:t>
      </w:r>
      <w:r>
        <w:rPr>
          <w:rFonts w:ascii="Arial" w:cs="Arial" w:eastAsia="Arial" w:hAnsi="Arial"/>
          <w:sz w:val="18"/>
          <w:szCs w:val="18"/>
          <w:i w:val="1"/>
          <w:iCs w:val="1"/>
          <w:color w:val="auto"/>
        </w:rPr>
        <w:t>,</w:t>
      </w:r>
      <w:r>
        <w:rPr>
          <w:rFonts w:ascii="Arial" w:cs="Arial" w:eastAsia="Arial" w:hAnsi="Arial"/>
          <w:sz w:val="18"/>
          <w:szCs w:val="18"/>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its history of operating losses. Accordingly, the net deferred tax assets have been fully reserved.</w:t>
      </w:r>
    </w:p>
    <w:p>
      <w:pPr>
        <w:spacing w:after="0" w:line="14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ASC 740-10-25 </w:t>
      </w:r>
      <w:r>
        <w:rPr>
          <w:rFonts w:ascii="Arial" w:cs="Arial" w:eastAsia="Arial" w:hAnsi="Arial"/>
          <w:sz w:val="16"/>
          <w:szCs w:val="16"/>
          <w:i w:val="1"/>
          <w:iCs w:val="1"/>
          <w:color w:val="auto"/>
        </w:rPr>
        <w:t>Income Taxes Recognition</w:t>
      </w:r>
      <w:r>
        <w:rPr>
          <w:rFonts w:ascii="Arial" w:cs="Arial" w:eastAsia="Arial" w:hAnsi="Arial"/>
          <w:sz w:val="16"/>
          <w:szCs w:val="16"/>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2012, the Company entered into a stipulation of settlement to resolve the consolidated class action securities lawsuits. The current and former officers and directors named as individual defendants in the consolidated lawsuits have also entered into the stipulation of settlement which remains subject to preliminary and final approval by the U.S. District Court.</w:t>
      </w:r>
    </w:p>
    <w:p>
      <w:pPr>
        <w:spacing w:after="0" w:line="140"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Subject to preliminary and final approval of the settlement by the U.S. District Court, and in exchange for a release of all claims by the class members, among others, and a dismissal of the consolidated lawsuits, the Company has agreed (i) to cause its insurers to pay class members and their attorneys a total of $16 million; and (ii) to issue to class members and their attorneys 2,777,778 shares of the Company’s common stock. The Company has also agreed that if the consolidated closing bid price for its common stock is below $1.00 per share on the date the U.S. District Court enters an order of final judgment, then the Company will issue class members and their attorneys an additional one million shares of its common stock.</w:t>
      </w:r>
    </w:p>
    <w:p>
      <w:pPr>
        <w:spacing w:after="0" w:line="1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August 3, 2012, the Company, while continuing to deny all allegations of wrongdoing or liability whatsoever arising out of the Derivative Actions, and without in any way admitting fault or liability, entered into a stipulation of settlement to resolve the Derivative Actions. Subject to preliminary and final approval of the settlement by the U.S. District Court and notice to shareholders, and in an exchange for a release of all claims by the plaintiffs, among others, and a dismissal of the Derivative Actions, the Company has agreed (i) to adopt certain corporate governance measures, (ii) to cause the Company’s insurers to pay the plaintiffs’ attorneys a total of $800,000, and (iii) to issue plaintiffs’ attorneys 225,000 shares of the Company’s common stock. Following final approval of the settlement by the U.S. District Court, the shares will be issued pursuant to an exemption from registration provided by Section 3(a)(10) of the Securities Act of 1933, as amended.</w:t>
      </w:r>
    </w:p>
    <w:p>
      <w:pPr>
        <w:spacing w:after="0" w:line="14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 a result of settlement discussions with the plaintiff taking place in the latter part of the quarter ended June 30, 2012 and entering into the stipulation of settlement for Securities Action on July 23, 2012 and for the Derivative Action on August 3, 2012, the Company determined that the liabilities pertaining to both the securities and derivative lawsuits were probable as of June 30, 2012. Accordingly, the Company recorded a litigation settlement accrual in its financial statements as of and for the three months ended June 30, 2012 (see Note 10 — Commitments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2011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We are a biopharmaceutical company focused on the discovery, development and commercialization of therapeutic products for diseases such as diabetes and cancer. Our lead product candidate, AFREZZA (insulin human [rDNA origin]) inhalation powder, is an ultra rapid-acting insulin that is in late-stage clinical investigation for the treatment of adults with type 1 or type 2 diabetes for the control of hyperglycemia.</w:t>
      </w:r>
    </w:p>
    <w:p>
      <w:pPr>
        <w:spacing w:after="0" w:line="10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January 2011, we received a second Complete Response letter in which the FDA requested that we conduct two clinical studies with the Dreamboat inhaler (one in patients with type 1 diabetes and one in patients with type 2 diabetes), with at least one trial including a treatment group using the MedTone inhaler in order to obtain a head-to-head comparison of the pulmonary safety data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two devices. By the fourth quarter of 2011, we were recruiting subjects into both studies. We expect to complete screening for these studies during the third quarter of 2012 and complete the treatment stage of the studies in the second quarter of 2013. We then would expect to submit the results to the FDA as an amendment to our NDA during in the third quarter of 2013. However, the data collected from these clinical trials may not reach statistical significance or otherwise be sufficient to support an amendment to our NDA, or FDA approval. Moreover, there can be no assurance that we will satisfy all of the FDA’s requirements with these two clinical studies or that the FDA will ultimately find our proposed approach to these clinical studies acceptable. The FDA could also request that we conduct additional clinical studies beyond the currently planned studies in order to provide sufficient data for approval of AFREZZA.</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June 30, 2012, we have incurred a cumulative net loss of $2.0 billion and an accumulated stockholders’ deficit of $244.4 million. To date, we have not generated any product revenues and have funded our operations primarily through the sale of equity securities, convertible debt securities and borrowings under our related party loan. As discussed below in “Liquidity and Capital Resources,” this raises substantial doubt about our ability to continue as a going concern.</w:t>
      </w:r>
    </w:p>
    <w:p>
      <w:pPr>
        <w:spacing w:after="0" w:line="11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To date we have not reached an agreement on a collaboration with any of these companies. There can be no assurance that any such collaboration will be available to us on a timely basis or on acceptable terms, if at all.</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2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the clinical development of AFREZZA and new inhalation systems for the treatment of diabetes;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 to sell AFREZZA in the United States and other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development and commercialization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business is subject to significant risks, including but not limited to the risks inherent in our ongoing clinical trials and the regulatory approval process, our potential inability to enter into sales and marketing collaborations or to commercialize our lead product candidate in a timely manner, the results of our research and development efforts, competition from other products and technologies and uncertainties associated with obtaining and enforcing patent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4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 and litigation settlement charges.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2012 and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did not recognize any revenue for the three months ended June 30, 2012 and 2011 or for the six months ended June 30, 2012. We recognized revenue of $50,000 under a license agreement for the six months ended June 30, 2011. We do not anticipate sales of any product prior to regulatory approval and commercialization of AFREZZA.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and six months ended June 30, 2012 and 2011 (dollars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5"/>
              </w:rPr>
              <w:t>Three months ended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54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$13,327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Manufacturing</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9,899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21,131</w:t>
            </w:r>
          </w:p>
        </w:tc>
        <w:tc>
          <w:tcPr>
            <w:tcW w:w="1420" w:type="dxa"/>
            <w:vAlign w:val="bottom"/>
            <w:gridSpan w:val="5"/>
          </w:tcPr>
          <w:p>
            <w:pPr>
              <w:jc w:val="right"/>
              <w:ind w:right="480"/>
              <w:spacing w:after="0"/>
              <w:rPr>
                <w:sz w:val="20"/>
                <w:szCs w:val="20"/>
                <w:color w:val="auto"/>
              </w:rPr>
            </w:pPr>
            <w:r>
              <w:rPr>
                <w:rFonts w:ascii="Arial" w:cs="Arial" w:eastAsia="Arial" w:hAnsi="Arial"/>
                <w:sz w:val="18"/>
                <w:szCs w:val="18"/>
                <w:color w:val="auto"/>
              </w:rPr>
              <w:t>(11,232)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120" w:type="dxa"/>
            <w:vAlign w:val="bottom"/>
            <w:gridSpan w:val="4"/>
          </w:tcPr>
          <w:p>
            <w:pPr>
              <w:jc w:val="right"/>
              <w:ind w:right="412"/>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0" w:type="dxa"/>
            <w:vAlign w:val="bottom"/>
            <w:gridSpan w:val="2"/>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26,638</w:t>
            </w:r>
          </w:p>
        </w:tc>
        <w:tc>
          <w:tcPr>
            <w:tcW w:w="5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30,296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(3,658)</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4"/>
              </w:rPr>
              <w:t>Six months ended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vMerge w:val="restart"/>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54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gridSpan w:val="2"/>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$24,206</w:t>
            </w:r>
          </w:p>
        </w:tc>
        <w:tc>
          <w:tcPr>
            <w:tcW w:w="5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$12,624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11,582</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Manufacturing</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19,992</w:t>
            </w:r>
          </w:p>
        </w:tc>
        <w:tc>
          <w:tcPr>
            <w:tcW w:w="5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35,460</w:t>
            </w:r>
          </w:p>
        </w:tc>
        <w:tc>
          <w:tcPr>
            <w:tcW w:w="300" w:type="dxa"/>
            <w:vAlign w:val="bottom"/>
          </w:tcPr>
          <w:p>
            <w:pPr>
              <w:spacing w:after="0"/>
              <w:rPr>
                <w:sz w:val="18"/>
                <w:szCs w:val="18"/>
                <w:color w:val="auto"/>
              </w:rPr>
            </w:pPr>
          </w:p>
        </w:tc>
        <w:tc>
          <w:tcPr>
            <w:tcW w:w="1420" w:type="dxa"/>
            <w:vAlign w:val="bottom"/>
            <w:gridSpan w:val="5"/>
          </w:tcPr>
          <w:p>
            <w:pPr>
              <w:jc w:val="right"/>
              <w:ind w:right="480"/>
              <w:spacing w:after="0"/>
              <w:rPr>
                <w:sz w:val="20"/>
                <w:szCs w:val="20"/>
                <w:color w:val="auto"/>
              </w:rPr>
            </w:pPr>
            <w:r>
              <w:rPr>
                <w:rFonts w:ascii="Arial" w:cs="Arial" w:eastAsia="Arial" w:hAnsi="Arial"/>
                <w:sz w:val="18"/>
                <w:szCs w:val="18"/>
                <w:color w:val="auto"/>
              </w:rPr>
              <w:t>(15,468)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(2,616)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120" w:type="dxa"/>
            <w:vAlign w:val="bottom"/>
            <w:gridSpan w:val="4"/>
          </w:tcPr>
          <w:p>
            <w:pPr>
              <w:jc w:val="right"/>
              <w:ind w:right="412"/>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71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50,794</w:t>
            </w:r>
          </w:p>
        </w:tc>
        <w:tc>
          <w:tcPr>
            <w:tcW w:w="5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56,585</w:t>
            </w:r>
          </w:p>
        </w:tc>
        <w:tc>
          <w:tcPr>
            <w:tcW w:w="3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(5,791)</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decrease in research and development expenses for the three months ended June 30, 2012, as compared to the three months ended June 30, 2011, was primarily due to the letter agreement that was entered into between us and N.V. Organon, or Organon, now a</w:t>
      </w:r>
    </w:p>
    <w:p>
      <w:pPr>
        <w:sectPr>
          <w:pgSz w:w="11900" w:h="16838" w:orient="portrait"/>
          <w:cols w:equalWidth="0" w:num="1">
            <w:col w:w="11400"/>
          </w:cols>
          <w:pgMar w:left="240" w:top="459" w:right="25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subsidiary of Merck, in June 2011 to settle a dispute that arose between us and Organon in connection with the termination by us of the Supply Agreement. In connection with the letter agreement, we received the first of two shipments of recombinant human insulin from Organon and paid the first $8.0 million installment. During the 2011 quarter, we expensed $4.3 million for insulin received and recorded $3.7 million for a contract cancellation fee. Additionally, we recorded a loss contingency as of June 30, 2011 of $3.9 million representing the portion of the second $8.0 million payment related to the contract cancellation fee. In total, we expensed $11.9 million in 2011 in connection with termination of the Supply Agreement and receipt of the last insulin shipment. This decrease along with decreased salary related costs of $398,000 as a result of the February 2011 reduction in force was partially offset by increased clinical trial related expenses of $7.5 million in connection with studies 171 and 175 which began enrollment in latter 2011 and increased stock based compensation expenses of $701,000 resulting from special stock awards issued to employees.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research and development expenses for the six months ended June 30, 2012 decreased as compared to the six months ended June 30, 2011, primarily due to the $11.9 million expensed in 2011 related to the termination of the Supply Agreement and receipt of the last insulin shipment, restructuring costs of $4.8 million and $2.8 million in stock based compensation expense related to the February 2011 reduction in force offset by $13.9 million of increased clinical trial related expenses in connection with studies 171 and 175 being conducted in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overall research and development expenses will increase in 2012 as a result of our ongoing clinical trials.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and six months ended June 30, 2012 and 2011 (dollars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137"/>
              <w:spacing w:after="0"/>
              <w:rPr>
                <w:sz w:val="20"/>
                <w:szCs w:val="20"/>
                <w:color w:val="auto"/>
              </w:rPr>
            </w:pPr>
            <w:r>
              <w:rPr>
                <w:rFonts w:ascii="Arial" w:cs="Arial" w:eastAsia="Arial" w:hAnsi="Arial"/>
                <w:sz w:val="14"/>
                <w:szCs w:val="14"/>
                <w:b w:val="1"/>
                <w:bCs w:val="1"/>
                <w:color w:val="auto"/>
                <w:w w:val="92"/>
              </w:rPr>
              <w:t>Three months ended</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60" w:type="dxa"/>
            <w:vAlign w:val="bottom"/>
            <w:gridSpan w:val="2"/>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2011</w:t>
            </w:r>
          </w:p>
        </w:tc>
        <w:tc>
          <w:tcPr>
            <w:tcW w:w="46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4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7,519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2"/>
        </w:trPr>
        <w:tc>
          <w:tcPr>
            <w:tcW w:w="6580" w:type="dxa"/>
            <w:vAlign w:val="bottom"/>
          </w:tcPr>
          <w:p>
            <w:pPr>
              <w:spacing w:after="0"/>
              <w:rPr>
                <w:sz w:val="20"/>
                <w:szCs w:val="20"/>
                <w:color w:val="auto"/>
              </w:rPr>
            </w:pPr>
            <w:r>
              <w:rPr>
                <w:rFonts w:ascii="Arial" w:cs="Arial" w:eastAsia="Arial" w:hAnsi="Arial"/>
                <w:sz w:val="18"/>
                <w:szCs w:val="18"/>
                <w:color w:val="auto"/>
              </w:rPr>
              <w:t>Charge for litigation settlement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7,747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w w:val="97"/>
              </w:rPr>
              <w:t>7,747</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1,371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17,416</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8,890</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w w:val="97"/>
              </w:rPr>
              <w:t>8,526</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5"/>
          </w:tcPr>
          <w:p>
            <w:pPr>
              <w:jc w:val="right"/>
              <w:ind w:right="237"/>
              <w:spacing w:after="0"/>
              <w:rPr>
                <w:sz w:val="20"/>
                <w:szCs w:val="20"/>
                <w:color w:val="auto"/>
              </w:rPr>
            </w:pPr>
            <w:r>
              <w:rPr>
                <w:rFonts w:ascii="Arial" w:cs="Arial" w:eastAsia="Arial" w:hAnsi="Arial"/>
                <w:sz w:val="14"/>
                <w:szCs w:val="14"/>
                <w:b w:val="1"/>
                <w:bCs w:val="1"/>
                <w:color w:val="auto"/>
                <w:w w:val="97"/>
              </w:rPr>
              <w:t>Six months ended</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5"/>
              </w:rPr>
              <w:t>$ Change</w:t>
            </w:r>
          </w:p>
        </w:tc>
        <w:tc>
          <w:tcPr>
            <w:tcW w:w="460" w:type="dxa"/>
            <w:vAlign w:val="bottom"/>
            <w:gridSpan w:val="2"/>
            <w:vMerge w:val="restart"/>
          </w:tcPr>
          <w:p>
            <w:pPr>
              <w:spacing w:after="0"/>
              <w:rPr>
                <w:sz w:val="14"/>
                <w:szCs w:val="14"/>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600" w:type="dxa"/>
            <w:vAlign w:val="bottom"/>
            <w:tcBorders>
              <w:right w:val="single" w:sz="8" w:color="CCEEFF"/>
            </w:tcBorders>
            <w:gridSpan w:val="3"/>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00" w:type="dxa"/>
            <w:vAlign w:val="bottom"/>
            <w:tcBorders>
              <w:right w:val="single" w:sz="8" w:color="CCEEFF"/>
            </w:tcBorders>
            <w:gridSpan w:val="3"/>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60" w:type="dxa"/>
            <w:vAlign w:val="bottom"/>
            <w:gridSpan w:val="2"/>
            <w:vMerge w:val="restart"/>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Borders>
              <w:right w:val="single" w:sz="8" w:color="CCEEFF"/>
            </w:tcBorders>
            <w:vMerge w:val="continue"/>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$16,155</w:t>
            </w:r>
          </w:p>
        </w:tc>
        <w:tc>
          <w:tcPr>
            <w:tcW w:w="420" w:type="dxa"/>
            <w:vAlign w:val="bottom"/>
            <w:vMerge w:val="continue"/>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$17,970</w:t>
            </w:r>
          </w:p>
        </w:tc>
        <w:tc>
          <w:tcPr>
            <w:tcW w:w="440" w:type="dxa"/>
            <w:vAlign w:val="bottom"/>
            <w:vMerge w:val="continue"/>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0"/>
              </w:rPr>
              <w:t>$(1,815)</w:t>
            </w:r>
          </w:p>
        </w:tc>
        <w:tc>
          <w:tcPr>
            <w:tcW w:w="460" w:type="dxa"/>
            <w:vAlign w:val="bottom"/>
            <w:gridSpan w:val="2"/>
            <w:vMerge w:val="continue"/>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2"/>
        </w:trPr>
        <w:tc>
          <w:tcPr>
            <w:tcW w:w="6580" w:type="dxa"/>
            <w:vAlign w:val="bottom"/>
          </w:tcPr>
          <w:p>
            <w:pPr>
              <w:spacing w:after="0"/>
              <w:rPr>
                <w:sz w:val="20"/>
                <w:szCs w:val="20"/>
                <w:color w:val="auto"/>
              </w:rPr>
            </w:pPr>
            <w:r>
              <w:rPr>
                <w:rFonts w:ascii="Arial" w:cs="Arial" w:eastAsia="Arial" w:hAnsi="Arial"/>
                <w:sz w:val="18"/>
                <w:szCs w:val="18"/>
                <w:color w:val="auto"/>
              </w:rPr>
              <w:t>Charge for litigation settlement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7,747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7,747</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3,291</w:t>
            </w:r>
          </w:p>
        </w:tc>
        <w:tc>
          <w:tcPr>
            <w:tcW w:w="4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2,682</w:t>
            </w:r>
          </w:p>
        </w:tc>
        <w:tc>
          <w:tcPr>
            <w:tcW w:w="4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27,193</w:t>
            </w: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20,652</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6,541</w:t>
            </w:r>
          </w:p>
        </w:tc>
        <w:tc>
          <w:tcPr>
            <w:tcW w:w="440" w:type="dxa"/>
            <w:vAlign w:val="bottom"/>
          </w:tcPr>
          <w:p>
            <w:pPr>
              <w:spacing w:after="0"/>
              <w:rPr>
                <w:sz w:val="19"/>
                <w:szCs w:val="19"/>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General and administrative expenses for the three months ended June 30, 2012 increased as compared to the same period in the prior year primarily due to an estimated charge for litigation settlement of $7.7 million, increased professional fees of $366,000 related to our defense of litigation, increased consulting fees of $150,000 related to the marketing of Afrezza, and increased stock based compensation expense of $378,000 resulting from special awards issued to employees, offset by decreased salary related costs of $260,000 as a result of the February 2011 reduction in force. For the six months ended June 30, 2012 compared to the same period in the prior year, general and administrative expenses increased due to an estimated charge for litigation settlement of $7.7 million, increased professional fees of $405,000 million related to our defense of litigation, increased consulting fees of $230,000 related to the marketing of Afrezza, offset by decreased salary related costs of $2.5 million as a result of the February 2011 reduction in force.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 income for the three months ended June 30, 2012 increased by $13.3 million as compared to the same period in the prior year due to a gain of $3.0 million recognized resulting from the fair value adjustment of the warrant liability, with the remaining increase primarily due to the adjustment in fair value of the forward purchase contract. Other income for the six months ended June 30, 2012 increased by $13.3 million as compared to the same period in the prior year primarily due to a $12.0 million gain recognized to reflect the adjustment in fair value of the forward purchase contract and a gain of $2.7 million recognized resulting from the fair value adjustment of the warrant liability, partially offset by a realized gain of $1.3 million on foreign exchange hedging contracts recognized for the six months ended June 30,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Interest expense for the three and six months ended June 30, 2012 increased by $0.5 million and $1.1 million, respectively, as compared to the same period in the prior year primarily due to the interest expense associated with additional principal drawn down on our note payable to our principal stockholder.</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have funded our operations primarily through the sale of equity securities, convertible debt securities and borrowings under our related party note.</w:t>
      </w:r>
    </w:p>
    <w:p>
      <w:pPr>
        <w:spacing w:after="0" w:line="19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October 2007, we entered into a loan arrangement with our principal stockholder allowing us to borrow up to a total of $350.0 million.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is payable quarterly in arrears. In August 2010, we amended and restated the existing promissory note evidencing the loan arrangement with The Mann Group to extend the maturity date from December 31, 2011 to December 31, 2012. In January 2012, we amended the note with The Mann Group to extend the maturity date from December 31, 2012 to March 31, 2013 and to extend the date through which we can continue to borrow under the amended terms of the note until June 30, 2012. In addition, interest is payable on the first day of the calendar quarter following the calendar quarter in which an advance is made, or such other time as we mutually agree. On May 9, 2012, we amended the note with The Mann Group to extend the maturity date from March 31, 2013 to July 1, 2013. Under the amended and restated promissory note,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On June 27, 2012, we amended the note with the Mann Group to allow accrued and unpaid interest that becomes due and payable under the note to be paid-in-kind and capitalized into new principal indebtedness upon mutual agreement. In addition, we and The Mann Group agreed that the cancelled principal amount related to the common stock purchase agreement as described below would be permanently retired and not available for re-borrowing under the note. The amendment also extends the date through which we can borrow under the note to December 31, 2012.</w:t>
      </w:r>
    </w:p>
    <w:p>
      <w:pPr>
        <w:spacing w:after="0" w:line="12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August 2010, we and The Mann Group entered into a letter agreement confirming a previous commitment by The Mann Group to not require us to prepay amounts outstanding under the amended and restated promissory note if the prepayment would require us to use our working capital resources.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As of June 30, 2012, the amount borrowed and outstanding under the arrangement was $218.1 million and we had $26.9 million of available borrowings under the arrangement.</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2010, we completed a Rule 144A offering of $100.0 million aggregate principal amount of 5.75% Senior Convertible Notes due 2015. The net proceeds to us from the sale of the notes were approximately $95.8 million, after deducting the discount to the initial purchasers of $3.3 million and the offering expenses paid by us.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offering of the notes, in August 2010, we entered into a share lending agreement with Bank of America, pursuant to which we lent 9,000,000 shares of our common stock to Bank of America, which is obligated to return the borrowed shares (or, in certain circumstances, the cash value thereof) to us on or about the 45</w:t>
      </w:r>
      <w:r>
        <w:rPr>
          <w:rFonts w:ascii="Arial" w:cs="Arial" w:eastAsia="Arial" w:hAnsi="Arial"/>
          <w:sz w:val="11"/>
          <w:szCs w:val="11"/>
          <w:color w:val="auto"/>
        </w:rPr>
        <w:t>th</w:t>
      </w:r>
      <w:r>
        <w:rPr>
          <w:rFonts w:ascii="Arial" w:cs="Arial" w:eastAsia="Arial" w:hAnsi="Arial"/>
          <w:sz w:val="18"/>
          <w:szCs w:val="18"/>
          <w:color w:val="auto"/>
        </w:rPr>
        <w:t xml:space="preserve"> business day following the date as of which the entire principal amount of the notes ceases to be outstanding, subject to extension or acceleration in certain circumstances or early termination at Bank of America’s option.</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Also in August 2010, we entered into an underwriting agreement with Merrill Lynch and Bank of America, pursuant to which the borrowed shares were offered and sold to the public at a fixed price of $5.55 per share. We did not receive any proceeds from the sale of the borrowed shares to the public, but received a lending fee of $90,000 pursuant to the share lending agreement for the use by Bank of America of the borrowed shares. Bank of America received all of the net proceeds from the sale of the borrowed shares to the public.</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On February 8, 2012, we sold $86.3 million worth of units in an underwritten public offering, with each unit consisting of one share of common stock and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0.6 of a share of common stock, and reflects the full exercise of an over-allotment option granted to the underwriters. Net proceeds from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were approximately $80.6 million, excluding any warrant exercises. Concurrent with this public offering, The Mann Group LLC agreed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$77.2 million worth of restricted shares of common stock which was issued on June 27, 2012 upon cancellation of principal indebtedness of $77.2 million, along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capitalization into new principal indebtedness of accrued and unpaid interest due and payable as of June 27, 2012 of approximately $11.9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w:t>
      </w:r>
    </w:p>
    <w:p>
      <w:pPr>
        <w:spacing w:after="0" w:line="16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the six months ended June 30, 2012, we used $57.5 million of cash for our operations and had a net loss $74.8 million, of which $13.3 million consisted of non-cash charges such as depreciation and amortization, and stock-based compensation. By comparison, during the six months ended June 30, 2011, we used $67.4 million of cash for our operations and had a net loss of $86.0 million, of which $12.7 million consisted of non-cash charges such as depreciation and amortization, and stock-based compensation. Cash used for our operations for the six months ended June 30, 2012 decreased by $9.9 million compared to cash used for our operations for the six months ended June 30, 2011 due primarily to termination of a supply agreement in 2011 offset by an increase in clinical trial related expenses in 2012. We expect our negative operating cash flow to continue at least until we obtain regulatory approval and achieve commercialization of AFREZZA.</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used $0.4 million of cash for investing activities during the six months ended June 30, 2012, compared to $2.2 million for the six months ended June 30, 2011, primarily to purchase machinery and equipment to expand our manufacturing operations and our quality systems that support clinical trials for AFREZZA. Cash used in investing activities for the six months ended June 30, 2012 decreased $1.8 million compared to the same period in prior year due to $3.8 million in proceeds received from the early termination of certificates of deposit that were previously held as collateral for foreign exchange hedging instruments during the six months ended June 30, 2011 offset by $5.7 million in increased purchases of machinery and equipment in the first half of 2011.</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financing activities generated $86.8 million of cash for the six months ended June 30, 2012, compared to $28.4 million for the same period in 2011. For the six months ended June 30, 2012, cash from financing activities was primarily from $80.6 million related to the February 2012 issuance of common stock and warrants through the sale of 35,937,500 units, with each unit consisting of one share of common stock and a warrant to purchase 0.6 of a share of common stock as well as the exercise of stock options. Additionally we generated cash of $6.3 million from related party borrowings. For the six months ended June 30, 2011, cash from financing activities was primarily from related party borrowings and the sale of common stock to Seaside during the first quarter of 2011 as well as the exercise of stock options.</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June 30, 2012, we had $32.0 million in cash, cash equivalents and available for sale securities and a $350,000 of certificate of deposit held as collateral for commercial credit card program. We believe our existing cash resources, including the $26.9 million remaining available under our loan arrangement with The Mann Group, will be sufficient to fund our anticipated cash requirements into the fourth quarter of 2012. Accordingly,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This raises substantial doubt about our ability to continue as a going concern.</w:t>
      </w:r>
    </w:p>
    <w:p>
      <w:pPr>
        <w:spacing w:after="0" w:line="11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intend to use our capital resources to continue the development and commercialization of AFREZZA, if approved. In addition, we are expending a portion of our capital to scale up our manufacturing capabilities in our Danbury facilities. We also intend to use our capital resources for general corporate purposes.</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14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2012 we did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are exposed to market risk related to changes in interest rates impacting our short-term investment portfolio as well as the interest rate on our credit facility with The Mann Group. The interest rate on our credit facility with The Mann Group is a fixed rate equal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available for sale securities at June 30, 2012 are comprised of a certificate of deposit. We continue to utilize our $350.0 million credit facility to fund operations. As of June 30, 2012, the amount borrowed and outstanding under the credit facility was $218.1 million, with $26.9 million of available borrowings. The interest rate is fixed at the time of the draw. If interest rates were to increase from levels at June 30, 2012 we could experience a higher level of interest expense than assumed in our current operating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Rules 13a-15(e) and 15d-15(e) of the Exchange Act) as of June 30, 2012. Based on that evaluation, our chief executive officer and chief financial officer concluded that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 evaluation was also performed under the supervision and with the participation of our management, including our Chief Executive Officer and Chief Financial Officer, of any change in our internal control over financial reporting that occurred during our last fiscal quarter that has materially affected, or is reasonably likely to materially affect, our internal control over financial reporting. That evaluation did not identify any change in our internal control over financial reporting during the fiscal quarter ended June 30, 2012 that has materially affected, or is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The Company is involved in various legal proceedings and other matters. In accordance with ASC 450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records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a liability when it is both probable that a liability has been incurred and the amount of the loss can be reasonably estimated.</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The Securities Action</w:t>
      </w:r>
      <w:r>
        <w:rPr>
          <w:rFonts w:ascii="Arial" w:cs="Arial" w:eastAsia="Arial" w:hAnsi="Arial"/>
          <w:sz w:val="16"/>
          <w:szCs w:val="16"/>
          <w:color w:val="auto"/>
        </w:rPr>
        <w:t>. Beginning January 31, 2011, several complaints were filed in the U.S. District Court for the Central District of California against us and</w:t>
      </w:r>
      <w:r>
        <w:rPr>
          <w:rFonts w:ascii="Arial" w:cs="Arial" w:eastAsia="Arial" w:hAnsi="Arial"/>
          <w:sz w:val="16"/>
          <w:szCs w:val="16"/>
          <w:b w:val="1"/>
          <w:bCs w:val="1"/>
          <w:color w:val="auto"/>
        </w:rPr>
        <w:t xml:space="preserve"> </w:t>
      </w:r>
      <w:r>
        <w:rPr>
          <w:rFonts w:ascii="Arial" w:cs="Arial" w:eastAsia="Arial" w:hAnsi="Arial"/>
          <w:sz w:val="16"/>
          <w:szCs w:val="16"/>
          <w:color w:val="auto"/>
        </w:rPr>
        <w:t>four of our officers – Alfred E. Mann, Hakan S. Edstrom, Dr. Peter C. Richardson and Matthew J. Pfeffer – on behalf of certain purchasers of our common stock. The complaints include claims asserted under Sections 10(b) and 20(a) of the Exchange Act and have been brought as purported shareholder class actions. In general, the complaints allege that the defendants violated federal securities laws by making materially false and misleading statements regarding our business and prospects for AFREZZA, thereby artificially inflating the price of our common stock. The U.S. District Court for the Central District of California has consolidated the pending actions for all purposes and appointed lead counsel. We refer to the consolidated federal securities actions as the Securities Action.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July 23, 2012, the defendants, while continuing to deny all allegations of wrongdoing or liability whatsoever arising out of the Securities Action, and without in any way admitting fault or liability, entered into a stipulation of settlement to resolve the Securities Action. Subject to preliminary and final approval of the settlement by the U.S. District Court and notice to potential class members, and in exchange for a release of all claims by the class members, among others, and a dismissal of the consolidated lawsuits, we have agreed (i) to cause our insurers to pay class members and their attorneys a total of $16 million; and (ii) to issue class members and their attorneys 2,777,778 shares of our common stock. We have also agreed that if the consolidated closing bid price for our common stock is below $1.00 per share on the date the U.S. District Court enters an order of final judgment, then we will issue class members and their attorneys an additional one million shares of our common stock. Following final approval of the settlement by the U.S. District Court, the shares will be issued pursuant to an exemption from registration provided by Section 3(a)(10) of the Securities Act of 1933, as amended.</w:t>
      </w:r>
    </w:p>
    <w:p>
      <w:pPr>
        <w:spacing w:after="0" w:line="1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The Derivative Action</w:t>
      </w:r>
      <w:r>
        <w:rPr>
          <w:rFonts w:ascii="Arial" w:cs="Arial" w:eastAsia="Arial" w:hAnsi="Arial"/>
          <w:sz w:val="18"/>
          <w:szCs w:val="18"/>
          <w:color w:val="auto"/>
        </w:rPr>
        <w:t>. In February 2011, shareholder derivative complaints were filed in the Superior Court of California for the County of Los Angeles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U.S. District Court for the Central District of California against all of our directors and certain of our officers. The complaints in the shareholder derivative actions allege breaches of fiduciary duties by the defendants and other violations of law. In general, the complaints allege that the defendants caused or allowed for the dissemination of materially false and misleading statements regarding our business and prospects for AFREZZA, thereby artificially inflating the price of our common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stock. The Superior Court of California for the County of Los Angeles has consolidated the actions pending before it and appointed lead counsel. We refer to the consolidated state derivative actions as the State Derivative Action. The U.S. District Court for the Central District of California has also consolidated the derivative actions pending before it. We refer to the consolidated federal derivative actions as the Federal Derivative Action. We refer to the State Derivative Action and the Federal Derivative Action collectively as the Derivative Actions.</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3, 2012, the defendants, while continuing to deny all allegations of wrongdoing or liability whatsoever arising out of the Derivative Action, and without in any way admitting fault or liability, entered into a stipulation of settlement to resolve the Derivative Action. Subject to preliminary and final approval of the settlement by the U.S. District Court and notice to shareholders, and in an exchange for a release of all claims by the plaintiffs, among others, and a dismissal of the Derivative Actions, we have agreed (i) to adopt certain corporate governance measures, (ii) to cause our insurers to pay the plaintiffs’ attorneys a total of $800,000, and (iii) to issue plaintiffs’ attorneys 225,000 shares of our common stock. Following final approval of the settlement by the U.S. District Court, the shares will be issued pursuant to an exemption from registration provided by Section 3(a)(10) of the Securities Act of 1933, as amended.</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 result of settlement discussions with the plaintiffs taking place in the latter part of the quarter ended June 30, 2012 and entering into the stipulation of settlement for Securities Action on July 23, 2012 and for the Derivative Action on August 3, 2012, the Company determined that the liabilities pertaining to both the securities and derivative lawsuits were probable as of June 30, 2012. The Company’s financial statements as of and for the three months ended June 30, 2012 reflect the following accruals:</w:t>
      </w:r>
    </w:p>
    <w:p>
      <w:pPr>
        <w:spacing w:after="0" w:line="62" w:lineRule="exact"/>
        <w:rPr>
          <w:sz w:val="20"/>
          <w:szCs w:val="20"/>
          <w:color w:val="auto"/>
        </w:rPr>
      </w:pPr>
    </w:p>
    <w:p>
      <w:pPr>
        <w:ind w:left="900" w:right="8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Cash consideration</w:t>
      </w:r>
      <w:r>
        <w:rPr>
          <w:rFonts w:ascii="Arial" w:cs="Arial" w:eastAsia="Arial" w:hAnsi="Arial"/>
          <w:sz w:val="18"/>
          <w:szCs w:val="18"/>
          <w:color w:val="auto"/>
        </w:rPr>
        <w:t>. The Company recorded a current liability of $16.8 million under “Accrued expense and other current liabilities”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current asset under “Prepaid expenses and other current asset” to reflect a receivable from the Company’s insurers. The Company has determined that the collectability from the insurers is probable. The cash obligation resulted in no charge to the Company’s Condensed Consolidated Statements of Operations for the period.</w:t>
      </w:r>
    </w:p>
    <w:p>
      <w:pPr>
        <w:spacing w:after="0" w:line="62"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Stock consideration</w:t>
      </w:r>
      <w:r>
        <w:rPr>
          <w:rFonts w:ascii="Arial" w:cs="Arial" w:eastAsia="Arial" w:hAnsi="Arial"/>
          <w:sz w:val="18"/>
          <w:szCs w:val="18"/>
          <w:color w:val="auto"/>
        </w:rPr>
        <w:t>. The Company recorded a charge to “General and administrative” expenses and an estimated current liability under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other current liabilities” of $7.7 million representing the estimated fair value of the 3,002,778 common shares to be issued in the aggregate subject to court approval.</w:t>
      </w:r>
    </w:p>
    <w:p>
      <w:pPr>
        <w:spacing w:after="0" w:line="59" w:lineRule="exact"/>
        <w:rPr>
          <w:rFonts w:ascii="Arial" w:cs="Arial" w:eastAsia="Arial" w:hAnsi="Arial"/>
          <w:sz w:val="18"/>
          <w:szCs w:val="18"/>
          <w:color w:val="auto"/>
        </w:rPr>
      </w:pPr>
    </w:p>
    <w:p>
      <w:pPr>
        <w:ind w:left="900" w:right="20" w:hanging="446"/>
        <w:spacing w:after="0" w:line="25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Additional stock consideration</w:t>
      </w:r>
      <w:r>
        <w:rPr>
          <w:rFonts w:ascii="Arial" w:cs="Arial" w:eastAsia="Arial" w:hAnsi="Arial"/>
          <w:sz w:val="18"/>
          <w:szCs w:val="18"/>
          <w:color w:val="auto"/>
        </w:rPr>
        <w:t>. The Company concluded that the contingent obligation to issue an additional one million shares of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defined in the stipulation of settlement agreement, met the definition of a derivative instrument in accordance with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The Company estimated the fair value of the derivative instrument using the Monte Carlo simulation model to forecast the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applying probabilities that the stock price will be lower than $1.00 based on the following assumptions: expected volatility of 60%, risk free interest rate of 0.16% and final judgment dates ranging from four to six months. As a result, the Company estimated the fair value of this contingent obligation to be immaterial.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w:t>
      </w:r>
    </w:p>
    <w:p>
      <w:pPr>
        <w:spacing w:after="0" w:line="19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solely on the successful development and commercialization of AFREZZA.</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2011, the FDA issued a Complete Response letter and requested that we conduct additional clinical studies of AFREZZA using our next-generation inhaler. In early May 2011, we held an End-of-Review meeting with the agency to discuss the protocols for the additional studies. In August 2011, we confirmed with the FDA the design of two clinical studies to evaluate the efficacy and safety of AFREZZA administered using our Dreamboat inhaler. We plan to continue working closely with the FDA in our effort to ensure that our clinical studies address the agency’s requests for additional information about AFREZZA. There can be no assurance that we will satisfy all of the FDA’s requirements. The FDA could also again request that we conduct additional clinical trials to provide sufficient data for approval of the NDA. There can be no assurance that we will obtain approval of the NDA in a timely manner or at all.</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significant portion of the research that we have conducted involves new and unproven compounds and technologies, including AFREZZA, Technosphere platform technology and immunotherapy product candidates.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ectPr>
          <w:pgSz w:w="11900" w:h="16838" w:orient="portrait"/>
          <w:cols w:equalWidth="0" w:num="1">
            <w:col w:w="11420"/>
          </w:cols>
          <w:pgMar w:left="240" w:top="459" w:right="239" w:bottom="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have never been profitable or generated positive cash flow from operations and, as of June 30, 2012, we had incurred a cumulative net loss of $2.0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June 30, 2012, we had a stockholders’ deficit of $244.4 million. Our ability to achieve and sustain positive cash flow from operations and profitability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1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Based upon our current expectations, we believe that our existing capital resources, including the available borrowings under our loan arrangement with The Mann Group, as amended, will enable us to continue planned operations into the fourth quarter of 2012. However, we cannot assure you that our plans will not change or that changed circumstances will not result in the depletion of our capital resources more rapidly than we currently anticipate. We will need to raise additional funds, whether through the sale of equity or debt securities, the entry into strategic business collaborations,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However, it may be difficult for us to raise additional funds through these planned measures. As of June 30, 2012, we had a stockholders’ deficit of $244.4 million which may raise concerns about our solvency and affect our ability to raise additional capital. The amount of additional funds we need will depend on a number of factors, including:</w:t>
      </w:r>
    </w:p>
    <w:p>
      <w:pPr>
        <w:spacing w:after="0" w:line="39" w:lineRule="exact"/>
        <w:rPr>
          <w:sz w:val="20"/>
          <w:szCs w:val="20"/>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progress and costs of our clinical trials and research and development activities, including costs of procuring clinical materials and operating our manufacturing facilities;</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 we are able to establish;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degree of success in commercializing AFREZZA assuming receipt of required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legal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decommissioning existing facilities, if we undertake such activities.</w:t>
      </w:r>
    </w:p>
    <w:p>
      <w:pPr>
        <w:spacing w:after="0" w:line="17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have raised capital in the past primarily through the sale of equity and debt securities. We may in the future pursue the sale of additional equity and/or debt securities, or the establishment of other funding facilities including asset based borrowings. There can be no assurances, however, that we will be able to raise additional capital through such an offering on acceptable terms, or at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Because we will not be able to generate operating cash flow before AFREZZA is commercialized, which we expect will require us to reach an agreement with a commercialization partner, we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Deteriorating global economic conditions may have an adverse impact on our loan facility with The Mann Group.</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widely reported,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our loan facility with The Mann Group. If we are unable to draw on The Mann Group loan facility, our business and financial condition may be adversely affected.</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13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2" w:lineRule="exact"/>
        <w:rPr>
          <w:sz w:val="20"/>
          <w:szCs w:val="20"/>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sales and marketing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will decline.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132"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9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 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59" w:lineRule="exact"/>
        <w:rPr>
          <w:sz w:val="20"/>
          <w:szCs w:val="20"/>
          <w:color w:val="auto"/>
        </w:rPr>
      </w:pPr>
    </w:p>
    <w:p>
      <w:pPr>
        <w:jc w:val="both"/>
        <w:ind w:left="900" w:right="20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collected from clinical trials of AFREZZA or our other product candidates may not reach statistical significance or otherwise be sufficient to support FDA or other regulatory approval;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11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140"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6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18"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use our Danbury, Connecticut facility to formulate AFREZZA inhalation powder, fill plastic cartridges with the powder, package the cartridges in blister packs, place the two blister packs into foil pouches and package three pouches plus two inhalers and the package insert as units in 90-unit boxes (and single blister pouch packs for trials). Although this facility has been qualified and undergone an inspection by the FDA in connection with our original NDA submission that sought approval of AFREZZA using our MedTone inhaler, we anticipate that our facility will need to undergo further inspection related to our ability to fill and package cartridges for the next-generation Dreamboat inhaler before we can be approved to distribute the manufactured products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7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206"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80" w:firstLine="8"/>
        <w:spacing w:after="0" w:line="287"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When we purchased the facilities located in Danbury, Connecticut in 2001, there was a soil and groundwater investigation and remediation being conducted by a former site operator (the responsible party) under the oversight of the Connecticut Department of Environmental Protection, or CT DEP, which is continuing. As part of the purchase, we obtained an indemnification from the seller for all known environmental conditions that existed at the time the seller acquired the property. The seller was, in turn, indemnified for these known environmental conditions by the previous owner and its operator (responsible party). We also received an indemnification from the seller for environmental conditions created during its ownership of the property and for environmental problems unknown at the time that the seller acquired the property. These additional indemnities have since expired and were limited to the purchase price we paid for the Danbury facilities.</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construction of our expanded manufacturing facility, we excavated contaminated soil under the footprint of our building expansion location, at a cost of approximately $2.25 million. The responsible party reimbursed us for our increased excavation and disposal costs of contaminated soil in the amount of $1.625 million in July 2010. The responsible party has further agreed to conduct at its expense all work and make all filings necessary to achieve closure for the environmental investigation and remediation being conducted at the site and agreed to pay for or indemnify us for any future costs and expenses we may incur that are directly related to the final closure of the environmental remediation. If we are unable to collect these future costs and expenses, if any, from the responsible party, our business and results of operations may be harmed.</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our primary strategy is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1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for which FDA approval can be obtained, including superiority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perceived advantages and disadvantages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and reimbursement relative to other treatment therapeutics and methods;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third-party payers do not reimburse consumers for our products, our products might not be used or purchased, which would adversely affect our revenues.</w:t>
      </w:r>
    </w:p>
    <w:p>
      <w:pPr>
        <w:spacing w:after="0" w:line="20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2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$10.0 million.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94"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In order to commercialize our product candidates successfully, we will be required to expand our work force, particularly in the areas of manufacturing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4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internal controls over financial reporting are not considered effective, our business and stock price could be adversely affected.</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2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8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difficulties in obtaining approval of AFREZZA or be subject to class warnings in the label for AFREZZA, if approved.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4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although some patents providing protection for our AFREZZA inhalation powder expired in 2012, other patents providing similar protection will remain in force into 2031. In addition, patents providing protection for our inhaler and cartridges will remain in force into 2023, and we have method of treatment claims that can be maintained in force variously until 2029. As and when these different patents expire, AFREZZA could become subject to increased competition. As a consequence, we may not be able to recover our development costs.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and may also affect patent litigation. The USPTO is currently developing regulations and procedures to govern administration of the Leahy-Smith Act, and many of the substantive changes to patent law associated with the Leahy-Smith Act will not become effective until one year or 18 months after its enactment.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4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Interference proceedings brought by the United States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3"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2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status of litigation against us and certain of our executive officers and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5.75% convertible notes due 2015; and</w:t>
      </w:r>
    </w:p>
    <w:p>
      <w:pPr>
        <w:spacing w:after="0" w:line="5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June 30, 2012, Mr. Mann beneficially owned approximately 41.2% of our outstanding shares of capital stock, excluding the 21,562,440 shares of common stock that may be issued from time to time upon exercise of the warrants issued in the February 2012 offering. If further effect is given to the issuance of 31,250,000 restricted shares of our common stock in the concurrent private placement issuable upon receipt of stockholder approval to increase the number of our authorized shares, as of June 30, 2012, Mr. Mann would have beneficially owned [approximately 41.7%]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18"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80"/>
        <w:spacing w:after="0" w:line="284" w:lineRule="auto"/>
        <w:rPr>
          <w:sz w:val="20"/>
          <w:szCs w:val="20"/>
          <w:color w:val="auto"/>
        </w:rPr>
      </w:pPr>
      <w:r>
        <w:rPr>
          <w:rFonts w:ascii="Arial" w:cs="Arial" w:eastAsia="Arial" w:hAnsi="Arial"/>
          <w:sz w:val="16"/>
          <w:szCs w:val="16"/>
          <w:color w:val="auto"/>
        </w:rPr>
        <w:t>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Mr. Mann’s shares of our capital stock become the property of the foundations, we cannot assure you as to how those shares will be distributed or how they will be voted.</w:t>
      </w:r>
    </w:p>
    <w:p>
      <w:pPr>
        <w:spacing w:after="0" w:line="13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June 30, 2012, we had 199,300,833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14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8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95" w:lineRule="exact"/>
        <w:rPr>
          <w:sz w:val="20"/>
          <w:szCs w:val="20"/>
          <w:color w:val="auto"/>
        </w:rPr>
      </w:pPr>
    </w:p>
    <w:p>
      <w:pPr>
        <w:ind w:right="4500"/>
        <w:spacing w:after="0" w:line="369"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On January 1, 2012, we adopted 2011-05, Comprehensive Income (Topic 220): Presentation of Comprehensive Income (ASU 2011-05) which requires presentation of the components of net income (loss) and other comprehensive income (loss) either as one continuous statement or as two consecutive statements and eliminates the option to present components of other comprehensive income as part of the statement of changes in stockholders’ equity. The following presents the retrospective application of ASU 2011-05 for each of the three years ended December 31: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MannKind Corporation and Subsidiaries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20"/>
                <w:szCs w:val="20"/>
                <w:color w:val="auto"/>
              </w:rPr>
            </w:pPr>
            <w:r>
              <w:rPr>
                <w:rFonts w:ascii="Arial" w:cs="Arial" w:eastAsia="Arial" w:hAnsi="Arial"/>
                <w:sz w:val="14"/>
                <w:szCs w:val="14"/>
                <w:i w:val="1"/>
                <w:iCs w:val="1"/>
                <w:color w:val="auto"/>
              </w:rPr>
              <w:t>Thousands,</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360" w:type="dxa"/>
            <w:vAlign w:val="bottom"/>
          </w:tcPr>
          <w:p>
            <w:pPr>
              <w:spacing w:after="0"/>
              <w:rPr>
                <w:sz w:val="20"/>
                <w:szCs w:val="20"/>
                <w:color w:val="auto"/>
              </w:rPr>
            </w:pPr>
            <w:r>
              <w:rPr>
                <w:rFonts w:ascii="Arial" w:cs="Arial" w:eastAsia="Arial" w:hAnsi="Arial"/>
                <w:sz w:val="14"/>
                <w:szCs w:val="14"/>
                <w:i w:val="1"/>
                <w:iCs w:val="1"/>
                <w:color w:val="auto"/>
              </w:rPr>
              <w:t>for the Three Years Ended December 31,</w:t>
            </w:r>
          </w:p>
        </w:tc>
        <w:tc>
          <w:tcPr>
            <w:tcW w:w="18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5"/>
                <w:szCs w:val="15"/>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5"/>
                <w:szCs w:val="15"/>
                <w:color w:val="auto"/>
              </w:rPr>
            </w:pPr>
          </w:p>
        </w:tc>
        <w:tc>
          <w:tcPr>
            <w:tcW w:w="8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$(160,804)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$(170,560)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$(220,104)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Cumulative translation (loss) gain</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Unrealized gain (loss) on investments: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Unrealized holding gain (loss)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7360" w:type="dxa"/>
            <w:vAlign w:val="bottom"/>
          </w:tcPr>
          <w:p>
            <w:pPr>
              <w:ind w:left="1300"/>
              <w:spacing w:after="0"/>
              <w:rPr>
                <w:sz w:val="20"/>
                <w:szCs w:val="20"/>
                <w:color w:val="auto"/>
              </w:rPr>
            </w:pPr>
            <w:r>
              <w:rPr>
                <w:rFonts w:ascii="Arial" w:cs="Arial" w:eastAsia="Arial" w:hAnsi="Arial"/>
                <w:sz w:val="18"/>
                <w:szCs w:val="18"/>
                <w:color w:val="auto"/>
              </w:rPr>
              <w:t>Less: reclassification adjustment for gains (losses) included in net loss</w:t>
            </w: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unrealized (loss) gain on investments</w:t>
            </w:r>
          </w:p>
        </w:tc>
        <w:tc>
          <w:tcPr>
            <w:tcW w:w="1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60" w:type="dxa"/>
            <w:vAlign w:val="bottom"/>
            <w:vMerge w:val="continue"/>
          </w:tcPr>
          <w:p>
            <w:pPr>
              <w:spacing w:after="0"/>
              <w:rPr>
                <w:sz w:val="19"/>
                <w:szCs w:val="19"/>
                <w:color w:val="auto"/>
              </w:rPr>
            </w:pPr>
          </w:p>
        </w:tc>
        <w:tc>
          <w:tcPr>
            <w:tcW w:w="20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(160,834)</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(170,927)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(220,680)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5620"/>
              <w:spacing w:after="0"/>
              <w:rPr>
                <w:sz w:val="20"/>
                <w:szCs w:val="20"/>
                <w:color w:val="auto"/>
              </w:rPr>
            </w:pPr>
            <w:r>
              <w:rPr>
                <w:rFonts w:ascii="Arial" w:cs="Arial" w:eastAsia="Arial" w:hAnsi="Arial"/>
                <w:sz w:val="18"/>
                <w:szCs w:val="18"/>
                <w:color w:val="auto"/>
              </w:rPr>
              <w:t>37</w:t>
            </w:r>
          </w:p>
        </w:tc>
        <w:tc>
          <w:tcPr>
            <w:tcW w:w="1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Exhibit</w:t>
            </w:r>
          </w:p>
        </w:tc>
        <w:tc>
          <w:tcPr>
            <w:tcW w:w="4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c>
          <w:tcPr>
            <w:tcW w:w="4280" w:type="dxa"/>
            <w:vAlign w:val="bottom"/>
          </w:tcPr>
          <w:p>
            <w:pPr>
              <w:spacing w:after="0"/>
              <w:rPr>
                <w:sz w:val="14"/>
                <w:szCs w:val="14"/>
                <w:color w:val="auto"/>
              </w:rPr>
            </w:pPr>
          </w:p>
        </w:tc>
      </w:tr>
      <w:tr>
        <w:trPr>
          <w:trHeight w:val="316"/>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3.2(2)</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3.3(3)</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3.4(4)</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3.4(11)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3.5(5)</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4.1(6)</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Indenture, by and between MannKind and Wells Fargo Bank, N.A., dated November 1, 2006.</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4.2(7)</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4.3(7)</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3.75% Senior Convertible Note due 2013.</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4.4(1)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4.5(1)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88"/>
              </w:rPr>
              <w:t>Registration Rights Agreement, dated October 15, 1998, by and among CTL ImmunoTherapies Corp., Medical Research Group, LLC, McLean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Watson Advisory Inc. and Alfred E. Mann, as amended.</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4.6(8)</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Indenture, by and between MannKind and Wells Fargo Bank, N.A., dated August 24, 2010.</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4.7(8)</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5.75% Senior Convertible Note due 2015.</w:t>
            </w:r>
          </w:p>
        </w:tc>
      </w:tr>
      <w:tr>
        <w:trPr>
          <w:trHeight w:val="324"/>
        </w:trPr>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4.8(9)</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Warrant to Purchase Common Stock issued February 8, 2012.</w:t>
            </w:r>
          </w:p>
        </w:tc>
      </w:tr>
      <w:tr>
        <w:trPr>
          <w:trHeight w:val="324"/>
        </w:trPr>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10.1(12)</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MannKind Corporation 2004 Equity Incentive Plan, as amended.</w:t>
            </w:r>
          </w:p>
        </w:tc>
      </w:tr>
      <w:tr>
        <w:trPr>
          <w:trHeight w:val="318"/>
        </w:trPr>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10.2(13)</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Amendment, dated May 9, 2012, to Amended and Restated Promissory Note made by MannKind in favor of The Mann Group LLC, dated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August 10, 2010, as amended January 16, 2012</w:t>
            </w:r>
          </w:p>
        </w:tc>
      </w:tr>
      <w:tr>
        <w:trPr>
          <w:trHeight w:val="318"/>
        </w:trPr>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10.3(14)</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0"/>
              </w:rPr>
              <w:t>Amendment, dated June 27, 2012, to Amended and Restated Promissory Note made by MannKind Corporation in favor of The Mann Group</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LLC, dated August 10, 2010, as amended on January 16, 2012 and May 9, 2012.</w:t>
            </w:r>
          </w:p>
        </w:tc>
      </w:tr>
      <w:tr>
        <w:trPr>
          <w:trHeight w:val="324"/>
        </w:trPr>
        <w:tc>
          <w:tcPr>
            <w:tcW w:w="500" w:type="dxa"/>
            <w:vAlign w:val="bottom"/>
          </w:tcPr>
          <w:p>
            <w:pPr>
              <w:jc w:val="right"/>
              <w:ind w:right="114"/>
              <w:spacing w:after="0"/>
              <w:rPr>
                <w:sz w:val="20"/>
                <w:szCs w:val="20"/>
                <w:color w:val="auto"/>
              </w:rPr>
            </w:pPr>
            <w:r>
              <w:rPr>
                <w:rFonts w:ascii="Arial" w:cs="Arial" w:eastAsia="Arial" w:hAnsi="Arial"/>
                <w:sz w:val="18"/>
                <w:szCs w:val="18"/>
                <w:color w:val="auto"/>
                <w:w w:val="79"/>
              </w:rPr>
              <w:t>31.1</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Certification of the Chief Executive Officer Pursuant to Rule 13a-14(a) or 15d-14(a) of the Securities Exchange Act of 1934, as amended.</w:t>
            </w:r>
          </w:p>
        </w:tc>
      </w:tr>
      <w:tr>
        <w:trPr>
          <w:trHeight w:val="324"/>
        </w:trPr>
        <w:tc>
          <w:tcPr>
            <w:tcW w:w="500" w:type="dxa"/>
            <w:vAlign w:val="bottom"/>
          </w:tcPr>
          <w:p>
            <w:pPr>
              <w:jc w:val="right"/>
              <w:ind w:right="114"/>
              <w:spacing w:after="0"/>
              <w:rPr>
                <w:sz w:val="20"/>
                <w:szCs w:val="20"/>
                <w:color w:val="auto"/>
              </w:rPr>
            </w:pPr>
            <w:r>
              <w:rPr>
                <w:rFonts w:ascii="Arial" w:cs="Arial" w:eastAsia="Arial" w:hAnsi="Arial"/>
                <w:sz w:val="18"/>
                <w:szCs w:val="18"/>
                <w:color w:val="auto"/>
                <w:w w:val="79"/>
              </w:rPr>
              <w:t>31.2</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Certification of the Chief Financial Officer Pursuant to Rule 13a-14(a) or 15d-14(a) of the Securities Exchange Act of 1934, as amended.</w:t>
            </w:r>
          </w:p>
        </w:tc>
      </w:tr>
    </w:tbl>
    <w:p>
      <w:pPr>
        <w:spacing w:after="0" w:line="102" w:lineRule="exact"/>
        <w:rPr>
          <w:sz w:val="20"/>
          <w:szCs w:val="20"/>
          <w:color w:val="auto"/>
        </w:rPr>
      </w:pPr>
    </w:p>
    <w:p>
      <w:pPr>
        <w:ind w:left="1340" w:right="180" w:hanging="1244"/>
        <w:spacing w:after="0" w:line="332" w:lineRule="auto"/>
        <w:tabs>
          <w:tab w:leader="none" w:pos="1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2,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4,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November 19,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S-3 (File No. 333-138373), filed with the SEC on November 2, 2006.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December 12, 2006.</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August 24,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February 6,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January 20,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May 22,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Mannkind’s proxy statement on Schedule 14A (File No. 000-50865), filed with the SEC on April 6,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Incorporated by reference to Exhibit 10.3 to Mannkind’s quarterly report on Form 10-Q (File No. 000-50865), filed with the SEC on May 10,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July 3, 2012.</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40"/>
          </w:cols>
          <w:pgMar w:left="240" w:top="459" w:right="8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0940"/>
          </w:cols>
          <w:pgMar w:left="240" w:top="459" w:right="71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Dated: August 9, 2012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MANNKIND CORPORATION</w:t>
      </w:r>
    </w:p>
    <w:p>
      <w:pPr>
        <w:spacing w:after="0" w:line="200" w:lineRule="exact"/>
        <w:rPr>
          <w:sz w:val="20"/>
          <w:szCs w:val="20"/>
          <w:color w:val="auto"/>
        </w:rPr>
      </w:pPr>
    </w:p>
    <w:p>
      <w:pPr>
        <w:sectPr>
          <w:pgSz w:w="11900" w:h="16838" w:orient="portrait"/>
          <w:cols w:equalWidth="0" w:num="2">
            <w:col w:w="4860" w:space="720"/>
            <w:col w:w="5360"/>
          </w:cols>
          <w:pgMar w:left="240" w:top="459" w:right="719" w:bottom="1440" w:gutter="0" w:footer="0" w:header="0"/>
          <w:type w:val="continuous"/>
        </w:sectPr>
      </w:pPr>
    </w:p>
    <w:p>
      <w:pPr>
        <w:spacing w:after="0" w:line="4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25400</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3">
            <w:col w:w="6860" w:space="720"/>
            <w:col w:w="160" w:space="180"/>
            <w:col w:w="3020"/>
          </w:cols>
          <w:pgMar w:left="240" w:top="459" w:right="719" w:bottom="1440" w:gutter="0" w:footer="0" w:header="0"/>
          <w:type w:val="continuous"/>
        </w:sectPr>
      </w:pPr>
    </w:p>
    <w:p>
      <w:pPr>
        <w:jc w:val="center"/>
        <w:ind w:left="5940"/>
        <w:spacing w:after="0"/>
        <w:rPr>
          <w:sz w:val="20"/>
          <w:szCs w:val="20"/>
          <w:color w:val="auto"/>
        </w:rPr>
      </w:pPr>
      <w:r>
        <w:rPr>
          <w:rFonts w:ascii="Arial" w:cs="Arial" w:eastAsia="Arial" w:hAnsi="Arial"/>
          <w:sz w:val="14"/>
          <w:szCs w:val="14"/>
          <w:b w:val="1"/>
          <w:bCs w:val="1"/>
          <w:color w:val="auto"/>
        </w:rPr>
        <w:t>Matthew J. Pfeffer</w:t>
      </w:r>
    </w:p>
    <w:p>
      <w:pPr>
        <w:spacing w:after="0" w:line="2" w:lineRule="exact"/>
        <w:rPr>
          <w:sz w:val="20"/>
          <w:szCs w:val="20"/>
          <w:color w:val="auto"/>
        </w:rPr>
      </w:pPr>
    </w:p>
    <w:p>
      <w:pPr>
        <w:jc w:val="center"/>
        <w:ind w:left="5940"/>
        <w:spacing w:after="0"/>
        <w:rPr>
          <w:sz w:val="20"/>
          <w:szCs w:val="20"/>
          <w:color w:val="auto"/>
        </w:rPr>
      </w:pPr>
      <w:r>
        <w:rPr>
          <w:rFonts w:ascii="Arial" w:cs="Arial" w:eastAsia="Arial" w:hAnsi="Arial"/>
          <w:sz w:val="12"/>
          <w:szCs w:val="12"/>
          <w:b w:val="1"/>
          <w:bCs w:val="1"/>
          <w:i w:val="1"/>
          <w:iCs w:val="1"/>
          <w:color w:val="auto"/>
        </w:rPr>
        <w:t>Corporate Vice President and Chief Financial Officer</w:t>
      </w:r>
    </w:p>
    <w:p>
      <w:pPr>
        <w:spacing w:after="0" w:line="10"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i w:val="1"/>
          <w:iCs w:val="1"/>
          <w:color w:val="auto"/>
        </w:rPr>
        <w:t>(Principal Financial and Accounting Officer)</w:t>
      </w:r>
    </w:p>
    <w:p>
      <w:pPr>
        <w:spacing w:after="0" w:line="14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940"/>
          </w:cols>
          <w:pgMar w:left="240" w:top="459" w:right="71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7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2012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9, 2012</w:t>
      </w:r>
      <w:r>
        <w:rPr>
          <w:sz w:val="20"/>
          <w:szCs w:val="20"/>
          <w:color w:val="auto"/>
        </w:rPr>
        <w:tab/>
      </w:r>
      <w:r>
        <w:rPr>
          <w:rFonts w:ascii="Arial" w:cs="Arial" w:eastAsia="Arial" w:hAnsi="Arial"/>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Alfred E. Mann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7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2012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August 9, 2012</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2012,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143"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71" w:lineRule="exact"/>
        <w:rPr>
          <w:rFonts w:ascii="Arial" w:cs="Arial" w:eastAsia="Arial" w:hAnsi="Arial"/>
          <w:sz w:val="18"/>
          <w:szCs w:val="18"/>
          <w:color w:val="auto"/>
        </w:rPr>
      </w:pPr>
    </w:p>
    <w:p>
      <w:pPr>
        <w:ind w:right="600" w:firstLine="464"/>
        <w:spacing w:after="0" w:line="438"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9, 2012</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9</w:t>
      </w:r>
      <w:r>
        <w:rPr>
          <w:rFonts w:ascii="Arial" w:cs="Arial" w:eastAsia="Arial" w:hAnsi="Arial"/>
          <w:sz w:val="11"/>
          <w:szCs w:val="11"/>
          <w:color w:val="auto"/>
        </w:rPr>
        <w:t>th</w:t>
      </w:r>
      <w:r>
        <w:rPr>
          <w:rFonts w:ascii="Arial" w:cs="Arial" w:eastAsia="Arial" w:hAnsi="Arial"/>
          <w:sz w:val="18"/>
          <w:szCs w:val="18"/>
          <w:color w:val="auto"/>
        </w:rPr>
        <w:t xml:space="preserve"> day of August 2012.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12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Alfred E. Mann</w:t>
            </w:r>
          </w:p>
        </w:tc>
        <w:tc>
          <w:tcPr>
            <w:tcW w:w="12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3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7"/>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2019-12-11T03:12:48Z</dcterms:created>
  <dcterms:modified xsi:type="dcterms:W3CDTF">2019-12-11T03:12:48Z</dcterms:modified>
</cp:coreProperties>
</file>