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left"/>
        <w:rPr/>
      </w:pPr>
      <w:bookmarkStart w:id="0" w:name="mnkd-20260331.htm"/>
      <w:bookmarkStart w:id="1" w:name="ksmnkd20260331"/>
      <w:bookmarkEnd w:id="0"/>
      <w:bookmarkEnd w:id="1"/>
      <w:r>
        <w:rPr/>
        <w:t> </w:t>
      </w:r>
    </w:p>
    <w:p>
      <w:pPr>
        <w:pStyle w:val="TextBody"/>
        <w:bidi w:val="0"/>
        <w:spacing w:before="6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 March 31, 2026</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spacing w:before="6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 .</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Commission file number: 000-50865</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48"/>
        </w:rPr>
        <w:t>MannKind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607" w:type="dxa"/>
        <w:jc w:val="left"/>
        <w:tblInd w:w="0" w:type="dxa"/>
        <w:tblLayout w:type="fixed"/>
        <w:tblCellMar>
          <w:top w:w="28" w:type="dxa"/>
          <w:left w:w="28" w:type="dxa"/>
          <w:bottom w:w="28" w:type="dxa"/>
          <w:right w:w="28" w:type="dxa"/>
        </w:tblCellMar>
      </w:tblPr>
      <w:tblGrid>
        <w:gridCol w:w="2926"/>
        <w:gridCol w:w="1681"/>
      </w:tblGrid>
      <w:tr>
        <w:trPr/>
        <w:tc>
          <w:tcPr>
            <w:tcW w:w="292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13-3607736</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(State or other jurisdiction of</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incorporation or organization)</w:t>
            </w:r>
          </w:p>
        </w:tc>
        <w:tc>
          <w:tcPr>
            <w:tcW w:w="16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(I.R.S. Employer</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1 Casper Street</w:t>
            </w:r>
            <w:r>
              <w:rPr>
                <w:rFonts w:ascii="Times New Roman" w:hAnsi="Times New Roman"/>
                <w:color w:val="000000"/>
                <w:sz w:val="20"/>
              </w:rPr>
              <w:t xml:space="preserve"> </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Danbury, Connecticut</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06810</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(818) 661-5000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jc w:val="center"/>
        <w:rPr>
          <w:rFonts w:ascii="Times New Roman" w:hAnsi="Times New Roman"/>
          <w:color w:val="000000"/>
          <w:sz w:val="18"/>
        </w:rPr>
      </w:pPr>
      <w:r>
        <w:rPr>
          <w:rFonts w:ascii="Times New Roman" w:hAnsi="Times New Roman"/>
          <w:color w:val="000000"/>
          <w:sz w:val="18"/>
        </w:rPr>
        <w:t>N/A</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(Former name, former address and former fiscal year, if changed since last report)</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7540" w:type="dxa"/>
        <w:jc w:val="left"/>
        <w:tblInd w:w="0" w:type="dxa"/>
        <w:tblLayout w:type="fixed"/>
        <w:tblCellMar>
          <w:top w:w="28" w:type="dxa"/>
          <w:left w:w="28" w:type="dxa"/>
          <w:bottom w:w="28" w:type="dxa"/>
          <w:right w:w="28" w:type="dxa"/>
        </w:tblCellMar>
      </w:tblPr>
      <w:tblGrid>
        <w:gridCol w:w="3106"/>
        <w:gridCol w:w="146"/>
        <w:gridCol w:w="826"/>
        <w:gridCol w:w="146"/>
        <w:gridCol w:w="33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MNKD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279" w:type="dxa"/>
        <w:jc w:val="left"/>
        <w:tblInd w:w="0" w:type="dxa"/>
        <w:tblLayout w:type="fixed"/>
        <w:tblCellMar>
          <w:top w:w="28" w:type="dxa"/>
          <w:left w:w="28" w:type="dxa"/>
          <w:bottom w:w="28" w:type="dxa"/>
          <w:right w:w="28" w:type="dxa"/>
        </w:tblCellMar>
      </w:tblPr>
      <w:tblGrid>
        <w:gridCol w:w="1921"/>
        <w:gridCol w:w="386"/>
        <w:gridCol w:w="2551"/>
        <w:gridCol w:w="421"/>
      </w:tblGrid>
      <w:tr>
        <w:trPr/>
        <w:tc>
          <w:tcPr>
            <w:tcW w:w="192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5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Emerging growth company</w:t>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shell company (as defined in Rule 12b-2 of the Exchange Act). Yes ☐ No ☒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As of April 24, 2026, there were 308,950,166 shares of the registrant’s common stock, $0.01 par value per share, outstanding.</w:t>
      </w:r>
    </w:p>
    <w:p>
      <w:pPr>
        <w:pStyle w:val="TextBody"/>
        <w:pBdr>
          <w:bottom w:val="double" w:sz="4"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MANNKIND CORPORATION</w:t>
      </w:r>
    </w:p>
    <w:p>
      <w:pPr>
        <w:pStyle w:val="TextBody"/>
        <w:bidi w:val="0"/>
        <w:spacing w:before="120" w:after="283"/>
        <w:jc w:val="center"/>
        <w:rPr>
          <w:rFonts w:ascii="Times New Roman" w:hAnsi="Times New Roman"/>
          <w:sz w:val="20"/>
        </w:rPr>
      </w:pPr>
      <w:r>
        <w:rPr>
          <w:rFonts w:ascii="Times New Roman" w:hAnsi="Times New Roman"/>
          <w:b/>
          <w:color w:val="000000"/>
          <w:sz w:val="20"/>
        </w:rPr>
        <w:t>Form 10-Q</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For the Quarterly Period Ended March 31, 2026</w:t>
      </w:r>
      <w:r>
        <w:rPr>
          <w:rFonts w:ascii="Times New Roman" w:hAnsi="Times New Roman"/>
          <w:color w:val="000000"/>
          <w:sz w:val="20"/>
        </w:rPr>
        <w:t xml:space="preserve"> </w:t>
      </w:r>
    </w:p>
    <w:p>
      <w:pPr>
        <w:pStyle w:val="TextBody"/>
        <w:bidi w:val="0"/>
        <w:spacing w:before="120" w:after="240"/>
        <w:jc w:val="center"/>
        <w:rPr>
          <w:rFonts w:ascii="Times New Roman" w:hAnsi="Times New Roman"/>
          <w:b/>
          <w:color w:val="000000"/>
          <w:sz w:val="20"/>
        </w:rPr>
      </w:pPr>
      <w:r>
        <w:rPr>
          <w:rFonts w:ascii="Times New Roman" w:hAnsi="Times New Roman"/>
          <w:b/>
          <w:color w:val="000000"/>
          <w:sz w:val="20"/>
        </w:rPr>
        <w:t>TABLE OF CONTENTS</w:t>
      </w:r>
    </w:p>
    <w:tbl>
      <w:tblPr>
        <w:tblW w:w="9692" w:type="dxa"/>
        <w:jc w:val="left"/>
        <w:tblInd w:w="0" w:type="dxa"/>
        <w:tblLayout w:type="fixed"/>
        <w:tblCellMar>
          <w:top w:w="28" w:type="dxa"/>
          <w:left w:w="28" w:type="dxa"/>
          <w:bottom w:w="28" w:type="dxa"/>
          <w:right w:w="28" w:type="dxa"/>
        </w:tblCellMar>
      </w:tblPr>
      <w:tblGrid>
        <w:gridCol w:w="9181"/>
        <w:gridCol w:w="511"/>
      </w:tblGrid>
      <w:tr>
        <w:trPr/>
        <w:tc>
          <w:tcPr>
            <w:tcW w:w="9181"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r>
      <w:tr>
        <w:trPr/>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181" w:type="dxa"/>
            <w:tcBorders/>
            <w:tcMar>
              <w:top w:w="0" w:type="dxa"/>
              <w:left w:w="0" w:type="dxa"/>
              <w:bottom w:w="0" w:type="dxa"/>
              <w:right w:w="0" w:type="dxa"/>
            </w:tcMar>
            <w:vAlign w:val="center"/>
          </w:tcPr>
          <w:p>
            <w:pPr>
              <w:pStyle w:val="TableContents"/>
              <w:bidi w:val="0"/>
              <w:spacing w:before="0" w:after="283"/>
              <w:jc w:val="left"/>
              <w:rPr/>
            </w:pPr>
            <w:hyperlink w:anchor="part_1_financial_information">
              <w:r>
                <w:rPr>
                  <w:rStyle w:val="InternetLink"/>
                  <w:rFonts w:ascii="Times New Roman" w:hAnsi="Times New Roman"/>
                  <w:color w:val="0000FF"/>
                  <w:sz w:val="20"/>
                  <w:u w:val="single"/>
                </w:rPr>
                <w:t>PART I: FINANCIAL INFORMATION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81"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 Financial Statements (Unaudited)</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9181" w:type="dxa"/>
            <w:tcBorders/>
            <w:tcMar>
              <w:top w:w="0" w:type="dxa"/>
              <w:left w:w="0" w:type="dxa"/>
              <w:bottom w:w="0" w:type="dxa"/>
              <w:right w:w="0" w:type="dxa"/>
            </w:tcMar>
            <w:vAlign w:val="center"/>
          </w:tcPr>
          <w:p>
            <w:pPr>
              <w:pStyle w:val="TableContents"/>
              <w:bidi w:val="0"/>
              <w:spacing w:before="0" w:after="283"/>
              <w:jc w:val="left"/>
              <w:rPr/>
            </w:pPr>
            <w:hyperlink w:anchor="condensed_consol_stmt_of_operations">
              <w:r>
                <w:rPr>
                  <w:rStyle w:val="InternetLink"/>
                  <w:rFonts w:ascii="Times New Roman" w:hAnsi="Times New Roman"/>
                  <w:color w:val="0000FF"/>
                  <w:sz w:val="20"/>
                  <w:u w:val="single"/>
                </w:rPr>
                <w:t>Condensed Consolidated Statements of Operations: Three months ended March 31, 2026 and 2025</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9181" w:type="dxa"/>
            <w:tcBorders/>
            <w:tcMar>
              <w:top w:w="0" w:type="dxa"/>
              <w:left w:w="0" w:type="dxa"/>
              <w:bottom w:w="0" w:type="dxa"/>
              <w:right w:w="0" w:type="dxa"/>
            </w:tcMar>
            <w:vAlign w:val="center"/>
          </w:tcPr>
          <w:p>
            <w:pPr>
              <w:pStyle w:val="TableContents"/>
              <w:bidi w:val="0"/>
              <w:spacing w:before="0" w:after="283"/>
              <w:jc w:val="left"/>
              <w:rPr/>
            </w:pPr>
            <w:hyperlink w:anchor="cond_cons_statements_of_comp_inc_loss">
              <w:r>
                <w:rPr>
                  <w:rStyle w:val="InternetLink"/>
                  <w:rFonts w:ascii="Times New Roman" w:hAnsi="Times New Roman"/>
                  <w:color w:val="0000FF"/>
                  <w:sz w:val="20"/>
                  <w:u w:val="single"/>
                </w:rPr>
                <w:t>Condensed Consolidated Statements of Comprehensive Income: Three months ended March 31, 2026 and 2025</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181" w:type="dxa"/>
            <w:tcBorders/>
            <w:tcMar>
              <w:top w:w="0" w:type="dxa"/>
              <w:left w:w="0" w:type="dxa"/>
              <w:bottom w:w="0" w:type="dxa"/>
              <w:right w:w="0" w:type="dxa"/>
            </w:tcMar>
            <w:vAlign w:val="center"/>
          </w:tcPr>
          <w:p>
            <w:pPr>
              <w:pStyle w:val="TableContents"/>
              <w:bidi w:val="0"/>
              <w:spacing w:before="0" w:after="283"/>
              <w:jc w:val="left"/>
              <w:rPr/>
            </w:pPr>
            <w:hyperlink w:anchor="condensed_consol_balance_sheets">
              <w:r>
                <w:rPr>
                  <w:rStyle w:val="InternetLink"/>
                  <w:rFonts w:ascii="Times New Roman" w:hAnsi="Times New Roman"/>
                  <w:color w:val="0000FF"/>
                  <w:sz w:val="20"/>
                  <w:u w:val="single"/>
                </w:rPr>
                <w:t>Condensed Consolidated Balance Sheets: March 31, 2026 and December 31, 2025</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181" w:type="dxa"/>
            <w:tcBorders/>
            <w:tcMar>
              <w:top w:w="0" w:type="dxa"/>
              <w:left w:w="0" w:type="dxa"/>
              <w:bottom w:w="0" w:type="dxa"/>
              <w:right w:w="0" w:type="dxa"/>
            </w:tcMar>
            <w:vAlign w:val="center"/>
          </w:tcPr>
          <w:p>
            <w:pPr>
              <w:pStyle w:val="TableContents"/>
              <w:bidi w:val="0"/>
              <w:spacing w:before="0" w:after="283"/>
              <w:jc w:val="left"/>
              <w:rPr/>
            </w:pPr>
            <w:hyperlink w:anchor="consolidated_statements_stockholders">
              <w:r>
                <w:rPr>
                  <w:rStyle w:val="InternetLink"/>
                  <w:rFonts w:ascii="Times New Roman" w:hAnsi="Times New Roman"/>
                  <w:color w:val="0000FF"/>
                  <w:sz w:val="20"/>
                  <w:u w:val="single"/>
                </w:rPr>
                <w:t>Condensed Consolidated Statements of Stockholders’ Deficit:</w:t>
              </w:r>
            </w:hyperlink>
            <w:hyperlink w:anchor="consolidated_statements_stockholders">
              <w:r>
                <w:rPr>
                  <w:rStyle w:val="InternetLink"/>
                  <w:rFonts w:ascii="Times New Roman" w:hAnsi="Times New Roman"/>
                  <w:color w:val="0000FF"/>
                  <w:sz w:val="20"/>
                </w:rPr>
                <w:t xml:space="preserve"> </w:t>
              </w:r>
            </w:hyperlink>
            <w:hyperlink w:anchor="consolidated_statements_stockholders">
              <w:r>
                <w:rPr>
                  <w:rStyle w:val="InternetLink"/>
                  <w:rFonts w:ascii="Times New Roman" w:hAnsi="Times New Roman"/>
                  <w:color w:val="0000FF"/>
                  <w:sz w:val="20"/>
                  <w:u w:val="single"/>
                </w:rPr>
                <w:t>Three months ended March 31, 2026 and 2025</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181"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Consolidated Statements of Cash Flows: Three months ended March 31, 2026 and 2025</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181" w:type="dxa"/>
            <w:tcBorders/>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Condensed Consolidated Financial Statements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181"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9181"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Item 3. Quantitative and Qualitative Disclosures About Market Risk</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9181"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Item 4. Controls and Procedures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81" w:type="dxa"/>
            <w:tcBorders/>
            <w:tcMar>
              <w:top w:w="0" w:type="dxa"/>
              <w:left w:w="0" w:type="dxa"/>
              <w:bottom w:w="0" w:type="dxa"/>
              <w:right w:w="0" w:type="dxa"/>
            </w:tcMar>
            <w:vAlign w:val="center"/>
          </w:tcPr>
          <w:p>
            <w:pPr>
              <w:pStyle w:val="TableContents"/>
              <w:bidi w:val="0"/>
              <w:spacing w:before="0" w:after="283"/>
              <w:jc w:val="left"/>
              <w:rPr/>
            </w:pPr>
            <w:hyperlink w:anchor="part_2_other_information">
              <w:r>
                <w:rPr>
                  <w:rStyle w:val="InternetLink"/>
                  <w:rFonts w:ascii="Times New Roman" w:hAnsi="Times New Roman"/>
                  <w:color w:val="0000FF"/>
                  <w:sz w:val="20"/>
                  <w:u w:val="single"/>
                </w:rPr>
                <w:t>PART II: OTHER INFORMATION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81"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Item 1. Legal Proceedings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9181"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 Risk Factors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9181"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Item 2. Unregistered Sales of Equity Securities and Use of Proceeds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9181"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9181"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Item 4. Mine Safety Disclosures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9181"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Item 5. Other Information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9181"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 Exhibits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81" w:type="dxa"/>
            <w:tcBorders/>
            <w:tcMar>
              <w:top w:w="0" w:type="dxa"/>
              <w:left w:w="0" w:type="dxa"/>
              <w:bottom w:w="0" w:type="dxa"/>
              <w:right w:w="0" w:type="dxa"/>
            </w:tcMar>
            <w:vAlign w:val="center"/>
          </w:tcPr>
          <w:p>
            <w:pPr>
              <w:pStyle w:val="TableContents"/>
              <w:bidi w:val="0"/>
              <w:spacing w:before="0" w:after="283"/>
              <w:jc w:val="left"/>
              <w:rPr/>
            </w:pPr>
            <w:hyperlink w:anchor="signature">
              <w:r>
                <w:rPr>
                  <w:rStyle w:val="InternetLink"/>
                  <w:rFonts w:ascii="Times New Roman" w:hAnsi="Times New Roman"/>
                  <w:color w:val="0000FF"/>
                  <w:sz w:val="20"/>
                  <w:u w:val="single"/>
                </w:rPr>
                <w:t>SIGNATURES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1_financial_information"/>
      <w:bookmarkEnd w:id="2"/>
      <w:r>
        <w:rPr>
          <w:rFonts w:ascii="Times New Roman" w:hAnsi="Times New Roman"/>
          <w:b/>
          <w:color w:val="000000"/>
          <w:sz w:val="20"/>
        </w:rPr>
        <w:t>PART 1: FINANCIAL INFORMATION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MANNKIND CORPORATION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_stmt_of_operations"/>
      <w:bookmarkEnd w:id="4"/>
      <w:r>
        <w:rPr>
          <w:rFonts w:ascii="Times New Roman" w:hAnsi="Times New Roman"/>
          <w:b/>
          <w:color w:val="000000"/>
          <w:sz w:val="20"/>
        </w:rPr>
        <w:t>CONDENSED CONSOLIDATED STATEMENTS OF OPERATIONS</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582"/>
        <w:gridCol w:w="346"/>
        <w:gridCol w:w="246"/>
        <w:gridCol w:w="913"/>
        <w:gridCol w:w="193"/>
        <w:gridCol w:w="170"/>
        <w:gridCol w:w="246"/>
        <w:gridCol w:w="913"/>
        <w:gridCol w:w="596"/>
      </w:tblGrid>
      <w:tr>
        <w:trPr/>
        <w:tc>
          <w:tcPr>
            <w:tcW w:w="658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March 31,</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product sales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33,907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18,973</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Collaborations and services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29,376</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32,749</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90,171</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78,354</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 – commercial, excluding amortization of acquired intangible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7,509</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 – collaborations and services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13,748</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11,022</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54,085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25,014</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foreign currency transaction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91,838</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56,061</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from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22,293</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(4,645</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on liability for sale of future royalties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on financing liability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settlement of debt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(14,699</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(8,676</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13,617</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(16,619</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13,158</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 – basic</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to compute net (loss) income</w:t>
              <w:br/>
              <w:t>   per share – basic</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308,267</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303,481</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 –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to compute net (loss) income</w:t>
              <w:br/>
              <w:t>   per share – 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308,267</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320,897</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See notes to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 w:name="cond_cons_statements_of_comp_inc_loss"/>
      <w:bookmarkEnd w:id="5"/>
      <w:r>
        <w:rPr>
          <w:rFonts w:ascii="Times New Roman" w:hAnsi="Times New Roman"/>
          <w:b/>
          <w:color w:val="000000"/>
          <w:sz w:val="20"/>
        </w:rPr>
        <w:t>MANNKIND CORPORATION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COMPREHENSIVE INCOME</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tbl>
      <w:tblPr>
        <w:tblW w:w="7294" w:type="dxa"/>
        <w:jc w:val="left"/>
        <w:tblInd w:w="0" w:type="dxa"/>
        <w:tblLayout w:type="fixed"/>
        <w:tblCellMar>
          <w:top w:w="28" w:type="dxa"/>
          <w:left w:w="28" w:type="dxa"/>
          <w:bottom w:w="28" w:type="dxa"/>
          <w:right w:w="28" w:type="dxa"/>
        </w:tblCellMar>
      </w:tblPr>
      <w:tblGrid>
        <w:gridCol w:w="4611"/>
        <w:gridCol w:w="146"/>
        <w:gridCol w:w="211"/>
        <w:gridCol w:w="736"/>
        <w:gridCol w:w="166"/>
        <w:gridCol w:w="146"/>
        <w:gridCol w:w="211"/>
        <w:gridCol w:w="676"/>
        <w:gridCol w:w="391"/>
      </w:tblGrid>
      <w:tr>
        <w:trPr/>
        <w:tc>
          <w:tcPr>
            <w:tcW w:w="4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gain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See notes to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MANNKIND CORPORATION AND SUBSIDIARIES</w:t>
      </w:r>
    </w:p>
    <w:p>
      <w:pPr>
        <w:pStyle w:val="TextBody"/>
        <w:bidi w:val="0"/>
        <w:jc w:val="center"/>
        <w:rPr>
          <w:rFonts w:ascii="Times New Roman" w:hAnsi="Times New Roman"/>
          <w:b/>
          <w:color w:val="000000"/>
          <w:sz w:val="20"/>
        </w:rPr>
      </w:pPr>
      <w:bookmarkStart w:id="6" w:name="condensed_consol_balance_sheets"/>
      <w:bookmarkEnd w:id="6"/>
      <w:r>
        <w:rPr>
          <w:rFonts w:ascii="Times New Roman" w:hAnsi="Times New Roman"/>
          <w:b/>
          <w:color w:val="000000"/>
          <w:sz w:val="20"/>
        </w:rPr>
        <w:t>CONDENSED CONSOLIDATED BALANCE SHEETS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tbl>
      <w:tblPr>
        <w:tblW w:w="9500" w:type="dxa"/>
        <w:jc w:val="left"/>
        <w:tblInd w:w="0" w:type="dxa"/>
        <w:tblLayout w:type="fixed"/>
        <w:tblCellMar>
          <w:top w:w="28" w:type="dxa"/>
          <w:left w:w="28" w:type="dxa"/>
          <w:bottom w:w="28" w:type="dxa"/>
          <w:right w:w="28" w:type="dxa"/>
        </w:tblCellMar>
      </w:tblPr>
      <w:tblGrid>
        <w:gridCol w:w="5671"/>
        <w:gridCol w:w="146"/>
        <w:gridCol w:w="228"/>
        <w:gridCol w:w="1032"/>
        <w:gridCol w:w="166"/>
        <w:gridCol w:w="146"/>
        <w:gridCol w:w="271"/>
        <w:gridCol w:w="1229"/>
        <w:gridCol w:w="61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 thousands except share </w:t>
              <w:br/>
              <w:t>and per share data)</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74,882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96,464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38,367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35,313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46,553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291,579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82,423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67,595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Developed technology - on-body infusor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190,027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IPR&amp;D - ReadyFlow Formulation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129,600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20,129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744,403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792,182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9,034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64,628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Senior convertible notes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36,280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Liability for sale of future royalties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14,298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Contingent consideration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21,132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Financing liability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15,331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171,031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Liability for sale of future royalties – long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136,985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Financing liability – long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93,092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revenue – long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39,977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Recognized loss on purchase commitments – long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65,952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10,689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Contingent consideration – long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Milestone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318,722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318,361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803,598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843,204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Commitments and contingencies</w:t>
            </w:r>
            <w:r>
              <w:rPr>
                <w:rFonts w:ascii="Times New Roman" w:hAnsi="Times New Roman"/>
                <w:color w:val="000000"/>
                <w:sz w:val="20"/>
              </w:rPr>
              <w:t> </w:t>
            </w:r>
            <w:r>
              <w:rPr>
                <w:rFonts w:ascii="Times New Roman" w:hAnsi="Times New Roman"/>
                <w:color w:val="000000"/>
                <w:sz w:val="16"/>
              </w:rPr>
              <w:t>(Note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Undesignated preferred stock, $0.01</w:t>
            </w:r>
            <w:r>
              <w:rPr>
                <w:rFonts w:ascii="Times New Roman" w:hAnsi="Times New Roman"/>
                <w:color w:val="000000"/>
                <w:sz w:val="20"/>
              </w:rPr>
              <w:t> </w:t>
            </w:r>
            <w:r>
              <w:rPr>
                <w:rFonts w:ascii="Times New Roman" w:hAnsi="Times New Roman"/>
                <w:color w:val="000000"/>
                <w:sz w:val="16"/>
              </w:rPr>
              <w:t>par value – 10,000,000</w:t>
            </w:r>
            <w:r>
              <w:rPr>
                <w:rFonts w:ascii="Times New Roman" w:hAnsi="Times New Roman"/>
                <w:color w:val="000000"/>
                <w:sz w:val="20"/>
              </w:rPr>
              <w:t> </w:t>
            </w:r>
            <w:r>
              <w:rPr>
                <w:rFonts w:ascii="Times New Roman" w:hAnsi="Times New Roman"/>
                <w:color w:val="000000"/>
                <w:sz w:val="16"/>
              </w:rPr>
              <w:t xml:space="preserve">shares authorized; </w:t>
              <w:br/>
              <w:t>   no</w:t>
            </w:r>
            <w:r>
              <w:rPr>
                <w:rFonts w:ascii="Times New Roman" w:hAnsi="Times New Roman"/>
                <w:color w:val="000000"/>
                <w:sz w:val="20"/>
              </w:rPr>
              <w:t> </w:t>
            </w:r>
            <w:r>
              <w:rPr>
                <w:rFonts w:ascii="Times New Roman" w:hAnsi="Times New Roman"/>
                <w:color w:val="000000"/>
                <w:sz w:val="16"/>
              </w:rPr>
              <w:t>shares issued or outstanding as of March 31, 2026 or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stock, $0.01</w:t>
            </w:r>
            <w:r>
              <w:rPr>
                <w:rFonts w:ascii="Times New Roman" w:hAnsi="Times New Roman"/>
                <w:color w:val="000000"/>
                <w:sz w:val="20"/>
              </w:rPr>
              <w:t> </w:t>
            </w:r>
            <w:r>
              <w:rPr>
                <w:rFonts w:ascii="Times New Roman" w:hAnsi="Times New Roman"/>
                <w:color w:val="000000"/>
                <w:sz w:val="16"/>
              </w:rPr>
              <w:t>par value – 800,000,000</w:t>
            </w:r>
            <w:r>
              <w:rPr>
                <w:rFonts w:ascii="Times New Roman" w:hAnsi="Times New Roman"/>
                <w:color w:val="000000"/>
                <w:sz w:val="20"/>
              </w:rPr>
              <w:t> </w:t>
            </w:r>
            <w:r>
              <w:rPr>
                <w:rFonts w:ascii="Times New Roman" w:hAnsi="Times New Roman"/>
                <w:color w:val="000000"/>
                <w:sz w:val="16"/>
              </w:rPr>
              <w:t>shares authorized;</w:t>
              <w:br/>
              <w:t>  308,907,331</w:t>
            </w:r>
            <w:r>
              <w:rPr>
                <w:rFonts w:ascii="Times New Roman" w:hAnsi="Times New Roman"/>
                <w:color w:val="000000"/>
                <w:sz w:val="20"/>
              </w:rPr>
              <w:t> </w:t>
            </w:r>
            <w:r>
              <w:rPr>
                <w:rFonts w:ascii="Times New Roman" w:hAnsi="Times New Roman"/>
                <w:color w:val="000000"/>
                <w:sz w:val="16"/>
              </w:rPr>
              <w:t>and 307,832,587</w:t>
            </w:r>
            <w:r>
              <w:rPr>
                <w:rFonts w:ascii="Times New Roman" w:hAnsi="Times New Roman"/>
                <w:color w:val="000000"/>
                <w:sz w:val="20"/>
              </w:rPr>
              <w:t> </w:t>
            </w:r>
            <w:r>
              <w:rPr>
                <w:rFonts w:ascii="Times New Roman" w:hAnsi="Times New Roman"/>
                <w:color w:val="000000"/>
                <w:sz w:val="16"/>
              </w:rPr>
              <w:t>shares issued and outstanding as of</w:t>
              <w:br/>
              <w:t>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3,150,295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3,141,741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(3,212,575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(3,195,956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(51,022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744,403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792,182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MANNKIND CORPORATION AND SUBSIDIARIES</w:t>
      </w:r>
    </w:p>
    <w:p>
      <w:pPr>
        <w:pStyle w:val="TextBody"/>
        <w:bidi w:val="0"/>
        <w:jc w:val="center"/>
        <w:rPr>
          <w:rFonts w:ascii="Times New Roman" w:hAnsi="Times New Roman"/>
          <w:b/>
          <w:color w:val="000000"/>
          <w:sz w:val="20"/>
        </w:rPr>
      </w:pPr>
      <w:bookmarkStart w:id="7" w:name="consolidated_statements_stockholders"/>
      <w:bookmarkEnd w:id="7"/>
      <w:r>
        <w:rPr>
          <w:rFonts w:ascii="Times New Roman" w:hAnsi="Times New Roman"/>
          <w:b/>
          <w:color w:val="000000"/>
          <w:sz w:val="20"/>
        </w:rPr>
        <w:t>CONDENSED CONSOLIDATED STATEMENTS OF STOCKHOLDERS’ DEFICIT</w:t>
      </w:r>
    </w:p>
    <w:p>
      <w:pPr>
        <w:pStyle w:val="TextBody"/>
        <w:bidi w:val="0"/>
        <w:spacing w:before="0" w:after="24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149"/>
        <w:gridCol w:w="146"/>
        <w:gridCol w:w="146"/>
        <w:gridCol w:w="586"/>
        <w:gridCol w:w="146"/>
        <w:gridCol w:w="146"/>
        <w:gridCol w:w="181"/>
        <w:gridCol w:w="436"/>
        <w:gridCol w:w="146"/>
        <w:gridCol w:w="146"/>
        <w:gridCol w:w="194"/>
        <w:gridCol w:w="745"/>
        <w:gridCol w:w="146"/>
        <w:gridCol w:w="146"/>
        <w:gridCol w:w="637"/>
        <w:gridCol w:w="1329"/>
        <w:gridCol w:w="151"/>
        <w:gridCol w:w="146"/>
        <w:gridCol w:w="214"/>
        <w:gridCol w:w="875"/>
        <w:gridCol w:w="151"/>
        <w:gridCol w:w="146"/>
        <w:gridCol w:w="181"/>
        <w:gridCol w:w="556"/>
        <w:gridCol w:w="360"/>
      </w:tblGrid>
      <w:tr>
        <w:trPr/>
        <w:tc>
          <w:tcPr>
            <w:tcW w:w="21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2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 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50"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3,141,741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3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(3,195,956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(51,022</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14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pursuant to</w:t>
              <w:br/>
              <w:t>     conversion of senior convertible note 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1,735</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14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issuance of common stock associated</w:t>
              <w:br/>
              <w:t>   with stock options and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14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from market</w:t>
              <w:br/>
              <w:t>    price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14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6,455</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14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Unrealized loss on available-for-sale</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14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(16,619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(16,619</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1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308,907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3,150,295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(3,212,575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(59,195</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spacing w:before="12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2083"/>
        <w:gridCol w:w="146"/>
        <w:gridCol w:w="146"/>
        <w:gridCol w:w="586"/>
        <w:gridCol w:w="146"/>
        <w:gridCol w:w="146"/>
        <w:gridCol w:w="181"/>
        <w:gridCol w:w="436"/>
        <w:gridCol w:w="146"/>
        <w:gridCol w:w="146"/>
        <w:gridCol w:w="198"/>
        <w:gridCol w:w="759"/>
        <w:gridCol w:w="146"/>
        <w:gridCol w:w="146"/>
        <w:gridCol w:w="578"/>
        <w:gridCol w:w="1397"/>
        <w:gridCol w:w="146"/>
        <w:gridCol w:w="146"/>
        <w:gridCol w:w="223"/>
        <w:gridCol w:w="911"/>
        <w:gridCol w:w="151"/>
        <w:gridCol w:w="146"/>
        <w:gridCol w:w="181"/>
        <w:gridCol w:w="556"/>
        <w:gridCol w:w="359"/>
      </w:tblGrid>
      <w:tr>
        <w:trPr/>
        <w:tc>
          <w:tcPr>
            <w:tcW w:w="20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20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7"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302,960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3,118,865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3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(3,201,819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(78,816</w:t>
            </w:r>
          </w:p>
        </w:tc>
        <w:tc>
          <w:tcPr>
            <w:tcW w:w="35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0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issuance of common stock associated</w:t>
              <w:br/>
              <w:t xml:space="preserve">   with stock options and restricted stock </w:t>
              <w:br/>
              <w:t>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1,590</w:t>
            </w:r>
          </w:p>
        </w:tc>
        <w:tc>
          <w:tcPr>
            <w:tcW w:w="35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5,385</w:t>
            </w:r>
          </w:p>
        </w:tc>
        <w:tc>
          <w:tcPr>
            <w:tcW w:w="35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Unrealized gain on available-for-sale</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w:t>
            </w:r>
          </w:p>
        </w:tc>
        <w:tc>
          <w:tcPr>
            <w:tcW w:w="35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13,158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13,158</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303,919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3,125,830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(3,188,661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(58,618</w:t>
            </w:r>
          </w:p>
        </w:tc>
        <w:tc>
          <w:tcPr>
            <w:tcW w:w="3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See notes to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MANNKIND CORPORATION AND SUBSIDIARIES</w:t>
      </w:r>
    </w:p>
    <w:p>
      <w:pPr>
        <w:pStyle w:val="TextBody"/>
        <w:bidi w:val="0"/>
        <w:jc w:val="center"/>
        <w:rPr>
          <w:rFonts w:ascii="Times New Roman" w:hAnsi="Times New Roman"/>
          <w:sz w:val="20"/>
        </w:rPr>
      </w:pPr>
      <w:bookmarkStart w:id="8" w:name="condensed_consolidated_statements_cash_f"/>
      <w:bookmarkEnd w:id="8"/>
      <w:r>
        <w:rPr>
          <w:rFonts w:ascii="Times New Roman" w:hAnsi="Times New Roman"/>
          <w:b/>
          <w:color w:val="000000"/>
          <w:sz w:val="18"/>
        </w:rPr>
        <w:t>CONDENSED CONSOLIDATED STATEMENTS OF CASH FLOWS</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18"/>
        </w:rPr>
      </w:pPr>
      <w:r>
        <w:rPr>
          <w:rFonts w:ascii="Times New Roman" w:hAnsi="Times New Roman"/>
          <w:b/>
          <w:color w:val="000000"/>
          <w:sz w:val="18"/>
        </w:rPr>
        <w:t>(Unaudited)</w:t>
      </w:r>
    </w:p>
    <w:tbl>
      <w:tblPr>
        <w:tblW w:w="10177" w:type="dxa"/>
        <w:jc w:val="left"/>
        <w:tblInd w:w="0" w:type="dxa"/>
        <w:tblLayout w:type="fixed"/>
        <w:tblCellMar>
          <w:top w:w="28" w:type="dxa"/>
          <w:left w:w="28" w:type="dxa"/>
          <w:bottom w:w="28" w:type="dxa"/>
          <w:right w:w="28" w:type="dxa"/>
        </w:tblCellMar>
      </w:tblPr>
      <w:tblGrid>
        <w:gridCol w:w="6916"/>
        <w:gridCol w:w="346"/>
        <w:gridCol w:w="196"/>
        <w:gridCol w:w="603"/>
        <w:gridCol w:w="163"/>
        <w:gridCol w:w="158"/>
        <w:gridCol w:w="196"/>
        <w:gridCol w:w="603"/>
        <w:gridCol w:w="996"/>
      </w:tblGrid>
      <w:tr>
        <w:trPr/>
        <w:tc>
          <w:tcPr>
            <w:tcW w:w="69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9" w:type="dxa"/>
            <w:gridSpan w:val="6"/>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March 31,</w:t>
            </w:r>
          </w:p>
        </w:tc>
        <w:tc>
          <w:tcPr>
            <w:tcW w:w="99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9"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6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9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FLOWS FROM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(16,619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13,158</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Adjustments to reconcile net (loss) income to net cash used in</w:t>
              <w:br/>
              <w:t>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Stock-based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6,455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5,385</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on liability for sale of future royalties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2,565</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3,577</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Sold portion of royalty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(3,275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Write-off of inventory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1,075</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466</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Noncash lease expense of right-of-use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544</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Depreciation and amortization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6,382</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2,106</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(Gain) loss on foreign currency transactions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2,509</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accretion of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(271</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(919</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 in fair value of contingent liability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2,777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of debt discount and issuance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452</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Loss on settlement of debt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 in deferred tax liability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Accounts receivable,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10,290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(17,096</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Inventory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(14,928</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(1,472</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Prepaid expenses and other 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6,557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(3,044</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Other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(2,416</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(1,661</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Accounts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7,110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(1,751</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(5,771</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Deferred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(4,878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(4,450</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Operating lease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(939</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(972</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Net cash used in operating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(5,365</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(6,377</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FLOWS FROM INVESTING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 of available-for-sale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(10,301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(44,104</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maturities of available-for-sale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30,906</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50,396</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 of property and 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(1,880</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Net cash provided by investing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18,725</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5,962</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FLOWS FROM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Principal payments on senior convertible notes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(35,502</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proceeds related to issuance of common stock associated with</w:t>
              <w:br/>
              <w:t>   restricted stock units and stock options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1,590</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Principal payments on financing liability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(279</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market price stock purchase plan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Net cash (used in) provided by financing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(35,406</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1,390</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(DECREASE) INCREASE IN CASH, CASH EQUIVALENTS AND RESTRICTED CASH</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(22,046</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975</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CASH EQUIVALENTS AND RESTRICTED CASH, BEGINNING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75,627</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47,076</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CASH EQUIVALENTS AND RESTRICTED CASH, END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53,581</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48,051</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tbl>
      <w:tblPr>
        <w:tblW w:w="8772" w:type="dxa"/>
        <w:jc w:val="left"/>
        <w:tblInd w:w="0" w:type="dxa"/>
        <w:tblLayout w:type="fixed"/>
        <w:tblCellMar>
          <w:top w:w="28" w:type="dxa"/>
          <w:left w:w="28" w:type="dxa"/>
          <w:bottom w:w="28" w:type="dxa"/>
          <w:right w:w="28" w:type="dxa"/>
        </w:tblCellMar>
      </w:tblPr>
      <w:tblGrid>
        <w:gridCol w:w="6416"/>
        <w:gridCol w:w="146"/>
        <w:gridCol w:w="188"/>
        <w:gridCol w:w="561"/>
        <w:gridCol w:w="188"/>
        <w:gridCol w:w="188"/>
        <w:gridCol w:w="233"/>
        <w:gridCol w:w="561"/>
        <w:gridCol w:w="291"/>
      </w:tblGrid>
      <w:tr>
        <w:trPr/>
        <w:tc>
          <w:tcPr>
            <w:tcW w:w="6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March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9"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8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CASH FLOWS DISCLOSURES: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Interest paid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9,746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3,012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Income taxes paid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upon settlement of senior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1,735</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Purchases of property and equipment included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MANNKIND CORPORATION AND SUBSIDIARIES</w:t>
      </w:r>
    </w:p>
    <w:p>
      <w:pPr>
        <w:pStyle w:val="TextBody"/>
        <w:bidi w:val="0"/>
        <w:jc w:val="center"/>
        <w:rPr>
          <w:rFonts w:ascii="Times New Roman" w:hAnsi="Times New Roman"/>
          <w:sz w:val="20"/>
        </w:rPr>
      </w:pPr>
      <w:bookmarkStart w:id="9" w:name="notes_to_condensed_consolidated_financia"/>
      <w:bookmarkEnd w:id="9"/>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Description of Business and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unaudited condensed consolidated financial statements of MannKind Corporation and its subsidiaries (“MannKind,” the “Company,” “we” or “us”),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2025, filed with the SEC on February 26, 2026 (the “Annual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opinion of management, all adjustments, consisting only of normal, recurring adjustments, considered necessary for a fair presentation of the results of these interim periods have been included. The results of operations for the three months ended March 31, 2026 may not be indicative of the results that may be expected for the full year. </w:t>
      </w:r>
    </w:p>
    <w:p>
      <w:pPr>
        <w:pStyle w:val="TextBody"/>
        <w:bidi w:val="0"/>
        <w:spacing w:before="120" w:after="283"/>
        <w:jc w:val="left"/>
        <w:rPr>
          <w:rFonts w:ascii="Times New Roman" w:hAnsi="Times New Roman"/>
          <w:sz w:val="20"/>
        </w:rPr>
      </w:pPr>
      <w:r>
        <w:rPr>
          <w:rFonts w:ascii="Times New Roman" w:hAnsi="Times New Roman"/>
          <w:i/>
          <w:color w:val="000000"/>
          <w:sz w:val="20"/>
        </w:rPr>
        <w:t>Financial Statement Estimates</w:t>
      </w:r>
      <w:r>
        <w:rPr>
          <w:rFonts w:ascii="Times New Roman" w:hAnsi="Times New Roman"/>
          <w:color w:val="000000"/>
          <w:sz w:val="20"/>
        </w:rPr>
        <w:t xml:space="preserve"> — The preparation of financial statements in conformity with GAAP requires management to make estimates and assumptions that affect the amounts reported in the financial statements and notes. Actual results could differ from those estimates or assumptions. Management considers many factors in selecting appropriate financial accounting policies and in developing the estimates and assumptions that are used in the preparation of the financial statements. Management must apply significant judgment in this process. These effects could have a material impact on the estimates and assumptions used in the preparation of the condensed consolidated financial statements. The more significant estimates include revenue recognition, including gross-to-net adjustments, stand-alone selling price considerations for recognition of collaboration revenue and measurement of progress related to recognition of deferred revenue for collaboration revenue, the fair value of developed technology and in process research and development ("IPR&amp;D"), assessing long-lived assets for impairment, the fair value of the contingent consideration liability, clinical trial expenses, inventory costing, interest expense on liability for sale of future royalties, stock-based compensation, the determination of the provision for income taxes and corresponding deferred tax assets and liabilities, the valuation allowance recorded against net deferred tax assets, and expected cash flows from royalties received in connection with United Therapeutics' ("UT's") net revenue for the sale of Tyvaso DPI.</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Business </w:t>
      </w:r>
      <w:r>
        <w:rPr>
          <w:rFonts w:ascii="Times New Roman" w:hAnsi="Times New Roman"/>
          <w:color w:val="000000"/>
          <w:sz w:val="20"/>
        </w:rPr>
        <w:t>— MannKind is a biopharmaceutical company focused on the development and commercialization of patient-centric therapies that address serious unmet medical needs for those living with cardiometabolic and orphan lung diseases. The Company is currently commercializing three products: Afrezza (insulin human) Inhalation Powder, an ultra rapid-acting inhaled insulin indicated to improve glycemic control in adults with diabetes; Furoscix (furosemide injection), to treat fluid buildup in patients with chronic heart failure or chronic kidney disease; and the V-Go wearable insulin delivery device, which provides continuous subcutaneous infusion of insulin in adults that require insulin. The Company also developed Tyvaso DPI (treprostinil) inhalation powder, which is approved for the treatment of pulmonary arterial hypertension (“PAH”) and for the treatment of pulmonary hypertension associated with interstitial lung disease (“PH-ILD”). The Company receives a royalty on net sales and revenue from supplies of Tyvaso DPI that it manufactures for its development and marketing partner, United Therapeutics.</w:t>
      </w:r>
    </w:p>
    <w:p>
      <w:pPr>
        <w:pStyle w:val="TextBody"/>
        <w:bidi w:val="0"/>
        <w:spacing w:before="240" w:after="283"/>
        <w:jc w:val="left"/>
        <w:rPr>
          <w:rFonts w:ascii="Times New Roman" w:hAnsi="Times New Roman"/>
          <w:sz w:val="20"/>
        </w:rPr>
      </w:pPr>
      <w:r>
        <w:rPr>
          <w:rFonts w:ascii="Times New Roman" w:hAnsi="Times New Roman"/>
          <w:i/>
          <w:color w:val="000000"/>
          <w:sz w:val="20"/>
        </w:rPr>
        <w:t>Basis of Presentation</w:t>
      </w:r>
      <w:r>
        <w:rPr>
          <w:rFonts w:ascii="Times New Roman" w:hAnsi="Times New Roman"/>
          <w:color w:val="000000"/>
          <w:sz w:val="20"/>
        </w:rPr>
        <w:t xml:space="preserve"> — The condensed consolidated financial statements have been prepared in accordance with GAAP. </w:t>
      </w:r>
    </w:p>
    <w:p>
      <w:pPr>
        <w:pStyle w:val="TextBody"/>
        <w:bidi w:val="0"/>
        <w:spacing w:before="240" w:after="283"/>
        <w:jc w:val="left"/>
        <w:rPr>
          <w:rFonts w:ascii="Times New Roman" w:hAnsi="Times New Roman"/>
          <w:sz w:val="20"/>
        </w:rPr>
      </w:pPr>
      <w:r>
        <w:rPr>
          <w:rFonts w:ascii="Times New Roman" w:hAnsi="Times New Roman"/>
          <w:i/>
          <w:color w:val="000000"/>
          <w:sz w:val="20"/>
        </w:rPr>
        <w:t>Principles of Consolidation</w:t>
      </w:r>
      <w:r>
        <w:rPr>
          <w:rFonts w:ascii="Times New Roman" w:hAnsi="Times New Roman"/>
          <w:color w:val="000000"/>
          <w:sz w:val="20"/>
        </w:rPr>
        <w:t xml:space="preserve"> — The condensed consolidated financial statements include the accounts of the Company and its wholly-owned subsidiaries. Intercompany balances and transactions have been eliminated.</w:t>
      </w:r>
    </w:p>
    <w:p>
      <w:pPr>
        <w:pStyle w:val="TextBody"/>
        <w:bidi w:val="0"/>
        <w:spacing w:before="240" w:after="283"/>
        <w:jc w:val="left"/>
        <w:rPr>
          <w:rFonts w:ascii="Times New Roman" w:hAnsi="Times New Roman"/>
          <w:sz w:val="20"/>
        </w:rPr>
      </w:pPr>
      <w:r>
        <w:rPr>
          <w:rFonts w:ascii="Times New Roman" w:hAnsi="Times New Roman"/>
          <w:i/>
          <w:color w:val="000000"/>
          <w:sz w:val="20"/>
        </w:rPr>
        <w:t>Reclassifications</w:t>
      </w:r>
      <w:r>
        <w:rPr>
          <w:rFonts w:ascii="Times New Roman" w:hAnsi="Times New Roman"/>
          <w:color w:val="000000"/>
          <w:sz w:val="20"/>
        </w:rPr>
        <w:t xml:space="preserve"> — Certain immaterial amounts reported in prior year's accrued expenses footnote have been reclassified to conform with the current year presentation. </w:t>
      </w:r>
    </w:p>
    <w:p>
      <w:pPr>
        <w:pStyle w:val="TextBody"/>
        <w:bidi w:val="0"/>
        <w:spacing w:before="240" w:after="240"/>
        <w:jc w:val="left"/>
        <w:rPr>
          <w:rFonts w:ascii="Times New Roman" w:hAnsi="Times New Roman"/>
          <w:sz w:val="20"/>
        </w:rPr>
      </w:pPr>
      <w:r>
        <w:rPr>
          <w:rFonts w:ascii="Times New Roman" w:hAnsi="Times New Roman"/>
          <w:i/>
          <w:color w:val="000000"/>
          <w:sz w:val="20"/>
        </w:rPr>
        <w:t>Segment Information</w:t>
      </w:r>
      <w:r>
        <w:rPr>
          <w:rFonts w:ascii="Times New Roman" w:hAnsi="Times New Roman"/>
          <w:color w:val="000000"/>
          <w:sz w:val="20"/>
        </w:rPr>
        <w:t xml:space="preserve"> — Operating segments are identified as components of an enterprise which engage in business activities that result in revenue and expenses for which separate discrete financial information is available for evaluation by the chief operating decision-maker (the “CODM”) in making decisions regarding resource allocation and assessing performance on a regular basis. The CODM is comprised of the Company's CEO and CFO. To date, the Company has viewed its operations and manages its business as a single reportable segment operating in the United States of America. The business and accounting policies of the Company's single reportable segment are further explained below. The measure of segment assets is reported as total assets in the consolidated balance sheets. No intra-entity sales or transfers are transacted within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key metric utilized by the CODM to assess resource allocation and performance is the Company’s segment net income, which is the same as the consolidated net income reported in the condensed consolidated statements of operations. The CODM also analyzes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Company's consolidated net income to evaluate its return on segment assets and to establish budgets and forecasts. The table below shows the details of the Company’s segment revenues and significant expense categories regularly provided to and reviewed by the CODM as well as other significant segment items included in consolidated net income in the condensed consolidated statements of operations:</w:t>
      </w:r>
    </w:p>
    <w:tbl>
      <w:tblPr>
        <w:tblW w:w="10029" w:type="dxa"/>
        <w:jc w:val="left"/>
        <w:tblInd w:w="0" w:type="dxa"/>
        <w:tblLayout w:type="fixed"/>
        <w:tblCellMar>
          <w:top w:w="28" w:type="dxa"/>
          <w:left w:w="28" w:type="dxa"/>
          <w:bottom w:w="28" w:type="dxa"/>
          <w:right w:w="28" w:type="dxa"/>
        </w:tblCellMar>
      </w:tblPr>
      <w:tblGrid>
        <w:gridCol w:w="7326"/>
        <w:gridCol w:w="146"/>
        <w:gridCol w:w="211"/>
        <w:gridCol w:w="736"/>
        <w:gridCol w:w="166"/>
        <w:gridCol w:w="146"/>
        <w:gridCol w:w="211"/>
        <w:gridCol w:w="676"/>
        <w:gridCol w:w="411"/>
      </w:tblGrid>
      <w:tr>
        <w:trPr/>
        <w:tc>
          <w:tcPr>
            <w:tcW w:w="7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Afrezza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Furoscix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V-Go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Collaborations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78,354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significant segment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 – commercial, excluding 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 – collaborations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settlement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4"/>
        </w:rPr>
        <w:t xml:space="preserve">(1) </w:t>
      </w:r>
      <w:r>
        <w:rPr>
          <w:rFonts w:ascii="Times New Roman" w:hAnsi="Times New Roman"/>
          <w:color w:val="000000"/>
          <w:sz w:val="18"/>
        </w:rPr>
        <w:t>Includes (gain) loss on foreign currency transaction, expense related to the fair value adjustment of the contingent consideration and income tax expense.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Revenue Recognition</w:t>
      </w:r>
      <w:r>
        <w:rPr>
          <w:rFonts w:ascii="Times New Roman" w:hAnsi="Times New Roman"/>
          <w:color w:val="000000"/>
          <w:sz w:val="20"/>
        </w:rPr>
        <w:t xml:space="preserve"> — The Company recognizes revenue when its customers obtain control of promised goods or services, in an amount that reflects the consideration which the Company expects to be entitled in exchange for those goods or services.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To determine revenue recognition for arrangements that are within the scope of Accounting Standards Codification (“ASC”) Topic 606, </w:t>
      </w:r>
      <w:r>
        <w:rPr>
          <w:rFonts w:ascii="Times New Roman" w:hAnsi="Times New Roman"/>
          <w:i/>
          <w:color w:val="000000"/>
          <w:sz w:val="20"/>
        </w:rPr>
        <w:t xml:space="preserve">Revenue from Contracts with Customers </w:t>
      </w:r>
      <w:r>
        <w:rPr>
          <w:rFonts w:ascii="Times New Roman" w:hAnsi="Times New Roman"/>
          <w:color w:val="000000"/>
          <w:sz w:val="20"/>
        </w:rPr>
        <w:t xml:space="preserve">(“ASC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entity will collect the consideration to which it is entitled in exchange for the goods or services it transfers to the customer.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contract inception, once the contract is determined to be within the scope of ASC 606, the Company assesses the goods or services promised within each contract, determines those that are performance obligations, and assesses whether each promised good or service is distinct. The Company has two types of contracts with customers: (i) contracts for commercial product sales with wholesale distributors, specialty and retail pharmacies, and durable medical equipment suppliers ("DMEs") and (ii) collaboration arrangements.</w:t>
      </w:r>
    </w:p>
    <w:p>
      <w:pPr>
        <w:pStyle w:val="TextBody"/>
        <w:bidi w:val="0"/>
        <w:spacing w:before="240" w:after="283"/>
        <w:jc w:val="left"/>
        <w:rPr>
          <w:rFonts w:ascii="Times New Roman" w:hAnsi="Times New Roman"/>
          <w:sz w:val="20"/>
        </w:rPr>
      </w:pPr>
      <w:r>
        <w:rPr>
          <w:rFonts w:ascii="Times New Roman" w:hAnsi="Times New Roman"/>
          <w:i/>
          <w:color w:val="000000"/>
          <w:sz w:val="20"/>
        </w:rPr>
        <w:t>Revenue Recognition — Net Revenue — Commercial Product Sales —</w:t>
      </w:r>
      <w:r>
        <w:rPr>
          <w:rFonts w:ascii="Times New Roman" w:hAnsi="Times New Roman"/>
          <w:color w:val="000000"/>
          <w:sz w:val="20"/>
        </w:rPr>
        <w:t xml:space="preserve"> The Company sells its products to a limited number of wholesale distributors, specialty and retail pharmacies, DMEs, specialty distributors and direct purchasers in the U.S. and India (collectively, its “Customers”). Wholesale distributors subsequently resell the Company’s products to retail pharmacies and certain medical centers or hospitals. Specialty and retail pharmacies sell directly to patients. In addition to distribution agreements with Customers, the Company enters into arrangements with payers that provide for government mandated and/or privately negotiated rebates, chargebacks, and discounts with respect to the purchase of the Company’s products.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transfers control and recognizes revenue upon delivery of product to wholesale distributors, specialty and retail pharmacies, DMEs, specialty distributors and direct purchasers. Product revenues are recorded net of applicable reserves, including discounts, allowances, rebates, returns and other incentives. See </w:t>
      </w:r>
      <w:r>
        <w:rPr>
          <w:rFonts w:ascii="Times New Roman" w:hAnsi="Times New Roman"/>
          <w:i/>
          <w:color w:val="000000"/>
          <w:sz w:val="20"/>
        </w:rPr>
        <w:t xml:space="preserve">Reserves for Variable Consideration </w:t>
      </w:r>
      <w:r>
        <w:rPr>
          <w:rFonts w:ascii="Times New Roman" w:hAnsi="Times New Roman"/>
          <w:color w:val="000000"/>
          <w:sz w:val="20"/>
        </w:rPr>
        <w:t>below.</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Reserves for Variable Consideration </w:t>
      </w:r>
      <w:r>
        <w:rPr>
          <w:rFonts w:ascii="Times New Roman" w:hAnsi="Times New Roman"/>
          <w:color w:val="000000"/>
          <w:sz w:val="20"/>
        </w:rPr>
        <w:t xml:space="preserve">— Revenues from product sales are recorded at the net sales price (transaction price), which includes estimates of variable consideration for which reserves are established. Components of variable consideration include trade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discounts and allowances, product returns, provider chargebacks and discounts, government rebates, payer rebates, and other incentives, such as voluntary patient assistance, and other allowances that are offered within contracts between the Company and its Customers, payers, and other indirect customers relating to the Company’s sale of its products. These reserves, as further detailed below, are based on the amounts earned, or to be claimed on the related sales, and result in a reduction of accounts receivable or establishment of a current liability. Significant judgment is required in estimating gross-to-net adjustments, including historical experience, payer channel mix, current contract prices under applicable programs, unbilled claims, claim submission time lags and inventory levels in the distribution channel.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Where appropriate, these estimates take into consideration a range of possible outcomes, which are probability-weighted in accordance with the expected value method in ASC 606 for relevant factors such as current contractual and statutory requirements, specific known market events and trends, industry data, and forecasted customer buying and payment patterns. Overall, these reserves reduce recognized revenue to the Company’s best estimates of the amount of consideration to which it is entitled based on the terms of the respective underlying contracts.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The Company’s analysis also contemplates application of the constraint in accordance with the guidance, under which it determined a material reversal of revenue would not occur in a future period for the current period estimates of gross-to-net adjustments and, therefore, the transaction price was not reduced further during the current period. Actual amounts of consideration ultimately received may differ from the Company’s estimates. If actual results in the future vary from the Company’s estimates, the Company will adjust these estimates, which would affect net revenue from commercial product sales and earnings in the period such variances become known.</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Trade Discounts and Allowances </w:t>
      </w:r>
      <w:r>
        <w:rPr>
          <w:rFonts w:ascii="Times New Roman" w:hAnsi="Times New Roman"/>
          <w:color w:val="000000"/>
          <w:sz w:val="20"/>
        </w:rPr>
        <w:t xml:space="preserve">— The Company generally provides Customers with discounts which include incentives, such as prompt pay discounts, that are explicitly stated in the Company’s contracts and are recorded as a reduction of revenue in the period the related product revenue is recognized. In addition, the Company compensates (through trade discounts and allowances) its Customers for sales order management, data, and distribution services. However, the Company has determined such services received to date are not distinct from the Company’s sale of products to the Customer and, therefore, these payments have been recorded as a reduction of revenue and as a reduction to accounts receivable, net.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Product Returns </w:t>
      </w:r>
      <w:r>
        <w:rPr>
          <w:rFonts w:ascii="Times New Roman" w:hAnsi="Times New Roman"/>
          <w:color w:val="000000"/>
          <w:sz w:val="20"/>
        </w:rPr>
        <w:t>— Consistent with industry practice, the Company generally offers Customers a right of return for unopened product that has been purchased from the Company for a period beginning six months prior to and ending 12 months after its expiration date, which lapses upon shipment to a patient. The Company estimates the amount of its product sales that may be returned by its Customers and records this estimate as a reduction of revenue in the period the related product revenue is recognized, as well as reductions to accounts receivable, net. The Company currently estimates product returns using its own sales information, including its visibility into the inventory remaining in the distribution channel. The Company's current return reserve percentage is estimated to be in the low single digits. Adjustments to the returns reserve are made when changes in the Company's assumptions result in revised estimates to the Company’s assumptions.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Provider Chargebacks and Discounts </w:t>
      </w:r>
      <w:r>
        <w:rPr>
          <w:rFonts w:ascii="Times New Roman" w:hAnsi="Times New Roman"/>
          <w:color w:val="000000"/>
          <w:sz w:val="20"/>
        </w:rPr>
        <w:t>— Chargebacks for fees and discounts to providers represent the estimated obligations resulting from contractual commitments to sell products to qualified healthcare providers at prices lower than the list prices charged to Customers who directly purchase products from the Company. Customers charge the Company for the difference between what they pay for products and the ultimate selling price to the qualified healthcare providers. These reserves are established in the same period that the related revenue is recognized, resulting in a reduction of product revenue and the establishment of a current liability that is recorded in accrued expenses and other current liabilities. Chargeback amounts are generally determined at the time of resale to the qualified healthcare provider by Customers, and the Company generally issues credits for such amounts within a few weeks of the Customer’s notification to the Company of the resale. Reserves for chargebacks consist of credits that the Company expects to issue for units that remain in the distribution channel inventories at each reporting period-end that the Company expects will be sold to qualified healthcare providers, and chargebacks that Customers have claimed, but for which the Company has not yet issued a credit.</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Government Rebates </w:t>
      </w:r>
      <w:r>
        <w:rPr>
          <w:rFonts w:ascii="Times New Roman" w:hAnsi="Times New Roman"/>
          <w:color w:val="000000"/>
          <w:sz w:val="20"/>
        </w:rPr>
        <w:t xml:space="preserve">— The Company is subject to discount obligations under Medicare and state Medicaid programs. These reserves are recorded in the same period the related revenue is recognized, resulting in a reduction of product revenue and the establishment of a current liability that is included in accrued expenses and other current liabilities. Estimates around Medicaid have historically required significant judgment due to timing lags in receiving invoices for claims from states. For Afrezza and Furoscix, the Company also estimates the number of patients in the initial and catastrophic phases of the Part D benefit for whom the Company will owe an additional liability under the Medicare Part D Manufacturer Discount Program. The Company’s liability for these rebates consists of invoices received for claims from prior quarters that have not been paid or for which an invoice has not yet been received, estimates of claims for the current quarter, and estimated future claims that will be made for products that have been recognized as revenue, but which remains in the distribution channel inventories at the end of each reporting period. The Company’s estimates include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consideration of historical claims experience, payer channel mix, current contract prices, unbilled claims, claim submission time lags and inventory in the distribution channel.</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Payer Rebates </w:t>
      </w:r>
      <w:r>
        <w:rPr>
          <w:rFonts w:ascii="Times New Roman" w:hAnsi="Times New Roman"/>
          <w:color w:val="000000"/>
          <w:sz w:val="20"/>
        </w:rPr>
        <w:t>— The Company contracts with certain private payer organizations, primarily insurance companies and pharmacy benefit managers, for the payment of rebates with respect to utilization of its products. The Company estimates these rebates, including estimates for product that has been recognized as revenue, but which remains in the distribution channel, and records such estimates in the same period the related revenue is recognized, resulting in a reduction of product revenue and the establishment of a current liability which is included in accrued expenses and other current liabilities. The Company’s estimates include consideration of historical claims experience, payer channel mix, current contract prices, unbilled claims, claim submission time lags and inventory in the distribution channel.</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Other Incentives </w:t>
      </w:r>
      <w:r>
        <w:rPr>
          <w:rFonts w:ascii="Times New Roman" w:hAnsi="Times New Roman"/>
          <w:color w:val="000000"/>
          <w:sz w:val="20"/>
        </w:rPr>
        <w:t>— Other incentives which the Company offers include voluntary patient support programs, such as the Company's co-pay assistance program, which are intended to provide financial assistance to qualified commercially-insured patients with co-payments required by payers. The calculation of the accrual for co-pay assistance is based on an estimate of claims and the cost per claim that the Company expects to receive associated with the products that have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that is included in accrued expenses and other current liabilities.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Revenue Recognition — Collaborations and Services </w:t>
      </w:r>
      <w:r>
        <w:rPr>
          <w:rFonts w:ascii="Times New Roman" w:hAnsi="Times New Roman"/>
          <w:color w:val="000000"/>
          <w:sz w:val="20"/>
        </w:rPr>
        <w:t xml:space="preserve">— The Company enters into licensing, research or other agreements under which the Company licenses certain rights to its product candidates to third parties, conducts research or provides other services to third parties. The terms of these arrangements may include but are not limited to payment to the Company of one or more of the following: up-front license fees; development, regulatory, and commercial milestone payments; payments for commercial manufacturing and clinical supply services the Company provides; and royalties on net sales of licensed products and sublicenses of the rights. As part of the accounting for these arrangements, the Company must develop assumptions that require judgment such as determining the performance obligation in the contract and determining the stand-alone selling price for each performance obligation identified in the contract.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If an arrangement has multiple performance obligations, the allocation of the transaction price is determined from observable market inputs, if available, and the Company uses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 Current deferred revenue consists of amounts that are expected to be recognized as revenue in the next 12 months. Amounts that the Company expects will not be recognized within the next 12 months are classified as long-term deferred revenue. However, the timing of recognition is based on the Company’s current estimates and, if the estimates should change in the future, the Company may recognize a different amount of deferred revenue over the next 12-month period. For further information, see Note 10 – </w:t>
      </w:r>
      <w:r>
        <w:rPr>
          <w:rFonts w:ascii="Times New Roman" w:hAnsi="Times New Roman"/>
          <w:i/>
          <w:color w:val="000000"/>
          <w:sz w:val="20"/>
        </w:rPr>
        <w:t>Collaborations, Licensing and Other Arrangements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as a distinct performance obligation, then the license and other undelivered performance obligations would be evaluated to determine if such should be accounted for as a single unit of accounting. If concluded to be a single performance obligation, the transaction price for the single performance obligation is recognized as revenue over the estimated period of when the performance obligation is satisfied. If the license is considered to be a distinct performance obligation, then the estimated revenue is included in the transaction price for the contract, which is then allocated to each performance obligation based on the respective standalone selling prices.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Whenever the Company determines that an arrangement should be accounted for over time, the Company determines the period over which the performance obligations will be performed, and revenue will be recognized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 including estimating future revenue to be earned over the contract term.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collaboration agreements typically entitle the Company to additional payments upon the achievement of development, regulatory and sales milestones. If the achievement of a milestone is considered probable at the inception of the collaboration, the related milestone payment is included with other collaboration consideration, such as upfront fees and research funding, in the Company’s revenue calculation. If these milestones are not considered probable at the inception of the collaboration, the milestones will typically be recognized in one of two ways depending on the timing of when the milestone is achieved. If the milestone is improbable at inception and subsequently deemed probable of achievement, such will be added to the transaction price, resulting in a cumulative adjustment to revenue, based on measurement of progress.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collaboration agreements, for accounting purposes, represent contracts with customers and therefore are not subject to accounting literature on collaboration agreements. The Company grants licenses to its intellectual property, supplies raw materials, semi-finished goods or finished goods, provides research and development services and offers sales support for the co-promotion of products, all of which are outputs of the Company’s ongoing activities, in exchange for consideration. Accordingly, the Company concluded that its collaboration agreements must generally be accounted for pursuant to ASC 606.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collaboration agreements that allow collaboration partners to select additional optioned products or services, the Company evaluates whether such options contain material rights (i.e., have exercise prices that are discounted compared to what the Company would charge for a similar product or service to a new collaboration partner). The exercise price of these options includes a combination of licensing fees, event-based milestone payments and royalties. When these amounts in aggregate are not offered at a discount that exceeds discounts available to other customers, the Company concludes the option does not contain a material right, and therefore is not included in the transaction price at contract inception.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also evaluates grants of additional licensing rights upon option exercises to determine whether such should be accounted for as separate contracts. Any change in transaction price is assessed by management as follows: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the change in estimated variable consideration relates to performance obligations that have been partially or fully satisfied, the effect of the change is recognized as an adjustment to revenue in the period of the change. This adjustment is recorded on a cumulative catch-up basis, reflecting the amount of revenue that would have been recognized if the revised estimate had been used since contract inception.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extent the change in estimated variable consideration relates to performance obligations that have not yet been satisfied, or when the Company elects to use the practical expedient described above, the effect of the change is recognized prospectively over the remaining performance period.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With respect to the Company's significant collaboration and service agreement with UT that includes a long-term commercial supply agreement (as amended, the “CSA”), the Company initially identified three distinct performance obligations: (1) the license, supply of product to be used in clinical development, and continued development and approval support for Tyvaso DPI (“R&amp;D Services and License”); (2) development activities for the next generation of the product (“Next-Gen R&amp;D Services”); and (3) a material right associated with the manufacturing and supply of product (“Manufacturing Services”). Pre-production activities under the CSA, such as facility expansion services and other administrative services, were recorded to deferred revenue and are recognized over the Manufacturing Services performance obligation as required by ASC 606. Under the CSA, UT issued purchase orders for the supply of Tyvaso DPI with revenue recognized at the point in time in which control of the product is transferred to UT, and deferred revenue is recognized as product is delivered over the CSA term using an output method based on the estimate of the measurement of progress. In January 2026, the Company and UT executed the Seventh Amendment to the CSA (the “Seventh Amendment”) which modified the CSA by establishing minimum annual purchase obligations for commercial supply as well as tiered pricing dependent on the volume of units purchased beginning in 2026 through the end of the CSA term. The Seventh Amendment is accounted for as a termination of the existing contract and the creation of a new contract. The outstanding balance of deferred revenue from the prior contract was carried forward into the new contract and included with the consideration expected to be received under the modified pricing terms. Upon the execution of the Seventh Amendment, the Company assessed the CSA with UT and determined that a material right existed for the optional manufacturing services and elected to account for it using the practical alternative allowed for under ASC 606 (i.e., allocate the transaction price to the optional services by reference to the services expected to be provided and the corresponding expected consideration). Under this practical alternative, the Company has made a policy election to recognize changes in estimated consideration attributable to the contract prospectively, such that the amount of revenue to be recognized per unit for future deliveries is adjusted, without recording a cumulative catch-up to amounts recognized in prior periods. Revenue is then recognized at the point in time in which control of the product is transferred to UT. See Note 10 – </w:t>
      </w:r>
      <w:r>
        <w:rPr>
          <w:rFonts w:ascii="Times New Roman" w:hAnsi="Times New Roman"/>
          <w:i/>
          <w:color w:val="000000"/>
          <w:sz w:val="20"/>
        </w:rPr>
        <w:t>Collaborations, Licensing and Other Arrangements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i/>
          <w:color w:val="000000"/>
          <w:sz w:val="20"/>
        </w:rPr>
        <w:t>Revenue Recognition — Royalties —</w:t>
      </w:r>
      <w:r>
        <w:rPr>
          <w:rFonts w:ascii="Times New Roman" w:hAnsi="Times New Roman"/>
          <w:color w:val="000000"/>
          <w:sz w:val="20"/>
        </w:rPr>
        <w:t xml:space="preserve"> The Company recognizes royalty revenue for a sales-based or usage-based royalty if it is promised in exchange for an intellectual property license. The royalty revenue is recognized as the subsequent sale of the product occurs or, if later and applicable, the satisfaction or partial satisfaction of the performance obligation to which the royalty has been allocated. The Company’s UT License Agreement (as defined in Note 10 – </w:t>
      </w:r>
      <w:r>
        <w:rPr>
          <w:rFonts w:ascii="Times New Roman" w:hAnsi="Times New Roman"/>
          <w:i/>
          <w:color w:val="000000"/>
          <w:sz w:val="20"/>
        </w:rPr>
        <w:t>Collaborations, Licensing and Other Arrangements</w:t>
      </w:r>
      <w:r>
        <w:rPr>
          <w:rFonts w:ascii="Times New Roman" w:hAnsi="Times New Roman"/>
          <w:color w:val="000000"/>
          <w:sz w:val="20"/>
        </w:rPr>
        <w:t xml:space="preserve">) entitles it to receive a 10% royalty on net sales of Tyvaso DPI for the license of the Company’s IP that was considered to be interdependent with the development activities that supported the approval of Tyvaso DPI. Although the Company recognizes a 10% royalty on net revenue from the sale of Tyvaso DPI as revenue, it only collects 9% of future royalties due to its sale in December 2023 of 1% of future royalties as detailed in Note 15 – </w:t>
      </w:r>
      <w:r>
        <w:rPr>
          <w:rFonts w:ascii="Times New Roman" w:hAnsi="Times New Roman"/>
          <w:i/>
          <w:color w:val="000000"/>
          <w:sz w:val="20"/>
        </w:rPr>
        <w:t>Commitments and Contingencies</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i/>
          <w:color w:val="000000"/>
          <w:sz w:val="20"/>
        </w:rPr>
        <w:t xml:space="preserve">Milestone Payments </w:t>
      </w:r>
      <w:r>
        <w:rPr>
          <w:rFonts w:ascii="Times New Roman" w:hAnsi="Times New Roman"/>
          <w:color w:val="000000"/>
          <w:sz w:val="20"/>
        </w:rPr>
        <w:t>— At the inception of each arrangement that includes development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customer,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will re-evaluate the probability of achievement of such development milestones and any related constraint, and if necessary, adjusts its estimate of the overall transaction price. Any such adjustments are recorded on a cumulative catch-up basis.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Company’s net revenue as shown on the condensed consolidated statement of operations is comprised of the following (in thousands):</w:t>
      </w:r>
    </w:p>
    <w:tbl>
      <w:tblPr>
        <w:tblW w:w="4749" w:type="dxa"/>
        <w:jc w:val="left"/>
        <w:tblInd w:w="0" w:type="dxa"/>
        <w:tblLayout w:type="fixed"/>
        <w:tblCellMar>
          <w:top w:w="28" w:type="dxa"/>
          <w:left w:w="28" w:type="dxa"/>
          <w:bottom w:w="28" w:type="dxa"/>
          <w:right w:w="28" w:type="dxa"/>
        </w:tblCellMar>
      </w:tblPr>
      <w:tblGrid>
        <w:gridCol w:w="1946"/>
        <w:gridCol w:w="146"/>
        <w:gridCol w:w="211"/>
        <w:gridCol w:w="676"/>
        <w:gridCol w:w="146"/>
        <w:gridCol w:w="146"/>
        <w:gridCol w:w="211"/>
        <w:gridCol w:w="676"/>
        <w:gridCol w:w="591"/>
      </w:tblGrid>
      <w:tr>
        <w:trPr/>
        <w:tc>
          <w:tcPr>
            <w:tcW w:w="1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Product revenue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47,791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Services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Royalties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78,354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Amounts represent the revenue from Afrezza, Furoscix and V-Go sales to wholesale distributors, specialty and retail pharmacies, DMEs, specialty distributors and direct purchasers and from the manufacture of Tyvaso DPI delivered to UT.</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(2)</w:t>
      </w:r>
    </w:p>
    <w:p>
      <w:pPr>
        <w:pStyle w:val="TextBody"/>
        <w:bidi w:val="0"/>
        <w:spacing w:before="0" w:after="0"/>
        <w:jc w:val="left"/>
        <w:rPr>
          <w:rFonts w:ascii="Times New Roman" w:hAnsi="Times New Roman"/>
          <w:sz w:val="20"/>
        </w:rPr>
      </w:pPr>
      <w:r>
        <w:rPr>
          <w:rFonts w:ascii="Times New Roman" w:hAnsi="Times New Roman"/>
          <w:color w:val="000000"/>
          <w:sz w:val="18"/>
        </w:rPr>
        <w:t xml:space="preserve">Amounts represent revenue generated from the Company's collaboration arrangements, including services related to the development agreement with UT as well as arrangements with other collaboration partners. See Note 10 – </w:t>
      </w:r>
      <w:r>
        <w:rPr>
          <w:rFonts w:ascii="Times New Roman" w:hAnsi="Times New Roman"/>
          <w:i/>
          <w:color w:val="000000"/>
          <w:sz w:val="18"/>
        </w:rPr>
        <w:t>Collaborations, Licensing and Other Arrangements</w:t>
      </w:r>
      <w:r>
        <w:rPr>
          <w:rFonts w:ascii="Times New Roman" w:hAnsi="Times New Roman"/>
          <w:color w:val="000000"/>
          <w:sz w:val="18"/>
        </w:rPr>
        <w:t xml:space="preserve">. </w:t>
      </w:r>
    </w:p>
    <w:p>
      <w:pPr>
        <w:pStyle w:val="TextBody"/>
        <w:bidi w:val="0"/>
        <w:spacing w:before="0" w:after="240"/>
        <w:jc w:val="left"/>
        <w:rPr>
          <w:rFonts w:ascii="Times New Roman" w:hAnsi="Times New Roman"/>
          <w:color w:val="000000"/>
          <w:sz w:val="14"/>
        </w:rPr>
      </w:pPr>
      <w:r>
        <w:rPr>
          <w:rFonts w:ascii="Times New Roman" w:hAnsi="Times New Roman"/>
          <w:color w:val="000000"/>
          <w:sz w:val="14"/>
        </w:rPr>
        <w:t>(3)</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Amounts represent royalties earned based on UT’s net revenue from Tyvaso DPI sales.</w:t>
      </w:r>
    </w:p>
    <w:p>
      <w:pPr>
        <w:pStyle w:val="TextBody"/>
        <w:bidi w:val="0"/>
        <w:jc w:val="left"/>
        <w:rPr>
          <w:rFonts w:ascii="Times New Roman" w:hAnsi="Times New Roman"/>
          <w:b/>
          <w:color w:val="000000"/>
          <w:sz w:val="20"/>
        </w:rPr>
      </w:pPr>
      <w:r>
        <w:rPr>
          <w:rFonts w:ascii="Times New Roman" w:hAnsi="Times New Roman"/>
          <w:b/>
          <w:color w:val="000000"/>
          <w:sz w:val="20"/>
        </w:rPr>
        <w:t>Cost of goods sold and cost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goods sold – commercial, excluding amortization of acquired intangibles, of $7.5 million and $3.8 million for the three months ended March 31, 2026 and 2025, respectively, is associated with product revenue for Afrezza, Furoscix and V-Go. The cost of revenue – collaborations and services of $10.0 million and $13.7 million for the three months ended March 31, 2026 and 2025, respectively, is primarily associated with manufacturing activities for Tyvaso DPI.</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Cost of Goods Sold — Commercial </w:t>
      </w:r>
      <w:r>
        <w:rPr>
          <w:rFonts w:ascii="Times New Roman" w:hAnsi="Times New Roman"/>
          <w:color w:val="000000"/>
          <w:sz w:val="20"/>
        </w:rPr>
        <w:t xml:space="preserve">— Cost of goods sold - commercial is associated with the product revenue for Afrezza, Furoscix and V-Go and includes material, labor costs and manufacturing overhead. Write-offs of inventory and certain other period costs are recorded as expenses in the period in which they are incurred, rather than as a portion of inventory costs. Cost of goods sold excludes the cost of insulin purchased under the Company’s Insulin Supply Agreement (the “Insulin Supply Agreement”) with Amphastar Pharmaceuticals, Inc. (“Amphastar”). The Company incurs a quarterly capacity fee through its agreement with Amphastar which is included in cost of goods sold. See Note 15 – </w:t>
      </w:r>
      <w:r>
        <w:rPr>
          <w:rFonts w:ascii="Times New Roman" w:hAnsi="Times New Roman"/>
          <w:i/>
          <w:color w:val="000000"/>
          <w:sz w:val="20"/>
        </w:rPr>
        <w:t>Commitments and Contingencies</w:t>
      </w:r>
      <w:r>
        <w:rPr>
          <w:rFonts w:ascii="Times New Roman" w:hAnsi="Times New Roman"/>
          <w:color w:val="000000"/>
          <w:sz w:val="20"/>
        </w:rPr>
        <w:t xml:space="preserve"> for additional information on this agreement. All insulin inventory on hand was written off and the full purchase commitment contract to purchase future insulin was accrued as a recognized loss on purchase commitments in prior years.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Cost of Revenues </w:t>
      </w:r>
      <w:r>
        <w:rPr>
          <w:rFonts w:ascii="Times New Roman" w:hAnsi="Times New Roman"/>
          <w:color w:val="000000"/>
          <w:sz w:val="20"/>
        </w:rPr>
        <w:t xml:space="preserve">— </w:t>
      </w:r>
      <w:r>
        <w:rPr>
          <w:rFonts w:ascii="Times New Roman" w:hAnsi="Times New Roman"/>
          <w:i/>
          <w:color w:val="000000"/>
          <w:sz w:val="20"/>
        </w:rPr>
        <w:t>Collaborations and Services</w:t>
      </w:r>
      <w:r>
        <w:rPr>
          <w:rFonts w:ascii="Times New Roman" w:hAnsi="Times New Roman"/>
          <w:color w:val="000000"/>
          <w:sz w:val="20"/>
        </w:rPr>
        <w:t xml:space="preserve"> — Cost of revenues for collaborations and services is primarily associated with product revenue for Tyvaso DPI and includes material, labor costs and manufacturing overhead. Write-offs of inventory and certain other period costs are recorded as expenses in the period in which they are incurred, rather than as a portion of inventory costs. Cost of revenues for collaborations and services also includes the cost of product development.</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("R&amp;D") —</w:t>
      </w:r>
      <w:r>
        <w:rPr>
          <w:rFonts w:ascii="Times New Roman" w:hAnsi="Times New Roman"/>
          <w:color w:val="000000"/>
          <w:sz w:val="20"/>
        </w:rPr>
        <w:t xml:space="preserve"> Clinical trial expenses result from obligations under contracts with vendors, consultants and clinical site agreements in addition to internal costs associated with conducting clinical trials. R&amp;D costs are expensed as incurred. Clinical study and certain research costs are recognized over the service periods specified in the contracts and adjusted as necessary based upon an ongoing review of the level of effort and costs actually incurred. Nonrefundable advance payments for services to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received in the future for use in R&amp;D activities are recorded as prepaid assets and expensed in the period when the services are performed. </w:t>
      </w:r>
    </w:p>
    <w:p>
      <w:pPr>
        <w:pStyle w:val="TextBody"/>
        <w:bidi w:val="0"/>
        <w:spacing w:before="240" w:after="283"/>
        <w:jc w:val="left"/>
        <w:rPr>
          <w:rFonts w:ascii="Times New Roman" w:hAnsi="Times New Roman"/>
          <w:sz w:val="20"/>
        </w:rPr>
      </w:pPr>
      <w:r>
        <w:rPr>
          <w:rFonts w:ascii="Times New Roman" w:hAnsi="Times New Roman"/>
          <w:i/>
          <w:color w:val="000000"/>
          <w:sz w:val="20"/>
        </w:rPr>
        <w:t>Cash, Cash Equivalents and Restricted Cash</w:t>
      </w:r>
      <w:r>
        <w:rPr>
          <w:rFonts w:ascii="Times New Roman" w:hAnsi="Times New Roman"/>
          <w:color w:val="000000"/>
          <w:sz w:val="20"/>
        </w:rPr>
        <w:t xml:space="preserve"> — The Company considers all highly liquid investments with original maturities of 90 days or less at the time of purchase, that are readily convertible into cash to be cash equivalents. As of March 31, 2026 and December 31, 2025, cash equivalents were comprised of interest-bearing money market funds, U.S. Treasury securities, corporate bonds and commercial paper with original maturities of 90 days or less from the date of purchase.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records restricted cash when cash and cash equivalents are restricted as to withdrawal or usage. Restricted cash under a letter of credit issued in connection with a facility lease assumed by the Company that will not be available for use in the Company’s operations within 12 months of the reporting date is presented in non-current assets.</w:t>
      </w:r>
    </w:p>
    <w:p>
      <w:pPr>
        <w:pStyle w:val="TextBody"/>
        <w:bidi w:val="0"/>
        <w:spacing w:before="240" w:after="283"/>
        <w:jc w:val="left"/>
        <w:rPr>
          <w:rFonts w:ascii="Times New Roman" w:hAnsi="Times New Roman"/>
          <w:sz w:val="20"/>
        </w:rPr>
      </w:pPr>
      <w:r>
        <w:rPr>
          <w:rFonts w:ascii="Times New Roman" w:hAnsi="Times New Roman"/>
          <w:i/>
          <w:color w:val="000000"/>
          <w:sz w:val="20"/>
        </w:rPr>
        <w:t>Available-for-Sale Investments</w:t>
      </w:r>
      <w:r>
        <w:rPr>
          <w:rFonts w:ascii="Times New Roman" w:hAnsi="Times New Roman"/>
          <w:color w:val="000000"/>
          <w:sz w:val="20"/>
        </w:rPr>
        <w:t xml:space="preserve"> — The Company's available-for-sale investments consist primarily of highly liquid money market funds, commercial bonds and paper, and U.S. Treasury securities that are intended to facilitate liquidity and capital preservation. Available-for-sale investments are measured at fair value with realized gains and losses and unrealized losses related to credit risk reported in other income (expense) in the consolidated statements of operations. Unrealized holding gains and losses are excluded from earnings and reported in other comprehensive income until realized. These investments with maturities less than 12 months are included in short-term investments and investments with maturities in excess of 12 months are included in long-term investments in the condensed consolidated balance sheets. The accretion of these investments, net of amortization, is recognized as interest income in the condensed consolidated statements of operations. See Note 3 – </w:t>
      </w:r>
      <w:r>
        <w:rPr>
          <w:rFonts w:ascii="Times New Roman" w:hAnsi="Times New Roman"/>
          <w:i/>
          <w:color w:val="000000"/>
          <w:sz w:val="20"/>
        </w:rPr>
        <w:t>Investments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Concentration of Credit Risk</w:t>
      </w:r>
      <w:r>
        <w:rPr>
          <w:rFonts w:ascii="Times New Roman" w:hAnsi="Times New Roman"/>
          <w:color w:val="000000"/>
          <w:sz w:val="20"/>
        </w:rPr>
        <w:t xml:space="preserve"> — Financial instruments that potentially subject the Company to concentration of credit risk consisted of cash and cash equivalents and investments. Cash and cash equivalents are held in high credit quality institutions. Cash equivalents consisted of interest-bearing money market funds and U.S. Treasury securities with original or remaining maturities of 90 days or less at the time of purchase. Investments generally consisted of commercial paper, corporate notes or bonds and U.S. Treasury securities. Cash equivalents and investments are regularly monitored by management.</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Accounts Receivable and Allowance for Credit Losses </w:t>
      </w:r>
      <w:r>
        <w:rPr>
          <w:rFonts w:ascii="Times New Roman" w:hAnsi="Times New Roman"/>
          <w:color w:val="000000"/>
          <w:sz w:val="20"/>
        </w:rPr>
        <w:t>— Accounts receivable are recorded at the invoiced amount and are not interest bearing. Accounts receivable are presented net of an allowance for credit losses if there are estimated losses resulting from the inability of its customers to make required payments. The Company makes ongoing assumptions relating to the collectability of its accounts receivable in its calculation of the allowance for credit losses. The allowance for expected credit losses is based primarily on past collections experience relative to the length of time receivables are past due. However, when available evidence reasonably supports an assumption that future economic conditions will differ from current and historical payment collections, an adjustment is reflected in the allowance for expected credit losses. Accounts receivable are also presented net of an allowance for product returns and trade discounts and allowances because the Company’s customers have the right of setoff for these amounts against the related accounts receivable.</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Pre-Launch Inventory </w:t>
      </w:r>
      <w:r>
        <w:rPr>
          <w:rFonts w:ascii="Times New Roman" w:hAnsi="Times New Roman"/>
          <w:color w:val="000000"/>
          <w:sz w:val="20"/>
        </w:rPr>
        <w:t xml:space="preserve">— The Company periodically evaluates whether costs incurred to manufacture inventory prior to regulatory approval or commercial validation should be capitalized as inventory or expensed as research and development. Such costs are capitalized only when management determines that the inventory is expected to provide probable future economic benefit and is likely to be used in commercial production. If management is aware of any specific material risks or contingencies other than the normal regulatory reporting process, or if the criteria for capitalizing inventory produced prior to regulatory approval are otherwise not met, the Company would not capitalize such inventory costs, and would instead recognize such costs as R&amp;D expense in the period incurred. See Note 5 – </w:t>
      </w:r>
      <w:r>
        <w:rPr>
          <w:rFonts w:ascii="Times New Roman" w:hAnsi="Times New Roman"/>
          <w:i/>
          <w:color w:val="000000"/>
          <w:sz w:val="20"/>
        </w:rPr>
        <w:t>Inventories.</w:t>
      </w:r>
    </w:p>
    <w:p>
      <w:pPr>
        <w:pStyle w:val="TextBody"/>
        <w:bidi w:val="0"/>
        <w:spacing w:before="240" w:after="283"/>
        <w:jc w:val="left"/>
        <w:rPr>
          <w:rFonts w:ascii="Times New Roman" w:hAnsi="Times New Roman"/>
          <w:sz w:val="20"/>
        </w:rPr>
      </w:pPr>
      <w:r>
        <w:rPr>
          <w:rFonts w:ascii="Times New Roman" w:hAnsi="Times New Roman"/>
          <w:i/>
          <w:color w:val="000000"/>
          <w:sz w:val="20"/>
        </w:rPr>
        <w:t>Inventories</w:t>
      </w:r>
      <w:r>
        <w:rPr>
          <w:rFonts w:ascii="Times New Roman" w:hAnsi="Times New Roman"/>
          <w:color w:val="000000"/>
          <w:sz w:val="20"/>
        </w:rPr>
        <w:t xml:space="preserve"> — Inventories are stated at the lower of cost or net realizable value. The Company determines the cost of inventory using the first-in, first-out, or FIFO, method. The Company capitalizes inventory costs associated with the Company’s products based on management’s judgment that future economic benefits are expected to be realized; otherwise, such costs are expensed as incurred as cost of goods sold. The Company uses contract manufacturing organizations ("CMOs") in the U.S. and outside of the U.S. to produce its Furoscix inventory and a CMO outside of the U.S. for certain stages of V-Go inventory.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analyzes its inventory levels to identify inventory that may expire or has a cost basis in excess of its estimated realizable value. The Company performs an assessment of projected sales and evaluates the lower of cost or net realizable value and the potential excess inventory on hand at the end of each reporting period. Excess and obsolete inventory identified, if any, are recorded as an inventory write-off within the condensed consolidated statements of operations and comprehensive loss.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Property and Equipment</w:t>
      </w:r>
      <w:r>
        <w:rPr>
          <w:rFonts w:ascii="Times New Roman" w:hAnsi="Times New Roman"/>
          <w:color w:val="000000"/>
          <w:sz w:val="20"/>
        </w:rPr>
        <w:t xml:space="preserve"> — Property and equipment is recorded at historical cost, net of accumulated depreciation. Depreciation expense is recorded over the assets’ useful lives on a straight-line basis and included in cost of goods sold, research and development, and selling, general and administrative expense in the condensed consolidated statements of operations. See Note 6 – </w:t>
      </w:r>
      <w:r>
        <w:rPr>
          <w:rFonts w:ascii="Times New Roman" w:hAnsi="Times New Roman"/>
          <w:i/>
          <w:color w:val="000000"/>
          <w:sz w:val="20"/>
        </w:rPr>
        <w:t>Property and Equipment</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i/>
          <w:color w:val="000000"/>
          <w:sz w:val="20"/>
        </w:rPr>
        <w:t>Impairment of Long-Lived Assets</w:t>
      </w:r>
      <w:r>
        <w:rPr>
          <w:rFonts w:ascii="Times New Roman" w:hAnsi="Times New Roman"/>
          <w:color w:val="000000"/>
          <w:sz w:val="20"/>
        </w:rPr>
        <w:t xml:space="preserve"> — Long-lived assets include property and equipment, operating lease right-of-use assets and other intangible assets. The Company evaluates long-lived assets for impairment whenever events or changes in circumstances indicate that the carrying value of an asset may not be recoverable. Assets are considered to be impaired if the carrying value is considered to be unrecoverable.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Company believes an asset to be impaired, the impairment recognized is the amount by which the carrying value of the asset exceeds the fair value of the asset. Fair value is determined using market, income or cost approaches as appropriate for the asset. Any write-downs are treated as permanent reductions in the carrying amount of the asset and recognized as an operating loss.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Acquisitions — </w:t>
      </w:r>
      <w:r>
        <w:rPr>
          <w:rFonts w:ascii="Times New Roman" w:hAnsi="Times New Roman"/>
          <w:color w:val="000000"/>
          <w:sz w:val="20"/>
        </w:rPr>
        <w:t xml:space="preserve">The Company first determines whether a set of assets acquired constitute a business and should be accounted for as a business combination. If the assets acquired do not constitute a business, the Company accounts for the transaction as an asset acquisition. Business combinations are accounted for by means of the acquisition method of accounting. Under the acquisition method, assets acquired, including developed technology and in-process R&amp;D (“IPR&amp;D”), and liabilities assumed are recorded at their respective fair values as of the acquisition date in the Company’s condensed consolidated financial statements. Leases are recorded at the net present value of the remaining lease payments. The excess of the fair value of consideration transferred over the fair value of the net assets acquired is recorded as goodwill. A gain on bargain purchase is recorded if the fair value of the net assets acquired exceeds the fair value of the consideration transferred. Contingent consideration obligations incurred in connection with a business combination (including the assumption of an acquiree’s liability arising from an acquisition it consummated prior to the Company’s acquisition) are recorded at their fair values on the acquisition date and remeasured at their fair values each subsequent reporting period until the related contingencies have been resolved. The resulting changes in fair values are recorded in earnings. Measurement period adjustments related to acquired assets and liabilities may be recorded within one year of the acquisition date and are recognized in earnings in the period in which the adjustments are identified. The accompanying consolidated balance sheet as of March 31, 2026 includes certain assets acquired and liabilities assumed based on management’s preliminary estimates of their respective fair values such as valuation of acquired intangible assets, contingent liabilities and deferred tax assets and liabilities. The Company expects to finalize these fair value measurements as additional information becomes available, including completion of its review of acquired contractual arrangements and other relevant facts and circumstances. See Note 2 – </w:t>
      </w:r>
      <w:r>
        <w:rPr>
          <w:rFonts w:ascii="Times New Roman" w:hAnsi="Times New Roman"/>
          <w:i/>
          <w:color w:val="000000"/>
          <w:sz w:val="20"/>
        </w:rPr>
        <w:t>Business Combinations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contrast, asset acquisitions are accounted for by using a cost accumulation and allocation model. Under this model, the cost of the acquisition is allocated to the assets acquired and liabilities assumed. IPR&amp;D projects with no alternative future use are recorded in R&amp;D expense upon acquisition, and contingent consideration obligations incurred in connection with an asset acquisition are recorded when it is probable that they will occur and they can be reasonably estimated.</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Goodwill and Other Intangible Assets — </w:t>
      </w:r>
      <w:r>
        <w:rPr>
          <w:rFonts w:ascii="Times New Roman" w:hAnsi="Times New Roman"/>
          <w:color w:val="000000"/>
          <w:sz w:val="20"/>
        </w:rPr>
        <w:t xml:space="preserve">The fair value of acquired intangible assets is determined using either a cost approach or an income approach. The cost approach establishes fair value based on the cost of reproducing or replacing the asset, less depreciation for functional or economic obsolescence. The income approach, referred to as the excess earnings method, utilizes Level 3 fair value inputs to determine the present value of future economic benefits to be derived from ownership of the intangible asset. Market participant valuations assume a global view considering all potential jurisdictions and indications based on discounted after-tax cash flow projections, risk adjusted for estimated probability of technical and regulatory success.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tests for impairment annually on a reporting unit basis, at the beginning of the Company’s fourth fiscal quarter and between annual tests if events and circumstances indicate it is more likely than not that the fair value of a reporting unit is less than its carrying amount. To the extent the carrying amount of a reporting unit is less than its estimated fair value, an impairment charge will be recorded.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Finite-lived intangible assets are amortized on a straight-line basis over the estimated useful life. Estimated useful lives are determined considering the period assets are expected to contribute to future cash flows. Finite-lived intangible assets are tested for impairment when facts or circumstances suggest that the carrying value of the asset may not be recoverable. If the carrying value exceeds the projected undiscounted pretax cash flows of the intangible asset, an impairment loss equal to the excess of the carrying value over the estimated fair value (discounted after-tax cash flows) is recognized.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IPR&amp;D acquired in a business combination is considered an indefinite-lived intangible asset until the completion or abandonment of the associated R&amp;D efforts. During the R&amp;D period, the asset is not amortized but rather is tested for impairment annually, or when facts or circumstances suggest that the carrying value of the asset may not be recoverable. Once the R&amp;D efforts are completed, the Company accounts for the resulting asset as a finite-lived intangible asset. If the R&amp;D efforts are abandoned, the asset balance is written off to R&amp;D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Recognized Loss on Purchase Commitments</w:t>
      </w:r>
      <w:r>
        <w:rPr>
          <w:rFonts w:ascii="Times New Roman" w:hAnsi="Times New Roman"/>
          <w:color w:val="000000"/>
          <w:sz w:val="20"/>
        </w:rPr>
        <w:t xml:space="preserve"> — The Company reviews the terms of the long-term supply agreements and assesses the need for any accrual for estimated losses, such as lower of cost or net realizable value, that will not be recovered by future product sales. The recognized loss on purchase commitments is reduced as inventory items are received or as the liability is extinguished. See Note 15 – </w:t>
      </w:r>
      <w:r>
        <w:rPr>
          <w:rFonts w:ascii="Times New Roman" w:hAnsi="Times New Roman"/>
          <w:i/>
          <w:color w:val="000000"/>
          <w:sz w:val="20"/>
        </w:rPr>
        <w:t>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Milestone Rights Liability</w:t>
      </w:r>
      <w:r>
        <w:rPr>
          <w:rFonts w:ascii="Times New Roman" w:hAnsi="Times New Roman"/>
          <w:color w:val="000000"/>
          <w:sz w:val="20"/>
        </w:rPr>
        <w:t xml:space="preserve"> — In July 2013, in conjunction with the execution of a (now repaid) loan agreement with Deerfield Private Design Fund II, L.P. and Deerfield Private Design International II, L.P. (collectively, “Deerfield”), the Company entered into a Milestone Rights Purchase Agreement (the “Milestone Rights Agreement”) pursuant to which the Company issued certain milestone rights to Deerfield Private Design Fund II, L.P. and Horizon Santé FLML SÀRL (the “Original Milestone Purchasers”). The foregoing milestone rights provided the Original Milestone Purchasers certain rights to receive payments of up to $90.0 million upon the occurrence of specified strategic and Afrezza sales milestones, $45.0 million of which remains payable as of March 31, 2026 upon achievement of such milestones (collectively, the “Milestone Rights”). In December 2021, the Milestone Rights were purchased by Barings Global Special Situations Credit Fund 4 (Delaware), L.P. and Barings Global Special Situations Credit 4 (LUX) S.ar.l. (together, the “Milestone Purchasers”). As a result, the Milestone Purchasers have assumed the rights and obligations of the Original Milestone Purchasers and are now entitled to all rights under the Milestone Rights Agreement. The Milestone Rights liability is reported at fair value at the date of the agreement which is periodically offset against payments. See Note 11 – </w:t>
      </w:r>
      <w:r>
        <w:rPr>
          <w:rFonts w:ascii="Times New Roman" w:hAnsi="Times New Roman"/>
          <w:i/>
          <w:color w:val="000000"/>
          <w:sz w:val="20"/>
        </w:rPr>
        <w:t>Fair Value of Financial Instruments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initial fair value estimate of the Milestone Rights was calculated using the income approach in which the cash flows associated with the specified contractual payments were adjusted for both the expected timing and the 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 The Milestone Rights liability is remeasured as the specified milestone events are achieved. Specifically, as each milestone event is achieved, the portion of the initially recorded Milestone Rights liability that pertains to the milestone event being achieved, is remeasured to the amount of the specified related milestone payment. The resulting change in the balance of the Milestone Rights liability due to remeasurement is recorded in the Company’s condensed consolidated statements of operations as interest expense. Furthermore, the Milestone Rights liability is reduced upon the settlement of each milestone payment. As a result, each milestone payment would be effectively allocated between a reduction of the recorded Milestone Rights liability and an expense representing a return on a portion of the Milestone Rights liability paid to the investor for the achievement of the related milestone event. See Note 8 – </w:t>
      </w:r>
      <w:r>
        <w:rPr>
          <w:rFonts w:ascii="Times New Roman" w:hAnsi="Times New Roman"/>
          <w:i/>
          <w:color w:val="000000"/>
          <w:sz w:val="20"/>
        </w:rPr>
        <w:t>Accrued Expenses and Other Current Liabilities</w:t>
      </w:r>
      <w:r>
        <w:rPr>
          <w:rFonts w:ascii="Times New Roman" w:hAnsi="Times New Roman"/>
          <w:color w:val="000000"/>
          <w:sz w:val="20"/>
        </w:rPr>
        <w:t xml:space="preserve"> and Note 15 – </w:t>
      </w:r>
      <w:r>
        <w:rPr>
          <w:rFonts w:ascii="Times New Roman" w:hAnsi="Times New Roman"/>
          <w:i/>
          <w:color w:val="000000"/>
          <w:sz w:val="20"/>
        </w:rPr>
        <w:t>Commitments and Contingencies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Fair Value of Financial Instruments </w:t>
      </w:r>
      <w:r>
        <w:rPr>
          <w:rFonts w:ascii="Times New Roman" w:hAnsi="Times New Roman"/>
          <w:color w:val="000000"/>
          <w:sz w:val="20"/>
        </w:rPr>
        <w:t xml:space="preserve">— The Company applies various valuation approaches in determining the fair value of its financial assets and liabilities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Quoted prices for identical instruments in active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 Significant inputs to the valuation model are unobservable.</w:t>
      </w:r>
    </w:p>
    <w:p>
      <w:pPr>
        <w:pStyle w:val="TextBody"/>
        <w:bidi w:val="0"/>
        <w:spacing w:before="240" w:after="283"/>
        <w:jc w:val="left"/>
        <w:rPr>
          <w:rFonts w:ascii="Times New Roman" w:hAnsi="Times New Roman"/>
          <w:sz w:val="20"/>
        </w:rPr>
      </w:pPr>
      <w:r>
        <w:rPr>
          <w:rFonts w:ascii="Times New Roman" w:hAnsi="Times New Roman"/>
          <w:i/>
          <w:color w:val="000000"/>
          <w:sz w:val="20"/>
        </w:rPr>
        <w:t>Income Taxes</w:t>
      </w:r>
      <w:r>
        <w:rPr>
          <w:rFonts w:ascii="Times New Roman" w:hAnsi="Times New Roman"/>
          <w:color w:val="000000"/>
          <w:sz w:val="20"/>
        </w:rPr>
        <w:t xml:space="preserve"> — The provisions for federal, foreign, state and local income taxes are calculated on pre-tax income based on current tax law and include the cumulative effect of any changes in tax rates from those used previously in determining deferred tax assets and liabilities. Deferred income tax assets and liabilities are measured using enacted tax rates expected to apply to taxable income in the year in which the temporary differences are expected to be recovered or settled. A valuation allowance is recorded to reduce net deferred income tax assets to amounts that are more likely than not to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uncertain tax positions,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Penalties, if probable and reasonably estimable, are recognized as a component of income tax expense. The Company has reduced its deferred tax assets for uncertain tax positions but has not recorded liabilities for income tax expense, penalties, or interest.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Contingencies</w:t>
      </w:r>
      <w:r>
        <w:rPr>
          <w:rFonts w:ascii="Times New Roman" w:hAnsi="Times New Roman"/>
          <w:color w:val="000000"/>
          <w:sz w:val="20"/>
        </w:rPr>
        <w:t xml:space="preserve"> — The Company records a loss contingency for a liability when it is both probable that a liability has been incurred and the amount of the loss 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Stock-Based Compensation </w:t>
      </w:r>
      <w:r>
        <w:rPr>
          <w:rFonts w:ascii="Times New Roman" w:hAnsi="Times New Roman"/>
          <w:color w:val="000000"/>
          <w:sz w:val="20"/>
        </w:rPr>
        <w:t xml:space="preserve">— Share-based payments to employees, including grants of restricted stock units (“RSUs”), performance-based restricted stock units ("Performance RSUs"), performance-based non-qualified stock options awards (“PNQs”), restricted stock units with market conditions (“Market RSUs”), options and the compensatory elements of employee stock purchase plans, are recognized in the condensed consolidated statements of operations based upon the fair value of the awards at the grant date. RSUs are valued based on the market price on the grant date. Market RSUs are valued using a Monte Carlo valuation model and RSUs with performance conditions are evaluated for the probability that the performance conditions will be met and estimates the date at which the performance conditions will be met in order to properly recognize stock-based compensation expense over the requisite service period. The Company uses the Black-Scholes option valuation model to estimate the grant date fair value of employee stock options and the compensatory elements of employee stock purchase plans. See Note 14 – </w:t>
      </w:r>
      <w:r>
        <w:rPr>
          <w:rFonts w:ascii="Times New Roman" w:hAnsi="Times New Roman"/>
          <w:i/>
          <w:color w:val="000000"/>
          <w:sz w:val="20"/>
        </w:rPr>
        <w:t>Stock-Based Compensation Expense</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i/>
          <w:color w:val="000000"/>
          <w:sz w:val="20"/>
        </w:rPr>
        <w:t>Net Income or Loss Per Share of Common Stock</w:t>
      </w:r>
      <w:r>
        <w:rPr>
          <w:rFonts w:ascii="Times New Roman" w:hAnsi="Times New Roman"/>
          <w:color w:val="000000"/>
          <w:sz w:val="20"/>
        </w:rPr>
        <w:t xml:space="preserve"> — Basic net income or loss per share ("EPS") is computed by dividing net income or loss by the weighted average number of common shares outstanding for the period. Diluted EPS reflects the effect of potential common stock issuances resulting from assumed stock option exercises and vesting of RSUs, unless the effect is anti-dilutive, when applying the treasury stock method, as well as potential dilution under the if-converted method for convertible debt securities. For periods where the Company has presented a net loss, potentially dilutive securities are excluded from the computation of diluted EPS as they would be anti-dilutive.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Recently Issued Accounting Standards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Disaggregation of Income Statement Expenses</w:t>
      </w:r>
      <w:r>
        <w:rPr>
          <w:rFonts w:ascii="Times New Roman" w:hAnsi="Times New Roman"/>
          <w:color w:val="000000"/>
          <w:sz w:val="20"/>
        </w:rPr>
        <w:t xml:space="preserve">, which amends ASC 220-40, </w:t>
      </w:r>
      <w:r>
        <w:rPr>
          <w:rFonts w:ascii="Times New Roman" w:hAnsi="Times New Roman"/>
          <w:i/>
          <w:color w:val="000000"/>
          <w:sz w:val="20"/>
        </w:rPr>
        <w:t>Income Statement – Reporting Comprehensive Income – Expense Disaggregation Disclosures (Subtopic 220-40)</w:t>
      </w:r>
      <w:r>
        <w:rPr>
          <w:rFonts w:ascii="Times New Roman" w:hAnsi="Times New Roman"/>
          <w:color w:val="000000"/>
          <w:sz w:val="20"/>
        </w:rPr>
        <w:t xml:space="preserve">, to require disaggregated disclosure of income statement expenses for public entities. This ASU does not change the expense captions an entity presents on the face of the income statement; rather, it requires disaggregation of certain expense captions into specified categories in disclosures within the footnotes to the financial statements. The objective of this ASU is to address requests from investors for more detailed information about the types of expenses included in commonly presented expense captions. This ASU is effective for all public entities for fiscal years beginning after December 15, 2026, and interim periods within fiscal years beginning after December 15, 2027. Early adoption is permitted. While the Company does not anticipate a material impact on its financial position, results of operations, or cash flows, adoption of this ASU will result in additional disclosures related to the disaggregation of income statement expenses.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September 2025, the FASB issued ASU No. 2025-06, </w:t>
      </w:r>
      <w:r>
        <w:rPr>
          <w:rFonts w:ascii="Times New Roman" w:hAnsi="Times New Roman"/>
          <w:i/>
          <w:color w:val="000000"/>
          <w:sz w:val="20"/>
        </w:rPr>
        <w:t>Targeted Improvements to the Accounting for Internal-Use Software</w:t>
      </w:r>
      <w:r>
        <w:rPr>
          <w:rFonts w:ascii="Times New Roman" w:hAnsi="Times New Roman"/>
          <w:color w:val="000000"/>
          <w:sz w:val="20"/>
        </w:rPr>
        <w:t xml:space="preserve">, which modifies the accounting for software costs under Subtopic 350-40, </w:t>
      </w:r>
      <w:r>
        <w:rPr>
          <w:rFonts w:ascii="Times New Roman" w:hAnsi="Times New Roman"/>
          <w:i/>
          <w:color w:val="000000"/>
          <w:sz w:val="20"/>
        </w:rPr>
        <w:t>Intangibles - Goodwill and Other - Internal-Use Software</w:t>
      </w:r>
      <w:r>
        <w:rPr>
          <w:rFonts w:ascii="Times New Roman" w:hAnsi="Times New Roman"/>
          <w:color w:val="000000"/>
          <w:sz w:val="20"/>
        </w:rPr>
        <w:t>. The objective of this ASU is to better align the accounting with how software is being developed by removing all references to prescriptive and sequential software development. Instead, an entity is required to start capitalizing software costs when both management has authorized and committed to funding the software project and it is probable that the project will be completed and the software will be used for its intended purpose. This ASU is effective for all entities subject to the internal-use software guidance in Subtopic 350-40 for annual reporting periods beginning after December 15, 2027. Early adoption is permitted at the start of an annual period. The Company is currently evaluating the potential impact of this ASU on its financial position, results of operations or 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condensed consolidated financial position or results of operations upon adoption.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Business Combinations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7, 2025 (the "Merger Date"), the Company completed its merger with scPharmaceuticals Inc. ("scPharma") at a price of $5.35 per share in cash plus one non-tradable contingent value right ("CVR") per share, which represents the right to receive up to an aggregate amount of $1.00 per CVR in cash upon the achievement of certain regulatory and net sales milestones on or prior to the applicable milestone outside dates, for total consideration of up to $6.35 per share in cash, representing a total equity value of approximately $303.8 million and representing a total deal value of up to approximately $363.5 million if the CVR milestones are achieved at the maximum payment amount. </w:t>
      </w:r>
    </w:p>
    <w:p>
      <w:pPr>
        <w:pStyle w:val="TextBody"/>
        <w:bidi w:val="0"/>
        <w:spacing w:before="120" w:after="240"/>
        <w:jc w:val="left"/>
        <w:rPr>
          <w:rFonts w:ascii="Times New Roman" w:hAnsi="Times New Roman"/>
          <w:i/>
          <w:color w:val="000000"/>
          <w:sz w:val="20"/>
        </w:rPr>
      </w:pPr>
      <w:r>
        <w:rPr>
          <w:rFonts w:ascii="Times New Roman" w:hAnsi="Times New Roman"/>
          <w:i/>
          <w:color w:val="000000"/>
          <w:sz w:val="20"/>
        </w:rPr>
        <w:t>Accounting Treatment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The merger with scPharma was accounted for as a business combination using the acquisition method of accounting, which requires the assets acquired and liabilities assumed to be recognized at their respective fair values as of the Merger Date and resulted in the recognition of a developed technology intangible asset of $194.0 million and an IPR&amp;D intangible asset of $129.6 million. The excess of purchase price over the fair value of the net assets acquired in this transaction was recorded as $65.7 million in goodwill. See Note 7 – </w:t>
      </w:r>
      <w:r>
        <w:rPr>
          <w:rFonts w:ascii="Times New Roman" w:hAnsi="Times New Roman"/>
          <w:i/>
          <w:color w:val="000000"/>
          <w:sz w:val="20"/>
        </w:rPr>
        <w:t>Goodwill and Other Intangible Assets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fair value of the acquired developed technology related to the on-body infusor and the IPR&amp;D were derived using an income approach, specifically a projected discounted cash flow method, adjusted for the probability of regulatory and commercial success. The projected discounted cash flow models used to estimate the Company’s Developed technology and IPR&amp;D reflect significant assumptions regarding the estimates a market participant would make in order to evaluate a commercial drug and a drug development asset, including the following: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extent, character and utility of the intangible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cost-savings attributes of the intangible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nature of the functional or economic obsolescence of each intangible asset,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relative risk and uncertainty associated with an investment in intangible assets</w:t>
        <w:br/>
      </w:r>
      <w:r>
        <w:rPr>
          <w:color w:val="000000"/>
        </w:rPr>
        <w:t> </w:t>
      </w:r>
    </w:p>
    <w:p>
      <w:pPr>
        <w:pStyle w:val="TextBody"/>
        <w:bidi w:val="0"/>
        <w:spacing w:before="120" w:after="240"/>
        <w:jc w:val="left"/>
        <w:rPr>
          <w:rFonts w:ascii="Times New Roman" w:hAnsi="Times New Roman"/>
          <w:sz w:val="20"/>
        </w:rPr>
      </w:pPr>
      <w:r>
        <w:rPr>
          <w:rFonts w:ascii="Times New Roman" w:hAnsi="Times New Roman"/>
          <w:color w:val="000000"/>
          <w:sz w:val="20"/>
        </w:rPr>
        <w:t xml:space="preserve">The determination of the fair value of the developed technology and IPR&amp;D intangible assets as such, required management to make significant estimates and assumptions related to future cash flows and the discount rate. The discount rates used in the determination of fair value for developed technology and IPR&amp;D were both 23% and both used a royalty rate of 10%. The developed technology and IPR&amp;D are both level 3 in the fair value hierarchy described above in Note 1 – </w:t>
      </w:r>
      <w:r>
        <w:rPr>
          <w:rFonts w:ascii="Times New Roman" w:hAnsi="Times New Roman"/>
          <w:i/>
          <w:color w:val="000000"/>
          <w:sz w:val="20"/>
        </w:rPr>
        <w:t>Description of Business and Significant Accounting Policies</w:t>
      </w:r>
      <w:r>
        <w:rPr>
          <w:rFonts w:ascii="Times New Roman" w:hAnsi="Times New Roman"/>
          <w:color w:val="000000"/>
          <w:sz w:val="20"/>
        </w:rPr>
        <w:t>.</w:t>
      </w:r>
    </w:p>
    <w:p>
      <w:pPr>
        <w:pStyle w:val="TextBody"/>
        <w:bidi w:val="0"/>
        <w:jc w:val="left"/>
        <w:rPr>
          <w:rFonts w:ascii="Times New Roman" w:hAnsi="Times New Roman"/>
          <w:i/>
          <w:color w:val="000000"/>
          <w:sz w:val="20"/>
        </w:rPr>
      </w:pPr>
      <w:r>
        <w:rPr>
          <w:rFonts w:ascii="Times New Roman" w:hAnsi="Times New Roman"/>
          <w:i/>
          <w:color w:val="000000"/>
          <w:sz w:val="20"/>
        </w:rPr>
        <w:t>Contingent Value Right ("CVR")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contingent consideration for the CVR is included in Contingent consideration - short term and Contingent consideration - long term in the table above and in the consolidated balance sheets and is achieved through the following milestones: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240" w:after="283"/>
        <w:jc w:val="left"/>
        <w:rPr/>
      </w:pPr>
      <w:r>
        <w:rPr>
          <w:rFonts w:ascii="Times New Roman" w:hAnsi="Times New Roman"/>
          <w:i/>
          <w:color w:val="000000"/>
          <w:sz w:val="20"/>
        </w:rPr>
        <w:t xml:space="preserve">Milestone 1: </w:t>
      </w:r>
      <w:r>
        <w:rPr>
          <w:rFonts w:ascii="Times New Roman" w:hAnsi="Times New Roman"/>
          <w:color w:val="000000"/>
          <w:sz w:val="20"/>
        </w:rPr>
        <w:t>Receipt of FDA approval of a drug-device combination product comprising high concentration furosemide (the "ReadyFlow Formulation") delivered either in an autoinjector or a self-dose injection delivery system (such milestone, “Milestone 1”) with (a) $0.75</w:t>
      </w:r>
      <w:r>
        <w:rPr>
          <w:color w:val="000000"/>
        </w:rPr>
        <w:t xml:space="preserve"> </w:t>
      </w:r>
      <w:r>
        <w:rPr>
          <w:rFonts w:ascii="Times New Roman" w:hAnsi="Times New Roman"/>
          <w:color w:val="000000"/>
          <w:sz w:val="20"/>
        </w:rPr>
        <w:t>per CVR if Milestone 1 is achieved by September 30, 2026, (b) $0.50</w:t>
      </w:r>
      <w:r>
        <w:rPr>
          <w:color w:val="000000"/>
        </w:rPr>
        <w:t xml:space="preserve"> </w:t>
      </w:r>
      <w:r>
        <w:rPr>
          <w:rFonts w:ascii="Times New Roman" w:hAnsi="Times New Roman"/>
          <w:color w:val="000000"/>
          <w:sz w:val="20"/>
        </w:rPr>
        <w:t>per CVR if Milestone 1 is achieved by December 31, 2026 and (c) $0.25</w:t>
      </w:r>
      <w:r>
        <w:rPr>
          <w:color w:val="000000"/>
        </w:rPr>
        <w:t xml:space="preserve"> </w:t>
      </w:r>
      <w:r>
        <w:rPr>
          <w:rFonts w:ascii="Times New Roman" w:hAnsi="Times New Roman"/>
          <w:color w:val="000000"/>
          <w:sz w:val="20"/>
        </w:rPr>
        <w:t>per CVR if Milestone 1 is achieved by June 30, 2027.</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pPr>
      <w:r>
        <w:rPr>
          <w:rFonts w:ascii="Times New Roman" w:hAnsi="Times New Roman"/>
          <w:i/>
          <w:color w:val="000000"/>
          <w:sz w:val="20"/>
        </w:rPr>
        <w:t xml:space="preserve">Milestone 2: </w:t>
      </w:r>
      <w:r>
        <w:rPr>
          <w:rFonts w:ascii="Times New Roman" w:hAnsi="Times New Roman"/>
          <w:color w:val="000000"/>
          <w:sz w:val="20"/>
        </w:rPr>
        <w:t>Achievement in any trailing consecutive 12-month period ending prior to and including December 31, 2026 of at least $110.0</w:t>
      </w:r>
      <w:r>
        <w:rPr>
          <w:color w:val="000000"/>
        </w:rPr>
        <w:t xml:space="preserve"> </w:t>
      </w:r>
      <w:r>
        <w:rPr>
          <w:rFonts w:ascii="Times New Roman" w:hAnsi="Times New Roman"/>
          <w:color w:val="000000"/>
          <w:sz w:val="20"/>
        </w:rPr>
        <w:t>million of worldwide net sales of Furoscix and, if any, the ReadyFlow Formulation (collectively, the “Products”) in such 12-month period (“Milestone 2”) with (a) $0.25</w:t>
      </w:r>
      <w:r>
        <w:rPr>
          <w:color w:val="000000"/>
        </w:rPr>
        <w:t xml:space="preserve"> </w:t>
      </w:r>
      <w:r>
        <w:rPr>
          <w:rFonts w:ascii="Times New Roman" w:hAnsi="Times New Roman"/>
          <w:color w:val="000000"/>
          <w:sz w:val="20"/>
        </w:rPr>
        <w:t>per CVR upon the achievement of $120.0</w:t>
      </w:r>
      <w:r>
        <w:rPr>
          <w:color w:val="000000"/>
        </w:rPr>
        <w:t xml:space="preserve"> </w:t>
      </w:r>
      <w:r>
        <w:rPr>
          <w:rFonts w:ascii="Times New Roman" w:hAnsi="Times New Roman"/>
          <w:color w:val="000000"/>
          <w:sz w:val="20"/>
        </w:rPr>
        <w:t>million of worldwide net sales in such period and (b) between $0.10</w:t>
      </w:r>
      <w:r>
        <w:rPr>
          <w:color w:val="000000"/>
        </w:rPr>
        <w:t xml:space="preserve"> </w:t>
      </w:r>
      <w:r>
        <w:rPr>
          <w:rFonts w:ascii="Times New Roman" w:hAnsi="Times New Roman"/>
          <w:color w:val="000000"/>
          <w:sz w:val="20"/>
        </w:rPr>
        <w:t>and $0.25</w:t>
      </w:r>
      <w:r>
        <w:rPr>
          <w:color w:val="000000"/>
        </w:rPr>
        <w:t xml:space="preserve"> </w:t>
      </w:r>
      <w:r>
        <w:rPr>
          <w:rFonts w:ascii="Times New Roman" w:hAnsi="Times New Roman"/>
          <w:color w:val="000000"/>
          <w:sz w:val="20"/>
        </w:rPr>
        <w:t>per CVR if, as of December 31, 2026, the highest worldwide net sales in any trailing 12-month period were between $110.0</w:t>
      </w:r>
      <w:r>
        <w:rPr>
          <w:color w:val="000000"/>
        </w:rPr>
        <w:t xml:space="preserve"> </w:t>
      </w:r>
      <w:r>
        <w:rPr>
          <w:rFonts w:ascii="Times New Roman" w:hAnsi="Times New Roman"/>
          <w:color w:val="000000"/>
          <w:sz w:val="20"/>
        </w:rPr>
        <w:t>million and $120.0</w:t>
      </w:r>
      <w:r>
        <w:rPr>
          <w:color w:val="000000"/>
        </w:rPr>
        <w:t xml:space="preserve"> </w:t>
      </w:r>
      <w:r>
        <w:rPr>
          <w:rFonts w:ascii="Times New Roman" w:hAnsi="Times New Roman"/>
          <w:color w:val="000000"/>
          <w:sz w:val="20"/>
        </w:rPr>
        <w:t>million, which payment will be calculated on a straight-line basis such that the payment per CVR increases proportionally as worldwide net sales increase from $110.0</w:t>
      </w:r>
      <w:r>
        <w:rPr>
          <w:color w:val="000000"/>
        </w:rPr>
        <w:t xml:space="preserve"> </w:t>
      </w:r>
      <w:r>
        <w:rPr>
          <w:rFonts w:ascii="Times New Roman" w:hAnsi="Times New Roman"/>
          <w:color w:val="000000"/>
          <w:sz w:val="20"/>
        </w:rPr>
        <w:t>million to $120.0</w:t>
      </w:r>
      <w:r>
        <w:rPr>
          <w:color w:val="000000"/>
        </w:rPr>
        <w:t xml:space="preserve"> </w:t>
      </w:r>
      <w:r>
        <w:rPr>
          <w:rFonts w:ascii="Times New Roman" w:hAnsi="Times New Roman"/>
          <w:color w:val="000000"/>
          <w:sz w:val="20"/>
        </w:rPr>
        <w:t>million. Milestone 2 will not be achieved if trailing worldwide net sales are less than $110.0</w:t>
      </w:r>
      <w:r>
        <w:rPr>
          <w:color w:val="000000"/>
        </w:rPr>
        <w:t xml:space="preserve"> </w:t>
      </w:r>
      <w:r>
        <w:rPr>
          <w:rFonts w:ascii="Times New Roman" w:hAnsi="Times New Roman"/>
          <w:color w:val="000000"/>
          <w:sz w:val="20"/>
        </w:rPr>
        <w:t>million during this period. No payment shall be made if the highest worldwide net sales in any trailing twelve-month period are less than $110.0</w:t>
      </w:r>
      <w:r>
        <w:rPr>
          <w:color w:val="000000"/>
        </w:rPr>
        <w:t xml:space="preserve"> </w:t>
      </w:r>
      <w:r>
        <w:rPr>
          <w:rFonts w:ascii="Times New Roman" w:hAnsi="Times New Roman"/>
          <w:color w:val="000000"/>
          <w:sz w:val="20"/>
        </w:rPr>
        <w:t xml:space="preserve">million.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CVR was valued using both a Scenario-Based Method for Milestone 1 and a Monte Carlo Simulation Method for Milestone 2 to estimate the probability of success. The probability adjusted cash flow included significant estimates and assumptions pertaining to commercialization events and net sales received by the Company during the term of the CVR Agreement (as discussed above). See Note 11 – </w:t>
      </w:r>
      <w:r>
        <w:rPr>
          <w:rFonts w:ascii="Times New Roman" w:hAnsi="Times New Roman"/>
          <w:i/>
          <w:color w:val="000000"/>
          <w:sz w:val="20"/>
        </w:rPr>
        <w:t>Fair Value of Financial Instruments</w:t>
      </w:r>
      <w:r>
        <w:rPr>
          <w:rFonts w:ascii="Times New Roman" w:hAnsi="Times New Roman"/>
          <w:color w:val="000000"/>
          <w:sz w:val="20"/>
        </w:rPr>
        <w:t xml:space="preserve"> for the key assumptions used in determining fair value.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contingent consideration liability is remeasured each subsequent reporting period until the related contingencies have been resolved. For the three months ended March 31, 2026, the Company recorded $2.8 million to other expense as a result of the remeasurement of the fair value of the contingent consideration liability obtained from the acquisition of scPharma. The following table summarizes the activities within the account balance as of March 31, 2026 (in thousands):</w:t>
      </w:r>
    </w:p>
    <w:tbl>
      <w:tblPr>
        <w:tblW w:w="4645" w:type="dxa"/>
        <w:jc w:val="left"/>
        <w:tblInd w:w="0" w:type="dxa"/>
        <w:tblLayout w:type="fixed"/>
        <w:tblCellMar>
          <w:top w:w="28" w:type="dxa"/>
          <w:left w:w="28" w:type="dxa"/>
          <w:bottom w:w="28" w:type="dxa"/>
          <w:right w:w="28" w:type="dxa"/>
        </w:tblCellMar>
      </w:tblPr>
      <w:tblGrid>
        <w:gridCol w:w="3421"/>
        <w:gridCol w:w="146"/>
        <w:gridCol w:w="211"/>
        <w:gridCol w:w="676"/>
        <w:gridCol w:w="1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Measurement period adjustments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During the three months ended March 31, 2026, the Company did not record any measurement period adjustments to its acquired assets and liabilities. The Company expects to finalize the purchase price allocation within the one year measurement period, ending October 7, 2026.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 Investments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Cash Equivalents </w:t>
      </w:r>
      <w:r>
        <w:rPr>
          <w:rFonts w:ascii="Times New Roman" w:hAnsi="Times New Roman"/>
          <w:color w:val="000000"/>
          <w:sz w:val="20"/>
        </w:rPr>
        <w:t xml:space="preserve">— Cash equivalents consist of highly liquid investments with original maturities of 90 days or less at the time of purchase that are readily convertible into cash.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Available-for-Sale Investments Portfolio </w:t>
      </w:r>
      <w:r>
        <w:rPr>
          <w:rFonts w:ascii="Times New Roman" w:hAnsi="Times New Roman"/>
          <w:color w:val="000000"/>
          <w:sz w:val="20"/>
        </w:rPr>
        <w:t>—The Company's investments portfolio consists of highly liquid money market funds, commercial bonds and paper, and U.S. Treasury securities (collectively, the "Investments") for which the Company accounts for as available-for-sale. Unrealized gains and losses are recorded in other comprehensive income.</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contractual maturities of the Investments are summarized below (in thousands):</w:t>
      </w:r>
    </w:p>
    <w:tbl>
      <w:tblPr>
        <w:tblW w:w="8815" w:type="dxa"/>
        <w:jc w:val="left"/>
        <w:tblInd w:w="0" w:type="dxa"/>
        <w:tblLayout w:type="fixed"/>
        <w:tblCellMar>
          <w:top w:w="28" w:type="dxa"/>
          <w:left w:w="28" w:type="dxa"/>
          <w:bottom w:w="28" w:type="dxa"/>
          <w:right w:w="28" w:type="dxa"/>
        </w:tblCellMar>
      </w:tblPr>
      <w:tblGrid>
        <w:gridCol w:w="3106"/>
        <w:gridCol w:w="146"/>
        <w:gridCol w:w="217"/>
        <w:gridCol w:w="803"/>
        <w:gridCol w:w="150"/>
        <w:gridCol w:w="150"/>
        <w:gridCol w:w="217"/>
        <w:gridCol w:w="803"/>
        <w:gridCol w:w="146"/>
        <w:gridCol w:w="146"/>
        <w:gridCol w:w="217"/>
        <w:gridCol w:w="803"/>
        <w:gridCol w:w="150"/>
        <w:gridCol w:w="150"/>
        <w:gridCol w:w="217"/>
        <w:gridCol w:w="803"/>
        <w:gridCol w:w="5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Available-for-Sale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Available-for-Sale Investments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Due in one year or less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109,083</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132,732</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132,836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109,083</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137,733</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jc w:val="left"/>
        <w:rPr/>
      </w:pPr>
      <w:r>
        <w:rPr>
          <w:rFonts w:ascii="Times New Roman" w:hAnsi="Times New Roman"/>
          <w:color w:val="000000"/>
          <w:sz w:val="18"/>
        </w:rPr>
        <w:t>The investments due in one year or less include cash equivalents of $28.1</w:t>
      </w:r>
      <w:r>
        <w:rPr>
          <w:rFonts w:ascii="Times New Roman" w:hAnsi="Times New Roman"/>
          <w:color w:val="000000"/>
          <w:sz w:val="20"/>
        </w:rPr>
        <w:t xml:space="preserve"> </w:t>
      </w:r>
      <w:r>
        <w:rPr>
          <w:rFonts w:ascii="Times New Roman" w:hAnsi="Times New Roman"/>
          <w:color w:val="000000"/>
          <w:sz w:val="18"/>
        </w:rPr>
        <w:t>million as of March 31, 2026</w:t>
      </w:r>
      <w:r>
        <w:rPr>
          <w:rFonts w:ascii="Times New Roman" w:hAnsi="Times New Roman"/>
          <w:color w:val="000000"/>
          <w:sz w:val="20"/>
        </w:rPr>
        <w:t xml:space="preserve"> and $</w:t>
      </w:r>
      <w:r>
        <w:rPr>
          <w:rFonts w:ascii="Times New Roman" w:hAnsi="Times New Roman"/>
          <w:color w:val="000000"/>
          <w:sz w:val="18"/>
        </w:rPr>
        <w:t>36.4</w:t>
      </w:r>
      <w:r>
        <w:rPr>
          <w:rFonts w:ascii="Times New Roman" w:hAnsi="Times New Roman"/>
          <w:color w:val="000000"/>
          <w:sz w:val="20"/>
        </w:rPr>
        <w:t xml:space="preserve"> </w:t>
      </w:r>
      <w:r>
        <w:rPr>
          <w:rFonts w:ascii="Times New Roman" w:hAnsi="Times New Roman"/>
          <w:color w:val="000000"/>
          <w:sz w:val="18"/>
        </w:rPr>
        <w:t>million as of December 31, 2025.</w:t>
      </w:r>
      <w:r>
        <w:rPr>
          <w:color w:val="00000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fair values of the Investments are disclosed below (dollars in thousands):</w:t>
      </w:r>
    </w:p>
    <w:tbl>
      <w:tblPr>
        <w:tblW w:w="10205" w:type="dxa"/>
        <w:jc w:val="left"/>
        <w:tblInd w:w="0" w:type="dxa"/>
        <w:tblLayout w:type="fixed"/>
        <w:tblCellMar>
          <w:top w:w="28" w:type="dxa"/>
          <w:left w:w="28" w:type="dxa"/>
          <w:bottom w:w="28" w:type="dxa"/>
          <w:right w:w="28" w:type="dxa"/>
        </w:tblCellMar>
      </w:tblPr>
      <w:tblGrid>
        <w:gridCol w:w="2477"/>
        <w:gridCol w:w="146"/>
        <w:gridCol w:w="1093"/>
        <w:gridCol w:w="146"/>
        <w:gridCol w:w="245"/>
        <w:gridCol w:w="910"/>
        <w:gridCol w:w="166"/>
        <w:gridCol w:w="146"/>
        <w:gridCol w:w="595"/>
        <w:gridCol w:w="979"/>
        <w:gridCol w:w="146"/>
        <w:gridCol w:w="146"/>
        <w:gridCol w:w="391"/>
        <w:gridCol w:w="699"/>
        <w:gridCol w:w="166"/>
        <w:gridCol w:w="146"/>
        <w:gridCol w:w="211"/>
        <w:gridCol w:w="781"/>
        <w:gridCol w:w="616"/>
      </w:tblGrid>
      <w:tr>
        <w:trPr/>
        <w:tc>
          <w:tcPr>
            <w:tcW w:w="24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6"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Available-for-Sale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br/>
              <w:t>(Carrying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Holding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15,354</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bonds and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33,171</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60,554</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cash equivalents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109,079</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(28,052</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4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81,027</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4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77"/>
        <w:gridCol w:w="146"/>
        <w:gridCol w:w="1093"/>
        <w:gridCol w:w="146"/>
        <w:gridCol w:w="245"/>
        <w:gridCol w:w="910"/>
        <w:gridCol w:w="166"/>
        <w:gridCol w:w="146"/>
        <w:gridCol w:w="524"/>
        <w:gridCol w:w="1050"/>
        <w:gridCol w:w="146"/>
        <w:gridCol w:w="146"/>
        <w:gridCol w:w="391"/>
        <w:gridCol w:w="699"/>
        <w:gridCol w:w="166"/>
        <w:gridCol w:w="146"/>
        <w:gridCol w:w="211"/>
        <w:gridCol w:w="781"/>
        <w:gridCol w:w="616"/>
      </w:tblGrid>
      <w:tr>
        <w:trPr/>
        <w:tc>
          <w:tcPr>
            <w:tcW w:w="24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6"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Available-for-Sale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br/>
              <w:t>(Carrying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Holding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28,303</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bonds and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21,258</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88,287</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cash equivalents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137,848</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(36,372</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4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101,476</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As of March 31, 2026 and December 31, 2025, there was $0.6 million and $0.7 million, respectively, of accrued interest receivable on investments which is included in prepaid expense and other current assets in our condensed consolidated balance sheets.</w:t>
      </w:r>
    </w:p>
    <w:p>
      <w:pPr>
        <w:pStyle w:val="TextBody"/>
        <w:bidi w:val="0"/>
        <w:spacing w:before="120" w:after="120"/>
        <w:jc w:val="left"/>
        <w:rPr>
          <w:rFonts w:ascii="Times New Roman" w:hAnsi="Times New Roman"/>
          <w:sz w:val="20"/>
        </w:rPr>
      </w:pPr>
      <w:r>
        <w:rPr>
          <w:rFonts w:ascii="Times New Roman" w:hAnsi="Times New Roman"/>
          <w:i/>
          <w:color w:val="000000"/>
          <w:sz w:val="20"/>
        </w:rPr>
        <w:t>Available-for-Sale Investment — Thirona —</w:t>
      </w:r>
      <w:r>
        <w:rPr>
          <w:rFonts w:ascii="Times New Roman" w:hAnsi="Times New Roman"/>
          <w:color w:val="000000"/>
          <w:sz w:val="20"/>
        </w:rPr>
        <w:t xml:space="preserve"> In June 2021 and January 2022, the Company purchased $3.0 million and $5.0 million, respectively, of convertible promissory notes issued by Thirona Bio, Inc. ("Thirona"). Following Thirona’s cessation of operations in September 2025 after recent clinical trial results, the Company determined the investment was other-than-temporarily impaired and recorded a $6.6 million impairment loss, inclusive of the write-off of $1.3 million of previously recognized unrealized gains, representing the fair value at that time. The Company also wrote off approximately $1.1 million of interest receivable, with the impairment recorded in other income (expense) in the consolidated statements of operations for the year ended December 31, 2025.</w:t>
      </w:r>
    </w:p>
    <w:p>
      <w:pPr>
        <w:pStyle w:val="TextBody"/>
        <w:bidi w:val="0"/>
        <w:spacing w:before="120" w:after="283"/>
        <w:jc w:val="left"/>
        <w:rPr>
          <w:rFonts w:ascii="Times New Roman" w:hAnsi="Times New Roman"/>
          <w:sz w:val="20"/>
        </w:rPr>
      </w:pPr>
      <w:r>
        <w:rPr>
          <w:rFonts w:ascii="Times New Roman" w:hAnsi="Times New Roman"/>
          <w:b/>
          <w:color w:val="000000"/>
          <w:sz w:val="20"/>
        </w:rPr>
        <w:t>4. Accounts Receivable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Accounts receivable, net consists of the following (in thousands): </w:t>
      </w:r>
    </w:p>
    <w:tbl>
      <w:tblPr>
        <w:tblW w:w="8755" w:type="dxa"/>
        <w:jc w:val="left"/>
        <w:tblInd w:w="0" w:type="dxa"/>
        <w:tblLayout w:type="fixed"/>
        <w:tblCellMar>
          <w:top w:w="28" w:type="dxa"/>
          <w:left w:w="28" w:type="dxa"/>
          <w:bottom w:w="28" w:type="dxa"/>
          <w:right w:w="28" w:type="dxa"/>
        </w:tblCellMar>
      </w:tblPr>
      <w:tblGrid>
        <w:gridCol w:w="4746"/>
        <w:gridCol w:w="146"/>
        <w:gridCol w:w="299"/>
        <w:gridCol w:w="961"/>
        <w:gridCol w:w="166"/>
        <w:gridCol w:w="146"/>
        <w:gridCol w:w="334"/>
        <w:gridCol w:w="1166"/>
        <w:gridCol w:w="791"/>
      </w:tblGrid>
      <w:tr>
        <w:trPr/>
        <w:tc>
          <w:tcPr>
            <w:tcW w:w="4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 commercial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44,274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Wholesaler distribution fees and prompt pay discounts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Reserve for returns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accounts receivable – commercial,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30,673</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 collaborations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38,367</w:t>
            </w:r>
          </w:p>
        </w:tc>
        <w:tc>
          <w:tcPr>
            <w:tcW w:w="7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there was no allowance for credit losses and doubtful accounts for commercial accounts receivable or credit losses for collaborations and services accounts receivable. As of March 31, 2026 and December 31, 2025, the Company's three customers representing the largest individual accounts receivable balances accounted for approximately 54% and 68% of commercial accounts receivable, respectively. As of March 31, 2026 and December 31, 2025, the Company's collaboration partner, UT, comprised 96% and 94%, respectively, of the collaborations and services accounts receivable.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UT comprised of approximately 62% and 75% of consolidated revenues for the three months ended March 31, 2026 and 2025, respectively. For the three months ended March 31, 2026, no single commercial customer accounted for 10% or more of the Company’s consolidated revenues. For the three months ended March 31, 2025, one other commercial customer accounted for approximately 11% of the Company’s consolidated revenues.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Inventories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Inventories consist of the following (in thousands): </w:t>
      </w:r>
    </w:p>
    <w:tbl>
      <w:tblPr>
        <w:tblW w:w="5185" w:type="dxa"/>
        <w:jc w:val="left"/>
        <w:tblInd w:w="0" w:type="dxa"/>
        <w:tblLayout w:type="fixed"/>
        <w:tblCellMar>
          <w:top w:w="28" w:type="dxa"/>
          <w:left w:w="28" w:type="dxa"/>
          <w:bottom w:w="28" w:type="dxa"/>
          <w:right w:w="28" w:type="dxa"/>
        </w:tblCellMar>
      </w:tblPr>
      <w:tblGrid>
        <w:gridCol w:w="1596"/>
        <w:gridCol w:w="146"/>
        <w:gridCol w:w="299"/>
        <w:gridCol w:w="961"/>
        <w:gridCol w:w="146"/>
        <w:gridCol w:w="146"/>
        <w:gridCol w:w="357"/>
        <w:gridCol w:w="1143"/>
        <w:gridCol w:w="391"/>
      </w:tblGrid>
      <w:tr>
        <w:trPr/>
        <w:tc>
          <w:tcPr>
            <w:tcW w:w="1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35,313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Work-in-process and finished goods as of March 31, 2026 and December 31, 2025 include conversion costs and exclude the cost of insulin. All insulin inventory on hand was written off in prior years and the projected loss on the purchase commitment contract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purchase future insulin was accrued in prior years. See Note 15 – </w:t>
      </w:r>
      <w:r>
        <w:rPr>
          <w:rFonts w:ascii="Times New Roman" w:hAnsi="Times New Roman"/>
          <w:i/>
          <w:color w:val="000000"/>
          <w:sz w:val="20"/>
        </w:rPr>
        <w:t>Commitments and Contingencies</w:t>
      </w:r>
      <w:r>
        <w:rPr>
          <w:rFonts w:ascii="Times New Roman" w:hAnsi="Times New Roman"/>
          <w:color w:val="000000"/>
          <w:sz w:val="20"/>
        </w:rPr>
        <w:t xml:space="preserve"> under </w:t>
      </w:r>
      <w:r>
        <w:rPr>
          <w:rFonts w:ascii="Times New Roman" w:hAnsi="Times New Roman"/>
          <w:i/>
          <w:color w:val="000000"/>
          <w:sz w:val="20"/>
        </w:rPr>
        <w:t>Contingencies — Commitments.</w:t>
      </w:r>
      <w:r>
        <w:rPr>
          <w:rFonts w:ascii="Times New Roman" w:hAnsi="Times New Roman"/>
          <w:color w:val="000000"/>
          <w:sz w:val="20"/>
        </w:rPr>
        <w:t xml:space="preserve"> Raw materials inventory included $1.7 million and $0.8 million of pre-launch inventory as of March 31, 2026 and December 31, 2025, respectively, which consisted of fumaryl diketopiperazine and autoinjector components.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analyzed its inventory levels to identify inventory that may expire or has a cost basis in excess of its estimated realizable value. The Company also performed an assessment of projected sales and evaluated the lower of cost or net realizable value and the potential excess inventory on hand as of March 31, 2026 and December 31, 2025. Inventory that did not meet acceptable standards, or was forecasted to become obsolete due to expiration, is reserved for inventory obsolescence in the condensed consolidated balance sheets and recorded as costs of goods sold in the condensed consolidated statements of operations.</w:t>
      </w:r>
    </w:p>
    <w:p>
      <w:pPr>
        <w:pStyle w:val="TextBody"/>
        <w:bidi w:val="0"/>
        <w:spacing w:before="240" w:after="283"/>
        <w:jc w:val="left"/>
        <w:rPr>
          <w:rFonts w:ascii="Times New Roman" w:hAnsi="Times New Roman"/>
          <w:sz w:val="20"/>
        </w:rPr>
      </w:pPr>
      <w:r>
        <w:rPr>
          <w:rFonts w:ascii="Times New Roman" w:hAnsi="Times New Roman"/>
          <w:b/>
          <w:color w:val="000000"/>
          <w:sz w:val="20"/>
        </w:rPr>
        <w:t>6. Property and Equipment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Property and equipment consisted of the following (dollars in thousands): </w:t>
      </w:r>
    </w:p>
    <w:tbl>
      <w:tblPr>
        <w:tblW w:w="8587" w:type="dxa"/>
        <w:jc w:val="left"/>
        <w:tblInd w:w="0" w:type="dxa"/>
        <w:tblLayout w:type="fixed"/>
        <w:tblCellMar>
          <w:top w:w="28" w:type="dxa"/>
          <w:left w:w="28" w:type="dxa"/>
          <w:bottom w:w="28" w:type="dxa"/>
          <w:right w:w="28" w:type="dxa"/>
        </w:tblCellMar>
      </w:tblPr>
      <w:tblGrid>
        <w:gridCol w:w="3346"/>
        <w:gridCol w:w="146"/>
        <w:gridCol w:w="391"/>
        <w:gridCol w:w="929"/>
        <w:gridCol w:w="146"/>
        <w:gridCol w:w="146"/>
        <w:gridCol w:w="252"/>
        <w:gridCol w:w="1008"/>
        <w:gridCol w:w="166"/>
        <w:gridCol w:w="146"/>
        <w:gridCol w:w="301"/>
        <w:gridCol w:w="1199"/>
        <w:gridCol w:w="4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90,988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68,785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fixtures and office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196,336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(113,913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82,423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Depreciation expense related to property and equipment was as follows (in thousands): </w:t>
      </w:r>
    </w:p>
    <w:tbl>
      <w:tblPr>
        <w:tblW w:w="4069" w:type="dxa"/>
        <w:jc w:val="left"/>
        <w:tblInd w:w="0" w:type="dxa"/>
        <w:tblLayout w:type="fixed"/>
        <w:tblCellMar>
          <w:top w:w="28" w:type="dxa"/>
          <w:left w:w="28" w:type="dxa"/>
          <w:bottom w:w="28" w:type="dxa"/>
          <w:right w:w="28" w:type="dxa"/>
        </w:tblCellMar>
      </w:tblPr>
      <w:tblGrid>
        <w:gridCol w:w="1876"/>
        <w:gridCol w:w="146"/>
        <w:gridCol w:w="211"/>
        <w:gridCol w:w="571"/>
        <w:gridCol w:w="146"/>
        <w:gridCol w:w="146"/>
        <w:gridCol w:w="211"/>
        <w:gridCol w:w="571"/>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color w:val="000000"/>
          <w:sz w:val="20"/>
        </w:rPr>
        <w:t xml:space="preserve">During each of the three months ended March 31, 2026 and 2025, the Company retired $0.1 million of manufacturing equipment, computer hardware and software, computer equipment, lab equipment, and building improvements, as it was no longer in service. The net book value for the disposed assets in both periods was </w:t>
      </w:r>
      <w:r>
        <w:rPr>
          <w:rFonts w:ascii="Times New Roman" w:hAnsi="Times New Roman"/>
          <w:i/>
          <w:color w:val="000000"/>
          <w:sz w:val="20"/>
        </w:rPr>
        <w:t>de minimis</w:t>
      </w:r>
      <w:r>
        <w:rPr>
          <w:rFonts w:ascii="Times New Roman" w:hAnsi="Times New Roman"/>
          <w:color w:val="000000"/>
          <w:sz w:val="20"/>
        </w:rPr>
        <w:t>.</w:t>
      </w:r>
    </w:p>
    <w:p>
      <w:pPr>
        <w:pStyle w:val="TextBody"/>
        <w:bidi w:val="0"/>
        <w:jc w:val="left"/>
        <w:rPr>
          <w:rFonts w:ascii="Times New Roman" w:hAnsi="Times New Roman"/>
          <w:b/>
          <w:color w:val="000000"/>
          <w:sz w:val="20"/>
        </w:rPr>
      </w:pPr>
      <w:r>
        <w:rPr>
          <w:rFonts w:ascii="Times New Roman" w:hAnsi="Times New Roman"/>
          <w:b/>
          <w:color w:val="000000"/>
          <w:sz w:val="20"/>
        </w:rPr>
        <w:t>7. Goodwill and Other Intangible Assets</w:t>
      </w:r>
    </w:p>
    <w:p>
      <w:pPr>
        <w:pStyle w:val="TextBody"/>
        <w:bidi w:val="0"/>
        <w:spacing w:before="120" w:after="283"/>
        <w:jc w:val="left"/>
        <w:rPr>
          <w:rFonts w:ascii="Times New Roman" w:hAnsi="Times New Roman"/>
          <w:sz w:val="20"/>
        </w:rPr>
      </w:pPr>
      <w:r>
        <w:rPr>
          <w:rFonts w:ascii="Times New Roman" w:hAnsi="Times New Roman"/>
          <w:i/>
          <w:color w:val="000000"/>
          <w:sz w:val="20"/>
        </w:rPr>
        <w:t>Goodwill</w:t>
      </w:r>
      <w:r>
        <w:rPr>
          <w:rFonts w:ascii="Times New Roman" w:hAnsi="Times New Roman"/>
          <w:color w:val="000000"/>
          <w:sz w:val="20"/>
        </w:rPr>
        <w:t xml:space="preserve"> — Goodwill represents the excess of the purchase price over the identifiable tangible and intangible assets acquired plus liabilities assumed arising from business combinations. Goodwill is tested at least annually for impairment by assessing qualitative factors in determining whether it is more likely than not that the fair value of net assets is below their carrying amounts. See Note 1 – </w:t>
      </w:r>
      <w:r>
        <w:rPr>
          <w:rFonts w:ascii="Times New Roman" w:hAnsi="Times New Roman"/>
          <w:i/>
          <w:color w:val="000000"/>
          <w:sz w:val="20"/>
        </w:rPr>
        <w:t>Description of Business and Significant Accounting Policies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2022, the Company recorded additions of $1.9 million to Goodwill related to its acquisition of V-Go. In 2025, the Company recorded additions of $65.7 million to Goodwill related to its merger with scPharma.</w:t>
      </w:r>
    </w:p>
    <w:p>
      <w:pPr>
        <w:pStyle w:val="TextBody"/>
        <w:bidi w:val="0"/>
        <w:spacing w:before="240" w:after="120"/>
        <w:jc w:val="left"/>
        <w:rPr>
          <w:rFonts w:ascii="Times New Roman" w:hAnsi="Times New Roman"/>
          <w:sz w:val="20"/>
        </w:rPr>
      </w:pPr>
      <w:r>
        <w:rPr>
          <w:rFonts w:ascii="Times New Roman" w:hAnsi="Times New Roman"/>
          <w:i/>
          <w:color w:val="000000"/>
          <w:sz w:val="20"/>
        </w:rPr>
        <w:t xml:space="preserve">Intangible Assets </w:t>
      </w:r>
      <w:r>
        <w:rPr>
          <w:rFonts w:ascii="Times New Roman" w:hAnsi="Times New Roman"/>
          <w:color w:val="000000"/>
          <w:sz w:val="20"/>
        </w:rPr>
        <w:t>— Intangible assets consisted of the following (dollars in thousands):</w:t>
      </w:r>
    </w:p>
    <w:tbl>
      <w:tblPr>
        <w:tblW w:w="11411" w:type="dxa"/>
        <w:jc w:val="left"/>
        <w:tblInd w:w="0" w:type="dxa"/>
        <w:tblLayout w:type="fixed"/>
        <w:tblCellMar>
          <w:top w:w="28" w:type="dxa"/>
          <w:left w:w="28" w:type="dxa"/>
          <w:bottom w:w="28" w:type="dxa"/>
          <w:right w:w="28" w:type="dxa"/>
        </w:tblCellMar>
      </w:tblPr>
      <w:tblGrid>
        <w:gridCol w:w="1126"/>
        <w:gridCol w:w="146"/>
        <w:gridCol w:w="168"/>
        <w:gridCol w:w="658"/>
        <w:gridCol w:w="146"/>
        <w:gridCol w:w="146"/>
        <w:gridCol w:w="211"/>
        <w:gridCol w:w="781"/>
        <w:gridCol w:w="146"/>
        <w:gridCol w:w="146"/>
        <w:gridCol w:w="270"/>
        <w:gridCol w:w="811"/>
        <w:gridCol w:w="166"/>
        <w:gridCol w:w="146"/>
        <w:gridCol w:w="211"/>
        <w:gridCol w:w="781"/>
        <w:gridCol w:w="546"/>
        <w:gridCol w:w="546"/>
        <w:gridCol w:w="211"/>
        <w:gridCol w:w="781"/>
        <w:gridCol w:w="146"/>
        <w:gridCol w:w="146"/>
        <w:gridCol w:w="270"/>
        <w:gridCol w:w="811"/>
        <w:gridCol w:w="166"/>
        <w:gridCol w:w="146"/>
        <w:gridCol w:w="211"/>
        <w:gridCol w:w="781"/>
        <w:gridCol w:w="591"/>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 - on-body infusor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185,708</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190,027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ReadyFlow Formulation – IPR&amp;D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129,600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129,600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iSPERSE License – IPR&amp;D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Developed technology - V-Go</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320,332</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324,699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jc w:val="left"/>
        <w:rPr>
          <w:rFonts w:ascii="Times New Roman" w:hAnsi="Times New Roman"/>
          <w:color w:val="000000"/>
          <w:sz w:val="18"/>
        </w:rPr>
      </w:pPr>
      <w:r>
        <w:rPr>
          <w:rFonts w:ascii="Times New Roman" w:hAnsi="Times New Roman"/>
          <w:color w:val="000000"/>
          <w:sz w:val="18"/>
        </w:rPr>
        <w:t>Included within Other intangible assets on the consolidated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Amortization expense related to the Developed technology - on-body infusor ("on-body infusor") was $4.3 million for the three months ended March 31, 2026. The on-body infusor was acquired from scPharma in October 2025. See Note 2 – </w:t>
      </w:r>
      <w:r>
        <w:rPr>
          <w:rFonts w:ascii="Times New Roman" w:hAnsi="Times New Roman"/>
          <w:i/>
          <w:color w:val="000000"/>
          <w:sz w:val="20"/>
        </w:rPr>
        <w:t>Business Combinations</w:t>
      </w:r>
      <w:r>
        <w:rPr>
          <w:rFonts w:ascii="Times New Roman" w:hAnsi="Times New Roman"/>
          <w:color w:val="000000"/>
          <w:sz w:val="20"/>
        </w:rPr>
        <w:t xml:space="preserve">. The estimated annual amortization expense for the on-body infusor will be approximately $17.3 million per year for the years ended December 31, 2026 through 2036. Amortization expense related to the Developed technology - V-Go was </w:t>
      </w:r>
      <w:r>
        <w:rPr>
          <w:rFonts w:ascii="Times New Roman" w:hAnsi="Times New Roman"/>
          <w:i/>
          <w:color w:val="000000"/>
          <w:sz w:val="20"/>
        </w:rPr>
        <w:t>de minimis</w:t>
      </w:r>
      <w:r>
        <w:rPr>
          <w:rFonts w:ascii="Times New Roman" w:hAnsi="Times New Roman"/>
          <w:color w:val="000000"/>
          <w:sz w:val="20"/>
        </w:rPr>
        <w:t xml:space="preserve"> for the three months ended March 31, 2026 and 2025. The estimated annual amortization expense for the Developed technology - V-Go will be approximately $0.2 million per year for the years ended December 31, 2026 through 2029.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ReadyFlow Formulation is an indefinite-lived intangible asset, and as such is not amortized but rather is tested for impairment annually, or when facts or circumstances indicate the carrying value of the asset may not be recoverable. Once available for use, the intangible asset will be accounted for as a finite-lived intangible asset. If the R&amp;D efforts are abandoned, the IPR&amp;D asset balance will be written off to R&amp;D expense. The ReadyFlow Formulation was acquired from scPharma in October 2025 and was determined to be a Level 3 asset. See Note 11 – </w:t>
      </w:r>
      <w:r>
        <w:rPr>
          <w:rFonts w:ascii="Times New Roman" w:hAnsi="Times New Roman"/>
          <w:i/>
          <w:color w:val="000000"/>
          <w:sz w:val="20"/>
        </w:rPr>
        <w:t>Fair Value of Financial Instruments</w:t>
      </w:r>
      <w:r>
        <w:rPr>
          <w:rFonts w:ascii="Times New Roman" w:hAnsi="Times New Roman"/>
          <w:color w:val="000000"/>
          <w:sz w:val="20"/>
        </w:rPr>
        <w:t xml:space="preserve"> for a description of the fair value hierarchy.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iSPERSE License – IPR&amp;D is an indefinite-lived intangible asset, and as such is not amortized but rather is tested for impairment annually, or when facts or circumstances indicate the carrying value of the asset may not be recoverable. Upon completion of the underlying R&amp;D efforts, the intangible asset will be accounted for as a finite-lived intangible asset. If the R&amp;D efforts are abandoned, the IPR&amp;D asset balance will be written off to R&amp;D expense. The iSPERSE License IPR&amp;D was acquired from Pulmatrix in July 2024.</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evaluates its other intangible assets for potential impairment when events or changes in circumstances indicate that the carrying amount of an asset or asset group may not be recoverable. See Note 1 – </w:t>
      </w:r>
      <w:r>
        <w:rPr>
          <w:rFonts w:ascii="Times New Roman" w:hAnsi="Times New Roman"/>
          <w:i/>
          <w:color w:val="000000"/>
          <w:sz w:val="20"/>
        </w:rPr>
        <w:t>Description of Business and Significant Accounting Policies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b/>
          <w:color w:val="000000"/>
          <w:sz w:val="20"/>
        </w:rPr>
        <w:t>8. Accrued Expenses and Other Current Liabilities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Accrued expenses and other current liabilities were comprised of the following (in thousands): </w:t>
      </w:r>
    </w:p>
    <w:tbl>
      <w:tblPr>
        <w:tblW w:w="8180" w:type="dxa"/>
        <w:jc w:val="left"/>
        <w:tblInd w:w="0" w:type="dxa"/>
        <w:tblLayout w:type="fixed"/>
        <w:tblCellMar>
          <w:top w:w="28" w:type="dxa"/>
          <w:left w:w="28" w:type="dxa"/>
          <w:bottom w:w="28" w:type="dxa"/>
          <w:right w:w="28" w:type="dxa"/>
        </w:tblCellMar>
      </w:tblPr>
      <w:tblGrid>
        <w:gridCol w:w="4591"/>
        <w:gridCol w:w="146"/>
        <w:gridCol w:w="299"/>
        <w:gridCol w:w="961"/>
        <w:gridCol w:w="146"/>
        <w:gridCol w:w="146"/>
        <w:gridCol w:w="357"/>
        <w:gridCol w:w="1143"/>
        <w:gridCol w:w="391"/>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Salary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Discounts and allowances for commercial 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accruals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contract research organization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contract manufacturing organization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royalty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Current portion of milestone rights liability</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Returns reserve for acquired product</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64,628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spacing w:before="0" w:after="0"/>
        <w:jc w:val="left"/>
        <w:rPr>
          <w:rFonts w:ascii="Times New Roman" w:hAnsi="Times New Roman"/>
          <w:sz w:val="20"/>
        </w:rPr>
      </w:pPr>
      <w:r>
        <w:rPr>
          <w:rFonts w:ascii="Times New Roman" w:hAnsi="Times New Roman"/>
          <w:color w:val="000000"/>
          <w:sz w:val="18"/>
        </w:rPr>
        <w:t xml:space="preserve">See Note 15 </w:t>
      </w:r>
      <w:r>
        <w:rPr>
          <w:rFonts w:ascii="Times New Roman" w:hAnsi="Times New Roman"/>
          <w:color w:val="000000"/>
          <w:sz w:val="20"/>
        </w:rPr>
        <w:t xml:space="preserve">– </w:t>
      </w:r>
      <w:r>
        <w:rPr>
          <w:rFonts w:ascii="Times New Roman" w:hAnsi="Times New Roman"/>
          <w:i/>
          <w:color w:val="000000"/>
          <w:sz w:val="18"/>
        </w:rPr>
        <w:t>Commitments and Contingencies</w:t>
      </w:r>
      <w:r>
        <w:rPr>
          <w:rFonts w:ascii="Times New Roman" w:hAnsi="Times New Roman"/>
          <w:color w:val="000000"/>
          <w:sz w:val="20"/>
        </w:rPr>
        <w:t xml:space="preserve"> </w:t>
      </w:r>
      <w:r>
        <w:rPr>
          <w:rFonts w:ascii="Times New Roman" w:hAnsi="Times New Roman"/>
          <w:color w:val="000000"/>
          <w:sz w:val="18"/>
        </w:rPr>
        <w:t>under</w:t>
      </w:r>
      <w:r>
        <w:rPr>
          <w:rFonts w:ascii="Times New Roman" w:hAnsi="Times New Roman"/>
          <w:color w:val="000000"/>
          <w:sz w:val="20"/>
        </w:rPr>
        <w:t xml:space="preserve"> </w:t>
      </w:r>
      <w:r>
        <w:rPr>
          <w:rFonts w:ascii="Times New Roman" w:hAnsi="Times New Roman"/>
          <w:i/>
          <w:color w:val="000000"/>
          <w:sz w:val="18"/>
        </w:rPr>
        <w:t>Contingencies — Milestone Rights.</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(2)</w:t>
      </w:r>
    </w:p>
    <w:p>
      <w:pPr>
        <w:pStyle w:val="TextBody"/>
        <w:bidi w:val="0"/>
        <w:jc w:val="left"/>
        <w:rPr>
          <w:rFonts w:ascii="Times New Roman" w:hAnsi="Times New Roman"/>
          <w:sz w:val="20"/>
        </w:rPr>
      </w:pPr>
      <w:r>
        <w:rPr>
          <w:rFonts w:ascii="Times New Roman" w:hAnsi="Times New Roman"/>
          <w:color w:val="000000"/>
          <w:sz w:val="18"/>
        </w:rPr>
        <w:t xml:space="preserve">See Note 15 </w:t>
      </w:r>
      <w:r>
        <w:rPr>
          <w:rFonts w:ascii="Times New Roman" w:hAnsi="Times New Roman"/>
          <w:color w:val="000000"/>
          <w:sz w:val="20"/>
        </w:rPr>
        <w:t xml:space="preserve">– </w:t>
      </w:r>
      <w:r>
        <w:rPr>
          <w:rFonts w:ascii="Times New Roman" w:hAnsi="Times New Roman"/>
          <w:i/>
          <w:color w:val="000000"/>
          <w:sz w:val="18"/>
        </w:rPr>
        <w:t>Commitments and Contingencies</w:t>
      </w:r>
      <w:r>
        <w:rPr>
          <w:rFonts w:ascii="Times New Roman" w:hAnsi="Times New Roman"/>
          <w:color w:val="000000"/>
          <w:sz w:val="20"/>
        </w:rPr>
        <w:t xml:space="preserve"> </w:t>
      </w:r>
      <w:r>
        <w:rPr>
          <w:rFonts w:ascii="Times New Roman" w:hAnsi="Times New Roman"/>
          <w:color w:val="000000"/>
          <w:sz w:val="18"/>
        </w:rPr>
        <w:t>under</w:t>
      </w:r>
      <w:r>
        <w:rPr>
          <w:rFonts w:ascii="Times New Roman" w:hAnsi="Times New Roman"/>
          <w:color w:val="000000"/>
          <w:sz w:val="20"/>
        </w:rPr>
        <w:t xml:space="preserve"> </w:t>
      </w:r>
      <w:r>
        <w:rPr>
          <w:rFonts w:ascii="Times New Roman" w:hAnsi="Times New Roman"/>
          <w:i/>
          <w:color w:val="000000"/>
          <w:sz w:val="18"/>
        </w:rPr>
        <w:t>Loss Contingencies — Returns Reserve for Acquired Product.</w:t>
      </w:r>
    </w:p>
    <w:p>
      <w:pPr>
        <w:pStyle w:val="TextBody"/>
        <w:bidi w:val="0"/>
        <w:spacing w:before="240" w:after="283"/>
        <w:jc w:val="left"/>
        <w:rPr>
          <w:rFonts w:ascii="Times New Roman" w:hAnsi="Times New Roman"/>
          <w:sz w:val="20"/>
        </w:rPr>
      </w:pPr>
      <w:r>
        <w:rPr>
          <w:rFonts w:ascii="Times New Roman" w:hAnsi="Times New Roman"/>
          <w:b/>
          <w:color w:val="000000"/>
          <w:sz w:val="20"/>
        </w:rPr>
        <w:t>9. Borrowings</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Company’s borrowings as of March 31, 2026 are as follows (in thousands):</w:t>
      </w:r>
    </w:p>
    <w:tbl>
      <w:tblPr>
        <w:tblW w:w="4450" w:type="dxa"/>
        <w:jc w:val="left"/>
        <w:tblInd w:w="0" w:type="dxa"/>
        <w:tblLayout w:type="fixed"/>
        <w:tblCellMar>
          <w:top w:w="28" w:type="dxa"/>
          <w:left w:w="28" w:type="dxa"/>
          <w:bottom w:w="28" w:type="dxa"/>
          <w:right w:w="28" w:type="dxa"/>
        </w:tblCellMar>
      </w:tblPr>
      <w:tblGrid>
        <w:gridCol w:w="2701"/>
        <w:gridCol w:w="346"/>
        <w:gridCol w:w="211"/>
        <w:gridCol w:w="781"/>
        <w:gridCol w:w="411"/>
      </w:tblGrid>
      <w:tr>
        <w:trPr/>
        <w:tc>
          <w:tcPr>
            <w:tcW w:w="27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Blackstone term loan, due 2030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principal payments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debt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318,722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Blackstone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6, 2025 (the “Closing Date”), the Company entered into a senior secured term loan agreement, which was subsequently amended on August 24, 2025 (as amended, the “Credit Agreement”), with Blackstone Alternative Credit Advisors LP, as Blackstone Representative and Lead Arranger (in such capacity, “Blackstone”), the lenders party thereto from time to time, the subsidiary guarantors party thereto from time to time, and Wilmington Trust, National Association, as administrative agent and collateral agent for the lenders (in such capacity, the “Agent”).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credit facility provided for by the Credit Agreement (the “Blackstone Credit Facility”), the lenders (i) funded a $75 million initial term loan on the Closing Date; (ii) provided $250.0 million in delayed draw term loans on October 7, 2025 in connection with the transactions contemplated by the merger agreement with scPharma, with an additional $50.0 million in delayed draw term loan commitments remaining available under the Credit Agreement subject to certain customary draw down conditions, and (iii) made available up to $300.0 million in the form of uncommitted delayed draw term loans, which the Company may borrow in the future subject to mutual agreement with Blackstone and the lenders under the Credit Agreement. After deducting debt issuance costs payable by the Company, the net proceeds from the Blackstone Credit Facility were approximately $317.7 million. Amortization of debt issuance costs related to the Blackstone Credit Facility for the three months ended March 31, 2026 were approximately $0.4 million. As of March 31, 2026, the unamortized debt issuance costs were $6.3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Blackstone Credit Facility will mature on August 6, 2030 (the “Maturity Date”). The Company elected to borrow the existing term loans as SOFR Loans, which bear interest at a rate per annum equal to one, three or six month term SOFR (at the Company’s election), subject to a 2.00% floor (the “Adjusted Term SOFR”), plus a margin of 4.75%. Upon the occurrence and continuation of an event of default under the Credit Agreement, interest on the term loans accrues at the applicable rate plus 2.00% per annum. Interest is paid quarterly or, if the Company elects 1-month SOFR, monthly. The interest rate margin for a SOFR loan increases to 5.00% at any time the Company’s ratio of indebtedness to adjusted EBITDA (measured on a trailing four quarter basis) is greater than or equal to 5.00:1.00 as of the most recent fiscal quarter for which the Company has delivered financial statements. As of March 31, 2026, the effective interest rate is 9.09% per annum. Term loans under the Credit Agreement are funded net of an upfront fee payable by the Company. The Company shall pay the delayed draw term loan lenders a ticking fee at a rate per annum equal to 1.00% of the daily unused portion of the delayed draw term loan commitments beginning on the one year anniversary of the agreement through the end of the delayed draw commitment period, payable quarterly in arrears.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term loans under the Blackstone Credit Facility, as well as any accrued and unpaid interest and fees, are repayable on the Maturity Date. The Company has the option to prepay the loans under the Blackstone Credit Facility in whole or in part, subject to early prepayment fees in an amount equal to (a) the greater of (i) the present value of the sum of (x) 3.00% of the principal amount to be prepaid as if that amount would otherwise be prepaid on the first anniversary of the Closing Date, and (y) the amount of all interest which would otherwise have accrued under the Credit Agreement for the period from the date of such prepayment to the first anniversary of the Closing Date, assuming an interest rate for such period equal to the sum of the applicable margin for SOFR Loans plus Adjusted Term SOFR as of the date of determination, computed using a discount rate equal to the treasury rate as of such date plus 50 basis points (the “Make Whole Premium”) and (ii) 3.00% of the principal amount to be prepaid if prepayment occurs on or prior to the first anniversary of the Closing Date, (b) 3.00% of principal prepaid if prepayment occurs after the first anniversary of the Closing Date but on or prior to the second anniversary of the Closing Date, (c) 1.00% of principal prepaid if prepayment occurs after the second anniversary of the Closing Date and prior to or on the third anniversary of the Closing Date and (d) 0.00% after the third anniversary of the Closing Date. In addition, subject to the terms and conditions of the Credit Agreement, the Company is required to make a mandatory prepayment of the term loans upon occurrence of certain events such as upon certain assets sales, events of loss, incurrence of debt not permitted to be incurred under the Credit Agreement, or a change of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obligations under the Blackstone Credit Facility are guaranteed by each of the Company’s subsidiaries and any future subsidiaries, subject to limited exceptions set forth in the Credit Agreement, and are secured by a first-priority perfected security interest (subject to permitted liens), on substantially all of the assets of the Company and the subsidiary guarantors, including intellectual property.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Credit Agreement includes representations and warranties, affirmative covenants (including reporting obligations), negative covenants and events of default that are usual and customary for facilities of this type, in each case, subject to certain permitted exceptions as set forth therein. The Credit Agreement also contains a financial covenant for the benefit of the lenders, which requires the Company to have liquidity of at least $40.0 million as of the last business day of each fiscal quarter ending after the Closing Date, with liquidity defined as our unrestricted cash and cash equivalents which are subject to a control agreement, in favor of the Agent, for the benefit of the lenders.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there were no events of default and the Company was in compliance with all covenants under the Credit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Senior convertible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2021, the Company issued $230.0 million aggregate principal amount of senior convertible notes (the “senior convertible notes”) in a private offering. The Company’s net proceeds from the March 2021 offering were approximately $222.7 million, after deducting the initial purchasers’ discounts and commissions and the estimated offering expenses payable by the Company. The senior convertible notes were issued pursuant to an indenture, dated March 4, 2021 (the “Indenture”), between the Company and U.S. Bank National Association, as trustee. The senior convertible notes were general unsecured obligations of the Company and matured on March 1, 2026. The senior convertible notes bore cash interest from March 4, 2021 at an annual rate of 2.50% payable semi-annually in arrears on March 1 and September 1 of each year, beginning on September 1, 2021.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17, 2024, the Company entered into separate, privately negotiated exchange agreements (the "Exchange Agreements") with certain holders (the “Holders”) of the senior convertible notes. Under the terms of the Exchange Agreements, the Holders agreed to exchange an aggregate principal amount of approximately $193.7 million of the senior convertible notes in exchange for an aggregate of 26,749,559 shares of the Company’s common stock. In addition, pursuant to the exchange agreements, the Company made an aggregate cash payment of approximately $89.2 million to the Holders for additional exchange consideration. Immediately following the exchange, approximately $36.3 million in aggregate principal amount of the senior convertible notes remained outstanding.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4, 2026, the Company settled the remaining $36.3 million aggregate principal amount of the senior convertible notes, all of which were tendered for conversion prior to the maturity date of March 1, 2026. The settlement was made on March 4, 2026 with $35.5 million in cash and 569,023 shares of the Company’s common stock. The issuance of shares in connection with the repayment resulted in a loss on settlement of debt of approximately $0.9 million which was recorded in the condensed consolidated statements of operations for the three months ended March 31,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Collaborations, Licensing and Other Arrangements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Revenue from collaborations and services were as follows (in thousands):</w:t>
      </w:r>
    </w:p>
    <w:tbl>
      <w:tblPr>
        <w:tblW w:w="6719" w:type="dxa"/>
        <w:jc w:val="left"/>
        <w:tblInd w:w="0" w:type="dxa"/>
        <w:tblLayout w:type="fixed"/>
        <w:tblCellMar>
          <w:top w:w="28" w:type="dxa"/>
          <w:left w:w="28" w:type="dxa"/>
          <w:bottom w:w="28" w:type="dxa"/>
          <w:right w:w="28" w:type="dxa"/>
        </w:tblCellMar>
      </w:tblPr>
      <w:tblGrid>
        <w:gridCol w:w="4116"/>
        <w:gridCol w:w="146"/>
        <w:gridCol w:w="211"/>
        <w:gridCol w:w="676"/>
        <w:gridCol w:w="146"/>
        <w:gridCol w:w="146"/>
        <w:gridCol w:w="211"/>
        <w:gridCol w:w="676"/>
        <w:gridCol w:w="391"/>
      </w:tblGrid>
      <w:tr>
        <w:trPr/>
        <w:tc>
          <w:tcPr>
            <w:tcW w:w="4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UT CSA</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 License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Amphastar co-promotion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Cipla License and Distribution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 from collaborations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jc w:val="left"/>
        <w:rPr>
          <w:rFonts w:ascii="Times New Roman" w:hAnsi="Times New Roman"/>
          <w:color w:val="000000"/>
          <w:sz w:val="18"/>
        </w:rPr>
      </w:pPr>
      <w:r>
        <w:rPr>
          <w:rFonts w:ascii="Times New Roman" w:hAnsi="Times New Roman"/>
          <w:color w:val="000000"/>
          <w:sz w:val="18"/>
        </w:rPr>
        <w:t>Amounts consist of revenue recognized for Manufacturing Services to UT for the periods presented.</w:t>
      </w:r>
    </w:p>
    <w:p>
      <w:pPr>
        <w:pStyle w:val="TextBody"/>
        <w:bidi w:val="0"/>
        <w:spacing w:before="240" w:after="283"/>
        <w:jc w:val="left"/>
        <w:rPr>
          <w:rFonts w:ascii="Times New Roman" w:hAnsi="Times New Roman"/>
          <w:sz w:val="20"/>
        </w:rPr>
      </w:pPr>
      <w:r>
        <w:rPr>
          <w:rFonts w:ascii="Times New Roman" w:hAnsi="Times New Roman"/>
          <w:i/>
          <w:color w:val="000000"/>
          <w:sz w:val="20"/>
        </w:rPr>
        <w:t>United Therapeutics License Agreement</w:t>
      </w:r>
      <w:r>
        <w:rPr>
          <w:rFonts w:ascii="Times New Roman" w:hAnsi="Times New Roman"/>
          <w:color w:val="000000"/>
          <w:sz w:val="20"/>
        </w:rPr>
        <w:t xml:space="preserve"> — In September 2018, the Company and UT entered into an exclusive global license and collaboration agreement (the “UT License Agreement”), pursuant to which UT is responsible for global development, regulatory and commercial activities with respect to Tyvaso DPI.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Total revenue from UT was as follows (in thousands):</w:t>
      </w:r>
    </w:p>
    <w:tbl>
      <w:tblPr>
        <w:tblW w:w="4769" w:type="dxa"/>
        <w:jc w:val="left"/>
        <w:tblInd w:w="0" w:type="dxa"/>
        <w:tblLayout w:type="fixed"/>
        <w:tblCellMar>
          <w:top w:w="28" w:type="dxa"/>
          <w:left w:w="28" w:type="dxa"/>
          <w:bottom w:w="28" w:type="dxa"/>
          <w:right w:w="28" w:type="dxa"/>
        </w:tblCellMar>
      </w:tblPr>
      <w:tblGrid>
        <w:gridCol w:w="2166"/>
        <w:gridCol w:w="146"/>
        <w:gridCol w:w="211"/>
        <w:gridCol w:w="676"/>
        <w:gridCol w:w="146"/>
        <w:gridCol w:w="146"/>
        <w:gridCol w:w="211"/>
        <w:gridCol w:w="676"/>
        <w:gridCol w:w="391"/>
      </w:tblGrid>
      <w:tr>
        <w:trPr/>
        <w:tc>
          <w:tcPr>
            <w:tcW w:w="2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from UT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Royalties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 CSA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 License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 from UT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58,823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left"/>
        <w:rPr>
          <w:rFonts w:ascii="Times New Roman" w:hAnsi="Times New Roman"/>
          <w:sz w:val="20"/>
        </w:rPr>
      </w:pPr>
      <w:r>
        <w:rPr>
          <w:rFonts w:ascii="Times New Roman" w:hAnsi="Times New Roman"/>
          <w:color w:val="000000"/>
          <w:sz w:val="18"/>
        </w:rPr>
        <w:t>Amounts consist of royalties associated with the UT License Agreement. The contract asset related to the royalties receivable of $29.5</w:t>
      </w:r>
      <w:r>
        <w:rPr>
          <w:rFonts w:ascii="Times New Roman" w:hAnsi="Times New Roman"/>
          <w:color w:val="000000"/>
          <w:sz w:val="20"/>
        </w:rPr>
        <w:t xml:space="preserve"> </w:t>
      </w:r>
      <w:r>
        <w:rPr>
          <w:rFonts w:ascii="Times New Roman" w:hAnsi="Times New Roman"/>
          <w:color w:val="000000"/>
          <w:sz w:val="18"/>
        </w:rPr>
        <w:t>million and $27.0</w:t>
      </w:r>
      <w:r>
        <w:rPr>
          <w:rFonts w:ascii="Times New Roman" w:hAnsi="Times New Roman"/>
          <w:color w:val="000000"/>
          <w:sz w:val="20"/>
        </w:rPr>
        <w:t xml:space="preserve"> </w:t>
      </w:r>
      <w:r>
        <w:rPr>
          <w:rFonts w:ascii="Times New Roman" w:hAnsi="Times New Roman"/>
          <w:color w:val="000000"/>
          <w:sz w:val="18"/>
        </w:rPr>
        <w:t>million as of March 31, 2026 and 2025, respectively, was included in prepaid expense and other current assets in the condensed consolidated balance sheets and collected in the following quarter.</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Pursuant to the UT License Agreement, the Company receives a 10% royalty on net sales of Tyvaso DPI. In December 2023, the Company sold a 1% royalty on future net sales of Tyvaso DPI to a royalty purchaser, with the Company retaining a 9% royalty.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August 2021, the Company and UT entered into the CSA pursuant to which the Company is responsible for manufacturing and supplying to UT, and UT is responsible for purchasing from the Company in accordance with the contractual terms. In addition, UT is responsible for supplying treprostinil at its expense in quantities necessary to enable the Company to manufacture Tyvaso DPI as required by the CSA.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remaining performance obligation under the CSA, including the material right related to the tiered pricing within the contract, as amended and discussed below, is for manufacturing services to deliver product throughout the contract term. The revenue recognized under the CSA for manufacturing services is comprised of the sale of product to UT, recognition of previously deferred revenue, and reimbursements from other agreements for individual performance obligations. The portion of revenue related to each deliverable included in UT CSA revenue (in thousands) is as follows:</w:t>
      </w:r>
    </w:p>
    <w:tbl>
      <w:tblPr>
        <w:tblW w:w="6118" w:type="dxa"/>
        <w:jc w:val="left"/>
        <w:tblInd w:w="0" w:type="dxa"/>
        <w:tblLayout w:type="fixed"/>
        <w:tblCellMar>
          <w:top w:w="28" w:type="dxa"/>
          <w:left w:w="28" w:type="dxa"/>
          <w:bottom w:w="28" w:type="dxa"/>
          <w:right w:w="28" w:type="dxa"/>
        </w:tblCellMar>
      </w:tblPr>
      <w:tblGrid>
        <w:gridCol w:w="3661"/>
        <w:gridCol w:w="211"/>
        <w:gridCol w:w="676"/>
        <w:gridCol w:w="146"/>
        <w:gridCol w:w="146"/>
        <w:gridCol w:w="211"/>
        <w:gridCol w:w="676"/>
        <w:gridCol w:w="391"/>
      </w:tblGrid>
      <w:tr>
        <w:trPr/>
        <w:tc>
          <w:tcPr>
            <w:tcW w:w="3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UT CSA Revenue</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 of product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Recognition of previously deferred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agreements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UT CSA revenue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There have been various amendments to the CSA since inception. Under the Seventh Amendment, the term of the CSA continues until December 31, 2031 (unless earlier terminated) and is thereafter renewed automatically for additional, successive two-year terms unless (i) UT provides notice to the Company at least 24 months in advance of such renewal that UT does not wish to renew the CSA or (ii) the Company provides notice to UT at least 48 months in advance of such renewal that the Company does not wish to renew the CSA. The Company and UT each have normal and customary termination rights, including termination for material breach that is not cured within a specific timeframe or in the event of liquidation, bankruptcy or insolvency of the other party.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the Seventh Amendment, UT will provide notice of their purchase quantity on or prior to October 15th of each year. Additionally, the Seventh Amendment defines a tiered pricing structure based on annual purchase volume. Under the practical alternative for measuring material rights, revenue is recognized on a per unit basis based on the allocation of expected consideration to the manufacturing services performance obligation over the remaining contract term. The Company recognizes changes in estimated consideration resulting from changes in future estimated purchase quantities prospectively, such that the amount of revenue to be recognized per unit for future deliveries is adjusted, without recording a cumulative catch-up to amounts recognized in prior periods. Revenue is then recognized at the point in time in which control of the product is transferred to UT.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During 2024, the Company entered into additional agreements for individual performance obligations which are accounted for separately as they are distinct from Manufacturing Services and offered at a standalone selling price, for which we recognized revenue of $2.4 million and $0.3 million for the three months ended March 31, 2026 and 2025, respectively. Revenue for these arrangements is recognized at the point in time that the related service is delivered.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the terms of the UT License Agreement, UT has an option to develop additional dry powder inhalation therapies. In August 2025, UT exercised its option, which was memorialized in an amendment to the UT License Agreement (the "First Amendment"), and is treated as a separate contract for revenue recognition purposes under ASC 606. Under the First Amendment, the Company will formulate a dry powder formulation of ralinepag, an investigational molecule, using its proprietary Technosphere platform, and United Therapeutics will conduct preclinical and clinical development. This development program has been designated MNKD-1501. Per the First Amendment, the Company received an upfront payment of $5.0 million in 2025 and is eligible to receive up to $35.0 million in development milestones. The $35.0 million in development milestones is considered constrained due to the inherent uncertainty in the timing and likelihood of achieving the associated milestones. The Company is also eligible to receive 10% royalties on net sales of any resulting product. As of March 31, 2026, $2.0 million of the initial upfront payment has been recognized as revenue, based on the input measure of progress, and the remaining $3.0 million is included within deferred revenue - short term on the Company's consolidated balance sheets.</w:t>
      </w:r>
    </w:p>
    <w:p>
      <w:pPr>
        <w:pStyle w:val="TextBody"/>
        <w:bidi w:val="0"/>
        <w:jc w:val="left"/>
        <w:rPr>
          <w:rFonts w:ascii="Times New Roman" w:hAnsi="Times New Roman"/>
          <w:color w:val="000000"/>
          <w:sz w:val="20"/>
        </w:rPr>
      </w:pPr>
      <w:r>
        <w:rPr>
          <w:rFonts w:ascii="Times New Roman" w:hAnsi="Times New Roman"/>
          <w:color w:val="000000"/>
          <w:sz w:val="20"/>
        </w:rPr>
        <w:t>As of March 31, 2026, deferred revenue from UT consisted of $50.4 million, of which $11.5 million was classified as current and $38.9 million was classified as long-term on the condensed consolidated balance sheet. As of December 31, 2025, deferred revenue consisted of $55.3 million, of which $15.3 million was classified as current and $40.0 million was classified as long-term on the condensed consolidated balance sheet.</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Cipla License and Distribution Agreement </w:t>
      </w:r>
      <w:r>
        <w:rPr>
          <w:rFonts w:ascii="Times New Roman" w:hAnsi="Times New Roman"/>
          <w:color w:val="000000"/>
          <w:sz w:val="20"/>
        </w:rPr>
        <w:t xml:space="preserve">— In May 2018, the Company and Cipla Ltd. (“Cipla”) entered into an exclusive agreement for the marketing and distribution of Afrezza in India and the Company received a $2.2 million nonrefundable license fee which was fully recognized as revenue from collaborations and services as of December 31, 2025. Under the terms of the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Cipla is responsible for obtaining regulatory approvals to distribute Afrezza in India and for all marketing and sales activities of Afrezza in India. The Company is responsible for supplying Afrezza to Cipla, and began recording commercial product sales from this agreement in the fourth quarter of 2025. The Company is entitled to minimum purchase commitment revenue and royalties on Afrezza sales in India once cumulative gross sales have reached a specified threshold. In December 2024, the Central Drugs Standard Control Organisation ("CDSCO") in India approved Afrezza for adults and, accordingly, the Company was entitled to the regulatory milestone payment from Cipla totaling $1.1 million, which was recognized as revenue from collaborations and services in the year ended December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$0.1 million of revenue from commercial product sales to Cipla in India for the three months ended March 31, 2026. There were no commercial product sales to India for the three months ended March 31, 2025.</w:t>
      </w:r>
    </w:p>
    <w:p>
      <w:pPr>
        <w:pStyle w:val="TextBody"/>
        <w:bidi w:val="0"/>
        <w:spacing w:before="240" w:after="283"/>
        <w:jc w:val="left"/>
        <w:rPr>
          <w:rFonts w:ascii="Times New Roman" w:hAnsi="Times New Roman"/>
          <w:sz w:val="20"/>
        </w:rPr>
      </w:pPr>
      <w:r>
        <w:rPr>
          <w:rFonts w:ascii="Times New Roman" w:hAnsi="Times New Roman"/>
          <w:i/>
          <w:color w:val="000000"/>
          <w:sz w:val="20"/>
        </w:rPr>
        <w:t>Amphastar</w:t>
      </w:r>
      <w:r>
        <w:rPr>
          <w:rFonts w:ascii="Times New Roman" w:hAnsi="Times New Roman"/>
          <w:color w:val="000000"/>
          <w:sz w:val="20"/>
        </w:rPr>
        <w:t xml:space="preserve"> — In November 2024, the Company entered into a co-promotion agreement which provides the terms and conditions upon which the Company's sales force shall promote Baqsimi (glucagon) nasal powder to designated health care professionals in territories where the Company currently promotes Afrezza. Per the terms of the co-promotion agreement, as amended in December 2025, Amphastar is obligated to pay fixed quarterly payments to the Company through December 31, 2026. The Company identified a single performance obligation satisfied over time. Revenue is recognized based on the measurement of progress. The Company recognized $0.5 million in collaborations and services revenue from this agreement on its condensed consolidated statements of operations for both of the three months ended March 31, 2026 and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Fair Value of Financial Instruments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 The Company uses the exit price method for estimating the fair value of loans for disclosure purposes. Inputs used in the valuation techniques to derive fair values are classified based on a three-level hierarchy are described in Note 1 – </w:t>
      </w:r>
      <w:r>
        <w:rPr>
          <w:rFonts w:ascii="Times New Roman" w:hAnsi="Times New Roman"/>
          <w:i/>
          <w:color w:val="000000"/>
          <w:sz w:val="20"/>
        </w:rPr>
        <w:t>Description of Business and Significant Accounting Policies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carrying amounts reported in the condensed consolidated financial statements for cash, accounts receivable, accounts payable, and accrued expenses and other current liabilities (excluding the Milestone Rights liability) approximate their fair value due to their relatively short maturities. The fair value of the senior convertible notes, Milestone Rights liability, Financing liability, Liability for sale of future royalties and Contingent consideration liability are disclosed below. </w:t>
      </w:r>
    </w:p>
    <w:p>
      <w:pPr>
        <w:pStyle w:val="TextBody"/>
        <w:bidi w:val="0"/>
        <w:spacing w:before="240" w:after="120"/>
        <w:jc w:val="left"/>
        <w:rPr>
          <w:rFonts w:ascii="Times New Roman" w:hAnsi="Times New Roman"/>
          <w:sz w:val="20"/>
        </w:rPr>
      </w:pPr>
      <w:r>
        <w:rPr>
          <w:rFonts w:ascii="Times New Roman" w:hAnsi="Times New Roman"/>
          <w:i/>
          <w:color w:val="000000"/>
          <w:sz w:val="20"/>
        </w:rPr>
        <w:t>Financial Liabilities</w:t>
      </w:r>
      <w:r>
        <w:rPr>
          <w:rFonts w:ascii="Times New Roman" w:hAnsi="Times New Roman"/>
          <w:color w:val="000000"/>
          <w:sz w:val="20"/>
        </w:rPr>
        <w:t xml:space="preserve"> — The following tables set forth the fair value of the Company’s financial instruments (Level 3 in the fair value hierarchy) (in millions):</w:t>
      </w:r>
    </w:p>
    <w:tbl>
      <w:tblPr>
        <w:tblW w:w="6640" w:type="dxa"/>
        <w:jc w:val="left"/>
        <w:tblInd w:w="0" w:type="dxa"/>
        <w:tblLayout w:type="fixed"/>
        <w:tblCellMar>
          <w:top w:w="28" w:type="dxa"/>
          <w:left w:w="28" w:type="dxa"/>
          <w:bottom w:w="28" w:type="dxa"/>
          <w:right w:w="28" w:type="dxa"/>
        </w:tblCellMar>
      </w:tblPr>
      <w:tblGrid>
        <w:gridCol w:w="3321"/>
        <w:gridCol w:w="146"/>
        <w:gridCol w:w="336"/>
        <w:gridCol w:w="909"/>
        <w:gridCol w:w="146"/>
        <w:gridCol w:w="146"/>
        <w:gridCol w:w="335"/>
        <w:gridCol w:w="910"/>
        <w:gridCol w:w="391"/>
      </w:tblGrid>
      <w:tr>
        <w:trPr/>
        <w:tc>
          <w:tcPr>
            <w:tcW w:w="3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 (Level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Milestone rights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Financing liability</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Liability for sale of future royalties</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Contingent consideration liability</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spacing w:before="0" w:after="0"/>
        <w:jc w:val="left"/>
        <w:rPr/>
      </w:pPr>
      <w:r>
        <w:rPr>
          <w:rFonts w:ascii="Times New Roman" w:hAnsi="Times New Roman"/>
          <w:color w:val="000000"/>
          <w:sz w:val="18"/>
        </w:rPr>
        <w:t>Fair value was determined by applying a Monte Carlo simulation method for the calculation of the potential payment and the Geometric Brownian Motion forecasting model to estimate the underlying revenue. Market based inputs and other Level 3 inputs were used to forecast future revenue. The key inputs used included a risk-free rate of 4.09%, dividend yield of 0%, volatility of 43.0%, period of 7</w:t>
      </w:r>
      <w:r>
        <w:rPr>
          <w:color w:val="000000"/>
        </w:rPr>
        <w:t xml:space="preserve"> </w:t>
      </w:r>
      <w:r>
        <w:rPr>
          <w:rFonts w:ascii="Times New Roman" w:hAnsi="Times New Roman"/>
          <w:color w:val="000000"/>
          <w:sz w:val="18"/>
        </w:rPr>
        <w:t>years and credit risk of 12.0%.</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(2)</w:t>
      </w:r>
    </w:p>
    <w:p>
      <w:pPr>
        <w:pStyle w:val="TextBody"/>
        <w:bidi w:val="0"/>
        <w:spacing w:before="0" w:after="0"/>
        <w:jc w:val="left"/>
        <w:rPr/>
      </w:pPr>
      <w:r>
        <w:rPr>
          <w:rFonts w:ascii="Times New Roman" w:hAnsi="Times New Roman"/>
          <w:color w:val="000000"/>
          <w:sz w:val="18"/>
        </w:rPr>
        <w:t>Fair value was determined by applying a discounted cash flow analysis with a hypothetical yield of 9.0%. A change in yield of + or – 2% would result in a fair value of $95.8</w:t>
      </w:r>
      <w:r>
        <w:rPr>
          <w:color w:val="000000"/>
        </w:rPr>
        <w:t xml:space="preserve"> </w:t>
      </w:r>
      <w:r>
        <w:rPr>
          <w:rFonts w:ascii="Times New Roman" w:hAnsi="Times New Roman"/>
          <w:color w:val="000000"/>
          <w:sz w:val="18"/>
        </w:rPr>
        <w:t>million and $122.6</w:t>
      </w:r>
      <w:r>
        <w:rPr>
          <w:color w:val="000000"/>
        </w:rPr>
        <w:t xml:space="preserve"> </w:t>
      </w:r>
      <w:r>
        <w:rPr>
          <w:rFonts w:ascii="Times New Roman" w:hAnsi="Times New Roman"/>
          <w:color w:val="000000"/>
          <w:sz w:val="18"/>
        </w:rPr>
        <w:t>million, respectively.</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(3)</w:t>
      </w:r>
    </w:p>
    <w:p>
      <w:pPr>
        <w:pStyle w:val="TextBody"/>
        <w:bidi w:val="0"/>
        <w:spacing w:before="0" w:after="0"/>
        <w:jc w:val="left"/>
        <w:rPr/>
      </w:pPr>
      <w:r>
        <w:rPr>
          <w:rFonts w:ascii="Times New Roman" w:hAnsi="Times New Roman"/>
          <w:color w:val="000000"/>
          <w:sz w:val="18"/>
        </w:rPr>
        <w:t>Fair value was determined by applying a discounted cash flow analysis with a hypothetical yield of 10.0%. A change in yield of + or – 2% would result in a fair value of $87.9</w:t>
      </w:r>
      <w:r>
        <w:rPr>
          <w:color w:val="000000"/>
        </w:rPr>
        <w:t xml:space="preserve"> </w:t>
      </w:r>
      <w:r>
        <w:rPr>
          <w:rFonts w:ascii="Times New Roman" w:hAnsi="Times New Roman"/>
          <w:color w:val="000000"/>
          <w:sz w:val="18"/>
        </w:rPr>
        <w:t>million and $105.4</w:t>
      </w:r>
      <w:r>
        <w:rPr>
          <w:color w:val="000000"/>
        </w:rPr>
        <w:t xml:space="preserve"> </w:t>
      </w:r>
      <w:r>
        <w:rPr>
          <w:rFonts w:ascii="Times New Roman" w:hAnsi="Times New Roman"/>
          <w:color w:val="000000"/>
          <w:sz w:val="18"/>
        </w:rPr>
        <w:t>million, respectively.</w:t>
      </w:r>
    </w:p>
    <w:p>
      <w:pPr>
        <w:pStyle w:val="TextBody"/>
        <w:bidi w:val="0"/>
        <w:spacing w:before="0" w:after="120"/>
        <w:jc w:val="left"/>
        <w:rPr>
          <w:rFonts w:ascii="Times New Roman" w:hAnsi="Times New Roman"/>
          <w:color w:val="000000"/>
          <w:sz w:val="14"/>
        </w:rPr>
      </w:pPr>
      <w:r>
        <w:rPr>
          <w:rFonts w:ascii="Times New Roman" w:hAnsi="Times New Roman"/>
          <w:color w:val="000000"/>
          <w:sz w:val="14"/>
        </w:rPr>
        <w:t>(4)</w:t>
      </w:r>
    </w:p>
    <w:p>
      <w:pPr>
        <w:pStyle w:val="TextBody"/>
        <w:bidi w:val="0"/>
        <w:spacing w:before="0" w:after="120"/>
        <w:jc w:val="left"/>
        <w:rPr/>
      </w:pPr>
      <w:r>
        <w:rPr>
          <w:rFonts w:ascii="Times New Roman" w:hAnsi="Times New Roman"/>
          <w:color w:val="000000"/>
          <w:sz w:val="18"/>
        </w:rPr>
        <w:t>Fair value was determined to be $24.0</w:t>
      </w:r>
      <w:r>
        <w:rPr>
          <w:color w:val="000000"/>
        </w:rPr>
        <w:t xml:space="preserve"> </w:t>
      </w:r>
      <w:r>
        <w:rPr>
          <w:rFonts w:ascii="Times New Roman" w:hAnsi="Times New Roman"/>
          <w:color w:val="000000"/>
          <w:sz w:val="18"/>
        </w:rPr>
        <w:t>million for Milestone 1 using a probability weighted expected return methodology based on the Company's estimate of probability of achievement of regulatory approval which was 85%</w:t>
      </w:r>
      <w:r>
        <w:rPr>
          <w:color w:val="000000"/>
        </w:rPr>
        <w:t xml:space="preserve"> </w:t>
      </w:r>
      <w:r>
        <w:rPr>
          <w:rFonts w:ascii="Times New Roman" w:hAnsi="Times New Roman"/>
          <w:color w:val="000000"/>
          <w:sz w:val="18"/>
        </w:rPr>
        <w:t>across various timepoints and a discount rate of 11.4%. A change in estimate of probability and discount rate for Milestone 1 of + or – 2% would result in a fair value of $24.9</w:t>
      </w:r>
      <w:r>
        <w:rPr>
          <w:color w:val="000000"/>
        </w:rPr>
        <w:t xml:space="preserve"> </w:t>
      </w:r>
      <w:r>
        <w:rPr>
          <w:rFonts w:ascii="Times New Roman" w:hAnsi="Times New Roman"/>
          <w:color w:val="000000"/>
          <w:sz w:val="18"/>
        </w:rPr>
        <w:t>million and $23.1</w:t>
      </w:r>
      <w:r>
        <w:rPr>
          <w:color w:val="000000"/>
        </w:rPr>
        <w:t xml:space="preserve"> </w:t>
      </w:r>
      <w:r>
        <w:rPr>
          <w:rFonts w:ascii="Times New Roman" w:hAnsi="Times New Roman"/>
          <w:color w:val="000000"/>
          <w:sz w:val="18"/>
        </w:rPr>
        <w:t>million, respectively. Fair value was determined to be $5.0</w:t>
      </w:r>
      <w:r>
        <w:rPr>
          <w:color w:val="000000"/>
        </w:rPr>
        <w:t xml:space="preserve"> </w:t>
      </w:r>
      <w:r>
        <w:rPr>
          <w:rFonts w:ascii="Times New Roman" w:hAnsi="Times New Roman"/>
          <w:color w:val="000000"/>
          <w:sz w:val="18"/>
        </w:rPr>
        <w:t>million for Milestone 2 using a Monte Carlo simulation method based on a 51.9%</w:t>
      </w:r>
      <w:r>
        <w:rPr>
          <w:color w:val="000000"/>
        </w:rPr>
        <w:t xml:space="preserve"> </w:t>
      </w:r>
      <w:r>
        <w:rPr>
          <w:rFonts w:ascii="Times New Roman" w:hAnsi="Times New Roman"/>
          <w:color w:val="000000"/>
          <w:sz w:val="18"/>
        </w:rPr>
        <w:t>volatility and 11.4%</w:t>
      </w:r>
      <w:r>
        <w:rPr>
          <w:color w:val="000000"/>
        </w:rPr>
        <w:t xml:space="preserve"> </w:t>
      </w:r>
      <w:r>
        <w:rPr>
          <w:rFonts w:ascii="Times New Roman" w:hAnsi="Times New Roman"/>
          <w:color w:val="000000"/>
          <w:sz w:val="18"/>
        </w:rPr>
        <w:t>discount rate. Market based inputs and other Level 3 inputs were used to forecast future revenue. A change in discount rate on Milestone 2 of + or – 2% would result in a fair value of $5.0</w:t>
      </w:r>
      <w:r>
        <w:rPr>
          <w:color w:val="000000"/>
        </w:rPr>
        <w:t xml:space="preserve"> </w:t>
      </w:r>
      <w:r>
        <w:rPr>
          <w:rFonts w:ascii="Times New Roman" w:hAnsi="Times New Roman"/>
          <w:color w:val="000000"/>
          <w:sz w:val="18"/>
        </w:rPr>
        <w:t>million and $5.1</w:t>
      </w:r>
      <w:r>
        <w:rPr>
          <w:color w:val="000000"/>
        </w:rPr>
        <w:t xml:space="preserve"> </w:t>
      </w:r>
      <w:r>
        <w:rPr>
          <w:rFonts w:ascii="Times New Roman" w:hAnsi="Times New Roman"/>
          <w:color w:val="000000"/>
          <w:sz w:val="18"/>
        </w:rPr>
        <w:t>million,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640" w:type="dxa"/>
        <w:jc w:val="left"/>
        <w:tblInd w:w="0" w:type="dxa"/>
        <w:tblLayout w:type="fixed"/>
        <w:tblCellMar>
          <w:top w:w="28" w:type="dxa"/>
          <w:left w:w="28" w:type="dxa"/>
          <w:bottom w:w="28" w:type="dxa"/>
          <w:right w:w="28" w:type="dxa"/>
        </w:tblCellMar>
      </w:tblPr>
      <w:tblGrid>
        <w:gridCol w:w="3321"/>
        <w:gridCol w:w="146"/>
        <w:gridCol w:w="336"/>
        <w:gridCol w:w="909"/>
        <w:gridCol w:w="146"/>
        <w:gridCol w:w="146"/>
        <w:gridCol w:w="335"/>
        <w:gridCol w:w="910"/>
        <w:gridCol w:w="391"/>
      </w:tblGrid>
      <w:tr>
        <w:trPr/>
        <w:tc>
          <w:tcPr>
            <w:tcW w:w="3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 (Level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Senior convertible notes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Milestone rights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Financing liability</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Liability for sale of future royalties</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Contingent consideration liability</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spacing w:before="0" w:after="0"/>
        <w:jc w:val="left"/>
        <w:rPr>
          <w:rFonts w:ascii="Times New Roman" w:hAnsi="Times New Roman"/>
          <w:sz w:val="20"/>
        </w:rPr>
      </w:pPr>
      <w:r>
        <w:rPr>
          <w:rFonts w:ascii="Times New Roman" w:hAnsi="Times New Roman"/>
          <w:color w:val="000000"/>
          <w:sz w:val="18"/>
        </w:rPr>
        <w:t>Fair value was determined by applying a discounted cash flow analysis to the straight note with a hypothetical yield of 5.0%, volatility of 40.3% and a Monte Carlo simulation for the value of the conversion feature. A change in yield of + or – 2% would result in a fair value of $39.0</w:t>
      </w:r>
      <w:r>
        <w:rPr>
          <w:rFonts w:ascii="Times New Roman" w:hAnsi="Times New Roman"/>
          <w:color w:val="000000"/>
          <w:sz w:val="20"/>
        </w:rPr>
        <w:t xml:space="preserve"> </w:t>
      </w:r>
      <w:r>
        <w:rPr>
          <w:rFonts w:ascii="Times New Roman" w:hAnsi="Times New Roman"/>
          <w:color w:val="000000"/>
          <w:sz w:val="18"/>
        </w:rPr>
        <w:t>million and $39.5</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(2)</w:t>
      </w:r>
    </w:p>
    <w:p>
      <w:pPr>
        <w:pStyle w:val="TextBody"/>
        <w:bidi w:val="0"/>
        <w:spacing w:before="0" w:after="0"/>
        <w:jc w:val="left"/>
        <w:rPr>
          <w:rFonts w:ascii="Times New Roman" w:hAnsi="Times New Roman"/>
          <w:sz w:val="20"/>
        </w:rPr>
      </w:pPr>
      <w:r>
        <w:rPr>
          <w:rFonts w:ascii="Times New Roman" w:hAnsi="Times New Roman"/>
          <w:color w:val="000000"/>
          <w:sz w:val="18"/>
        </w:rPr>
        <w:t>Fair value was determined by applying a Monte Carlo simulation method for the calculation of the potential payment and the Geometric Brownian Motion forecasting model to estimate the underlying revenue. Market based inputs and other Level 3 inputs were used to forecast future revenue. The key inputs used included a risk-free rate of 3.94%, dividend yield of 0%, volatility of 43.0%, period of 7</w:t>
      </w:r>
      <w:r>
        <w:rPr>
          <w:rFonts w:ascii="Times New Roman" w:hAnsi="Times New Roman"/>
          <w:color w:val="000000"/>
          <w:sz w:val="20"/>
        </w:rPr>
        <w:t xml:space="preserve"> </w:t>
      </w:r>
      <w:r>
        <w:rPr>
          <w:rFonts w:ascii="Times New Roman" w:hAnsi="Times New Roman"/>
          <w:color w:val="000000"/>
          <w:sz w:val="18"/>
        </w:rPr>
        <w:t>years and credit risk of 10%.</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(3)</w:t>
      </w:r>
    </w:p>
    <w:p>
      <w:pPr>
        <w:pStyle w:val="TextBody"/>
        <w:bidi w:val="0"/>
        <w:spacing w:before="0" w:after="0"/>
        <w:jc w:val="left"/>
        <w:rPr>
          <w:rFonts w:ascii="Times New Roman" w:hAnsi="Times New Roman"/>
          <w:sz w:val="20"/>
        </w:rPr>
      </w:pPr>
      <w:r>
        <w:rPr>
          <w:rFonts w:ascii="Times New Roman" w:hAnsi="Times New Roman"/>
          <w:color w:val="000000"/>
          <w:sz w:val="18"/>
        </w:rPr>
        <w:t>Fair value was determined by applying a discounted cash flow analysis with a hypothetical yield of 7.0%. A change in yield of + or – 2% would result in a fair value of $106.7</w:t>
      </w:r>
      <w:r>
        <w:rPr>
          <w:rFonts w:ascii="Times New Roman" w:hAnsi="Times New Roman"/>
          <w:color w:val="000000"/>
          <w:sz w:val="20"/>
        </w:rPr>
        <w:t xml:space="preserve"> </w:t>
      </w:r>
      <w:r>
        <w:rPr>
          <w:rFonts w:ascii="Times New Roman" w:hAnsi="Times New Roman"/>
          <w:color w:val="000000"/>
          <w:sz w:val="18"/>
        </w:rPr>
        <w:t>million and $140.6</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(4)</w:t>
      </w:r>
    </w:p>
    <w:p>
      <w:pPr>
        <w:pStyle w:val="TextBody"/>
        <w:bidi w:val="0"/>
        <w:spacing w:before="0" w:after="0"/>
        <w:jc w:val="left"/>
        <w:rPr>
          <w:rFonts w:ascii="Times New Roman" w:hAnsi="Times New Roman"/>
          <w:sz w:val="20"/>
        </w:rPr>
      </w:pPr>
      <w:r>
        <w:rPr>
          <w:rFonts w:ascii="Times New Roman" w:hAnsi="Times New Roman"/>
          <w:color w:val="000000"/>
          <w:sz w:val="18"/>
        </w:rPr>
        <w:t>Fair value was determined by applying a discounted cash flow analysis with a hypothetical yield of 8%. A change in yield of + or – 2% would result in a fair value of $148.3</w:t>
      </w:r>
      <w:r>
        <w:rPr>
          <w:rFonts w:ascii="Times New Roman" w:hAnsi="Times New Roman"/>
          <w:color w:val="000000"/>
          <w:sz w:val="20"/>
        </w:rPr>
        <w:t xml:space="preserve"> </w:t>
      </w:r>
      <w:r>
        <w:rPr>
          <w:rFonts w:ascii="Times New Roman" w:hAnsi="Times New Roman"/>
          <w:color w:val="000000"/>
          <w:sz w:val="18"/>
        </w:rPr>
        <w:t>million and $192.3</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(5)</w:t>
      </w:r>
    </w:p>
    <w:p>
      <w:pPr>
        <w:pStyle w:val="TextBody"/>
        <w:bidi w:val="0"/>
        <w:jc w:val="left"/>
        <w:rPr>
          <w:rFonts w:ascii="Times New Roman" w:hAnsi="Times New Roman"/>
          <w:sz w:val="20"/>
        </w:rPr>
      </w:pPr>
      <w:r>
        <w:rPr>
          <w:rFonts w:ascii="Times New Roman" w:hAnsi="Times New Roman"/>
          <w:color w:val="000000"/>
          <w:sz w:val="18"/>
        </w:rPr>
        <w:t>Fair value was determined to be $23.7</w:t>
      </w:r>
      <w:r>
        <w:rPr>
          <w:rFonts w:ascii="Times New Roman" w:hAnsi="Times New Roman"/>
          <w:color w:val="000000"/>
          <w:sz w:val="20"/>
        </w:rPr>
        <w:t xml:space="preserve"> </w:t>
      </w:r>
      <w:r>
        <w:rPr>
          <w:rFonts w:ascii="Times New Roman" w:hAnsi="Times New Roman"/>
          <w:color w:val="000000"/>
          <w:sz w:val="18"/>
        </w:rPr>
        <w:t>million for Milestone 1 using a probability weighted expected return methodology based on the Company's estimate of probability of achievement of regulatory approval which was 85% across various timepoints and a discount rate of 10%. A change in estimate of probability and discount rate for Milestone 1 of + or – 2% would result in a fair value of $24.7</w:t>
      </w:r>
      <w:r>
        <w:rPr>
          <w:rFonts w:ascii="Times New Roman" w:hAnsi="Times New Roman"/>
          <w:color w:val="000000"/>
          <w:sz w:val="20"/>
        </w:rPr>
        <w:t xml:space="preserve"> </w:t>
      </w:r>
      <w:r>
        <w:rPr>
          <w:rFonts w:ascii="Times New Roman" w:hAnsi="Times New Roman"/>
          <w:color w:val="000000"/>
          <w:sz w:val="18"/>
        </w:rPr>
        <w:t>million and $22.7</w:t>
      </w:r>
      <w:r>
        <w:rPr>
          <w:rFonts w:ascii="Times New Roman" w:hAnsi="Times New Roman"/>
          <w:color w:val="000000"/>
          <w:sz w:val="20"/>
        </w:rPr>
        <w:t xml:space="preserve"> </w:t>
      </w:r>
      <w:r>
        <w:rPr>
          <w:rFonts w:ascii="Times New Roman" w:hAnsi="Times New Roman"/>
          <w:color w:val="000000"/>
          <w:sz w:val="18"/>
        </w:rPr>
        <w:t>million, respectively. Fair value was determined to be $2.6</w:t>
      </w:r>
      <w:r>
        <w:rPr>
          <w:rFonts w:ascii="Times New Roman" w:hAnsi="Times New Roman"/>
          <w:color w:val="000000"/>
          <w:sz w:val="20"/>
        </w:rPr>
        <w:t xml:space="preserve"> </w:t>
      </w:r>
      <w:r>
        <w:rPr>
          <w:rFonts w:ascii="Times New Roman" w:hAnsi="Times New Roman"/>
          <w:color w:val="000000"/>
          <w:sz w:val="18"/>
        </w:rPr>
        <w:t>million for Milestone 2 using a Monte Carlo simulation method based on a 25.2% volatility and 10% discount rate. Market based inputs and other Level 3 inputs were used to forecast future revenue. A change in discount rate on Milestone 2 of + or – 2% would result in a fair value of $2.6</w:t>
      </w:r>
      <w:r>
        <w:rPr>
          <w:rFonts w:ascii="Times New Roman" w:hAnsi="Times New Roman"/>
          <w:color w:val="000000"/>
          <w:sz w:val="20"/>
        </w:rPr>
        <w:t xml:space="preserve"> </w:t>
      </w:r>
      <w:r>
        <w:rPr>
          <w:rFonts w:ascii="Times New Roman" w:hAnsi="Times New Roman"/>
          <w:color w:val="000000"/>
          <w:sz w:val="18"/>
        </w:rPr>
        <w:t>million and $2.7</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240" w:after="240"/>
        <w:jc w:val="left"/>
        <w:rPr>
          <w:rFonts w:ascii="Times New Roman" w:hAnsi="Times New Roman"/>
          <w:sz w:val="20"/>
        </w:rPr>
      </w:pPr>
      <w:r>
        <w:rPr>
          <w:rFonts w:ascii="Times New Roman" w:hAnsi="Times New Roman"/>
          <w:i/>
          <w:color w:val="000000"/>
          <w:sz w:val="20"/>
        </w:rPr>
        <w:t xml:space="preserve">Milestone Rights Liability </w:t>
      </w:r>
      <w:r>
        <w:rPr>
          <w:rFonts w:ascii="Times New Roman" w:hAnsi="Times New Roman"/>
          <w:color w:val="000000"/>
          <w:sz w:val="20"/>
        </w:rPr>
        <w:t xml:space="preserve">— The fair value measurement of the Milestone Rights liability is sensitive to the discount rate and the timing of achievement of milestones. The Company utilized a Monte-Carlo Simulation Method to simulate the Afrezza net sales under a neutral framework to estimate the potential payments and the Geometric Brownian Motion forecasting model to estimate the underlying revenue. The Company then discounted the future expected payments at cost of debt with a term equal to the simulated time to payout based on cumulative sales. See Note 15 – </w:t>
      </w:r>
      <w:r>
        <w:rPr>
          <w:rFonts w:ascii="Times New Roman" w:hAnsi="Times New Roman"/>
          <w:i/>
          <w:color w:val="000000"/>
          <w:sz w:val="20"/>
        </w:rPr>
        <w:t>Commitments and Contingencies</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i/>
          <w:color w:val="000000"/>
          <w:sz w:val="20"/>
        </w:rPr>
        <w:t>Financing Liability</w:t>
      </w:r>
      <w:r>
        <w:rPr>
          <w:rFonts w:ascii="Times New Roman" w:hAnsi="Times New Roman"/>
          <w:color w:val="000000"/>
          <w:sz w:val="20"/>
        </w:rPr>
        <w:t xml:space="preserve"> — The Sale-Leaseback Transaction in November 2021 resulted in a financing liability. See Note 15 – </w:t>
      </w:r>
      <w:r>
        <w:rPr>
          <w:rFonts w:ascii="Times New Roman" w:hAnsi="Times New Roman"/>
          <w:i/>
          <w:color w:val="000000"/>
          <w:sz w:val="20"/>
        </w:rPr>
        <w:t>Commitments and Contingencies</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i/>
          <w:color w:val="000000"/>
          <w:sz w:val="20"/>
        </w:rPr>
        <w:t>Liability for Sale of Future Royalties</w:t>
      </w:r>
      <w:r>
        <w:rPr>
          <w:rFonts w:ascii="Times New Roman" w:hAnsi="Times New Roman"/>
          <w:color w:val="000000"/>
          <w:sz w:val="20"/>
        </w:rPr>
        <w:t xml:space="preserve"> — The sale of a portion of our royalty rights in December 2023 resulted in a liability for sale of future royalties. See Note 15 – </w:t>
      </w:r>
      <w:r>
        <w:rPr>
          <w:rFonts w:ascii="Times New Roman" w:hAnsi="Times New Roman"/>
          <w:i/>
          <w:color w:val="000000"/>
          <w:sz w:val="20"/>
        </w:rPr>
        <w:t>Commitments and Contingencies</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i/>
          <w:color w:val="000000"/>
          <w:sz w:val="20"/>
        </w:rPr>
        <w:t>Contingent Consideration Liability</w:t>
      </w:r>
      <w:r>
        <w:rPr>
          <w:rFonts w:ascii="Times New Roman" w:hAnsi="Times New Roman"/>
          <w:color w:val="000000"/>
          <w:sz w:val="20"/>
        </w:rPr>
        <w:t xml:space="preserve"> — The acquisition of scPharma in October 2025 resulted in a contingent consideration liability. See Note 2 – </w:t>
      </w:r>
      <w:r>
        <w:rPr>
          <w:rFonts w:ascii="Times New Roman" w:hAnsi="Times New Roman"/>
          <w:i/>
          <w:color w:val="000000"/>
          <w:sz w:val="20"/>
        </w:rPr>
        <w:t>Business Combinations</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b/>
          <w:color w:val="000000"/>
          <w:sz w:val="20"/>
        </w:rPr>
        <w:t>12.</w:t>
      </w:r>
      <w:r>
        <w:rPr>
          <w:rFonts w:ascii="Times New Roman" w:hAnsi="Times New Roman"/>
          <w:color w:val="000000"/>
          <w:sz w:val="20"/>
        </w:rPr>
        <w:t xml:space="preserve"> </w:t>
      </w:r>
      <w:r>
        <w:rPr>
          <w:rFonts w:ascii="Times New Roman" w:hAnsi="Times New Roman"/>
          <w:b/>
          <w:color w:val="000000"/>
          <w:sz w:val="20"/>
        </w:rPr>
        <w:t>Common and Preferred Stock</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Company is authorized to issue 800,000,000 shares of common stock, par value $0.01 per share, and 10,000,000 shares of undesignated preferred stock, par value $0.01 per share, issuable in one or more series as designated by the Company’s board of directors. No other class of capital stock is authorized. As of March 31, 2026 and December 31, 2025, 308,907,331 and 307,832,587 shares of common stock, respectively, were issued and outstanding and no shares of preferred stock were outstanding. </w:t>
      </w:r>
    </w:p>
    <w:p>
      <w:pPr>
        <w:pStyle w:val="TextBody"/>
        <w:bidi w:val="0"/>
        <w:jc w:val="left"/>
        <w:rPr>
          <w:rFonts w:ascii="Times New Roman" w:hAnsi="Times New Roman"/>
          <w:color w:val="000000"/>
          <w:sz w:val="20"/>
        </w:rPr>
      </w:pPr>
      <w:r>
        <w:rPr>
          <w:rFonts w:ascii="Times New Roman" w:hAnsi="Times New Roman"/>
          <w:color w:val="000000"/>
          <w:sz w:val="20"/>
        </w:rPr>
        <w:t>In February 2018, the Company entered into a controlled equity offering sales agreement with Cantor Fitzgerald &amp; Co. (“Cantor Fitzgerald”), as sales agent, which was amended and restated in February 2025 (as amended, the “CF Sales Agreement”). Pursuant to the CF Sales Agreement, the Company may offer and sell, from time to time, through Cantor Fitzgerald, shares of the Company’s common stock. Cantor Fitzgerald may sell shares by any method deemed to be an “at-the-market offering” as defined in Rule 415 under the Securities Act of 1933, as amended. On February 26, 2025, the Company filed a sales agreement prospectus under a registration statement on Form S-3, which became effective upon filing, covering the sale of up to $200.0 million of our common stock through Cantor Fitzgerald under the CF Sales Agreement. There have been no sales under the CF Sales Agreement since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2026, the Company received $0.3 million from the market price stock purchase plan ("MPSPP") for 102,580 shares of common stock. There were no shares of common stock issued under the MPSPP for the three months ended March 31, 2025.</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shares of common stock issued pursuant to the Company's 2004 employee stock purchase plan ("ESPP"), see Note 14 – </w:t>
      </w:r>
      <w:r>
        <w:rPr>
          <w:rFonts w:ascii="Times New Roman" w:hAnsi="Times New Roman"/>
          <w:i/>
          <w:color w:val="000000"/>
          <w:sz w:val="20"/>
        </w:rPr>
        <w:t>Stock-Based Compensation Expense.</w:t>
      </w:r>
    </w:p>
    <w:p>
      <w:pPr>
        <w:pStyle w:val="TextBody"/>
        <w:bidi w:val="0"/>
        <w:spacing w:before="240" w:after="120"/>
        <w:jc w:val="left"/>
        <w:rPr>
          <w:rFonts w:ascii="Times New Roman" w:hAnsi="Times New Roman"/>
          <w:sz w:val="20"/>
        </w:rPr>
      </w:pPr>
      <w:r>
        <w:rPr>
          <w:rFonts w:ascii="Times New Roman" w:hAnsi="Times New Roman"/>
          <w:b/>
          <w:color w:val="000000"/>
          <w:sz w:val="20"/>
        </w:rPr>
        <w:t>13.</w:t>
      </w:r>
      <w:r>
        <w:rPr>
          <w:rFonts w:ascii="Times New Roman" w:hAnsi="Times New Roman"/>
          <w:color w:val="000000"/>
          <w:sz w:val="20"/>
        </w:rPr>
        <w:t xml:space="preserve"> </w:t>
      </w:r>
      <w:r>
        <w:rPr>
          <w:rFonts w:ascii="Times New Roman" w:hAnsi="Times New Roman"/>
          <w:b/>
          <w:color w:val="000000"/>
          <w:sz w:val="20"/>
        </w:rPr>
        <w:t>Earnings per Common Share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tables summarize the components of the basic and diluted EPS computations (in thousands, except per share amounts):</w:t>
      </w:r>
    </w:p>
    <w:tbl>
      <w:tblPr>
        <w:tblW w:w="8329" w:type="dxa"/>
        <w:jc w:val="left"/>
        <w:tblInd w:w="0" w:type="dxa"/>
        <w:tblLayout w:type="fixed"/>
        <w:tblCellMar>
          <w:top w:w="28" w:type="dxa"/>
          <w:left w:w="28" w:type="dxa"/>
          <w:bottom w:w="28" w:type="dxa"/>
          <w:right w:w="28" w:type="dxa"/>
        </w:tblCellMar>
      </w:tblPr>
      <w:tblGrid>
        <w:gridCol w:w="5496"/>
        <w:gridCol w:w="146"/>
        <w:gridCol w:w="211"/>
        <w:gridCol w:w="781"/>
        <w:gridCol w:w="166"/>
        <w:gridCol w:w="146"/>
        <w:gridCol w:w="211"/>
        <w:gridCol w:w="781"/>
        <w:gridCol w:w="391"/>
      </w:tblGrid>
      <w:tr>
        <w:trPr/>
        <w:tc>
          <w:tcPr>
            <w:tcW w:w="5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EPS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income (numerator)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303,481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EPS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income (numerator)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interest and amortization expense on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net (loss) income (numerator)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dilutive securities – common shares issuable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weighted average common shares (denominator)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320,897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2026, diluted net loss per share was the same as basic net loss per share because the inclusion of potential common shares would have been antidilutive. Potentially dilutive securities outstanding for the three months ended March 31, 2026 were 3.0 million shares of common stock underlying RSUs and Market RSUs and 3.5 million shares underlying options and PNQs.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March 31, 2025, diluted net income per share excluded the weighted average effect of 4.9 million shares of common stock underlying RSUs and Market RSUs and 0.3 million shares underlying options and PNQs as they were antidilutive. </w:t>
      </w:r>
    </w:p>
    <w:p>
      <w:pPr>
        <w:pStyle w:val="TextBody"/>
        <w:bidi w:val="0"/>
        <w:spacing w:before="240" w:after="283"/>
        <w:jc w:val="left"/>
        <w:rPr>
          <w:rFonts w:ascii="Times New Roman" w:hAnsi="Times New Roman"/>
          <w:sz w:val="20"/>
        </w:rPr>
      </w:pPr>
      <w:r>
        <w:rPr>
          <w:rFonts w:ascii="Times New Roman" w:hAnsi="Times New Roman"/>
          <w:b/>
          <w:color w:val="000000"/>
          <w:sz w:val="20"/>
        </w:rPr>
        <w:t>14. Stock-Based Compensation Expense</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Total stock-based compensation expense recognized in the condensed consolidated statements of operations is included in the following categories (in thousands):</w:t>
      </w:r>
    </w:p>
    <w:tbl>
      <w:tblPr>
        <w:tblW w:w="6043" w:type="dxa"/>
        <w:jc w:val="left"/>
        <w:tblInd w:w="0" w:type="dxa"/>
        <w:tblLayout w:type="fixed"/>
        <w:tblCellMar>
          <w:top w:w="28" w:type="dxa"/>
          <w:left w:w="28" w:type="dxa"/>
          <w:bottom w:w="28" w:type="dxa"/>
          <w:right w:w="28" w:type="dxa"/>
        </w:tblCellMar>
      </w:tblPr>
      <w:tblGrid>
        <w:gridCol w:w="3796"/>
        <w:gridCol w:w="211"/>
        <w:gridCol w:w="571"/>
        <w:gridCol w:w="146"/>
        <w:gridCol w:w="146"/>
        <w:gridCol w:w="211"/>
        <w:gridCol w:w="571"/>
        <w:gridCol w:w="391"/>
      </w:tblGrid>
      <w:tr>
        <w:trPr/>
        <w:tc>
          <w:tcPr>
            <w:tcW w:w="3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 collaborations and services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Total stock-based compensation expense recognized in the condensed consolidated statements of operations was as follows (in thousands): </w:t>
      </w:r>
    </w:p>
    <w:tbl>
      <w:tblPr>
        <w:tblW w:w="4843" w:type="dxa"/>
        <w:jc w:val="left"/>
        <w:tblInd w:w="0" w:type="dxa"/>
        <w:tblLayout w:type="fixed"/>
        <w:tblCellMar>
          <w:top w:w="28" w:type="dxa"/>
          <w:left w:w="28" w:type="dxa"/>
          <w:bottom w:w="28" w:type="dxa"/>
          <w:right w:w="28" w:type="dxa"/>
        </w:tblCellMar>
      </w:tblPr>
      <w:tblGrid>
        <w:gridCol w:w="2596"/>
        <w:gridCol w:w="211"/>
        <w:gridCol w:w="571"/>
        <w:gridCol w:w="146"/>
        <w:gridCol w:w="146"/>
        <w:gridCol w:w="211"/>
        <w:gridCol w:w="571"/>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and options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summarizes information pertaining to RSUs:</w:t>
      </w:r>
    </w:p>
    <w:tbl>
      <w:tblPr>
        <w:tblW w:w="5857" w:type="dxa"/>
        <w:jc w:val="left"/>
        <w:tblInd w:w="0" w:type="dxa"/>
        <w:tblLayout w:type="fixed"/>
        <w:tblCellMar>
          <w:top w:w="28" w:type="dxa"/>
          <w:left w:w="28" w:type="dxa"/>
          <w:bottom w:w="28" w:type="dxa"/>
          <w:right w:w="28" w:type="dxa"/>
        </w:tblCellMar>
      </w:tblPr>
      <w:tblGrid>
        <w:gridCol w:w="2881"/>
        <w:gridCol w:w="146"/>
        <w:gridCol w:w="146"/>
        <w:gridCol w:w="1036"/>
        <w:gridCol w:w="166"/>
        <w:gridCol w:w="146"/>
        <w:gridCol w:w="294"/>
        <w:gridCol w:w="651"/>
        <w:gridCol w:w="39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b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16,485,829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(471,991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18,074,156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40"/>
        <w:jc w:val="left"/>
        <w:rPr>
          <w:rFonts w:ascii="Times New Roman" w:hAnsi="Times New Roman"/>
          <w:color w:val="000000"/>
          <w:sz w:val="20"/>
        </w:rPr>
      </w:pPr>
      <w:r>
        <w:rPr>
          <w:rFonts w:ascii="Times New Roman" w:hAnsi="Times New Roman"/>
          <w:color w:val="000000"/>
          <w:sz w:val="20"/>
        </w:rPr>
        <w:t>As of March 31, 2026, there was $58.4 million of unrecognized stock-based compensation expense related to RSUs, Market RSUs and Performance RSUs, which is expected to be recognized over a weighted average period of approximately 2.0 years.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information pertaining to options:</w:t>
      </w:r>
    </w:p>
    <w:tbl>
      <w:tblPr>
        <w:tblW w:w="8702" w:type="dxa"/>
        <w:jc w:val="left"/>
        <w:tblInd w:w="0" w:type="dxa"/>
        <w:tblLayout w:type="fixed"/>
        <w:tblCellMar>
          <w:top w:w="28" w:type="dxa"/>
          <w:left w:w="28" w:type="dxa"/>
          <w:bottom w:w="28" w:type="dxa"/>
          <w:right w:w="28" w:type="dxa"/>
        </w:tblCellMar>
      </w:tblPr>
      <w:tblGrid>
        <w:gridCol w:w="2881"/>
        <w:gridCol w:w="146"/>
        <w:gridCol w:w="146"/>
        <w:gridCol w:w="1036"/>
        <w:gridCol w:w="166"/>
        <w:gridCol w:w="146"/>
        <w:gridCol w:w="425"/>
        <w:gridCol w:w="940"/>
        <w:gridCol w:w="146"/>
        <w:gridCol w:w="146"/>
        <w:gridCol w:w="236"/>
        <w:gridCol w:w="755"/>
        <w:gridCol w:w="146"/>
        <w:gridCol w:w="146"/>
        <w:gridCol w:w="250"/>
        <w:gridCol w:w="800"/>
        <w:gridCol w:w="19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Exercise</w:t>
              <w:br/>
              <w:t>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Remaining </w:t>
              <w:br/>
              <w:t>Contractual</w:t>
              <w:br/>
              <w:t>Term</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 ($000)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5,365,220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7,778,380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12,901,330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5,122,950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summarizes the key assumptions used by the Company to value the stock option awards granted during the three months ended March 31, 2026. The Company did not grant options during the three months ended three months ended March 31, 2025.</w:t>
      </w:r>
    </w:p>
    <w:tbl>
      <w:tblPr>
        <w:tblW w:w="5233" w:type="dxa"/>
        <w:jc w:val="left"/>
        <w:tblInd w:w="0" w:type="dxa"/>
        <w:tblLayout w:type="fixed"/>
        <w:tblCellMar>
          <w:top w:w="28" w:type="dxa"/>
          <w:left w:w="28" w:type="dxa"/>
          <w:bottom w:w="28" w:type="dxa"/>
          <w:right w:w="28" w:type="dxa"/>
        </w:tblCellMar>
      </w:tblPr>
      <w:tblGrid>
        <w:gridCol w:w="2371"/>
        <w:gridCol w:w="146"/>
        <w:gridCol w:w="488"/>
        <w:gridCol w:w="1912"/>
        <w:gridCol w:w="3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40"/>
        <w:jc w:val="left"/>
        <w:rPr>
          <w:rFonts w:ascii="Times New Roman" w:hAnsi="Times New Roman"/>
          <w:color w:val="000000"/>
          <w:sz w:val="20"/>
        </w:rPr>
      </w:pPr>
      <w:r>
        <w:rPr>
          <w:rFonts w:ascii="Times New Roman" w:hAnsi="Times New Roman"/>
          <w:color w:val="000000"/>
          <w:sz w:val="20"/>
        </w:rPr>
        <w:t>As of March 31, 2026, there was $11.3 million of unrecognized stock-based compensation expense related to stock options, which is expected to be recognized over a weighted average period of approximately 3.9 years.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Employee Stock Purchase Plan</w:t>
      </w:r>
    </w:p>
    <w:p>
      <w:pPr>
        <w:pStyle w:val="TextBody"/>
        <w:bidi w:val="0"/>
        <w:jc w:val="left"/>
        <w:rPr>
          <w:rFonts w:ascii="Times New Roman" w:hAnsi="Times New Roman"/>
          <w:color w:val="000000"/>
          <w:sz w:val="20"/>
        </w:rPr>
      </w:pPr>
      <w:r>
        <w:rPr>
          <w:rFonts w:ascii="Times New Roman" w:hAnsi="Times New Roman"/>
          <w:color w:val="000000"/>
          <w:sz w:val="20"/>
        </w:rPr>
        <w:t>The Company provides all employees, including executive officers, the ability to purchase common stock at a discount under the ESPP. The ESPP is designed to comply with Section 423 of the Internal Revenue Code and provides all employees with the opportunity to purchase up to $25,000 worth of common stock (based on the undiscounted fair market value at the commencement of the offering period) each year at a purchase price that is the lower of 85% of the fair market value of the common stock on either the date of purchase or the commencement of the offering period. An employee may not purchase more than 5,000 shares of common stock on any purchase date. The executives’ rights under the ESPP are the same as those of all other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approximately 1.9 million shares of common stock available for issuance under the ESPP as of March 31, 2026.</w:t>
      </w:r>
    </w:p>
    <w:p>
      <w:pPr>
        <w:pStyle w:val="TextBody"/>
        <w:bidi w:val="0"/>
        <w:spacing w:before="240" w:after="283"/>
        <w:jc w:val="left"/>
        <w:rPr>
          <w:rFonts w:ascii="Times New Roman" w:hAnsi="Times New Roman"/>
          <w:sz w:val="20"/>
        </w:rPr>
      </w:pPr>
      <w:r>
        <w:rPr>
          <w:rFonts w:ascii="Times New Roman" w:hAnsi="Times New Roman"/>
          <w:b/>
          <w:color w:val="000000"/>
          <w:sz w:val="20"/>
        </w:rPr>
        <w:t>15.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Guarantees and Indemnifications </w:t>
      </w:r>
      <w:r>
        <w:rPr>
          <w:rFonts w:ascii="Times New Roman" w:hAnsi="Times New Roman"/>
          <w:color w:val="000000"/>
          <w:sz w:val="20"/>
        </w:rPr>
        <w:t xml:space="preserve">— In the ordinary course of its business, the Company makes certain indemnities, commitments and guarantees under 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and therefore has not recorded any liability for these indemnities in the condensed consolidated balance sheets. The Company accrues for losses for any known contingent liability, including those that may arise from indemnification provisions, when future payment is probable and the amount can be reasonably estimated. No such losses have been recorded to date.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Litigation </w:t>
      </w:r>
      <w:r>
        <w:rPr>
          <w:rFonts w:ascii="Times New Roman" w:hAnsi="Times New Roman"/>
          <w:color w:val="000000"/>
          <w:sz w:val="20"/>
        </w:rPr>
        <w:t xml:space="preserve">— The Company is subject to legal proceedings and claims which arise in the ordinary course of its business. The Company does not anticipate the final disposition of any matters will have a material adverse effect on the results of operations, financial position, or cash flows of the Company.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Contingencies — Milestone Rights </w:t>
      </w:r>
      <w:r>
        <w:rPr>
          <w:rFonts w:ascii="Times New Roman" w:hAnsi="Times New Roman"/>
          <w:color w:val="000000"/>
          <w:sz w:val="20"/>
        </w:rPr>
        <w:t xml:space="preserve">— In July 2013, the Company entered into the Milestone Rights Agreement with the Original Milestone Purchasers, pursuant to which the Company granted the Milestone Rights to receive payments up to $90.0 million upon the occurrence of specified strategic and sales milestones, of which $45.0 million remains payable to the Milestone Purchasers as of March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Milestone Rights Agreement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such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the remaining Milestone Rights liability balance was $2.5 million and consisted of $0.5 million of current liability, which was presented as accrued expenses and other current liabilities, and $2.0 million of long-term liability, which was presented as milestone liabilities in the condensed consolidated balance sheets. The value of the Milestone Rights liability was based on initial fair value estimates calculated using the income approach and is reduced by milestone achievement payments made. </w:t>
      </w:r>
    </w:p>
    <w:p>
      <w:pPr>
        <w:pStyle w:val="TextBody"/>
        <w:bidi w:val="0"/>
        <w:spacing w:before="240" w:after="283"/>
        <w:jc w:val="left"/>
        <w:rPr>
          <w:rFonts w:ascii="Times New Roman" w:hAnsi="Times New Roman"/>
          <w:sz w:val="20"/>
        </w:rPr>
      </w:pPr>
      <w:r>
        <w:rPr>
          <w:rFonts w:ascii="Times New Roman" w:hAnsi="Times New Roman"/>
          <w:i/>
          <w:color w:val="000000"/>
          <w:sz w:val="20"/>
        </w:rPr>
        <w:t>Liability for Sale of Future Royalties</w:t>
      </w:r>
      <w:r>
        <w:rPr>
          <w:rFonts w:ascii="Times New Roman" w:hAnsi="Times New Roman"/>
          <w:color w:val="000000"/>
          <w:sz w:val="20"/>
        </w:rPr>
        <w:t xml:space="preserve"> — In December 2023, the Company executed a Purchase and Sale Agreement (the “PSA”) with Sagard Healthcare Partners Funding Borrower SPE 2, LP (“Sagard”). Pursuant to the PSA, Sagard paid the Company $150.0 million (the “Upfront Proceeds”), net of $0.4 million in reimbursements of Sagard’s fees and expenses (the “Reimbursements”), for the purchase of a 1% royalty on future net sales of Tyvaso DPI by UT under the terms of the UT License Agreement (the “Sagard Royalty”). Sagard will also pay the Company a milestone of $50.0 million if net sales of Tyvaso DPI meet or exceed $1.9 billion for any 12 consecutive months on or prior to December 31, 2026 (“Net Sales Threshold A”), or a milestone of $45.0 million if net Sales Threshold A is not met and net sales of Tyvaso DPI meet or exceed $2.3 billion for any 12 consecutive months on or prior to September 30, 2027 (“Net Sales Threshold B”), resulting in a purchase price not to exceed $200.0 million (the “Purchase Price”). If Net Sales Thresholds A and B are not met and net sales of Tyvaso DPI meet or exceed $3.5 billion for any calendar year after September 30, 2027, no royalties will be payable to Sagard for the remainder of that year. The PSA applies to net sales of Tyvaso DPI generated during October 1, 2023 through December 31, 2042 (the “Termination Date”) and will automatically terminate upon payment of the final royalty owed to Sagard thereafter. Upon the Termination Date, ownership of the Sagard Royalty will revert to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Given the Company’s continuing involvement with the generation of Tyvaso DPI revenue under the UT License Agreement and CSA, which includes the Company’s supply and manufacture of Tyvaso DPI, and the Company’s retention and associated defense and maintenance obligations of the intellectual property required in the manufacture of Tyvaso DPI, the Upfront Proceeds were recorded as a liability for sale of future royalties (the “Royalty Liability”) on the condensed consolidated balance sheets, and any proceeds from future milestones will be added to the Royalty Liability balance upon receipt. Although the Company is not obligated to repay any portion of the Purchase Price to Sagard, the Royalty Liability under the PSA is secured by a security interest granted to Sagard in the underlying 1% royalty rights and any proceeds therefrom. As a result of the PSA, transaction costs totaling $4.4 million (including the Reimbursements) are reported net of the Royalty Liability balance and amortized to interest expense in the condensed consolidated statements of operations over the life of the PSA using the effective interest method. Unamortized transaction costs were approximately $3.9 million as of both March 31, 2026 and December 31,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will continue to recognize the full 10% of future royalty revenues in its condensed consolidated statements of operations, with the Sagard Royalty being non-cash revenue for the Company. As royalty payments are earned by and remitted to Sagard, the balance of the Royalty Liability will be effectively repaid as it is amortized over the life of the PSA. To amortize the Royalty Liability, the Company estimated the total amount of future royalty payments to be made to Sagard over the life of the PSA. The excess of those future estimated royalty payments over the Purchase Price proceeds received is recognized in the condensed consolidated statements of operations as non-cash interest expense over the life of the PSA utilizing an imputed effective interest rate. The effective interest rate is calculated based on the rate that would enable the debt to be repaid in full over the anticipated life of the arrangement. The interest rate may vary during the term of the agreement depending on a number of factors, including the amount and timing of forecasted royalty payments which affects the timing and ultimate amount of reductions to the liability. The Company will evaluate the effective interest rate periodically based on its forecasted royalty payments utilizing the prospective method.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periodically assesses the forecasted royalty payments using a combination of historical results, internal projections and forecasts from external sources. To the extent such payments, or the timing of such payments, are materially different than original estimates, the Company will prospectively adjust the effective interest rate and amortization of the Royalty Liability.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shows the activity within the Royalty Liability account as well as the effective interest rate (dollars in thousands):</w:t>
      </w:r>
    </w:p>
    <w:tbl>
      <w:tblPr>
        <w:tblW w:w="6894" w:type="dxa"/>
        <w:jc w:val="left"/>
        <w:tblInd w:w="0" w:type="dxa"/>
        <w:tblLayout w:type="fixed"/>
        <w:tblCellMar>
          <w:top w:w="28" w:type="dxa"/>
          <w:left w:w="28" w:type="dxa"/>
          <w:bottom w:w="28" w:type="dxa"/>
          <w:right w:w="28" w:type="dxa"/>
        </w:tblCellMar>
      </w:tblPr>
      <w:tblGrid>
        <w:gridCol w:w="5511"/>
        <w:gridCol w:w="211"/>
        <w:gridCol w:w="781"/>
        <w:gridCol w:w="391"/>
      </w:tblGrid>
      <w:tr>
        <w:trPr/>
        <w:tc>
          <w:tcPr>
            <w:tcW w:w="5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January 1, 2026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151,283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deferred transaction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expense on liability for sale of future royalties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revenue earned by or payable to Sagard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March 31, 2026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150,571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Sale-Leaseback Transaction</w:t>
      </w:r>
      <w:r>
        <w:rPr>
          <w:rFonts w:ascii="Times New Roman" w:hAnsi="Times New Roman"/>
          <w:color w:val="000000"/>
          <w:sz w:val="20"/>
        </w:rPr>
        <w:t xml:space="preserve">— In November 2021, the Company sold certain land, building and improvements located in Danbury, CT (the "Property") to an affiliate of Creative Manufacturing Properties (the "Purchaser") for a sales price of $102.3 million, subject to the terms and conditions contained in a purchase and sale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with the closing of the Sale-Leaseback Transaction, the Company and the Purchaser entered into a lease agreement (the “Lease”), pursuant to which the Company leased the Property from the Purchaser for an initial term of 20 years, with four renewal options of five years each. The total annual rent under the Lease starts at approximately $9.5 million per year, subject to a 50% rent abatement during the first year of the Lease, and will increase annually by (i) 2.5% in the second through fifth year of the Lease and (ii) 3% in the sixth and each subsequent year of the Lease, including any renewal term, utilizing a weighted average discount rate of 9.0%. The Company is responsible for payment of operating expenses, property taxes and insurance for the Property. The Purchaser will hold a security deposit of $2.0 million during the Lease term. Pursuant to the terms of the Lease, the Company has four options to repurchase the Property, in 2026, 2031, 2036 and 2041, for the greater of (i) $102.3 million or (ii) the fair market value of the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with the closing of the Sale-Leaseback Transaction, the Company and the Purchaser also entered into a right of first refusal agreement (the “ROFR”), pursuant to which the Company has a right to re-purchase the Property from the Purchaser in accordance with terms and conditions set forth in the ROFR. Specifically, if the Purchaser receives, and is willing to accept, a bona fide purchase offer for the Property from a third-party purchaser, the Company has certain rights of first refusal to purchase the Property on the same material terms as proposed in such bona fide purchase offer.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the related financing liability was $103.2 million, which was recognized in the condensed consolidated balance sheet and of which $92.8 million was long-term and $10.4 million was current. As of December 31, 2025, the related financing liability was $103.4 million, of which $93.1 million was long-term and $10.3 million was current.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Financing liability information was as follows (dollars in thousands): </w:t>
      </w:r>
    </w:p>
    <w:tbl>
      <w:tblPr>
        <w:tblW w:w="7750" w:type="dxa"/>
        <w:jc w:val="left"/>
        <w:tblInd w:w="0" w:type="dxa"/>
        <w:tblLayout w:type="fixed"/>
        <w:tblCellMar>
          <w:top w:w="28" w:type="dxa"/>
          <w:left w:w="28" w:type="dxa"/>
          <w:bottom w:w="28" w:type="dxa"/>
          <w:right w:w="28" w:type="dxa"/>
        </w:tblCellMar>
      </w:tblPr>
      <w:tblGrid>
        <w:gridCol w:w="4111"/>
        <w:gridCol w:w="146"/>
        <w:gridCol w:w="300"/>
        <w:gridCol w:w="960"/>
        <w:gridCol w:w="271"/>
        <w:gridCol w:w="146"/>
        <w:gridCol w:w="357"/>
        <w:gridCol w:w="1143"/>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404" w:type="dxa"/>
        <w:jc w:val="left"/>
        <w:tblInd w:w="0" w:type="dxa"/>
        <w:tblLayout w:type="fixed"/>
        <w:tblCellMar>
          <w:top w:w="28" w:type="dxa"/>
          <w:left w:w="28" w:type="dxa"/>
          <w:bottom w:w="28" w:type="dxa"/>
          <w:right w:w="28" w:type="dxa"/>
        </w:tblCellMar>
      </w:tblPr>
      <w:tblGrid>
        <w:gridCol w:w="3211"/>
        <w:gridCol w:w="146"/>
        <w:gridCol w:w="211"/>
        <w:gridCol w:w="571"/>
        <w:gridCol w:w="146"/>
        <w:gridCol w:w="146"/>
        <w:gridCol w:w="211"/>
        <w:gridCol w:w="571"/>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on financing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Company's remaining financing liability payments were as follows (in thousands):</w:t>
      </w:r>
    </w:p>
    <w:tbl>
      <w:tblPr>
        <w:tblW w:w="3883" w:type="dxa"/>
        <w:jc w:val="left"/>
        <w:tblInd w:w="0" w:type="dxa"/>
        <w:tblLayout w:type="fixed"/>
        <w:tblCellMar>
          <w:top w:w="28" w:type="dxa"/>
          <w:left w:w="28" w:type="dxa"/>
          <w:bottom w:w="28" w:type="dxa"/>
          <w:right w:w="28" w:type="dxa"/>
        </w:tblCellMar>
      </w:tblPr>
      <w:tblGrid>
        <w:gridCol w:w="2086"/>
        <w:gridCol w:w="146"/>
        <w:gridCol w:w="252"/>
        <w:gridCol w:w="1008"/>
        <w:gridCol w:w="3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(101,813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financing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103,191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Commitments </w:t>
      </w:r>
      <w:r>
        <w:rPr>
          <w:rFonts w:ascii="Times New Roman" w:hAnsi="Times New Roman"/>
          <w:color w:val="000000"/>
          <w:sz w:val="20"/>
        </w:rPr>
        <w:t xml:space="preserve">— In July 2014, the Company entered into the Insulin Supply Agreement pursuant to which Amphastar manufactures for and supplies to the Company certain quantities of recombinant human insulin for use in Afrezza. Under the terms of the Insulin Supply Agreement, Amphastar is responsible for manufacturing the insulin in accordance with the Company’s specifications and agreed-upon quality standards.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In December 2023, the Company and Amphastar amended the Insulin Supply Agreement to extend the term, restructure the annual purchase commitments and include a capacity fee for certain future periods. The Company's remaining purchase commitments and estimated capacity fee liability as of March 31, 2026 were as follows (€ in millions):</w:t>
      </w:r>
    </w:p>
    <w:tbl>
      <w:tblPr>
        <w:tblW w:w="6949" w:type="dxa"/>
        <w:jc w:val="left"/>
        <w:tblInd w:w="0" w:type="dxa"/>
        <w:tblLayout w:type="fixed"/>
        <w:tblCellMar>
          <w:top w:w="28" w:type="dxa"/>
          <w:left w:w="28" w:type="dxa"/>
          <w:bottom w:w="28" w:type="dxa"/>
          <w:right w:w="28" w:type="dxa"/>
        </w:tblCellMar>
      </w:tblPr>
      <w:tblGrid>
        <w:gridCol w:w="1771"/>
        <w:gridCol w:w="640"/>
        <w:gridCol w:w="2045"/>
        <w:gridCol w:w="146"/>
        <w:gridCol w:w="146"/>
        <w:gridCol w:w="479"/>
        <w:gridCol w:w="1531"/>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Remaining Purchase Commitments </w:t>
              <w:br/>
              <w:t>(€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Estimated Capacity Fees</w:t>
            </w:r>
            <w:r>
              <w:rPr>
                <w:rFonts w:ascii="Times New Roman" w:hAnsi="Times New Roman"/>
                <w:b/>
                <w:color w:val="000000"/>
                <w:sz w:val="11"/>
              </w:rPr>
              <w:t>(1)</w:t>
            </w:r>
            <w:r>
              <w:rPr>
                <w:rFonts w:ascii="Times New Roman" w:hAnsi="Times New Roman"/>
                <w:b/>
                <w:color w:val="000000"/>
                <w:sz w:val="16"/>
              </w:rPr>
              <w:br/>
              <w:t>(€ in millions)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2026 (Remaining)</w:t>
            </w:r>
            <w:r>
              <w:rPr>
                <w:rFonts w:ascii="Times New Roman" w:hAnsi="Times New Roman"/>
                <w:color w:val="000000"/>
                <w:sz w:val="13"/>
              </w:rPr>
              <w:t>(1)</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2032</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2033</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2034</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2035</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2036</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jc w:val="left"/>
        <w:rPr>
          <w:rFonts w:ascii="Times New Roman" w:hAnsi="Times New Roman"/>
          <w:sz w:val="20"/>
        </w:rPr>
      </w:pPr>
      <w:r>
        <w:rPr>
          <w:rFonts w:ascii="Times New Roman" w:hAnsi="Times New Roman"/>
          <w:color w:val="000000"/>
          <w:sz w:val="18"/>
        </w:rPr>
        <w:t>During the three months ended March 31, 2026, the Company incurred a capacity fee of €0.8</w:t>
      </w:r>
      <w:r>
        <w:rPr>
          <w:rFonts w:ascii="Times New Roman" w:hAnsi="Times New Roman"/>
          <w:color w:val="000000"/>
          <w:sz w:val="20"/>
        </w:rPr>
        <w:t xml:space="preserve"> </w:t>
      </w:r>
      <w:r>
        <w:rPr>
          <w:rFonts w:ascii="Times New Roman" w:hAnsi="Times New Roman"/>
          <w:color w:val="000000"/>
          <w:sz w:val="18"/>
        </w:rPr>
        <w:t>million, or $0.9</w:t>
      </w:r>
      <w:r>
        <w:rPr>
          <w:rFonts w:ascii="Times New Roman" w:hAnsi="Times New Roman"/>
          <w:color w:val="000000"/>
          <w:sz w:val="20"/>
        </w:rPr>
        <w:t xml:space="preserve"> </w:t>
      </w:r>
      <w:r>
        <w:rPr>
          <w:rFonts w:ascii="Times New Roman" w:hAnsi="Times New Roman"/>
          <w:color w:val="000000"/>
          <w:sz w:val="18"/>
        </w:rPr>
        <w:t>million, which was recognized as cost of goods sold for commercial sales in our condensed consolidated statement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amendment, the term of the Insulin Supply Agreement expires on the later of December 31, 2034 and the completion of the total remaining purchase commitment quantities, unless terminated earlier, and can be renewed for additional, successive two-year terms upon 12 months’ written notice given prior to the end of the initial term or any additional two-year term. The Company and Amphastar each have normal and customary termination rights, including termination for a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periodically reviews the terms of the long-term Insulin Supply Agreement and assesses the need for any accrual for estimated losses, such as lower-of-cost or net-realizable-value that will not be recovered by future product sales. The recognized loss on purchase commitments of $64.6 million and $66.0 million is included in our condensed consolidated balance sheets as of March 31, 2026 and December 31, 2025, respectively, and is reduced as inventory items are received or such liability is extinguished.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the increase in future cash flows for the excess capacity fees and extended term included in the amendment of the Insulin Supply Agreement, the Company analyzed the need for additional estimated losses and concluded that an increase in the recognized loss on purchase commitments was not required as the net realizable value of inventory resulting from the purchase commitment was in excess of the carrying value. Increases in costs associated with the amendment will be recognized through inventory as incurred.</w:t>
      </w:r>
    </w:p>
    <w:p>
      <w:pPr>
        <w:pStyle w:val="TextBody"/>
        <w:bidi w:val="0"/>
        <w:spacing w:before="240" w:after="283"/>
        <w:jc w:val="left"/>
        <w:rPr>
          <w:rFonts w:ascii="Times New Roman" w:hAnsi="Times New Roman"/>
          <w:sz w:val="20"/>
        </w:rPr>
      </w:pPr>
      <w:r>
        <w:rPr>
          <w:rFonts w:ascii="Times New Roman" w:hAnsi="Times New Roman"/>
          <w:i/>
          <w:color w:val="000000"/>
          <w:sz w:val="20"/>
        </w:rPr>
        <w:t>Office Leases</w:t>
      </w:r>
      <w:r>
        <w:rPr>
          <w:rFonts w:ascii="Times New Roman" w:hAnsi="Times New Roman"/>
          <w:color w:val="000000"/>
          <w:sz w:val="20"/>
        </w:rPr>
        <w:t xml:space="preserve"> — In May 2017, the Company executed an office lease with Russell Ranch Road II LLC for the Company’s corporate offices in Westlake Village, California, which was renewed in April 2022. Pursuant to the renewal, the monthly lease payments of $79,543 began in February 2023 and are subject to 3% annual increases, plus the estimated cost of maintaining the property and common areas by the landlord, and are further subject to a six-month base rent concession beginning February 2023. The Company was also entitled to a one-time allowance up to $0.9 million as reimbursement for tenant improvements or the purchase of furniture, fixtures or equipment. Of the $0.9 million allowance, an amount up to $0.7 million may be applied as an additional base rent concession. The Company has no further right to extend the lease term beyond July 31, 2028.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2024, the Company assumed certain leased real property (the "Bedford Lease") in connection with the Pulmatrix transaction. The Bedford Lease pertains to certain premises in a building located in Bedford, Massachusetts. The monthly base rent payments of $101,282 are subject to 3% annual increases, plus the estimated cost of maintaining the property and common areas by the landlord. The Company also assumed from Pulmatrix a $0.7 million obligation to repay landlord-funded tenant improvements at a rate of $6,000 per month through the end of the lease term in November 2033. The Company has the right to extend the lease term for an additional five-year 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2025, the Company assumed a 9,342 square foot facility in Burlington, Massachusetts in connection with the acquisition of scPharma which was previously entered into as a sublease in August 2023 and extends through August 2029. The monthly lease payments are $28,805 and are subject to fixed annual increases of $779.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Lease information was as follows (dollars in thousands):</w:t>
      </w:r>
    </w:p>
    <w:tbl>
      <w:tblPr>
        <w:tblW w:w="7950" w:type="dxa"/>
        <w:jc w:val="left"/>
        <w:tblInd w:w="0" w:type="dxa"/>
        <w:tblLayout w:type="fixed"/>
        <w:tblCellMar>
          <w:top w:w="28" w:type="dxa"/>
          <w:left w:w="28" w:type="dxa"/>
          <w:bottom w:w="28" w:type="dxa"/>
          <w:right w:w="28" w:type="dxa"/>
        </w:tblCellMar>
      </w:tblPr>
      <w:tblGrid>
        <w:gridCol w:w="4111"/>
        <w:gridCol w:w="246"/>
        <w:gridCol w:w="299"/>
        <w:gridCol w:w="961"/>
        <w:gridCol w:w="271"/>
        <w:gridCol w:w="246"/>
        <w:gridCol w:w="357"/>
        <w:gridCol w:w="1143"/>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lease right-of-use assets</w:t>
            </w:r>
            <w:r>
              <w:rPr>
                <w:rFonts w:ascii="Times New Roman" w:hAnsi="Times New Roman"/>
                <w:color w:val="000000"/>
                <w:sz w:val="13"/>
              </w:rPr>
              <w:t>(1)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11,822</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lease liability-current</w:t>
            </w:r>
            <w:r>
              <w:rPr>
                <w:rFonts w:ascii="Times New Roman" w:hAnsi="Times New Roman"/>
                <w:color w:val="000000"/>
                <w:sz w:val="13"/>
              </w:rPr>
              <w:t>(2)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liability-long-term</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12,799</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Operating right-of-use assets related to offices and the manufacturing facility for V-Go are included in other assets in the condensed consolidated balance sheets.</w:t>
      </w:r>
    </w:p>
    <w:p>
      <w:pPr>
        <w:pStyle w:val="TextBody"/>
        <w:bidi w:val="0"/>
        <w:spacing w:before="0" w:after="240"/>
        <w:jc w:val="left"/>
        <w:rPr>
          <w:rFonts w:ascii="Times New Roman" w:hAnsi="Times New Roman"/>
          <w:color w:val="000000"/>
          <w:sz w:val="14"/>
        </w:rPr>
      </w:pPr>
      <w:r>
        <w:rPr>
          <w:rFonts w:ascii="Times New Roman" w:hAnsi="Times New Roman"/>
          <w:color w:val="000000"/>
          <w:sz w:val="14"/>
        </w:rPr>
        <w:t>(2)</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Operating lease liability – current is included in accrued expenses and other current liabilities in the condensed consolidated balance sheets.</w:t>
      </w:r>
    </w:p>
    <w:tbl>
      <w:tblPr>
        <w:tblW w:w="3372" w:type="dxa"/>
        <w:jc w:val="left"/>
        <w:tblInd w:w="0" w:type="dxa"/>
        <w:tblLayout w:type="fixed"/>
        <w:tblCellMar>
          <w:top w:w="28" w:type="dxa"/>
          <w:left w:w="28" w:type="dxa"/>
          <w:bottom w:w="28" w:type="dxa"/>
          <w:right w:w="28" w:type="dxa"/>
        </w:tblCellMar>
      </w:tblPr>
      <w:tblGrid>
        <w:gridCol w:w="1831"/>
        <w:gridCol w:w="146"/>
        <w:gridCol w:w="579"/>
        <w:gridCol w:w="181"/>
        <w:gridCol w:w="635"/>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March 31,</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Company's future minimum office lease payments were as follows (in thousands):</w:t>
      </w:r>
    </w:p>
    <w:tbl>
      <w:tblPr>
        <w:tblW w:w="4153" w:type="dxa"/>
        <w:jc w:val="left"/>
        <w:tblInd w:w="0" w:type="dxa"/>
        <w:tblLayout w:type="fixed"/>
        <w:tblCellMar>
          <w:top w:w="28" w:type="dxa"/>
          <w:left w:w="28" w:type="dxa"/>
          <w:bottom w:w="28" w:type="dxa"/>
          <w:right w:w="28" w:type="dxa"/>
        </w:tblCellMar>
      </w:tblPr>
      <w:tblGrid>
        <w:gridCol w:w="2536"/>
        <w:gridCol w:w="146"/>
        <w:gridCol w:w="299"/>
        <w:gridCol w:w="961"/>
        <w:gridCol w:w="21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16. Income Taxes</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March 31, 2026 and 2025, the Company recorded income tax expense of $0.3 million and $0.5 million, respectively, related to state taxes, which was calculated using the discrete year-to-date method. The effective tax rate differs from the federal statutory tax rate of 21% primarily due to the existence of valuation allowances against net deferred tax assets and current liabilities resulting from the estimated state income tax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of the Company has evaluated the positive and negative evidence bearing upon the realizability of its deferred tax assets and concluded, in accordance with the applicable accounting standards, that net deferred tax assets should be fully reserved.</w:t>
      </w:r>
    </w:p>
    <w:p>
      <w:pPr>
        <w:pStyle w:val="TextBody"/>
        <w:bidi w:val="0"/>
        <w:spacing w:before="240" w:after="240"/>
        <w:jc w:val="left"/>
        <w:rPr>
          <w:rFonts w:ascii="Times New Roman" w:hAnsi="Times New Roman"/>
          <w:sz w:val="20"/>
        </w:rPr>
      </w:pPr>
      <w:r>
        <w:rPr>
          <w:rFonts w:ascii="Times New Roman" w:hAnsi="Times New Roman"/>
          <w:color w:val="000000"/>
          <w:sz w:val="20"/>
        </w:rPr>
        <w:t xml:space="preserve">The Company has assessed its position with regards to uncertainty in tax positions and has not recognized a liability for unrecognized tax benefits. The Company does not expect its unrecognized tax benefits to change significantly over the next 12 months. The Company recognizes interest and penalties accrued related to unrecognized tax benefits in income tax expense. During the three months ended March 31, 2026, the Company recognized a </w:t>
      </w:r>
      <w:r>
        <w:rPr>
          <w:rFonts w:ascii="Times New Roman" w:hAnsi="Times New Roman"/>
          <w:i/>
          <w:color w:val="000000"/>
          <w:sz w:val="20"/>
        </w:rPr>
        <w:t>de minimis</w:t>
      </w:r>
      <w:r>
        <w:rPr>
          <w:rFonts w:ascii="Times New Roman" w:hAnsi="Times New Roman"/>
          <w:color w:val="000000"/>
          <w:sz w:val="20"/>
        </w:rPr>
        <w:t xml:space="preserve"> amount of interest and penalties. The Company’s tax years since 2022 remain subject to examination by tax authorities.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June 2024, California enacted Senate Bills 167 and 175 ("SB 167" and "SB 175"). SB 167 suspends the use of net operating losses ("NOLs") and limits the use of business credits to $5.0 million for the 2024-2026 tax years. Under SB 175, the NOL suspension and credit limitations will not apply for the 2025 and 2026 tax years if certain budget goals are met. Although the Company does not expect this legislation to have a material effect on its results of operations or cash flows, management continues to evaluate any potential impact.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2025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biopharmaceutical company dedicated to transforming chronic disease care through innovative, patient-centric solutions. Focused on cardiometabolic and orphan lung diseases, we develop and commercialize treatments that address serious unmet medical needs, including diabetes, pulmonary hypertension, and fluid overload in heart failure and chronic kidney disease. With deep expertise in drug-device combinations, we aim to deliver therapies designed to fit seamlessly into daily life.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cardiometabolic business is currently comprised of three commercial products: Afrezza (insulin human) Inhalation Powder; Furoscix (furosemide injection); and the V-Go wearable insulin delivery device: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Afrezza is an ultra rapid-acting inhaled insulin indicated to improve glycemic control in adults with diabetes. Afrezza was developed by us and consists of a dry powder formulation of human insulin delivered from a small portable inhaler. Administered at the beginning of a meal, Afrezza dissolves rapidly upon inhalation to the lung and delivers insulin quickly to the bloodstream.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Furoscix is a novel formulation of furosemide that delivers an 80 mg dose via an on-body infusor over a five-hour period. Furoscix is approved by the U.S. Food and Drug Administration (or FDA) for the treatment of edema in pediatric patients who weigh at least 43 kg and adult patients with chronic heart failure or chronic kidney disease. Furoscix is the first FDA-approved subcutaneous loop diuretic that delivers intravenous-equivalent diuresis at home as opposed to a hospital setting. Furoscix was developed by scPharma, which we acquired in October 2025. See Note 2 – </w:t>
      </w:r>
      <w:r>
        <w:rPr>
          <w:rFonts w:ascii="Times New Roman" w:hAnsi="Times New Roman"/>
          <w:i/>
          <w:color w:val="000000"/>
          <w:sz w:val="20"/>
        </w:rPr>
        <w:t>Business Combinations</w:t>
      </w:r>
      <w:r>
        <w:rPr>
          <w:color w:val="000000"/>
        </w:rPr>
        <w:t xml:space="preserve"> </w:t>
      </w:r>
      <w:r>
        <w:rPr>
          <w:rFonts w:ascii="Times New Roman" w:hAnsi="Times New Roman"/>
          <w:color w:val="000000"/>
          <w:sz w:val="20"/>
        </w:rPr>
        <w:t>in the Consolidated Financial Statements included in Part II, Item 8 – Financial Statements and Supplementary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V-Go is a mechanical basal-bolus insulin delivery system that is worn like a patch and can eliminate the need for taking multiple daily injections. V-Go administers a continuous preset basal rate of insulin over 24 hours and provides discreet on-demand bolus dosing at mealtimes. V-Go received 510(k) clearance by the FDA in 2010 and has been available commercially since 2012. In May 2022, we acquired V-Go from Zealand Pharma US, Inc. and Zealand Pharma A/S.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We anticipate two potential milestones for our cardiometabolic business in 2026 based on regulatory submissions that we made in 2025. The FDA is currently reviewing a supplemental biologics license application (or sBLA) pursuant to which we are seeking approval for Afrezza in children and adolescents living with type 1 or type 2 diabetes. The sBLA has been assigned a PDUFA target action date of May 29, 2026. The FDA is also reviewing a supplemental new drug application (or sNDA) pursuant to which we are seeking approval for Furoscix ReadyFlow Autoinjector, a high-concentration formulation of furosemide that is delivered subcutaneously in under ten seconds. The sNDA has been assigned a PDUFA target action date of July 26,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the United States, we are solely responsible for the commercialization of Afrezza, Furoscix and V-Go. Outside of the U.S., our strategy has been to establish regional partnerships in foreign jurisdictions where there are commercial opportunities, subject to the receipt of necessary foreign regulatory approvals. In December 2025, we supplied our partner in India, Cipla, with an initial shipment of Afrezza to support their launch of Afrezza in India. We expect to supply Cipla with additional product in accordance with the annual purchase commitments in our supply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proprietary formulation and inhaler technologies used in Afrezza have also been deployed in our efforts to develop products to treat orphan lung diseases. Our first product to address an orphan lung disease, Tyvaso DPI (treprostinil) inhalation powder, received FDA approval in May 2022 for the treatment of pulmonary arterial hypertension (or PAH) and pulmonary hypertension associated with interstitial lung disease (or PH-ILD). Our development and marketing partner, United Therapeutics, began commercializing Tyvaso DPI in June 2022 and is obligated to pay us a royalty on net sales of the product. We also receive revenue for the supply of Tyvaso DPI that we manufacture for UT. In August 2025, we announced the expansion of our collaboration, pursuant to which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will formulate ralinepag (MNKD-1501) as a dry powder using our proprietary technologies. United Therapeutics will conduct preclinical and clinical development activities of MNKD-1501. Per the agreement, we received an upfront payment and are eligible to receive milestone payments upon achievement of specified development milestones as well as royalties on net sales of MNKD-1501, if approved.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other major program in our pipeline that will potentially address an orphan lung disease is MNKD-201, a dry-powder formulation of nintedanib for the treatment of idiopathic pulmonary fibrosis (or IPF). An oral dosage form of nintedanib has been available for more than a decade. However, a fairly large oral dose is required in order to achieve sufficient drug levels in lung tissue. High systemic levels of nintedanib are often associated with undesirable side effects. Our goal with an inhaled formulation is to deliver a therapeutic amount of nintedanib to the lungs while avoiding high levels of the drug in other tissues. In 2024, we conducted a Phase 1 clinical study of MNKD-201, which met its primary objective of demonstrating positive safety results and good tolerability in healthy volunteers. We are currently conducting a Phase 1b study of MNKD-201 in the United States, with top line data expected in the third quarter of 2026, as well as a global Phase 2 study to assess the potential safety and efficacy of this investigational product in patients with IPF, in which we expect the first patient to be enrolled in the second quarter of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MNKD-701 is another pipeline opportunity that we are exploring. This program is focused on bumetanide, a more potent loop diuretic than furosemide. We are currently evaluating the feasibility of formulating bumetanide as a dry-powder that can be administered via oral inhalation.</w:t>
      </w:r>
    </w:p>
    <w:p>
      <w:pPr>
        <w:pStyle w:val="TextBody"/>
        <w:bidi w:val="0"/>
        <w:jc w:val="left"/>
        <w:rPr>
          <w:rFonts w:ascii="Times New Roman" w:hAnsi="Times New Roman"/>
          <w:color w:val="000000"/>
          <w:sz w:val="20"/>
        </w:rPr>
      </w:pPr>
      <w:r>
        <w:rPr>
          <w:rFonts w:ascii="Times New Roman" w:hAnsi="Times New Roman"/>
          <w:color w:val="000000"/>
          <w:sz w:val="20"/>
        </w:rPr>
        <w:t>Our business is subject to significant risks, including but not limited to our ability to manufacture sufficient quantities of our products and Tyvaso DPI. Other significant risks also include the risk that our products may only achieve a limited degree of commercial success and the risks inherent in drug development, clinical trials and the regulatory approval process for our product candidates, which in some cases depends upon the efforts of our partners. Ongoing changes in tariff policy by the U.S. government may potentially raise the future cost to source the raw materials and components needed to manufacture our products. We are actively monitoring this situation and exploring strategies to mitigate the risks.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critical accounting policies and estimates can be found in Item 7. Management’s Discussion and Analysis of Financial Condition and Results of Operations in our Annual Report. See Note 1 – </w:t>
      </w:r>
      <w:r>
        <w:rPr>
          <w:rFonts w:ascii="Times New Roman" w:hAnsi="Times New Roman"/>
          <w:i/>
          <w:color w:val="000000"/>
          <w:sz w:val="20"/>
        </w:rPr>
        <w:t>Description of Business and Significant Accounting Policies</w:t>
      </w:r>
      <w:r>
        <w:rPr>
          <w:rFonts w:ascii="Times New Roman" w:hAnsi="Times New Roman"/>
          <w:color w:val="000000"/>
          <w:sz w:val="20"/>
        </w:rPr>
        <w:t xml:space="preserve"> in the condensed consolidated financial statements included in Part I – Financial Statements (Unaudited) for descriptions of the new accounting policies and impact of adoption. </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Trends and Uncertainties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collaboration agreement with UT entitles us to receive a 10% royalty on net sales of Tyvaso DPI, subject to our sale of a 1% royalty on future net sales to a royalty purchaser (leaving us with a 9% royalty). Our royalty revenue reflects trends in demand for Tyvaso DPI in the marketplace. See Note 15 – </w:t>
      </w:r>
      <w:r>
        <w:rPr>
          <w:rFonts w:ascii="Times New Roman" w:hAnsi="Times New Roman"/>
          <w:i/>
          <w:color w:val="000000"/>
          <w:sz w:val="20"/>
        </w:rPr>
        <w:t>Commitments and Contingencies</w:t>
      </w:r>
      <w:r>
        <w:rPr>
          <w:rFonts w:ascii="Times New Roman" w:hAnsi="Times New Roman"/>
          <w:color w:val="000000"/>
          <w:sz w:val="20"/>
        </w:rPr>
        <w:t xml:space="preserve"> in the condensed consolidated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success is dependent on our, and our current and future collaboration partners’, ability to effectively commercialize approved products. Our future success is also dependent on our pipeline of new products and expansion opportunities for existing products, such as new formulations or expanded indications. There is a high rate of failure inherent in the R&amp;D process for new drugs. As a result, there is a high risk that the funds we invest in research programs will not generate sufficient financial returns. Products may appear promising in development but fail to reach market within the expected or optimal timeframe, or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Three months ended March 31, 2026 and 2025</w:t>
      </w:r>
    </w:p>
    <w:p>
      <w:pPr>
        <w:pStyle w:val="TextBody"/>
        <w:bidi w:val="0"/>
        <w:spacing w:before="240" w:after="283"/>
        <w:jc w:val="left"/>
        <w:rPr>
          <w:rFonts w:ascii="Times New Roman" w:hAnsi="Times New Roman"/>
          <w:sz w:val="20"/>
        </w:rPr>
      </w:pPr>
      <w:r>
        <w:rPr>
          <w:rFonts w:ascii="Times New Roman" w:hAnsi="Times New Roman"/>
          <w:b/>
          <w:color w:val="000000"/>
          <w:sz w:val="20"/>
        </w:rPr>
        <w:t>Revenues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provides a comparison of the revenue categories for the three months ended March 31, 2026 and 2025 (dollars in thousands): </w:t>
      </w:r>
    </w:p>
    <w:tbl>
      <w:tblPr>
        <w:tblW w:w="10205" w:type="dxa"/>
        <w:jc w:val="left"/>
        <w:tblInd w:w="0" w:type="dxa"/>
        <w:tblLayout w:type="fixed"/>
        <w:tblCellMar>
          <w:top w:w="28" w:type="dxa"/>
          <w:left w:w="28" w:type="dxa"/>
          <w:bottom w:w="28" w:type="dxa"/>
          <w:right w:w="28" w:type="dxa"/>
        </w:tblCellMar>
      </w:tblPr>
      <w:tblGrid>
        <w:gridCol w:w="4359"/>
        <w:gridCol w:w="146"/>
        <w:gridCol w:w="230"/>
        <w:gridCol w:w="739"/>
        <w:gridCol w:w="295"/>
        <w:gridCol w:w="158"/>
        <w:gridCol w:w="230"/>
        <w:gridCol w:w="739"/>
        <w:gridCol w:w="271"/>
        <w:gridCol w:w="146"/>
        <w:gridCol w:w="211"/>
        <w:gridCol w:w="676"/>
        <w:gridCol w:w="166"/>
        <w:gridCol w:w="146"/>
        <w:gridCol w:w="243"/>
        <w:gridCol w:w="628"/>
        <w:gridCol w:w="822"/>
      </w:tblGrid>
      <w:tr>
        <w:trPr/>
        <w:tc>
          <w:tcPr>
            <w:tcW w:w="43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r>
      <w:tr>
        <w:trPr/>
        <w:tc>
          <w:tcPr>
            <w:tcW w:w="43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35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35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Commercial 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35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Gross revenue from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47,928</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82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4359"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Less: Wholesaler distribution fees, rebates and</w:t>
              <w:br/>
              <w:t>   chargebacks, product returns and other</w:t>
              <w:br/>
              <w:t>   discounts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14,021</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8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5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revenue from commercial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33,907</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8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Gross-to-net revenue adjustment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5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Collaborations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23,515</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8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32,749</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82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35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90,171</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78,354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 xml:space="preserve">Afrezza </w:t>
      </w:r>
      <w:r>
        <w:rPr>
          <w:rFonts w:ascii="Times New Roman" w:hAnsi="Times New Roman"/>
          <w:color w:val="000000"/>
          <w:sz w:val="20"/>
        </w:rPr>
        <w:t xml:space="preserve">— Gross revenue from sales of Afrezza decreased by $1.1 million, or 5%, for the three months ended March 31, 2026 compared to the same period in the prior year. The decrease was driven primarily by lower demand. The gross-to-net adjustment was 31% of gross revenue, or $6.8 million, for the three months ended March 31, 2026 compared to 36% of gross revenue, or $8.3 million, for the same period in the prior year. The decreased gross-to-net percentage was primarily attributable to a decrease in government and commercial rebates in accordance with contractual arrangements. As a result, net revenue from sales of Afrezza increased by $0.4 million, or 3%, for the three months ended March 31, 2026 compared to the same period in the prior year.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Furoscix </w:t>
      </w:r>
      <w:r>
        <w:rPr>
          <w:rFonts w:ascii="Times New Roman" w:hAnsi="Times New Roman"/>
          <w:color w:val="000000"/>
          <w:sz w:val="20"/>
        </w:rPr>
        <w:t>— Gross revenue from sales of Furoscix was $20.9 million for the three months ended March 31, 2026. The gross-to-net adjustment was 26% of gross revenue, or $5.4 million, resulting in net revenue of $15.5 million for the three months ended March 31, 2026. There was no Furoscix revenue in the prior-year period as we did not own or commercialize Furoscix until our acquisition of scPharma in October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V-Go</w:t>
      </w:r>
      <w:r>
        <w:rPr>
          <w:rFonts w:ascii="Times New Roman" w:hAnsi="Times New Roman"/>
          <w:color w:val="000000"/>
          <w:sz w:val="20"/>
        </w:rPr>
        <w:t xml:space="preserve"> — Gross revenue from sales of V-Go decreased by $1.5 million, or 23%, for the three months ended March 31, 2026 compared to the same period in the prior year and was primarily a result of lower demand. The gross-to-net adjustment was 36% of gross revenue, or $1.8 million, for the three months ended March 31, 2026 compared to 36% of gross revenue, or $2.3 million, for the same period in the prior year. As a result, net revenue from sales of V-Go decreased by $0.9 million, or 23%, for the three months ended March 31, 2026 compared to the same period in the prior year.</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Collaborations and Services and Royalties </w:t>
      </w:r>
      <w:r>
        <w:rPr>
          <w:rFonts w:ascii="Times New Roman" w:hAnsi="Times New Roman"/>
          <w:color w:val="000000"/>
          <w:sz w:val="20"/>
        </w:rPr>
        <w:t xml:space="preserve">— Net revenue from collaborations and services decreased by $5.9 million, or 20%, for the three months ended March 31, 2026 compared to the same period in the prior year. The decrease in revenue in the current quarter was primarily attributable to decreased product sold to UT due to timing of manufacturing activities and recognition of the related deferred revenue. Royalty revenue from UT increased by $2.7 million, or 9%, for the three months ended March 31, 2026 due to UT's increase in net revenue from sales of Tyvaso DPI. </w:t>
      </w:r>
    </w:p>
    <w:p>
      <w:pPr>
        <w:pStyle w:val="TextBody"/>
        <w:bidi w:val="0"/>
        <w:spacing w:before="240" w:after="283"/>
        <w:jc w:val="left"/>
        <w:rPr>
          <w:rFonts w:ascii="Times New Roman" w:hAnsi="Times New Roman"/>
          <w:sz w:val="20"/>
        </w:rPr>
      </w:pPr>
      <w:r>
        <w:rPr>
          <w:rFonts w:ascii="Times New Roman" w:hAnsi="Times New Roman"/>
          <w:b/>
          <w:color w:val="000000"/>
          <w:sz w:val="20"/>
        </w:rPr>
        <w:t>Commercial product gross profit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provides a comparison of the commercial product gross profit categories for the three months ended March 31, 2026 and 2025 (dollars in thousands): </w:t>
      </w:r>
    </w:p>
    <w:tbl>
      <w:tblPr>
        <w:tblW w:w="8732" w:type="dxa"/>
        <w:jc w:val="left"/>
        <w:tblInd w:w="0" w:type="dxa"/>
        <w:tblLayout w:type="fixed"/>
        <w:tblCellMar>
          <w:top w:w="28" w:type="dxa"/>
          <w:left w:w="28" w:type="dxa"/>
          <w:bottom w:w="28" w:type="dxa"/>
          <w:right w:w="28" w:type="dxa"/>
        </w:tblCellMar>
      </w:tblPr>
      <w:tblGrid>
        <w:gridCol w:w="3106"/>
        <w:gridCol w:w="146"/>
        <w:gridCol w:w="231"/>
        <w:gridCol w:w="740"/>
        <w:gridCol w:w="296"/>
        <w:gridCol w:w="159"/>
        <w:gridCol w:w="231"/>
        <w:gridCol w:w="740"/>
        <w:gridCol w:w="271"/>
        <w:gridCol w:w="146"/>
        <w:gridCol w:w="211"/>
        <w:gridCol w:w="676"/>
        <w:gridCol w:w="146"/>
        <w:gridCol w:w="146"/>
        <w:gridCol w:w="275"/>
        <w:gridCol w:w="596"/>
        <w:gridCol w:w="6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product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33,907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7,509</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Commercial product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26,398</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Commercial product gross profit increased by $11.2 million, or 74%, for the three months ended March 31, 2026 compared to the same period in the prior year. The increase was primarily attributable to the increase in total product revenues after adding Furoscix to our product portfolio following the acquisition of scPharma in October 2025.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provides a comparison of the expense categories for the three months ended March 31, 2026 and 2025 (dollars in thousands): </w:t>
      </w:r>
    </w:p>
    <w:tbl>
      <w:tblPr>
        <w:tblW w:w="10205" w:type="dxa"/>
        <w:jc w:val="left"/>
        <w:tblInd w:w="0" w:type="dxa"/>
        <w:tblLayout w:type="fixed"/>
        <w:tblCellMar>
          <w:top w:w="28" w:type="dxa"/>
          <w:left w:w="28" w:type="dxa"/>
          <w:bottom w:w="28" w:type="dxa"/>
          <w:right w:w="28" w:type="dxa"/>
        </w:tblCellMar>
      </w:tblPr>
      <w:tblGrid>
        <w:gridCol w:w="5020"/>
        <w:gridCol w:w="146"/>
        <w:gridCol w:w="211"/>
        <w:gridCol w:w="676"/>
        <w:gridCol w:w="166"/>
        <w:gridCol w:w="146"/>
        <w:gridCol w:w="211"/>
        <w:gridCol w:w="676"/>
        <w:gridCol w:w="146"/>
        <w:gridCol w:w="146"/>
        <w:gridCol w:w="211"/>
        <w:gridCol w:w="676"/>
        <w:gridCol w:w="166"/>
        <w:gridCol w:w="146"/>
        <w:gridCol w:w="224"/>
        <w:gridCol w:w="647"/>
        <w:gridCol w:w="591"/>
      </w:tblGrid>
      <w:tr>
        <w:trPr/>
        <w:tc>
          <w:tcPr>
            <w:tcW w:w="5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0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2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Cost of goods sold – commercial, excluding 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Cost of revenue – collaborations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(Gain) loss on foreign currency transaction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Cost of revenue – collaborations and services decreased by $3.8 million, or 28%, for the three months ended March 31, 2026 compared to the same period in the prior year. The decrease was primarily a result of decreased product sold to UT.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increased by $6.2 million, or 56%, for the three months ended March 31, 2026 compared to the same period in the prior year. The increase was primarily attributable to higher personnel costs following the acquisition of scPharma and higher costs from development of MNKD-201 as studies advanced.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Selling, general and administrative expenses increased by $29.1 million, or 116%, for the three months ended March 31, 2026 compared to the same period in the prior year. The increase was primarily related to costs associated with the promotion and support of Furoscix, as well as higher Afrezza-related expenses including expanding the field based teams and preparing for a potential pediatric launch of Afrezza in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Amortization of acquired intangible assets was $4.4 million for the three months ended March 31, 2026 and was related to the amortization of the developed technology related to the Furoscix on-body infuser acquired from scPharma.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Gain on foreign currency transaction was $1.3 million for the three months ended March 31, 2026 compared to a loss of $2.5 million for the same period in the prior year due to fluctuations in Euro to U.S. dollar exchange rates. Under the Insulin Supply Agreement with Amphastar, payment obligations for future purchases are denominated in Euros. We are required to record the foreign currency transaction impact of the U.S. dollar to Euro exchange rate associated with the recognized gain or loss on purchase commitments. </w:t>
      </w:r>
    </w:p>
    <w:p>
      <w:pPr>
        <w:pStyle w:val="TextBody"/>
        <w:bidi w:val="0"/>
        <w:spacing w:before="240" w:after="283"/>
        <w:jc w:val="left"/>
        <w:rPr>
          <w:rFonts w:ascii="Times New Roman" w:hAnsi="Times New Roman"/>
          <w:sz w:val="20"/>
        </w:rPr>
      </w:pPr>
      <w:r>
        <w:rPr>
          <w:rFonts w:ascii="Times New Roman" w:hAnsi="Times New Roman"/>
          <w:b/>
          <w:color w:val="000000"/>
          <w:sz w:val="20"/>
        </w:rPr>
        <w:t>Other Income (Expense)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provides a comparison of the other income (expense) categories for the three months ended March 31, 2026 and 2025 (dollars in thousands): </w:t>
      </w:r>
    </w:p>
    <w:tbl>
      <w:tblPr>
        <w:tblW w:w="9676" w:type="dxa"/>
        <w:jc w:val="left"/>
        <w:tblInd w:w="0" w:type="dxa"/>
        <w:tblLayout w:type="fixed"/>
        <w:tblCellMar>
          <w:top w:w="28" w:type="dxa"/>
          <w:left w:w="28" w:type="dxa"/>
          <w:bottom w:w="28" w:type="dxa"/>
          <w:right w:w="28" w:type="dxa"/>
        </w:tblCellMar>
      </w:tblPr>
      <w:tblGrid>
        <w:gridCol w:w="4501"/>
        <w:gridCol w:w="146"/>
        <w:gridCol w:w="211"/>
        <w:gridCol w:w="736"/>
        <w:gridCol w:w="166"/>
        <w:gridCol w:w="146"/>
        <w:gridCol w:w="211"/>
        <w:gridCol w:w="631"/>
        <w:gridCol w:w="166"/>
        <w:gridCol w:w="146"/>
        <w:gridCol w:w="211"/>
        <w:gridCol w:w="631"/>
        <w:gridCol w:w="166"/>
        <w:gridCol w:w="146"/>
        <w:gridCol w:w="243"/>
        <w:gridCol w:w="628"/>
        <w:gridCol w:w="59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on liability for sale of future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on financing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settlement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net, consisting of interest and accretion on investments net of amortization, decreased by $0.5 million for the three months ended March 31, 2026 compared to the same period in the prior year primarily due to a lower average balance on our securities portfolio and lower yields.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expense increased by $2.8 million for the three months ended March 31, 2026 compared to the same period in the prior year. The increase was primarily due to new term loans with an aggregate principal amount of $325.0 million, which were drawn in August and October 2025.</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Interest expense on liability for sale of future royalties decreased by $1.0 million for the three months ended March 31, 2026 compared to the same period in the prior year. Interest consists of imputed interest and the amortization of debt issuance costs on the liability recorded in connection with the sale of 1% of our Tyvaso DPI royalties in December 2023. Imputed interest is based on third-party estimates of future royalties to be generated from Tyvaso DPI. See Note 15 – </w:t>
      </w:r>
      <w:r>
        <w:rPr>
          <w:rFonts w:ascii="Times New Roman" w:hAnsi="Times New Roman"/>
          <w:i/>
          <w:color w:val="000000"/>
          <w:sz w:val="20"/>
        </w:rPr>
        <w:t>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expense on financing liability was $2.4 million for the three months ended March 31, 2026 and 2025, and represents interest incurred on the sale lease-back transaction for our manufacturing facility in Danbury, Connecticut.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Loss on settlement of debt of $0.9 million for the three months ended March 31, 2026 was incurred in connection with the settlement of the senior convertible notes in March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expense of $2.8 million for the three months ended March 31, 2026 was the result of the remeasurement of the fair value of the contingent consideration liability obtained from the acquisition of scPharma. The contingent consideration will be remeasured each subsequent reporting period until the related contingencies have been resolved.</w:t>
      </w:r>
    </w:p>
    <w:p>
      <w:pPr>
        <w:pStyle w:val="TextBody"/>
        <w:bidi w:val="0"/>
        <w:spacing w:before="240" w:after="283"/>
        <w:jc w:val="left"/>
        <w:rPr>
          <w:rFonts w:ascii="Times New Roman" w:hAnsi="Times New Roman"/>
          <w:sz w:val="20"/>
        </w:rPr>
      </w:pPr>
      <w:r>
        <w:rPr>
          <w:rFonts w:ascii="Times New Roman" w:hAnsi="Times New Roman"/>
          <w:color w:val="000000"/>
          <w:sz w:val="20"/>
        </w:rPr>
        <w:t>N</w:t>
      </w:r>
      <w:r>
        <w:rPr>
          <w:rFonts w:ascii="Times New Roman" w:hAnsi="Times New Roman"/>
          <w:b/>
          <w:color w:val="000000"/>
          <w:sz w:val="20"/>
        </w:rPr>
        <w:t>on-GAAP Measures</w:t>
        <w:br/>
        <w:br/>
      </w:r>
      <w:r>
        <w:rPr>
          <w:rFonts w:ascii="Times New Roman" w:hAnsi="Times New Roman"/>
          <w:color w:val="000000"/>
          <w:sz w:val="20"/>
        </w:rPr>
        <w:t xml:space="preserve">To supplement our condensed consolidated financial statements presented under GAAP, we are presenting non-GAAP financial measures for net (loss) income and net (loss) income per share – basic. We are providing these non-GAAP financial measures, which are among the indicators management uses as a basis for evaluating our financial performance, to disclose additional information to facilitate the comparison of past and present operations. We believe that these non-GAAP financial measures, when considered together with our GAAP financial results, provide management and investors with an additional understanding of our business operating results, including underlying trends. </w:t>
        <w:br/>
        <w:br/>
        <w:t>These non-GAAP financial measures are not meant to be considered in isolation or as a substitute for comparable GAAP measures; should be read in conjunction with our condensed consolidated financial statements prepared in accordance with GAAP; have no standardized meaning prescribed by GAAP; and are not prepared under any comprehensive set of accounting rules or principles. In addition, from time to time in the future, there may be other items that we may exclude for purposes of our non-GAAP financial measures; and we may cease to exclude items that we have historically excluded for purposes of our non-GAAP financial measures. Likewise, we may determine to modify the nature of its adjustments to arrive at our non-GAAP financial measures. Because of the non-standardized definitions of non-GAAP financial measures, the non-GAAP financial measures as used by us in this Quarterly Report on Form 10-Q have limits in their usefulness to investors and may be calculated differently from, and therefore may not be directly comparable to, similarly titled measures used by other companies.</w:t>
        <w:br/>
        <w:br/>
        <w:t>The following table reconciles our financial measures for net (loss) income and net (loss) income per share ("EPS") for basic weighted average shares as reported in our condensed consolidated statements of operations to a non-GAAP presentation as adjusted by certain non-cash items identified below.</w:t>
      </w:r>
    </w:p>
    <w:tbl>
      <w:tblPr>
        <w:tblW w:w="9559" w:type="dxa"/>
        <w:jc w:val="left"/>
        <w:tblInd w:w="0" w:type="dxa"/>
        <w:tblLayout w:type="fixed"/>
        <w:tblCellMar>
          <w:top w:w="28" w:type="dxa"/>
          <w:left w:w="28" w:type="dxa"/>
          <w:bottom w:w="28" w:type="dxa"/>
          <w:right w:w="28" w:type="dxa"/>
        </w:tblCellMar>
      </w:tblPr>
      <w:tblGrid>
        <w:gridCol w:w="4501"/>
        <w:gridCol w:w="306"/>
        <w:gridCol w:w="219"/>
        <w:gridCol w:w="711"/>
        <w:gridCol w:w="151"/>
        <w:gridCol w:w="146"/>
        <w:gridCol w:w="254"/>
        <w:gridCol w:w="571"/>
        <w:gridCol w:w="151"/>
        <w:gridCol w:w="146"/>
        <w:gridCol w:w="219"/>
        <w:gridCol w:w="711"/>
        <w:gridCol w:w="151"/>
        <w:gridCol w:w="146"/>
        <w:gridCol w:w="254"/>
        <w:gridCol w:w="571"/>
        <w:gridCol w:w="351"/>
      </w:tblGrid>
      <w:tr>
        <w:trPr/>
        <w:tc>
          <w:tcPr>
            <w:tcW w:w="450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March 31,</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Basic EPS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Basic EPS</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GAAP reported net (loss) income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0.04</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Non-GAAP adjustments:</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 compensation</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0.02</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Interest expense on liability for sale of future royalties</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Sold portion of royalty revenue </w:t>
            </w:r>
            <w:r>
              <w:rPr>
                <w:rFonts w:ascii="Times New Roman" w:hAnsi="Times New Roman"/>
                <w:color w:val="000000"/>
                <w:sz w:val="9"/>
              </w:rPr>
              <w:t>(1)</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(Gain) loss on foreign currency transaction</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Amortization of intangible assets acquired</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Loss on settlement of debt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Non-GAAP adjusted net (loss) income</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(6,910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21,629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0.07</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Weighted average shares used to compute net (loss) income per share – basic</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308,267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303,481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jc w:val="left"/>
        <w:rPr>
          <w:rFonts w:ascii="Times New Roman" w:hAnsi="Times New Roman"/>
          <w:color w:val="000000"/>
          <w:sz w:val="18"/>
        </w:rPr>
      </w:pPr>
      <w:r>
        <w:rPr>
          <w:rFonts w:ascii="Times New Roman" w:hAnsi="Times New Roman"/>
          <w:color w:val="000000"/>
          <w:sz w:val="18"/>
        </w:rPr>
        <w:t xml:space="preserve">Represents the non-cash portion of the 1% royalty on net sales of Tyvaso DPI earned during the three months ended March 31, 2026 and 2025, which is remitted to the royalty purchaser and recognized as royalties from collaborations in our condensed consolidated statements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operations. Our royalties from collaborations during the three months ended March 31, 2026 and 2025 totaled $32.7 million and $30.0 million, respectively, of which $3.3 million and $3.0 million, respectively were remitted to the royalty purchaser.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sources of liquidity are our cash, cash equivalents, and investments. Our primary uses of cash include development of our product pipeline, manufacturing and marketing of Afrezza, Furoscix and V-Go, manufacturing Tyvaso DPI, selling, general and administrative expenses, and principal and interest payments on our financing liability and debt.</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We fund our operations primarily through sales of Afrezza, Furoscix and V-Go, and royalties, development and manufacturing revenue from UT. Historically, we have funded our operations primarily through the sale of equity and convertible debt securities, from the receipt of upfront and milestone payments from collaborations, from borrowings, from the sale of certain assets and from the sale of a portion of our future royalties that we receive from UT. In combination with our cash, cash equivalents and investments on hand, we believe that these sources of revenue will allow us to meet our liquidity needs over the next 12 months and in the longer term.</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As of March 31, 2026, we had $64.6 million in insulin purchase commitments and $325.0 million aggregate principal amount under the Blackstone Credit Facility. The Blackstone Credit Facility will mature on August 6, 2030. As of March 31, 2026, the effective interest rate is 9.09% per annum. The SOFR Loans borrowed under the Blackstone Credit Facility are subject to the Adjusted Term SOFR plus margin of 5.00%. We have the option to prepay the loans under the Blackstone Credit Facility in whole or in part, subject to early prepayment fees on or prior to the third anniversary of the Closing Date. See Note 9 – </w:t>
      </w:r>
      <w:r>
        <w:rPr>
          <w:rFonts w:ascii="Times New Roman" w:hAnsi="Times New Roman"/>
          <w:i/>
          <w:color w:val="000000"/>
          <w:sz w:val="20"/>
        </w:rPr>
        <w:t>Borrowings</w:t>
      </w:r>
      <w:r>
        <w:rPr>
          <w:rFonts w:ascii="Times New Roman" w:hAnsi="Times New Roman"/>
          <w:color w:val="000000"/>
          <w:sz w:val="20"/>
        </w:rPr>
        <w:t xml:space="preserve"> for further information related to the Blackstone Credit Facility.</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In July 2013, we granted Milestone Rights to the original purchasers under the Milestone Rights Agreement. The original purchasers later assigned those rights to new holders. As of March 31, 2026, $45.0 million remains payable upon the occurrence of specified strategic and sales milestones under the Milestone Rights Agreement. See Note 15 – </w:t>
      </w:r>
      <w:r>
        <w:rPr>
          <w:rFonts w:ascii="Times New Roman" w:hAnsi="Times New Roman"/>
          <w:i/>
          <w:color w:val="000000"/>
          <w:sz w:val="20"/>
        </w:rPr>
        <w:t>Commitments and Contingencies</w:t>
      </w:r>
      <w:r>
        <w:rPr>
          <w:rFonts w:ascii="Times New Roman" w:hAnsi="Times New Roman"/>
          <w:color w:val="000000"/>
          <w:sz w:val="20"/>
        </w:rPr>
        <w:t xml:space="preserve"> for further information related to the Milestone Rights.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October 2025, we entered into the CVR Agreement with the rights agent party thereto, which governs the terms of the CVRs issued to the former stockholders of scPharma in the acquisition transaction. The maximum aggregate amount payable with respect to the CVRs issued at the closing of the acquisition is $59.7 million, subject to the achievement of certain regulatory and net sales milestones on or prior to the applicable milestone outside dates in accordance with the CVR Agreement.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to the above, we also expect to have material cash requirements relating to paying our employees and consultants, professional services fees, marketing expenses, manufacturing expenditures, and clinical trial expenses. In addition, we make substantial and often long-term investments in our supply chain in order to ensure we have enough inventory and drug product to meet current and future revenue forecasts, as well as clinical trial needs.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Pursuant to the CF Sales Agreement with Cantor Fitzgerald, we may offer and sell, from time to time, through Cantor Fitzgerald, shares of our common stock. Under the CF Sales Agreement, Cantor Fitzgerald may sell shares by any method deemed to be an “at-the-market offering” as defined in Rule 415 under the Securities Act of 1933, as amended. On February 26, 2025, we filed a sales agreement prospectus under a registration statement on Form S-3, which became effective upon filing, covering the sale of up to $200.0 million of our common stock through Cantor Fitzgerald under the CF Sales Agreement, of which $200.0 million remained available as of March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2026, we used a net $5.4 million of cash for our operating activities. Cash used in operating activities consisted of net loss of $16.6 million offset by non-cash adjustments of $16.2 million and a net decrease in cash flow from operating assets and liabilities of $5.0 million. Non-cash items primarily included stock-based compensation of $6.5 million, depreciation and amortization of $6.4 million and change in fair value of contingent consideration of $2.8 million. These charges were partially offset by the sold portion of royalty revenue of $3.3 million and gain on foreign currency transactions of $1.3 million. The net decrease in cash flows from operating assets and liabilities was primarily due to an increase of $14.9 million in inventory, decrease of $5.8 million in accrued expenses and other current liabilities and decrease of $4.9 million in deferred revenue. The net decrease in cash flows from operating assets and liabilities was partially offset by a decrease of $10.3 million in accounts receivable.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March 31, 2025, we used a net $6.4 million of cash for our operating activities. Cash used in operating activities consisted of net income of $13.2 million offset by non-cash adjustments of $10.8 million and a net decrease in cash flows from operating assets and liabilities of $30.3 million. Non-cash items primarily included stock-based compensation of $5.4 million, depreciation and amortization of $2.1 million, and interest on liability for sale of future royalties of $3.6 million. These charges were partially offset by the sold portion of royalty revenue of $3.0 million. The net decrease in cash flows from operating assets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liabilities was primarily due to an increase of $17.1 million in accounts receivable, decrease of $4.5 million in deferred revenue and increase of $3.0 million in prepaid expenses and other current assets.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Cash provided by investing activities of $18.7 million for the three months ended March 31, 2026 was primarily due to $30.9 million of proceeds from maturities of available-for-sale securities. Cash provided was partially offset by the purchase of $10.3 million of available-for-sale securities as well as $1.9 million of property and equipment.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provided by investing activities of $6.0 million for the three months ended March 31, 2025 was primarily due to the maturity of $50.4 million of debt securities, partially offset by the purchase of $44.1 million of debt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Cash used in financing activities of $35.4 million for the three months ended March 31, 2026 was primarily due to payments made to settle our remaining senior convertible notes.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used in financing activities of $1.4 million for the three months ended March 31, 2025 was primarily due to $1.6 million of payments to taxing authorities from equity withheld upon vesting of RSUs and stock options.</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Future Liquidity Needs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we will be able to meet our near-term liquidity needs based on our cash, cash equivalents and investments on hand, sales of Afrezza, Furoscix and V-Go, royalties and manufacturing revenue from the production and sale of Tyvaso DPI and, if necessary, borrowings under the Blackstone Credit Facility, as well as through debt or equity financing, for our long-term liquidity needs. We expect to continue to incur expenditures for the foreseeable future in support of our manufacturing operations, sales and marketing costs for our products and development costs for other product candidates in our pipeline. As of March 31, 2026, we had capital resources comprised of cash, cash equivalents and investments totaling $133.9 million, and total principal amount of outstanding borrowings of $325.0 million.</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To date, we have been able to timely make required interest payments under our outstanding indebtedness, but we cannot guarantee that we will be able to do so in the future. If we fail to repay our outstanding indebtedness when required, we will be in default under the applicable instrument for such indebtedness and may also suffer an event of default under the terms of other borrowing arrangements that we may enter into from time to time. Any of these events could have a material adverse effect on our business, results of operations and financial condition, up to and including the noteholders initiating bankruptcy proceedings or causing us to cease operations altogether.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our resources will be sufficient to fund our operations for at least the next 12 months from the date of issuance of our condensed consolidated financial statements included in Part I – Financial Statements (Unaudited).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Contractual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material changes outside of the ordinary course of business in our contractual obligations from those disclosed within “Management’s Discussion and Analysis of Financial Condition and Results of Operations,” as contained in our Annual Report on Form 10-K for the year ended December 31,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1" w:name="item_3_quantitative_qualitative_disclosu"/>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Interest Rate Risk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Interest on borrowings under the Blackstone Credit Facility accrues at a rate per annum equal to (i) in the case of a Base Rate Loan, the greatest of (a) the prime rate in effect on such day, (b) the federal funds rate in effect on such day plus 0.5%, (c) Adjusted Term SOFR for a one-month’s tenor in effect on such day plus 1%, and (d) 3.0% plus a margin of 3.75%, or (ii) in the case of a SOFR Loan, one, three or six month Adjusted Term SOFR (at our election), subject to a 2% floor, plus a margin of 4.75%. The interest rate margin increases to 4.00% in the case of a Base Rate Loan and 5.00% in the case of a SOFR Loan at any time the Company’s ratio of indebtedness to adjusted EBITDA (measured on a trailing four quarter basis) is greater than or equal to 5.00:1.00 as of the most recent fiscal quarter for which the Company has delivered financial statements. Accordingly, our interest expense under the Blackstone Credit Facility is subject to changes in the various market interest rates. If a hypothetical 10% change in the SOFR interest rates on March 31, 2026 were to have occurred, this change would not have had a material effect on our annual interest payment obligation on the borrowings under the Blackstone Credit Facility, which as of March 31, 2026, are SOFR Loans with an effective interest rate of 9.09% per annum. See Note 9 – </w:t>
      </w:r>
      <w:r>
        <w:rPr>
          <w:rFonts w:ascii="Times New Roman" w:hAnsi="Times New Roman"/>
          <w:i/>
          <w:color w:val="000000"/>
          <w:sz w:val="20"/>
        </w:rPr>
        <w:t>Borrowings</w:t>
      </w:r>
      <w:r>
        <w:rPr>
          <w:rFonts w:ascii="Times New Roman" w:hAnsi="Times New Roman"/>
          <w:color w:val="000000"/>
          <w:sz w:val="20"/>
        </w:rPr>
        <w:t xml:space="preserve"> for information about the principal amount of outstanding debt.</w:t>
      </w:r>
    </w:p>
    <w:p>
      <w:pPr>
        <w:pStyle w:val="TextBody"/>
        <w:bidi w:val="0"/>
        <w:spacing w:before="240" w:after="283"/>
        <w:jc w:val="left"/>
        <w:rPr>
          <w:rFonts w:ascii="Times New Roman" w:hAnsi="Times New Roman"/>
          <w:sz w:val="20"/>
        </w:rPr>
      </w:pPr>
      <w:r>
        <w:rPr>
          <w:rFonts w:ascii="Times New Roman" w:hAnsi="Times New Roman"/>
          <w:b/>
          <w:color w:val="000000"/>
          <w:sz w:val="20"/>
        </w:rPr>
        <w:t>Foreign Currency Exchange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incur and will continue to incur significant expenditures for insulin supply obligations under our Insulin Supply Agreement. Such obligations are denominated in Euros. At the end of each reporting period, the recognized gain or loss on purchase commitment is converted to U.S. dollars at the then-applicable foreign exchange rate. As a result, our business is affected by fluctuations in exchange rates between the U.S. dollar and the Euro. For the three months ended March 31, 2026, we realized a $1.3 million currency gain, which was reflected as gain on foreign currency transaction in the accompanying condensed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Exchange rate fluctuations may adversely affect our expenses, results of operations, financial position and cash flows. If a change in the U.S. dollar to Euro exchange rate equal to 10% of the U.S. dollar to Euro exchange rate on March 31, 2026 were to have occurred, this change would have resulted in a foreign currency impact to our pre-tax income of approximately $6.5 million.</w:t>
      </w:r>
    </w:p>
    <w:p>
      <w:pPr>
        <w:pStyle w:val="TextBody"/>
        <w:bidi w:val="0"/>
        <w:spacing w:before="24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Chief Executive Officer and our Chief Financial Officer, evaluated the effectiveness of our disclosure controls and procedures, as defined in Rules 13a-15(e) and 15d-15(e) under the Securities Exchange Act of 1934, as amended (the “Exchange Act”), as of March 31,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evaluation of our disclosure controls and procedures as of March 31, 2026, our Chief Executive Officer and our Chief Financial Officer have concluded, as of such date, that our disclosure controls and procedures were effective at the reasonable assurance level.</w:t>
      </w:r>
    </w:p>
    <w:p>
      <w:pPr>
        <w:pStyle w:val="TextBody"/>
        <w:bidi w:val="0"/>
        <w:spacing w:before="24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Chief Executive Officer and our Chief Financial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3" w:name="part_2_other_information"/>
      <w:bookmarkEnd w:id="13"/>
      <w:r>
        <w:rPr>
          <w:rFonts w:ascii="Times New Roman" w:hAnsi="Times New Roman"/>
          <w:b/>
          <w:color w:val="000000"/>
          <w:sz w:val="20"/>
        </w:rPr>
        <w:t>PART II.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4" w:name="item_1_legal_proceedings"/>
      <w:bookmarkEnd w:id="14"/>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color w:val="000000"/>
          <w:sz w:val="20"/>
        </w:rPr>
        <w:t>LEGAL PROCEEDINGS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subject to legal proceedings and claims that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 See Note 15 – </w:t>
      </w:r>
      <w:r>
        <w:rPr>
          <w:rFonts w:ascii="Times New Roman" w:hAnsi="Times New Roman"/>
          <w:i/>
          <w:color w:val="000000"/>
          <w:sz w:val="20"/>
        </w:rPr>
        <w:t>Commitments and Contingencies</w:t>
      </w:r>
      <w:r>
        <w:rPr>
          <w:rFonts w:ascii="Times New Roman" w:hAnsi="Times New Roman"/>
          <w:color w:val="000000"/>
          <w:sz w:val="20"/>
        </w:rPr>
        <w:t xml:space="preserve"> in the condensed consolidated financial statements.</w:t>
      </w:r>
    </w:p>
    <w:p>
      <w:pPr>
        <w:pStyle w:val="TextBody"/>
        <w:bidi w:val="0"/>
        <w:spacing w:before="240" w:after="283"/>
        <w:jc w:val="left"/>
        <w:rPr>
          <w:rFonts w:ascii="Times New Roman" w:hAnsi="Times New Roman"/>
          <w:sz w:val="20"/>
        </w:rPr>
      </w:pPr>
      <w:bookmarkStart w:id="15" w:name="item_1a_risk_factors"/>
      <w:bookmarkEnd w:id="15"/>
      <w:r>
        <w:rPr>
          <w:rFonts w:ascii="Times New Roman" w:hAnsi="Times New Roman"/>
          <w:b/>
          <w:color w:val="000000"/>
          <w:sz w:val="20"/>
        </w:rPr>
        <w:t>Item 1A.</w:t>
      </w:r>
      <w:r>
        <w:rPr>
          <w:rFonts w:ascii="Times New Roman" w:hAnsi="Times New Roman"/>
          <w:color w:val="000000"/>
          <w:sz w:val="20"/>
        </w:rPr>
        <w:t xml:space="preserve"> </w:t>
      </w:r>
      <w:r>
        <w:rPr>
          <w:rFonts w:ascii="Times New Roman" w:hAnsi="Times New Roman"/>
          <w:b/>
          <w:i/>
          <w:color w:val="000000"/>
          <w:sz w:val="20"/>
        </w:rPr>
        <w:t>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immediately following the below summary, and should be carefully considered, together with other information in this Quarterly Report on Form 10-Q and our other filings with the SEC before making investment decisions regarding our common stock.</w:t>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Summary Risk Factors</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products that we or our collaboration partner are commercializing may only achieve a limited degree of commercial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United Therapeutics reduces its commercial emphasis on Tyvaso DPI, our revenues could decline materially.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risks may adversely affect our ability to manufacture our products and Tyvaso DPI, which could reduce our gross margin and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International trade policies, including tariffs, sanctions and trade barriers may adversely affect our business, financial condition, results of operations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third-party payers do not cover our approved products, such products might not be prescribed, used or purchased, which would adversely affect our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need to raise additional capital to fund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data or our information technology systems,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results of operations will fluctuate for the foreseeable future, which may make it difficult to predict our future performance from period to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incur losses and may not generate positive or sufficient cash flow from operations in the future which may have an adverse impact on our working capital, total assets and stockholders' equity and our ability to service all of our indebtedness and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Continued testing of our products and product candidates may not yield successful results, and even if it does, we may still be unable to successfully commercialize our current or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achieve our projected development goals in the timeframes we expect, our business, financial condition and results of operations will be harmed and the market price of our common stock and other securities could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long-term safety and efficacy of approved products may differ from clinical studies, which could negatively impact sales and could lead to reputational harm or other negative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products, product candidates and technology may not be able to compete effectively or may be rendered obsolete.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undertake internal restructuring activities in the future that could result in disruptions to our business or otherwise materially harm our results of operations or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funding or staffing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Blackstone Credit Facility contains restrictive covenants that may materially limit our operating flexibility. A default under the instruments governing our indebtedness, including the Blackstone Credit Facility, could materially and adversely affect our financial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realize the anticipated benefits of the scPharma acquisition or any future acquisition or strategic transaction; we may be unable to successfully integrate new products, technologies or businesses we acquire.</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legislation may impact the net sales of commercial products sold by us or any partner.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any partner fails to comply with federal and state healthcare laws, including fraud and abuse and health information laws, we could face substantial penalties and our business, results of operations, financial condition and prospects could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the third parties with whom we work are subject to stringent and evolving U.S. and foreign laws, regulations and rules, contractual obligations, industry standards, policies and other obligations related to data privacy and security. Our actual or perceived failure, or that of the third parties with whom we work,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jc w:val="left"/>
        <w:rPr/>
      </w:pPr>
      <w:r>
        <w:rPr/>
        <w:t> </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stock price is volatile.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sales of shares of our common stock in the public market, or the perception that such sales may occur, may depress our stock price and adversely impact the market price of our common stock and other securities.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40"/>
        <w:jc w:val="left"/>
        <w:rPr>
          <w:color w:val="000000"/>
        </w:rPr>
      </w:pPr>
      <w:r>
        <w:rPr>
          <w:color w:val="000000"/>
        </w:rPr>
        <w: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Unstable market, economic and geopolitical conditions may have serious adverse consequences on our business, financial condition and stock price.</w:t>
      </w:r>
    </w:p>
    <w:p>
      <w:pPr>
        <w:pStyle w:val="TextBody"/>
        <w:bidi w:val="0"/>
        <w:jc w:val="left"/>
        <w:rPr>
          <w:rFonts w:ascii="Times New Roman" w:hAnsi="Times New Roman"/>
          <w:i/>
          <w:color w:val="000000"/>
          <w:sz w:val="20"/>
        </w:rPr>
      </w:pPr>
      <w:r>
        <w:rPr>
          <w:rFonts w:ascii="Times New Roman" w:hAnsi="Times New Roman"/>
          <w:i/>
          <w:color w:val="000000"/>
          <w:sz w:val="20"/>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marked with an asterisk (*) did not appear as separate risk factors in, or contains changes to the similarly titled risk factors included in, Item 1A of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b/>
          <w:color w:val="000000"/>
          <w:sz w:val="20"/>
        </w:rPr>
        <w:t>RISKS RELATED TO OUR BUSINESS</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The products that we or our collaboration partner are commercializing may only achieve a limited degree of commercial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commercialization of therapeutic products is subject to many risks, including some that are outside our control. There are numerous examples of failures to fully exploit the market potential of therapeutic products, including by biopharmaceutical and device companies with more experience and resources than us. Products that we commercialize ourselves (including Afrezza, Furoscix and any products that we may develop or acquire in the future) and the product that is commercialized by our current collaboration partner (including future products that may be commercialized by a collaboration partner) may not gain market acceptance among physicians, patients, third-party payers and the healthcare community. The degree of market acceptance of our or a collaboration partner’s products depends on many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approved labeling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effectiveness of efforts by us and/or any current or future collaboration or marketing partner to support and educate patients and physicians about the benefits and proper administration of our products, and the perceived advantages of our products and the disadvantages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willingness of the healthcare community and patients to adopt new technologies or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ability to manufacture the product in sufficient quantities with acceptable quality and cost;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perception of patients and the healthcare community, including third-party payers, regarding the safety, efficacy and benefits compared to competing products or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convenience and ease of administration relative to existing treatment methods;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coverage and reimbursement, as well as pricing relative to other treatment therapeutics and methods;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marketing and distribution support.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these and other factors, the products described above may not gain market acceptance or otherwise be commercially successful. Failure to achieve market acceptance would limit our ability to generate revenue and would adversely affect our results of operations. We and our current or any future collaboration partner may need to enhance our/their commercialization capabilities in order to successfully commercialize such products in the United States or any other jurisdiction in which such product is approved for commercial sale, and we or the collaboration partner may not have sufficient resources to do so. </w:t>
      </w:r>
    </w:p>
    <w:p>
      <w:pPr>
        <w:pStyle w:val="TextBody"/>
        <w:bidi w:val="0"/>
        <w:spacing w:before="360" w:after="283"/>
        <w:jc w:val="both"/>
        <w:rPr>
          <w:rFonts w:ascii="Times New Roman" w:hAnsi="Times New Roman"/>
          <w:sz w:val="20"/>
        </w:rPr>
      </w:pPr>
      <w:r>
        <w:rPr>
          <w:rFonts w:ascii="Times New Roman" w:hAnsi="Times New Roman"/>
          <w:b/>
          <w:i/>
          <w:color w:val="000000"/>
          <w:sz w:val="20"/>
        </w:rPr>
        <w:t>If United Therapeutics reduces its commercial emphasis on Tyvaso DPI, our revenues could decline materially.*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Treprostinil, the active ingredient in Tyvaso DPI, is a prostacyclin analog that has been available as a generic injectable since late 2017. In more recent years, other dosage forms of treprostinil have become available, including in June 2025, when Yutrepia, a dry-powder formulation of treprostinil, was launched by Liquidia Corporation. Yutrepia and Tyvaso DPI now compete against each other for market share. On its February 2026 earnings call, United Therapeutics highlighted the development of Tresmi, a treprostinil solution for use in a soft mist inhaler with plans to file for approval of Tresmi in PAH and PH-ILD within the year and launch commercially in the following year. Such public statements regarding Tresmi’s potential advantages and United Therapeutics’ future commercial plans indicate that United Therapeutics may choose to prioritize Tresmi or other pipeline products over Tyvaso DPI.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One such potential pipeline product is ralinepag, a novel, highly selective prostacyclin receptor agonist for which United Therapeutics intends to submit an NDA in the second half of 2026. Although we are also collaborating with United Therapeutics on the development of a dry powder formulation of ralinepag (MNKD-1501), a significant portion of our current revenue is derived from royalties and collaboration and services revenue associated with United Therapeutics’ commercialization of Tyvaso DPI. Because United Therapeutics is solely responsible for the development, marketing, promotion, and sale of Tyvaso DPI, our ability to maintain and grow this revenue is highly dependent on the commercial performance of Tyvaso DPI and on United Therapeutics’ strategic priorities, resource allocation decisions, and overall commitment to undertake development activities that could potentially expand the therapeutic indications for Tyvaso DPI. Moreover, we have limited control over United Therapeutics’ commercialization activities, including decisions related to marketing strategy, salesforce deployment, pricing, market access, physician outreach, patient support programs, and the prioritization of Tyvaso DPI relative to other products in its portfolio.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United Therapeutics reduces its commercial emphasis on Tyvaso DPI, diverts resources toward Tresmi or other therapies, or if Tresmi, if and when launched, displaces Tyvaso DPI in the market, our revenues from Tyvaso DPI could decline materially and may not be offset by revenues from ralinepag DPI (MNKD-1501) or any other product in our collaboration. United Therapeutics’ strategic priorities are outside our control, and we cannot predict how evolving market dynamics, product differentiation claims, or United Therapeutics’ internal assessments will influence its promotional and development strategies.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reduction in Tyvaso DPI sales—including due to competitive products introduced by United Therapeutics itself, shifting promotional strategies, or physician or patient preference trends influenced by United Therapeutics’ messaging or otherwise—would adversely affect our results of operations. Our business and results of operations remain significantly exposed to United Therapeutics’ strategic and commercial decisions.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 order to increase adoption and sales of our products, we need to continue to develop our commercial organization, including maintaining and growing a highly experienced and skilled workforce with qualified sales representatives.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sales forces promote our products to different target groups of physicians. In order to successfully commercialize our approved products, we must continue to build our sales, marketing, distribution, managerial and other commercial capabilities. The market for skilled commercial personnel is highly competitive, and we may not be able to hire all of the personnel we need on a timely basis or retain them for a sufficient period. Factors that may hinder our ability to successfully market and commercially distribute our products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recruit, retain and effectively manage adequate numbers of effective sales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complementary products to be offered by sales personnel, which may put us at a competitive disadvantage relative to companies that have more extensive product lines;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delays, costs and expenses associated with maintaining our sales organization.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maintain effective sales forces for our products, including potential future products, we may not be able to generate sufficient product revenue in the United States. We are required to expend significant time and resources to train our sales forces to educate physicians about our products. In addition, we must continually train our sales forces and equip them with effective marketing materials to ensure that a consistent and appropriate message about our products is being delivered to our potential customers. We currently have limited resources compared to some of our competitors, and the continued development of our own commercial organization to market our products and any additional products we may develop or acquire will be expensive and time-consuming. We also cannot be certain that we will be able to continue to successfully develop this capability.</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Similarly, if UT does not effectively engage or maintain its sales force for Tyvaso DPI, our ability to recognize royalties and manufacturing revenue from this collaboration will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Manufacturing risks may adversely affect our ability to manufacture our products and Tyvaso DPI, which could reduce our gross margin and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Afrezza and Tyvaso DPI are manufactured by us in our Danbury, Connecticut facility, where we assemble the inhalers from their individual molded parts, formulate the inhalation powders, fill plastic cartridges with the powders, package the cartridges into secondary packaging and assemble the final kits. If and when needed, we also utilize a contract packager to assemble final kits for commercial sale.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production to commercial batch sizes. These problems include difficulties with production costs, capacity utilization and yields. We may also experience shortages of qualified personnel, which could impact our ability to meet manufacturing requirements. In addition, there is a need to comply with strictly enforced federal, state and foreign regulations, including inspections. Our facility is inspected on a regular basis by the FDA. If the FDA makes any major observations during future inspections, the corrective actions required could be onerous and time-consuming.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factors could cause us to delay or suspend production, could entail higher costs and may result in our being unable to obtain sufficient quantities for the commercialization of drug products at the costs that we currently anticipate. If we fail to deliver the required commercial quantities of the product on a timely basis, at commercially reasonable prices and at acceptable quality, and we were unable to promptly find on a timely basis one or more replacement manufacturers capable of production at a substantially equivalent cost, in substantially equivalent volume and quality, we would likely be unable to meet demand for such drug products and we would lose potential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demand for our products increases, we may have to invest additional resources to purchase components, hire and train employees, and enhance or expand our manufacturing capabilities. If we fail to increase our production capacity efficiently, our sales may not increase in line with our forecasts and our operating margins could fluctuate or decline. In addition, we may be unable to support commercialization of Tyvaso DPI.</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Unlike Afrezza and Tyvaso DPI, which are assembled and formulated domestically, V-Go is wholly manufactured on our behalf by contract manufacturers located in China. Our contract manufacturer uses MannKind-owned, custom-designed, semi-automated manufacturing equipment and production lines to meet our quality requirements. Separate contract manufacturers in China perform release testing, sterilization, inspection and packaging functions. As a result, our V-Go business is subject to risks associated with doing business in China,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political and economic conditions, particularly those potentially negatively affecting the trade relationship between the United States and China;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 protection measures and import and export licensing and control requirements, although in July 2025, we received a ruling from U.S. Customs and Border Protection that V-Go qualifies for duty-free treatment under subheading 9817.00.96 of the Harmonized Tariff Schedule of the United States (“HTSUS”);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potentially negative consequences from changes in tax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associated with the Chinese legal system, including increased costs and uncertainties associated with enforcing contractual obligations in China;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historically lower protection of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or unfavorable changes in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and volatility in currency exchange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possible patient or physician preferences for more established pharmaceutical products and medical devices manufactured in the United States;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managing foreign relationships and operations generally.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risks may be exacerbated by our limited experience with V-Go and its manufacturing processes. If V-Go does not continue to qualify for duty-free treatment, any tariffs that apply to imported goods from China could materially and adversely affect our margins on V-Go sales.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Similarly, the drug formulation and device components of Furoscix are manufactured for us by third parties, some of which are outside the United States. In addition to the risks identified above, any future curtailment in the availability of materials could result in production or other delays with consequent adverse effects on us. In addition, because regulatory authorities must generally approve raw material sources for pharmaceutical products, changes in raw material suppliers may result in production delays or higher raw material costs.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pStyle w:val="TextBody"/>
        <w:bidi w:val="0"/>
        <w:jc w:val="left"/>
        <w:rPr>
          <w:rFonts w:ascii="Times New Roman" w:hAnsi="Times New Roman"/>
          <w:color w:val="000000"/>
          <w:sz w:val="20"/>
        </w:rPr>
      </w:pPr>
      <w:r>
        <w:rPr>
          <w:rFonts w:ascii="Times New Roman" w:hAnsi="Times New Roman"/>
          <w:color w:val="000000"/>
          <w:sz w:val="20"/>
        </w:rPr>
        <w:t>For the commercial manufacture of inhaled drug products, we need access to sufficient, reliable and affordable supplies of raw materials for formulating powders, such as fumaryl diketopiperazine (or FDKP), as well as other components, such as the inhaler and the related cartridges. For Afrezza, we also require a supply of insulin. Currently, the only source of insulin that we have qualified for Afrezza is manufactured by Amphastar. We must rely on all of our suppliers to comply with relevant regulatory and other legal requirements, including the production of insulin and FDKP in accordance with current good manufacturing practices (or cGMP) for drug products, and the molding of the inhaler and cartridges components in accordance with the quality management system regulations for medical devices (or QMSRs).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certain other components, such as packaging materials, we obtain materials from a limited number of suppliers, including some parts and components that are purchased from single-source vendors. For outsourced products such as Furoscix and V-Go, this is also true for some of the components required by our contract manufacturers. Depending on a limited number of suppliers exposes us to risks, including limited control over pricing, availability, quality and delivery schedules. In addition, we do not have long-term supply agreements for such components and, in many cases, purchases are made on a purchase order basis. As a result, our suppliers have no obligation to manufacture for us or sell to us any given quantity of components. Because we do not have long-standing relationships with all of the suppliers in our supply chain, we may not be able to convince them to continue to make components available to us unless there is demand for such components from their other customers. If any one or more of our suppliers cease to provide us with sufficient quantities of components in a timely manner or on pricing and quality terms acceptable to us, we would have to seek alternative sources of supply. Because of factors such as the proprietary nature of our products, our quality control standards and regulatory requirements, we cannot quickly engage additional or replacement suppliers for some of our critical components.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materials sourced from suppliers located outside the United States have or may become subject to tariffs under U.S. trade policies. Although our current inventories of such materials are sufficient to meet our projected production levels for at least the next six months, our manufacturing costs may be impacted by any prevailing tariffs on imports at the time such materials enter the United States. Components made domestically from imported materials that are or become subject to tariffs would be expected to become more expensive in the future. These and any future tariffs will increase our cost of goods and decrease our operating margins.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have difficulty obtaining similar components from other suppliers that meet the requirements of the FDA or other regulatory agencies. Although we conduct our own inspections and review and/or approve investigations of each supplier, there can be no assurance that the FDA, upon inspection, would find that the supplier substantially complies with the QMSR or cGMP requirements, where applicable. If a supplier fails to comply with these requirements or the comparable requirements in foreign countries, regulatory authorities may subject us to regulatory action, including criminal prosecutions, fines and suspension of the manufacture of our products. If we are required to find a new or additional supplier, we will need to evaluate that supplier’s ability to provide material that meets regulatory requirements, including cGMP or QMSR requirements, as well as our specifications and quality requirements, which would require significant time and expense and could delay production.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our ability to purchase adequate quantities of the components for our products may be limited. Additionally, our suppliers may encounter problems that limit their ability to manufacture components for us, including financial difficulties or damage to their manufacturing equipment or facilities. In general, if any of our suppliers is unwilling or unable to meet its supply obligations or if we encounter delays or difficulties in our relationships with manufacturers or suppliers, and we are unable to secure an alternative supply source in a timely manner and on favorable terms, our business, financial condition, and results of operations may be harmed and the market price of our common stock and other securities may decline.</w:t>
      </w:r>
    </w:p>
    <w:p>
      <w:pPr>
        <w:pStyle w:val="TextBody"/>
        <w:bidi w:val="0"/>
        <w:spacing w:before="360" w:after="283"/>
        <w:jc w:val="left"/>
        <w:rPr>
          <w:rFonts w:ascii="Times New Roman" w:hAnsi="Times New Roman"/>
          <w:sz w:val="20"/>
        </w:rPr>
      </w:pPr>
      <w:r>
        <w:rPr>
          <w:rFonts w:ascii="Times New Roman" w:hAnsi="Times New Roman"/>
          <w:b/>
          <w:i/>
          <w:color w:val="000000"/>
          <w:sz w:val="20"/>
        </w:rPr>
        <w:t>International trade policies, including tariffs, sanctions and trade barriers may adversely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operate in a global economy, and our business depends on a global supply chain for the development, manufacturing, and distribution of our products, and for the advancement of our preclinical and clinical development programs.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Recent and potential future changes in international trade policies, particularly regarding U.S.-China trade relations and pharmaceutical-specific tariffs, present material risks to our operations and financial performance. While we manufacture Afrezza and Tyvaso DPI in our Danbury, Connecticut facility and our Furoscix contract manufacturers have domestic operations, we and our suppliers must obtain raw materials, chemicals, device components, and specialized equipment from international sources. In addition, V-Go is manufactured for us by contract manufacturers in China, although this product is currently eligible for duty-free treatment under a specific exemption in the HTSUS.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Unlike many industries, our ability to pass increased costs to customers is limited by the structure of pharmaceutical and medical device pricing and reimbursement systems. Pricing for our products is established through annual or multi-year contracts with commercial, third-party payers and pharmacy benefit managers, customers, and group purchasing organizations, and reimbursement methodologies established by government programs, such as Medicare. These arrangements typically include fixed pricing terms that were negotiated prior to the implementation of the recently announced tariffs. As a result, and depending on the timing and scope of the implementation of these tariffs, cost increases due to tariffs may be difficult or impossible to pass through to customers until the next negotiation cycle, which could be up to 36 months away.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Current or future tariffs will also result in increased manufacturing expense, as well as research and development expenses, including with respect to increased costs associated with active pharmaceutical ingredients, raw materials, laboratory equipment and research materials and components.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and negatively impact our business, results of operations, financial condition and growth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and adversely affect our business, ability to access the capital markets or other financing sources, results of operations, financial condition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royalty revenue and results of operations may also be adversely impacted if our marketing and collaboration partner, United Therapeutics, is adversely impacted by any of the factors described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tariffs and other trade developments have and may continue to heighten the risks related to the other risk factors described elsewhere in this report.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third-party payers do not cover our approved products, such products might not be prescribed, used or purchased, which would adversely affect our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and elsewhere, sales of prescription pharmaceuticals depend in large part on the availability of coverage and adequate reimbursement to the consumer from third-party payers, such as government health administration authorities and private insurance plans. In general, patients are less likely to use our products unless coverage is provided and reimbursement is adequate to cover a significant portion of the cost of our products. Third-party payers are increasingly challenging the prices charged for medical products and services. The market for our approved products depends significantly on access to third-party payers’ formularies, which are the lists of medications and devices for which third-party payers provide coverage and reimbursement. The industry competition to be included in such formularies often leads to downward pricing pressures on pharmaceutical and device companies. Also, third-party payers may refuse to include a particular branded product in their formularies or otherwise restrict patient access to a branded product when a less costly generic equivalent or other alternative is available. Because each third-party payer individually approves coverage and reimbursement levels, obtaining coverage and adequate reimbursement is a time-consuming and costly process. We may be required to provide scientific and clinical support for the use of any product to each third-party payer separately with no assurance that approval would be obtained. Even if favorable coverage and reimbursement status is attained from some payers for our products, less favorable coverage policies and reimbursement rates may be implemented in the future. Such less favorable coverage could impact the market acceptance of any product and could have a negative effect on our revenues and operating results. Even if we succeed in bringing more products to market, we cannot be certain that any such products would be considered cost-effective or that coverage and adequate reimbursement to the consumer would be available.</w:t>
      </w:r>
    </w:p>
    <w:p>
      <w:pPr>
        <w:pStyle w:val="TextBody"/>
        <w:bidi w:val="0"/>
        <w:jc w:val="left"/>
        <w:rPr>
          <w:rFonts w:ascii="Times New Roman" w:hAnsi="Times New Roman"/>
          <w:color w:val="000000"/>
          <w:sz w:val="20"/>
        </w:rPr>
      </w:pPr>
      <w:r>
        <w:rPr>
          <w:rFonts w:ascii="Times New Roman" w:hAnsi="Times New Roman"/>
          <w:color w:val="000000"/>
          <w:sz w:val="20"/>
        </w:rPr>
        <w:t xml:space="preserve">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the Inflation Reduction Act of 2022 (“IRA”) limited insulin copays to $35 per month for Medicare Part D beneficiaries starting in 2023. Further, the U.S. Department of Health and Human Services (“HHS”) imposes rebates on many Medicare Part B and Medicare Part D products to penalize price increases that outpace inflation on an annual basis. In addition, HHS has been empowered to negotiate the price of certain single-source drugs that have been on the market for at least seven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on a per unit basis. If coverage and adequate reimbursement are not available, or are available only to limited levels, we may not be able to successfully commercialize our current and any future product candidates that we develop, which could have an adverse effect on our operating results and our overall financial condition. In certain foreign markets, the pricing of prescription pharmaceuticals is subject to direct governmental control.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any collaboration partner is unable to obtain and maintain coverage of, and adequate third-party reimbursement for, our approved products, physicians may limit how much or under what circumstances they will prescribe or administer them and patients may decline to purchase them. This in turn could affect our or any collaboration partner’s ability to successfully commercialize such products and would impact our profitability, results of operations, financial condition,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realize the anticipated benefits of the scPharma acquisition or any future acquisition or strategic transaction; we may be unable to successfully integrate new products, technologies or businesses we acquire.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2025, we acquired scPharma as part of a strategy of assessing potential strategic acquisitions, dispositions, partnerships and other strategic transactions. We expect to continue this strategy by periodically evaluating and pursuing acquisition of companies, therapeutic products, product candidates and technologies. The integration of any acquired business, product, technology or other assets into our company may be complex and time-consuming and, if such businesses, products, technologies or assets are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successfully integrated, we may not achieve the anticipated benefits, cost-savings or growth opportunities. Potential difficulties that may be encountered in the integration process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liabilities related to acquired assets, companies or joint ventures;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integrating personnel, operations and systems, while maintaining focus on producing and delivering consistent, high quality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coordinating geographically dispersed organizations;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management time and focus from operating our business to management of strategic alliances or joint ventures or acquisition integration challenges;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retention of key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in our expenses and reductions in our cash available for operations and other uses;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retaining existing customers and attracting new customers;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inefficiencies associated with integrating the operations of our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possible write-offs or impairment charges relating to acquired assets, businesses or joint ventures.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these acquisitions and other arrangements, even if successfully integrated, may fail to further our business strategy as anticipated, expose us to increased competition or challenges with respect to our products or geographic markets, and expose us to additional liabilities or restructuring costs associated with an acquired business, product, technology or other asset or arrangement. In particular, the scPharma acquisition may have a potentially adverse effect on our net debt and liquidity position as a result of the acquisition purchase price being paid in cash. Because we incurred debt to pay for the acquisition, our interest expense, leverage and debt service requirements have increased significantly. Any one of these challenges or risks could impair our ability to realize any benefit from our acquisitions or arrangements after we have expended resources on them. Future acquisitions or dispositions could also result in potentially dilutive issuances of our equity securities, the incurrence of debt, contingent liabilities or amortization expenses or write-offs of goodwill, developed technologies and in-process research and development, any of which could harm our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need to raise additional capital to fund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our products and the development of our product candidates. It may be difficult for us to raise additional funds on favorable terms, or at all. The extent of our additional funding requirements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to which we are able to generate revenue from products that we or a collaboration partner commercialize;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milestone(s) that trigger one or more CVR payments;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developing and commercializing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repay or refinance existing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of progress and costs of our clinical studies and R&amp;D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procuring raw materials and operating our manufacturing facility;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in establishing additional strategic business collaborations or other sales or licensing of assets, and the timing and amount of any payments we might receive from any such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actions taken by the FDA and other regulatory authorities affecting Afrezza, Furoscix, V-Go, Tyvaso DPI, our product candidates or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emergence of competing technologies and products and other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prosecuting, maintaining and enforcing patent claims and other intellectual property rights or defending against claims of infringement by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our legal and litigation expenses;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discontinuing projects and technologies, and/or decommissioning existing facilities, if we undertake any such activities.</w:t>
      </w:r>
    </w:p>
    <w:p>
      <w:pPr>
        <w:pStyle w:val="TextBody"/>
        <w:bidi w:val="0"/>
        <w:jc w:val="left"/>
        <w:rPr>
          <w:rFonts w:ascii="Times New Roman" w:hAnsi="Times New Roman"/>
          <w:color w:val="000000"/>
          <w:sz w:val="20"/>
        </w:rPr>
      </w:pPr>
      <w:r>
        <w:rPr>
          <w:rFonts w:ascii="Times New Roman" w:hAnsi="Times New Roman"/>
          <w:color w:val="000000"/>
          <w:sz w:val="20"/>
        </w:rPr>
        <w:t>We have raised capital in the past through borrowings and the sale of equity and debt securities and the sale of certain assets. In the future, we may pursue the sale of additional equity, debt securities and/or assets, or the establishment of other funding facilities including asset-based borrowings. There can be no assurances, however, that we will be able to raise additional capital in the future on acceptable terms, or at all. Volatility and disruptions of the global supply chain and financial markets, if sustained or recurrent, could prevent us or make it more difficult for us to access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Issuances of additional debt or equity securities or the issuance of common stock upon conversion of outstanding convertible debt securities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may also raise additional capital by pursuing opportunities for the licensing or sale of certain intellectual property and other assets. We cannot offer assurances, however, that any strategic collaboration,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that sufficient additional funds are not obtained through strategic collaboration opportunities, sales of securities, funding facilities, licensing arrangements, borrowing arrangements and/or asset sales on a timely basis, we may be required to reduce expenses through the delay, reduction or curtailment of our projects, or further reduction of costs for facilities and administration.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our data or information technology systems,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third parties with whom we work, employ and are increasingly dependent upon information technology systems, infrastructure, applications, websites and other resources. Our business, and that of the third parties with whom we work, requires collecting, receiving, manipulating, analyzing, storing, processing, generating, using, disclosing, protecting, securing, transmitting, sharing, disposing of, and making accessible (collectively “processing”) large amounts of data, including proprietary, confidential and sensitive data (such as personal or health-related data), intellectual property, and trade secrets (collectively, “sensitive information”). As a result, we and the third parties with whom we work face a variety of evolving threats that could cause security incidents.</w:t>
      </w:r>
    </w:p>
    <w:p>
      <w:pPr>
        <w:pStyle w:val="TextBody"/>
        <w:bidi w:val="0"/>
        <w:jc w:val="left"/>
        <w:rPr>
          <w:rFonts w:ascii="Times New Roman" w:hAnsi="Times New Roman"/>
          <w:color w:val="000000"/>
          <w:sz w:val="20"/>
        </w:rPr>
      </w:pPr>
      <w:r>
        <w:rPr>
          <w:rFonts w:ascii="Times New Roman" w:hAnsi="Times New Roman"/>
          <w:color w:val="000000"/>
          <w:sz w:val="20"/>
        </w:rPr>
        <w:t xml:space="preserve">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increase,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goods and services. We and the third parties with whom we work may be subject to physical threats, such as telecommunications failures, earthquakes, fires or floods, as well as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(such as credential stuffing), credentials harvesting, personnel misconduct or error, ransomware attacks, supply-chain attacks, software bugs, server malfunctions, software or hardware failures, loss of data or other information technology assets, adware, attacks enhanced or facilitated by artificial intelligence, and other similar threats. Ransomware attacks, including by organized criminal threat actors, nation-states, and nation-state-supported actors,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Some of our workforce works remotely, which also poses increased risks to our information technology systems and data, as employees working from home, in transit or in public locations, utilize network connections, computers and devices outside our premises or network.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rely on third parties and technologies to operate critical business systems to process sensitive information in a variety of contexts, including, without limitation, cloud-based infrastructure, data center facilities, encryption and authentication technology, employee email and productivity software, and other functions. We also rely on third-party service providers to provide other products or services, or otherwise to operate our business. Our business, including our ability to manufacture drug products and conduct clinical trials, therefore depends on the continuous, effective, reliable and secure operation of our information technology resources and those of third parties with whom we work, including computer hardware, software, networks, Internet servers and related infrastructure.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In particular,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 While we may be entitled to damages if our third-party service providers fail to satisfy their privacy or security-related obligations to us, any award may be insufficient to cover our damages, or we may be unable to recover such award. </w:t>
      </w:r>
    </w:p>
    <w:p>
      <w:pPr>
        <w:pStyle w:val="TextBody"/>
        <w:bidi w:val="0"/>
        <w:jc w:val="left"/>
        <w:rPr>
          <w:rFonts w:ascii="Times New Roman" w:hAnsi="Times New Roman"/>
          <w:color w:val="000000"/>
          <w:sz w:val="20"/>
        </w:rPr>
      </w:pPr>
      <w:r>
        <w:rPr>
          <w:rFonts w:ascii="Times New Roman" w:hAnsi="Times New Roman"/>
          <w:color w:val="000000"/>
          <w:sz w:val="20"/>
        </w:rPr>
        <w:t>While we have implemented security measures designed to protect against security incidents, there can be no assurance that these measures will be effective. We take steps designed to detect, mitigate and remediate vulnerabilities in our information technology systems (such as our hardware and/or software, including that of third parties with whom we work), but we may not be able to detect, mitigate, and remediate all such vulnerabilities on a timely basis. It may also be difficult and/or costly to detect, investigate, mitigate, contain, and remediate a security incident. Further, we may experience delays in developing and deploying remedial measures and patches designed to address identified vulnerabilities, which could be exploited and result in a security incident.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A security incident or other interruption could disrupt our ability (and that of third parties with whom we work) to provide our products. We may expend significant resources or modify our business activities (including our clinical trial activities) to try to protect against security incidents. Certain data privacy and security obligations have required us to implement and maintain specific security measures, industry-standards or reasonable security measures to protect our information technology systems and sensitive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For example, although we have not directly experienced a cyberattack, third parties with whom we work have experienced security incidents, such as the SolarWinds attack in December 2020, the ransomware attack on Kronos Private Cloud in December 2021 and the Change Healthcare data breach in February 2024. In all of these cases, we were able to apply software patches or move operations to a new provider in order to avoid any negative impact on our operations or the sensitive information we may process. Nonetheless, these incidents illustrate that despite our efforts to identify and remediate vulnerabilities, if any, in our information technology systems and those of third parties with whom we work, our efforts may not be successful.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identify theft protection services. Such disclosures and related actions can be costly, and the disclosures or the failure to comply with such applicable requirements could lead to adverse consequences. If we (or a third party with whom we work) experience a security incident or are perceived to have experienced a security incident, we may experience material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material attendant consequences may cause customers to stop using our products, deter new customers from using our products, and negatively impact our ability to grow and operate our business. Additionally, our contracts may not contain limitations of liability, and even where they do, there can be no assurance that limitations of liability in our contracts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are sufficient to protect us from liabilities, damages, or claims related to our data privacy and security obligations. We cannot be sure that our cybersecurity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jc w:val="left"/>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Sensitive information of the Company or our customers could also be leaked, disclosed, or revealed as a result of or in connection with the use of generative artificial intelligence (“AI”) technologies by our employees, personnel or vendors.</w:t>
      </w:r>
    </w:p>
    <w:p>
      <w:pPr>
        <w:pStyle w:val="TextBody"/>
        <w:bidi w:val="0"/>
        <w:jc w:val="left"/>
        <w:rPr>
          <w:rFonts w:ascii="Times New Roman" w:hAnsi="Times New Roman"/>
          <w:b/>
          <w:i/>
          <w:color w:val="000000"/>
          <w:sz w:val="20"/>
        </w:rPr>
      </w:pPr>
      <w:r>
        <w:rPr>
          <w:rFonts w:ascii="Times New Roman" w:hAnsi="Times New Roman"/>
          <w:b/>
          <w:i/>
          <w:color w:val="000000"/>
          <w:sz w:val="20"/>
        </w:rPr>
        <w:t>We expect that our results of operations will fluctuate for the foreseeable future, which may make it difficult to predict our future performance from period to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may need to raise additional capital to fund our operations.” In addition, the current inflationary environment related to increased aggregate demand and supply chain constraints has the potential to adversely affect our operating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comparisons from period to period of our financial results are not necessarily meaningful and should not be relied upon as indications of our future performance.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Blackstone Credit Facility contains restrictive covenants that may materially limit our operating flexibility. A default under the instruments governing our indebtedness, including the Blackstone Credit Facility, could materially and adversely affect our financial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Blackstone Credit Facility requires us, and any debt arrangements we may enter into in the future may require us, to comply with various covenants that limit our ability to,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dispose of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complete mergers or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indebtedness or modify existing debt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 royalties or revenue interests;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amend or modify certain material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engage in additional lines of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encumber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 dividends or make other distributions to holders of our capital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specified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certain organizational documents;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engage in transactions with our affiliates.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Blackstone Credit Facility requires us to maintain at least $40.0 million of liquidity, tested quarterly, with liquidity defined as our unrestricted cash and cash equivalents held in collateral accounts of the lenders. The covenants in the Blackstone Credit Facility could prevent us from pursuing business opportunities that we or our stockholders may consider beneficial.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obligations under the Blackstone Credit Facility are guaranteed by each of our subsidiaries and any future subsidiaries, subject to limited exceptions, and are secured by a security interest in substantially all of our and the subsidiary guarantors’ assets, including intellectual property. A breach of any of these covenants could result in an event of default under the Blackstone Credit Facility. If we default under our obligations under the Blackstone Credit Facility, the lenders could proceed against the collateral granted to them to secure our indebtedness or declare all obligations under the Blackstone Credit Facility to be due and payable. In certain circumstances, procedures by the lenders could result in a loss by us of all of our equipment and inventory, which are included in the collateral granted to the lenders. In addition, upon any distribution of assets pursuant to any liquidation, insolvency, dissolution, reorganization or similar proceeding, the holders of secured indebtedness will be entitled to receive payment in full from the proceeds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collateral securing our secured indebtedness before the holders of other indebtedness or our common stock will be entitled to receive any distribution with respect thereto.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can be no assurance that we will have sufficient resources to make any required repayments of principal and interest under the terms of our indebtedness when required. If we fail to pay interest on the Blackstone Credit Facility when required or principal at maturity, we will be in default and may also suffer an event of default under the terms of other borrowing arrangements that we may enter into from time to time. In addition, a default under other indebtedness of ours in an aggregate principal amount of $10.0 million or more would constitute an event of default under the Blackstone Credit Facility. Any of these events could have a material adverse effect on our business, results of operations and financial condition, up to and including lenders initiating bankruptcy proceedings or causing us to cease operations altogether.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incur losses and may not generate positive or sufficient cash flow from operations in the future which may have an adverse impact on our working capital, total assets and stockholders' equity and our ability to service all of our indebtedness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sustain positive cash flow from operations and profitability depends heavily upon successfully commercializing our products, and although we had positive cash flows from operations and net income in the year ended December 31, 2025, we may not continue to generate positive cash flow from operations or be profitable in the future. In addition, we cannot assure you that we will maintain a level of cash flows from operating activities sufficient to permit us to make scheduled payments on our insulin purchase commitments and debt obligations. If our cash flows and capital resources are insufficient to fund our obligations, we may be forced to reduce or delay capital expenditures, sell assets or operations, seek additional capital or restructure or refinance our obligations. In the past, we have had losses that have had, and we may in the future have losses that have, an adverse impact on our working capital, total assets and stockholders’ equity.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we had an accumulated deficit of $3.2 billion. The accumulated deficit has resulted principally from costs incurred in our R&amp;D programs, the write-off of assets (including goodwill, inventory and property, plant and equipment) and general operating expenses. We expect to make substantial expenditures and may incur operating losses in the future in order to continue commercializing our products and to advance development of product candidates in our pipeline. </w:t>
      </w:r>
    </w:p>
    <w:p>
      <w:pPr>
        <w:pStyle w:val="TextBody"/>
        <w:bidi w:val="0"/>
        <w:jc w:val="left"/>
        <w:rPr>
          <w:rFonts w:ascii="Times New Roman" w:hAnsi="Times New Roman"/>
          <w:color w:val="000000"/>
          <w:sz w:val="20"/>
        </w:rPr>
      </w:pPr>
      <w:r>
        <w:rPr>
          <w:rFonts w:ascii="Times New Roman" w:hAnsi="Times New Roman"/>
          <w:color w:val="000000"/>
          <w:sz w:val="20"/>
        </w:rPr>
        <w:t>In addition, we may from time to time seek to retire or purchase our outstanding debt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The amounts involved in any such transactions, individually or in the aggregate, may be material. Further, any such purchases or exchanges may result in us acquiring and retiring a substantial amount of such indebtedness, which could impact the trading liquidity of such indebtedness.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product sales, results of operations and ability to access capital could be adversely affected by the effects of health pandemics or epidemics, in regions where we or third parties distribute our products or where we or third parties on which we rely have significant manufacturing facilities, concentrations of clinical trial sites or other business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could be adversely affected by the effects of health pandemics or epidemics in regions where we have business operations, and we could experience significant disruptions in the operations of third-party manufacturers and distributors upon whom we rely. For example, sales and demand for Afrezza were adversely affected by the global COVID-19 pandemic, and future pandemics or epidemics could adversely affect the demand for and sales of our products in the future. Quarantines, shelter-in-place and similar government orders, or the perception that such orders, shutdowns or other restrictions on the conduct of business operations could occur, related to infectious diseases, could impact personnel at third-party manufacturing facilities in the United States and other countries, or the availability or cost of materials, which would disrupt our supply chain. In addition, our contract manufacturers in China could be impacted by that country’s policy of strict lockdowns in order to reduce the spread of disease. Disruptions in sales and demand for our products would be expected to occur: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patients are physically quarantined or are unable or unwilling to visit healthcare providers,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physicians restrict access to their facilities for a material period of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healthcare providers prioritize treatment of acute or communicable illnesses over chronic disease management,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pharmacies are closed or suffering supply chain disruptions,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patients lose access to employer-sponsored health insurance due to periods of high unemployment,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general disruptions in the operations of payers, distributors, logistics providers and other third parties that are necessary for our products to be prescribed and reimbursed.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trials of our products were delayed as a result of the COVID-19 pandemic and may be affected by a future health pandemic or epidemic. Clinical site initiation and patient enrollment may be delayed due to prioritization of hospital resources toward the health pandemic or epidemic. Some patients may not be able or willing to comply with clinical trial protocols if quarantines impede patient movement or interrupt healthcare services. Similarly, our ability to recruit and retain patients and principal investigators and site staff would adversely impact our clinical trial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pandemic or epidemic also has the potential for disruption of global financial markets. This disruption, if sustained or recurrent, could make it more difficult for us to access capital, which could negatively affect our liquidity. In addition, a recession or market correction as a result of a health pandemic or epidemic could materially affect our business and the value of our common stock.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do not obtain regulatory approval of our products in foreign jurisdictions, we will not be able to market in such jurisdictions, which could limit our commercial revenues. We may not be able to establish additional regional partnerships or other arrangements with third parties for the commercialization of our products outside of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Afrezza has been approved in the United States, Brazil and India, but we have not yet obtained approval in any other jurisdiction. V-Go has received 510(k) clearance from the FDA, but has not received a comparable approval in any other country. Similarly, Furoscix is approved only in the United States. In order to market our products in a foreign jurisdiction, we must obtain regulatory approval in each such foreign jurisdiction, and we may never be able to obtain such approvals. The research, testing, manufacturing, labeling, sale, import, export, marketing, and distribution of therapeutic products outside the United States are subject to extensive regulation by foreign regulatory authorities, whose regulations differ from country to country. We will be required to comply with the different regulations and policies of the jurisdictions where we seek approval for our products, and we have not yet identified all of the requirements that we will need to satisfy to submit our products for approval for other jurisdictions. This will require additional time, expertise and expense, including the potential need to conduct additional studies or development work for other jurisdictions beyond the work that we have conducted to support the approval of our products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current strategy for the future commercialization of our products outside of the United States, subject to receipt of the necessary regulatory approvals, is to seek, establish and maintain regional partnerships in foreign jurisdictions where there are commercial opportunities. It may be difficult to find or maintain collaboration partners that are able and willing to devote the time and resources necessary to successfully commercialize our products.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and may not be able to find a suitable collaboration partner in a timely manner on acceptable terms, or at all. Any of these factors could cause delay or prevent the successful commercialization of our products in foreign jurisdictions and could have a material and adverse impact on our business, financial condition and results of operations and the market price of our common stock and other securities could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Continued testing of our products and product candidates may not yield successful results, and even if it does, we may still be unable to successfully commercialize our current or future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generally sought to develop product candidates through our internal research programs. All product candidates require preclinical, clinical and other testing prior to seeking regulatory approval to market them. Accordingly, the development timelines for product candidates can stretch over many years. Further research and development on these programs requires significant financial resources. Given our limited financial resources, we may not be able to complete the full clinical development of our product candidates unless we are able to obtain specific funding for these programs or enter into collaborations with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analysis of data collected from clinical studies of our products and product candidates may not reach the statistical significance necessary, or otherwise be sufficient to support FDA or other regulatory approval for the claimed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after reviewing clinical data, we or any collaborators may abandon projects that we previously believed were promising;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not produce the desired effects or may result in adverse health effects or other characteristics that preclude regulatory approval or limit their commercial use once approved;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caused by geopolitical conflicts, man-made or natural disasters or public health pandemics or epidemics or other business interruptions.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any of these events, we, any collaborator, the FDA, or any other regulatory authorities may suspend or terminate clinical studies or marketing of any of our products or product candidates at any time. Any suspension or termination of our clinical studies or marketing activities may harm our business, financial condition and results of operations and the market price of our common stock and other securities may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do not achieve our projected development goals in the timeframes we expect, our business, financial condition and results of operations will be harmed and the market price of our common stock and other securities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of progress, costs and results of our clinical studies and preclinical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and enroll patients who meet clinical study eligibility criteria;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access sufficient, reliable and affordable supplies of components used in the manufacture of our product candidates or to source clinical supplies from contract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expanding and maintaining manufacturing operations, as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our clinical studies compete for clinical sites and eligible subjects with clinical studies sponsored by other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actions by regulators;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caused by geopolitical conflicts, man-made or natural disasters or public health pandemics or epidemics or other business interruptions.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fail to commence or complete, or experience delays in or are forced to curtail, our proposed development programs or otherwise fail to adhere to our projected development goals in the timeframes we expect (or within the timeframes expected by analysts or investors), our business, financial condition and results of operations may be harmed and the market price of our common stock and other securities may decline. In addition, we may be delayed or prevented from generating revenues from milestone or other payments that depend on our ability to achieve any milestone obligations specified in an out-licensing arrangement.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long-term safety and efficacy of approved products may differ from clinical studies, which could negatively impact sales and could lead to reputational harm or other negative effects.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approved therapeutic products over terms longer than the clinical studies or in much larger populations may not be consistent with earlier clinical results. If long-term use of an approved therapeutic product results in adverse health effects or reduced efficacy or both, the FDA or other regulatory agencies may terminate our or any collaboration partner’s ability to market and sell the product, may narrow the approved indications for use or otherwise require restrictive product labeling or marketing, or may require further clinical studies, which may be time-consuming and expensive and may not produce favorable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V-Go received pre-market clearance in 2010 under Section 510(k) of the U.S. Federal Food, Drug, and Cosmetic Act. This process typically requires the submission of less supporting documentation than other FDA approval processes and does not always require long-term clinical studies. As a result, we currently lack significant published long-term clinical data supporting the safety and efficacy of V-Go and the benefits it offers that might have been generated in connection with other approval processes. For these reasons, adults who require insulin and their healthcare providers may be slower to adopt or recommend V-Go, we may not have comparative data that our competitors have or are generating, and third-party payers may not be willing to provide coverage or reimbursement for V-Go. Further, future studies or clinical experience may indicate that treatment with V-Go is not superior to treatment with competitive products. Such results could slow the adoption of V-Go and significantly reduce our sales, which could prevent us from achieving our forecasted sales targets or achieving or sustaining profitability. Moreover, if future results and experience indicate that V-Go causes unexpected or serious complications or other unforeseen negative effects, we could be subject to mandatory product recalls, suspension or withdrawal of FDA clearance or approval, significant legal liability or harm to our business reputation.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products, product candidates and technology may not be able to compete effectively or may be rendered obsolete.*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rapid rate of scientific discoveries and technological changes could result in our approved products, technologies or one or more of our product candidates becoming obsolete or noncompetitive. Third parties may develop or introduce new products that render our technology or products less competitive, uneconomical or obsolete. For example, on its February 2026 earnings call, United Therapeutics described Tresmi, a treprostinil solution for use in a soft mist inhaler, as a “category killer” in reference to dry-powder inhalers. If any of our Technosphere powders used in Afrezza, Tyvaso DPI, MNKD-1501, MNKD-201 and MNKD-701, which are based on our proprietary excipient, FDKP, are viewed to be inferior to alternative drug delivery technologies, our product portfolio and pipeline could be materially and adversely affected. Our future success may depend not only on our ability to develop our product candidates, but also our ability to improve them in order to keep pace with emerging industry developments. We cannot assure you that we will be able to do so.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Reports of side effects or safety concerns in related technology fields or in other companies’ clinical studies could delay or prevent us from obtaining regulatory approval for our product candidates or negatively impact public perception of our approved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a number of clinical studies being conducted by other pharmaceutical companies involving compounds similar to, or potentially competitive with, our product candidates. Adverse results reported by these other companies in their clinical studies or by companies that use our proprietary formulation and inhaler technologies could delay or prevent us from obtaining regulatory approval, may subject our products to class warnings in their labels or negatively impact public perception of our product candidates, which could harm our business, financial condition and results of operations and cause the market price of our common stock and other securities to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product liability claims are brought against us, we may incur significant liabilities and suffer damage to our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testing, manufacturing, marketing and sales of our products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as well as other liability policies.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lose any key employees, our operations and our ability to execute our business strategy could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we may be required to expand our workforce.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loss of the services of any principal member of our management, commercial and scientific staff could significantly delay or prevent the achievement of our scientific and business objectives. All of our employees are “at will” and we currently do not have employment agreements with any of the principal members of our management, commercial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products successfully.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internal controls over financial reporting are not considered effective, our business, financial condition and market price of our common stock and other securities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or modifications in financial accounting standards may harm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Financial Accounting Standards Board, either alone or jointly with other organizations, promulgates new accounting principles that could have an adverse impact on our reporting of financial position, results of operations and presentation or classification of cash flows. New pronouncements and varying interpretations of pronouncements have occurred with frequency in the past and are expected to occur again in the future and as a result we may be required to make changes in our accounting policies. Any difficulties in adopting or implementing new accounting standards, and updating or modifying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or our customers may have a material adverse effect on our business, cash flow,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The One Big Beautiful Bill Act (“OBBBA”), the IRA, the Coronavirus Aid, Relief, and Economic Security Act and legislation informally titled the Tax Cuts and Jobs Act enacted made significant changes to the U.S. tax laws. For example, the Tax Cuts and Jobs Act required taxpayers to capitalize and amortize U.S.-based and non-U.S.-based research and experimental, or R&amp;E, expenditures over five and fifteen years, respectively. The OBBBA restored the deductibility of domestic R&amp;E expenditures in the year incurred for tax years beginning after December 31, 2024, but retained the capitalization and amortization requirement for foreign R&amp;E expenditures. Further guidance from the Internal Revenue Service and other tax authorities with respect to such legislation may affect us, and certain aspects of any legislation could be repealed, modified or sunset in future years. In addition, it is uncertain if and to what extent various states will conform to federal tax laws. Future tax reform legislation could have a material impact on the value of our deferred tax assets and could increase our future U.S. tax expense.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ability to use net operating loss carryforwards to offset future taxable income may be subject to limitations.*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Company had federal and state net operating loss carryforwards of approximately $2.2 billion and $1.5 billion available, respectively, to reduce future taxable income. $520.5 million of the federal net operating loss carryforwards do not expire and the remaining federal net operating loss carryforwards will begin expiring in 2026 through various future 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Internal Revenue Code Sections 382 and 383, annual use of the Company’s federal and California net operating loss and research and development credit carryforwards may be limited in the event a cumulative change in ownership of more than 50% occurs within a three-year period. As a result of the Company's initial public offering, an ownership change within the meaning of Section 382 occurred in August 2004. As a result, federal net operating loss and credit carryforwards of approximately $105.8 million are subject to an annual use limitation of approximately $13.0 million. The annual limitation is cumulative and therefore, if not fully utilized in a year, can be utilized in future years in addition to the Section 382 limitation for those years. The Company is in the process of completing a Section 382 analysis beginning from the date of our initial public offering through December 31, 2025, to determine whether additional limitations may be placed on the net operating loss carryforwards and other tax attributes and does not anticipate any additional changes in ownership that meet Section 382 study ownership change threshold. There is a risk that changes in ownership may occur in tax years after December 31, 2025. If a change in ownership were to occur, our net operating loss carryforwards and other tax attributes could be further limited or restricted. If limited, the related asset would be removed from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deferred tax asset schedule with a corresponding reduction in the valuation allowance. Due to the existence of the valuation allowance, limitations created by future ownership changes, if any, related to the Company’s operations in the U.S. will not impact the Company’s effective tax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at the state level, there may be periods during which the use of net operating loss carryforwards is suspended or otherwise limited, which could accelerate or permanently increase state taxes owed. For example, California imposed limits on the usability of California state net operating losses to offset taxable income in tax years 2024 through 2026. As a result, if we earn net taxable income, we may be unable to use all or a material portion of our net operating loss carryforwards and other tax attributes, which could potentially result in increased future tax liability to us and adversely affect our future cash flows. </w:t>
      </w:r>
    </w:p>
    <w:p>
      <w:pPr>
        <w:pStyle w:val="TextBody"/>
        <w:bidi w:val="0"/>
        <w:spacing w:before="360" w:after="283"/>
        <w:jc w:val="left"/>
        <w:rPr>
          <w:rFonts w:ascii="Times New Roman" w:hAnsi="Times New Roman"/>
          <w:sz w:val="20"/>
        </w:rPr>
      </w:pPr>
      <w:r>
        <w:rPr>
          <w:rFonts w:ascii="Times New Roman" w:hAnsi="Times New Roman"/>
          <w:b/>
          <w:i/>
          <w:color w:val="000000"/>
          <w:sz w:val="20"/>
        </w:rPr>
        <w:t>Tax authorities may disagree with our positions and conclusions regarding certain tax positions, resulting in unanticipated costs, taxes or non-realization of expected benefits.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undertake internal restructuring activities in the future that could result in disruptions to our business or otherwise materially harm our results of operations or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deal with hazardous materials and must comply with environmental laws and regulations, which can be expensive and restrict how we do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work involves the controlled storage and use of hazardous materials, including chemical and biological materials.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we purchased our facility in Connecticut in 2001, a soil and groundwater investigation and remediation was being conducted by a former site operator (a “responsible party”) under the oversight of the Connecticut Department of Energy &amp; Environmental Protection (formerly the Connecticut Department of Environmental Protection), which investigation and remediation is ongoing. The former site operator and responsible party will make further filings necessary to achieve closure for the environmental investigation and remediation it has conducted at the site, and has agreed to indemnify us for any future costs and expenses we may incur that are directly related to its prior operations at the facility. If we are unable to collect these future costs and expenses, if any, from the responsible party, our business, financial condition and results of operations may be harmed. When we sold a portion of the property upon which our facility is located to the entity that is now our landlord, we became an additional responsible party for any environmental investigation and remediation on that portion of the property, including with respect to investigation or remediation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may be required as a result of our activities since 2001. To date, we have not identified any material environmental investigation or remediation activities that we are required to perform.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funding or staffing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Disruptions or significant changes in staffing levels at the FDA and other agencies may also slow the time necessary for new drugs to be reviewed and/or approved by necessary government agencies, which would adversely affect our business. For example, over the last decade, the U.S. government has shut down several times and certain regulatory agencies, such as the FDA and the SEC, have had to furlough critical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maintain our cash at financial institutions, often in balances that exceed federally insured limits.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the majority of our cash and cash equivalents in accounts at banking institutions in the United States that we believe are of high quality. Cash held in these accounts often exceed the Federal Deposit Insurance Corporation (“FDIC”) insurance limits. If such banking institutions were to fail, we could lose all or a portion of amounts held in excess of such insurance limitations.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jc w:val="left"/>
        <w:rPr>
          <w:rFonts w:ascii="Times New Roman" w:hAnsi="Times New Roman"/>
          <w:b/>
          <w:i/>
          <w:color w:val="000000"/>
          <w:sz w:val="20"/>
        </w:rPr>
      </w:pPr>
      <w:r>
        <w:rPr>
          <w:rFonts w:ascii="Times New Roman" w:hAnsi="Times New Roman"/>
          <w:b/>
          <w:i/>
          <w:color w:val="000000"/>
          <w:sz w:val="20"/>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activities for product candidates, as well as the manufacturing and marketing of approved products,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design, development, manufacture and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labeling;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storage and shipping;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pre-market clearance 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advertising and promotion;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sales and distribution.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requirements governing the conduct of clinical studies as well as the manufacturing and marketing of drug products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if there are any modifications to an approved product, including changes in indications, labeling, or manufacturing processes or facilities, we may be required to submit and obtain FDA approval of a new or supplemental NDA and/or supplemental biologics license application ("sBLA"), which may require us to develop additional data or conduct additional preclinical studies and clinical trials. Failure to comply with these requirements can result in regulatory enforcement actions and adverse publicity. If future clinical trials are unsuccessful, significantly delayed or not completed, we may not be able to market products for other indications.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submission of an NDA or BLA including any sNDA or sBLA, to the FDA with supporting clinical safety and efficacy data does not guarantee that the FDA will accept the submission for filing, or that the marketing approval application submissions to any other regulatory authorities will be accepted for filing and review by those authorities. We cannot be certain that we will be able to respond to any regulatory requests during the review period in a timely manner, or at all, without delaying potential regulatory action. We also cannot be certain that any of our product candidates will receive favorable recommendations from any FDA advisory committee or foreign regulatory bodies or be approved for marketing by the FDA or foreign regulatory authorities. In addition, delays in approvals or rejections of marketing applications may be based upon many factors, including regulatory requests for additional analyses, reports, data and studies, regulatory questions regarding data and results, changes in regulatory policy during the period of product development and the emergence of new information regarding our drug candidates. 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comply with regulatory requirements, we may not be able to obtain the labeling claims necessary or desirable for product promotion. We may also be required to undertake post-marketing studies.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stringent, ongoing government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and comparable foreign regulatory authorities subject any approved therapeutic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good clinical practice guidelines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marketing or manufacturing of our product candidates, withdrawal of the product from the market, or voluntary or mandatory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revisions to the approved labeling to add new safety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warning letters or holds on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by the FDA to approve pending applications or supplements to approved applications filed by us or suspension or revocation of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 detention, or refusal to permit the import or export of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are required to register our establishments and list our products with the FDA and certain state agencies. We and any third-party manufacturers or suppliers must continually adhere to federal regulations setting forth cGMP (for drugs) and QMSR (for medical devices), and their foreign equivalents, which are enforced by the FDA and other national regulatory bodies through their facilities inspection programs. In complying with cGMP and foreign regulatory requirements, we and any of our third-party manufacturers or suppliers will be obligated to expend time, money and effort in production, record-keeping and quality control to ensure that our products meet applicable specifications and other requirements. QMSR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significant civil fines, product seizures, injunctions and/or criminal prosecution of responsible individuals and us. Any such actions would have a material adverse effect on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the approval of Afrezza, the FDA required us to conduct certain additional clinical studies of Afrezza, including a long-term safety study that was originally intended to compare the incidence of pulmonary malignancy observed with Afrezza to that observed in a standard of care control group. We have an ongoing dialogue with the FDA regarding the agency’s current interest in the long-term safety of Afrezza and an appropriate study design or registry to address any concerns. To date, we have not commenced a long-term safety study or budgeted any amount for it, but such a study in its original design would be anticipated to require substantial capital resources that we may not be able to obtain.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and other regulatory authorities impose significant restrictions on approved products through regulations on advertising, promotional and distribution activities. This oversight encompasses, but is not limited to, direct-to-consumer advertising, healthcare provider-directed advertising and promotion, sales representative communications to healthcare professionals, promotional programming and promotional activities involving the Internet. Regulatory authorities may also review industry-sponsored scientific and educational activities that make representations regarding product safety or efficacy in a promotional context. Prescription drugs may be promoted only for the approved indications in accordance with the approved label. The FDA and other regulatory authorities may take enforcement action against a company for promoting unapproved uses of a product or for other violations of its advertising and labeling laws and regulations.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Enforcement action may include product seizures, injunctions, significant civil or criminal penalties or regulatory letters, which may require corrective advertising or other corrective communications to healthcare professionals. Failure to comply with such regulations also can result in adverse publicity or increased scrutiny of company activities by the U.S. Congress or other legislators. Certain states have also adopted regulations and reporting requirements surrounding the promotion of pharmaceuticals. Failure to comply with state requirements may affect our ability to promote or sell our products in certain states.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FDA’s and other regulatory authorities’ policies may change and additional government regulations may be enacted that could prevent, limit or delay regulatory approval of our product candidates, delay the submission or review of an application or require additional expenditures by us. In addition, interested parties (such as individuals, advocacy groups and competing pharmaceutical companies) can file a citizen petition with the FDA to request policy change or some form of administrative action on the FDA’s part, including with respect to an NDA. If successful, a citizen petition can significantly delay, or even prevent, the approval of a drug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predict the likelihood, nature or extent of government regulation that may arise from future legislation or administrative action, either in the United States or abroad. We also cannot be sure that actions by foreign regulatory bodies pertaining to the safety of drugs or medical devices will not adversely affect our operations. If we are slow or unable to adapt to changes in existing requirements or the adoption of new requirements or policies, or if we are not able to maintain regulatory compliance, we may be denied marketing approval or lose any marketing approval that we have already obtained.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approvals, or failure to comply with existing or future regulatory requirements could have a material adverse effect on our business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Healthcare legislation may impact the net sales of commercial products sold by us or any partner.*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both the United States and certain foreign jurisdictions, there has been a number of legislative and regulatory proposals in recent years to change the healthcare system in ways that could impact our ability to sell our products profitably. For example, on July 4, 2025, the OBBBA was signed into law, which narrowed access to the Patient Protection and Affordable Care Act (“PPACA”) marketplace exchange enrollment and declined to extend the PPACA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PPACA subsidies. It is possible that the PPACA will be subject to judicial or Congressional challenges in the future. It is unclear how any such challenges, other litigation, and the healthcare reform measures of the current administration will impact the PPACA.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Recently there has been heightened governmental scrutiny over the manner in which manufacturers set prices for their marketed products. Specifically, there have been several recent U.S. Presidential executive orders, Congressional inquiries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pStyle w:val="TextBody"/>
        <w:bidi w:val="0"/>
        <w:jc w:val="left"/>
        <w:rPr>
          <w:rFonts w:ascii="Times New Roman" w:hAnsi="Times New Roman"/>
          <w:color w:val="000000"/>
          <w:sz w:val="20"/>
        </w:rPr>
      </w:pPr>
      <w:r>
        <w:rPr>
          <w:rFonts w:ascii="Times New Roman" w:hAnsi="Times New Roman"/>
          <w:color w:val="000000"/>
          <w:sz w:val="20"/>
        </w:rPr>
        <w:t>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pStyle w:val="TextBody"/>
        <w:bidi w:val="0"/>
        <w:jc w:val="left"/>
        <w:rPr>
          <w:rFonts w:ascii="Times New Roman" w:hAnsi="Times New Roman"/>
          <w:color w:val="000000"/>
          <w:sz w:val="20"/>
        </w:rPr>
      </w:pPr>
      <w:r>
        <w:rPr>
          <w:rFonts w:ascii="Times New Roman" w:hAnsi="Times New Roman"/>
          <w:color w:val="000000"/>
          <w:sz w:val="20"/>
        </w:rPr>
        <w:t xml:space="preserve">We expect that there will continue to be a number of federal and state proposals to implement similar and/or additional governmental controls. We cannot be certain what legislative proposals will be adopted or what actions federal, state or private third-party payers may take in response to any drug pricing and reimbursement reform proposals or legislation. Further, to the extent that such reforms have a material adverse effect on our ability to commercialize our products and product candidates under development, our business, financial condition and profitability may be adversely affected. </w:t>
      </w:r>
    </w:p>
    <w:p>
      <w:pPr>
        <w:pStyle w:val="TextBody"/>
        <w:bidi w:val="0"/>
        <w:jc w:val="left"/>
        <w:rPr>
          <w:rFonts w:ascii="Times New Roman" w:hAnsi="Times New Roman"/>
          <w:color w:val="000000"/>
          <w:sz w:val="20"/>
        </w:rPr>
      </w:pPr>
      <w:r>
        <w:rPr>
          <w:rFonts w:ascii="Times New Roman" w:hAnsi="Times New Roman"/>
          <w:color w:val="000000"/>
          <w:sz w:val="20"/>
        </w:rPr>
        <w:t>We expect that the IRA, as well as other healthcare reform measures that may be adopted in the future, are likely to have a significant effect on the pharmaceutical industry,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payers. The implementation of cost containment measures or other healthcare reforms may prevent us from being able to generate revenue, attain profitability, or commercialize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current administration is pursuing policies to reduce regulations and expenditures across government including at HHS, the FDA, the Centers for Medicare and Medicaid Services (“CMS”) and related agencies. These actions, presently directed by executive orders or memoranda from the Office of Management and Budget, may propose policy changes that create additional uncertainty for MannKind’s business. For example, the current administration has announced agreements with several pharmaceutical companies that require the drug manufacturers to offer, through a direct to consumer platform, U.S. patients and Medicaid programs prescription drug Most-Favored-Nation pricing equal to or lower than those paid in other developed nations, with additional mandates for direct-to-patient discounts and repatriation of foreign revenues. Other recent actions and proposals include (1) reducing agency workforce; (2) directing HHS and other agencies to lower prescription drug costs for Medicare through a variety of initiatives, including by improving upon the Medicare Drug Price Negotiation Program and establishing Most-Favored-Nation pricing for pharmaceutical products; (3) imposing tariffs on certain imported pharmaceutical products; and (4) as part of the Make America Healthy Again Commission’s recent Strategy Report, working across government agencies to increase enforcement on direct-to-consumer pharmaceutical advertising. Additionally, the current administration recently called on Congress to enact “The Great Healthcare Plan,” to codify and expand Most-Favored-Nation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If Most-Favored-Nation pricing for pharmaceutical products is implemented and applicable to Afrezza, our revenue opportunities for Afrezza may be adversely affected, as our U.S. pricing for Afrezza would have to be reduced to the lowest price paid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Afrezza outside of the United States. In such event and subject to the terms of our agreements with our ex-U.S. partners, we may choose to forgo the ex-U.S. market. Likewise, our royalty revenue from Tyvaso DPI could suffer for the same reason. In June 2024, the U.S. Supreme Court’s Loper Bright decision greatly reduced judicial deference to regulatory agencies, which could increase successful legal challenges to federal regulations affecting our operations. Finally, Congress may introduce and ultimately pass health care related legislation that could impact the drug approval process and make changes to the Medicare Drug Price Negotiation Program. We cannot predict which additional measures may be adopted or the impact of current and additional measures on the marketing, pricing and demand for our products, which could have a material adverse effect on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or any partner fails to comply with federal and state healthcare laws, including fraud and abuse and health information laws, we could face substantial penalties and our business, results of operations, financial condition and prospects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biopharmaceutical company, even though we do not and will not control referrals of healthcare services or bill directly to Medicare, Medicaid or other third-party payers, certain federal and state healthcare laws and regulations, including those pertaining to fraud and abuse and patients’ rights, are and will be applicable to our business. The number and scope of these laws, regulations and industry standards are changing, subject to differing applications and interpretations, and may be inconsistent between jurisdictions or in conflict with each other, making compliance difficult. The key laws that may affect our ability to operate include,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civil and criminal false claims laws, including without limitation the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under PPACA, which requires certain manufacturers of drugs, devices, biologics, and medical supplies to report annually to the CMS information related to payments and other transfers of value to physicians (defined to include defined to include doctors, dentists, optometrists, podiatrists and chiropractors), certain other healthcare professionals (such as physician assistants and nurse practitioners), and teaching hospitals, and ownership and investment interests held by physicians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of 2009 (“HITECH”), and their respective implementing regulations, which impose certain requirements relating to the privacy, security and transmission of individually identifiable health information on entities subject to the law, such as certain healthcare providers, health plans, and healthcare clearinghouses and their respective business associates that perform services for them that involve the creation, use, maintenance or disclosure of, individually identifiable health information as well as their covered subcontractors.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state and foreign law equivalents of each of the above federal laws, such as anti-kickback and false claims laws which may apply to items or services reimbursed by any third-party payer, including commercial insurers, and state and foreign laws governing the privacy and security and other processing of personal data (including health information) in certain circumstances, many of which differ from each other in significant ways and often are not preempted by HIPAA, thus complicating compliance efforts; state laws that require certain regulatory licenses to manufacture or distribute products commercially and/or the registration of pharmaceutical sales representatives in the jurisdiction;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and state laws that require drug manufacturers to report information related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and other transfer of value to physicians and other healthcare providers and entities; marketing expenditures or drug pricing.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breadth of these laws and the narrowness of available statutory exceptions and regulatory safe harbors, it is possible that some of our business activities could be subject to challenge under one or more of such laws. We cannot ensure that all our employees, agents, contractors, vendors, licensees, partners or collaborators will comply with all applicable laws and regulations. If we or our operations are found to be in violation of any of the laws described above or any other governmental regulations that apply to us, or any contractual obligations related to the same, we may be subject to governmental enforcement actions, investigations, litigation (including class action lawsuits) and other penalties, including significant civil, criminal and administrative penalties, damages, fines, imprisonment, disgorgement, defense costs, exclusion from U.S. federal or state healthcare programs, additional reporting requirements and/or oversight (including if we become subject to a corporate integrity agreement or similar agreement to resolve allegations of non-compliance with these laws), bans or restrictions on our processing of personal data, indemnity obligations and the curtailment or restructuring of our operations. Any such event or consequence, including penalties, damages, fines, and curtailment or restructuring of our operations, could materially adversely affect our ability to operate our business, including our ability to run clinical trials, and our financial results and harm our reputation. Although compliance programs can help mitigate the risk of investigation and prosecution for violations of these laws, the risks cannot be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fraud laws may prove costly.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and the third parties with whom we work are subject to stringent and evolving U.S. and foreign laws, regulations, and rules, contractual obligations, industry standards, policies and other obligations related to data privacy and security. Our actual or perceived failure, or that of the third parties with whom we work,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we process sensitive information (as those terms are defined above).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bidi w:val="0"/>
        <w:jc w:val="left"/>
        <w:rPr>
          <w:rFonts w:ascii="Times New Roman" w:hAnsi="Times New Roman"/>
          <w:color w:val="000000"/>
          <w:sz w:val="20"/>
        </w:rPr>
      </w:pPr>
      <w:r>
        <w:rPr>
          <w:rFonts w:ascii="Times New Roman" w:hAnsi="Times New Roman"/>
          <w:color w:val="000000"/>
          <w:sz w:val="20"/>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the privacy, security, and transmission of individually identifiable health information.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Although the CCPA (like other U.S. comprehensive privacy laws) exempts some data processed in the context of clinical trials, the CCPA may increase compliance costs and potential liability with respect to other personal data we maintain about California residents. Similar laws have passed and are being considered in several other states, as well as at the federal and local levels, and we expect more states to pass similar laws in the future. These developments further complicate compliance efforts and increase legal risk and compliance costs for us and the third parties with whom we work.</w:t>
      </w:r>
    </w:p>
    <w:p>
      <w:pPr>
        <w:pStyle w:val="TextBody"/>
        <w:bidi w:val="0"/>
        <w:jc w:val="left"/>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apply to data privacy and security. For example, the European Union’s General Data Protection Regulation (“EU GDPR”) and the United Kingdom’s GDPR (“UK GDPR”) (collectively “GDPR”), Brazil’s General Data Protection Law (Lei Geral de Proteção de Dados Pessoais) (Law No. 13,709/2018), and Australia’s Privacy Act impose strict requirements for processing personal data.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the processing of personal data brought by classes of data subjects or consumer protection organizations authorized at law to represent their interests. We may also be subject to new and emerging data privacy regimes in Asia, including Japan’s Act on the Protection of Personal Information and South Korea’s Personal Information Protection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employees and personnel use generative AI technologies to perform their work, and the disclosure and use of personal data in generative AI technologies is subject to various privacy laws and other privacy obligations. Governments have passed and are likely to pass additional laws and regulations regulating generative AI. Our use of this technology could result in additional compliance costs, regulatory investigations and actions, and lawsuits. If we are unable to use generative AI, it could make our business less efficient and result in competitive disadvantages. </w:t>
      </w:r>
    </w:p>
    <w:p>
      <w:pPr>
        <w:pStyle w:val="TextBody"/>
        <w:bidi w:val="0"/>
        <w:jc w:val="left"/>
        <w:rPr>
          <w:rFonts w:ascii="Times New Roman" w:hAnsi="Times New Roman"/>
          <w:color w:val="000000"/>
          <w:sz w:val="20"/>
        </w:rPr>
      </w:pPr>
      <w:r>
        <w:rPr>
          <w:rFonts w:ascii="Times New Roman" w:hAnsi="Times New Roman"/>
          <w:color w:val="000000"/>
          <w:sz w:val="20"/>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prevented companies from transferring personal data out of Europe for allegedly violating the GDPR’s cross-border data transfer limitations. Regulators in the United States, such as the Department of Justice, are also increasingly scrutinizing certain personal data transfers. For example, the Department of Justice issued a rule titled Preventing Access to U.S. Sensitive Personal Data and Government-Related Data by Countries of Concern or Covered Persons, which places additional restriction on certain data transactions involving countries of concern (e.g., China, Russia, Iran) and covered persons that may impact certain business activities such as vendor engagements, sale or sharing of data, employment of certain individuals and investor agreements. Violations of the rule could lead to significant civil and criminal fines and penalties. This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bound by contractual obligations related to data privacy and security, and our efforts to comply with such obligations may not be successful. We publish privacy policies, marketing materials and other statements, such as statements related to compliance with certain certifications or self-regulatory principles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In addition, privacy advocates and industry groups have proposed, and may propose, standards with which we are legally or contractually bound to comply, or may become subject to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obligations related to data privacy and security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information technologies, systems, and practices and to those of any third parties that process personal data on our behalf. Although we endeavor to comply with all applicable data privacy and security obligations, we may at times fail (or be perceived to have failed) to do so. Moreover, despite our efforts, our personnel or third parties with whom we work may fail to comply with such obligations, which could negatively impact our business operations and compliance posture. If we or the third parties with whom we work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and mass arbitration demands; additional reporting requirements and/or oversight; bans or restrictions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payers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Office of Inspector General of the HHS and other Congressional, enforcement and administrative bodies have recently increased their focus on pricing requirements for products, including, but not limited to the methodologies used by manufacturers to calculate average manufacturer price (“AMP”) and best price (“BP”) for compliance with reporting requirements under the Medicaid Drug Rebate Program. We are liable for errors associated with our submission of pricing data and for any overcharging of government payers. For example, failure to submit monthly/quarterly AMP and BP data on a timely basis could result in a civil monetary penalty.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jc w:val="left"/>
        <w:rPr>
          <w:rFonts w:ascii="Times New Roman" w:hAnsi="Times New Roman"/>
          <w:b/>
          <w:i/>
          <w:color w:val="000000"/>
          <w:sz w:val="20"/>
        </w:rPr>
      </w:pPr>
      <w:r>
        <w:rPr>
          <w:rFonts w:ascii="Times New Roman" w:hAnsi="Times New Roman"/>
          <w:b/>
          <w:i/>
          <w:color w:val="000000"/>
          <w:sz w:val="20"/>
        </w:rPr>
        <w:t>If we are unable to protect our proprietary rights, we may not be able to compete effectively, or operate profitably.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patients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patents already issued to us or our pending applications may become subject to disputes that could be resolved against us. In the United States and certain other countries, applications are generally published 18 months after the application’s priority date.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the United States moved to a first inventor to file system. In general, the AIA and its implementation could increase the uncertainties and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surrounding the prosecution of our patent applications and the enforcement or defense of our issued patents, all of which could have a material adverse effect on our business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the term of a patent is limited and, as a result, the patents protecting our products expire at various dates. As and when these different patents expire, our products could become subject to increased competition. As a consequence, we may not be able to recover our development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Thus,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become involved in lawsuits to protect or enforce our patents or the patents of our collaborators or licensors, we would be required to devote substantial time and resources to prosecute or defend such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Interference proceedings brought by the United States Patent and Trademark Office ("USPTO"), may be necessary to determine the priority of inventions with respect to our pre-AIA patent applications or those of our collaborators or licensors. Additionally, the AIA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patent owner may claim that we are making, using, selling or offering for sale an invention covered by the owner’s patents and may go to court to stop us from engaging in such activities. Such litigation is not uncommon in our industry.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certain components of our products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do not believe that our products or product candidates infringe any third-party patents, if a plaintiff was to allege infringement of their patent rights, we would have to establish with the court that their patents are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obtain trademark registrations for our potential trade names.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pStyle w:val="TextBody"/>
        <w:bidi w:val="0"/>
        <w:jc w:val="left"/>
        <w:rPr/>
      </w:pPr>
      <w:r>
        <w:rPr/>
        <w:t> </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stock price is volatile.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common stock has been and is likely to continue to be volatile.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our collaborators (including United Therapeutics), or our competitors concerning clinical study results, acquisitions, strategic alliances, technological innovations, strategic priorities, resource allocation, commercial emphasis, product side effects, product candidates or newly approved commercial products, the relative benefits of product candidates or approved products versus the product candidates or products marketed by us or our collaborators, product discontinuations, or other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marketing approval for our products outside of the United States and to find collaboration partners for the commercialization of our products in foreign jurisdictions;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estimates of product sales, royalties, prescriptions or other operating metrics;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commercialize other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and results of preclinical and clinical studies of our product candidates and of post-approval studies of approved products that are required by the FDA;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political or stock market conditions, such as inflation, tariffs, and other fiscal and trade policy changes, especially for emerging growth and pharmaceutical market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legislative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caused by man-made or natural disasters or public health pandemics or epidemics or other business interruptions;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the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critical materials used in developing and manufacturing our products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our relationship with any of our current or future collaborators or third 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our patents or proprietary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expense and time associated with, and the extent of our ultimate success in, securing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concerning our financial condition or operating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securities analysts’ estimates of our financial condition or operating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large blocks of our common stock, including sales by our executive officers, directors and significant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trades of short sellers;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or the perception of investors of our ability, to continue to meet all applicable requirements for continued listing of our common stock on The Nasdaq Global Market, and the possible delisting of our common stock if we are unable to do so;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status of any legal proceedings or regulatory matters against or involving us or any of our executive officers and directors;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discussion of our products, competitors’ products, or our stock price by the financial and scientific press, the healthcare community and online investor communities such as chat rooms. In particular, it may be difficult to verify statements about us that appear on interactive websites that permit users to generate content anonymously or under a pseudonym. Statements attributed to company officials may, in fact, have originated elsewhere.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risks, as well as other factors, could cause the market value of our common stock and other securities to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amended and restated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bylaws provide that, to the fullest extent permitted by law and subject to the court’s having personal jurisdiction over the indispensable parties named as defendants, the Court of Chancery of the State of Delaware is the exclusive forum for the following types of actions or proceedings under Delaware statutory or common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derivative action or proceeding brought on our behalf;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or proceeding asserting a breach of fiduciary duty owed by any of our current or former directors, officers or other employees to us 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or proceeding asserting a claim against us or any of our current or former directors, officers or other employees arising out of or pursuant to any provision of the Delaware General Corporation Law, our amended and certificate of incorporation or amended and restated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or proceeding to interpret, apply, enforce or determine the validity of our amended and restated certificate of incorporation or our amended and restated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or proceeding as to which the Delaware General Corporation Law confers jurisdiction to the Court of Chancery of the State of Delaware;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asserting a claim against us or any of our directors, officers or other employees that is governed by the internal affairs doctrine.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provision does not apply to suits brought to enforce a duty or liability created by the Exchange Act. Furthermore, 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bylaws.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exclusive forum provisions may limit a stockholder’s ability to bring a claim in a judicial forum that it finds favorable for disputes with us or our directors, officers, or other employees, which may discourage lawsuits against us and our directors, officers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and other employees. If a court were to find either exclusive forum provision in our amended and restated bylaws to be inapplicable or unenforceable in an action, we may incur further significant additional costs associated with resolving the dispute in other jurisdictions, all of which could seriously harm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Because we do not expect to pay dividends in the foreseeable future, you must rely on stock appreciation for any return on any investment in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paid no cash dividends on any of our capital stock to date, and we currently intend to retain our future earnings, if any, to fund the development and growth of our business. In addition, we are restricted from paying dividends on our capital stock pursuant to the terms of the Blackstone Credit Facility.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There is no guarantee that our common stock will appreciate or maintain its current price. You could lose the entire value of any investment in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Future sales of shares of our common stock in the public market, or the perception that such sales may occur, may depress our stock price and adversely impact the market price of our common stock and other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need to raise substantial additional capital in the future to fund our operations. If we raise additional funds by issuing equity securities or additional convertible debt, the market price of our common stock and other securities may decline. Similarly, if our existing stockholders sell substantial amounts of our common stock in the public market, the market price of our common stock and other securities could decrease. The perception in the public market that we or our existing stockholders might sell shares of common stock could also depress the market price of our common stock and the market price of our other securities.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 substantial number of shares of our common stock is reserved for issuance upon the exercise of stock options, the vesting of restricted stock unit awards and purchases under our employee stock purchase plan. The issuance or sale of substantial amounts of common stock, or the perception that such issuances or sales may occur, could adversely affect the market price of our common stock and other securities.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other biotechnology and biopharmaceutical companies or the securities markets in general encounter problems, the market price of our common stock and other securities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 companies in general, including companies listed on The Nasdaq Stock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 </w:t>
      </w:r>
    </w:p>
    <w:p>
      <w:pPr>
        <w:pStyle w:val="TextBody"/>
        <w:bidi w:val="0"/>
        <w:spacing w:before="240" w:after="283"/>
        <w:jc w:val="left"/>
        <w:rPr>
          <w:rFonts w:ascii="Times New Roman" w:hAnsi="Times New Roman"/>
          <w:sz w:val="20"/>
        </w:rPr>
      </w:pPr>
      <w:r>
        <w:rPr>
          <w:rFonts w:ascii="Times New Roman" w:hAnsi="Times New Roman"/>
          <w:color w:val="000000"/>
          <w:sz w:val="20"/>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r>
        <w:rPr>
          <w:rFonts w:ascii="Times New Roman" w:hAnsi="Times New Roman"/>
          <w:color w:val="006EBF"/>
          <w:sz w:val="20"/>
        </w:rPr>
        <w:t xml:space="preserve"> </w:t>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Unstable market, economic and geopolitical conditions may have serious adverse consequences on our business, financial condition and stock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global credit and financial markets have recently experienced extreme volatility and disruptions. These disruptions can result in severely diminished liquidity and credit availability, increase in inflation, declines in consumer confidence, declines in economic growth, increases in unemployment rates and uncertainty about economic stability. There can be no assurance that deterioration in credit and financial markets and confidence in economic conditions will not occur. Our general business strategy may be adversely affected by any such economic downturn, volatile business environment, currency fluctuations, actual or anticipated bank failures, tariffs and trade wars, higher inflation, or continued unpredictable and unstable market conditions. If the current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clinical development plans. In addition, there is a risk that one or more of our current service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providers, manufacturers and other partners may not survive an economic downturn or rising inflation, which could directly affect our ability to attain our operating goals on schedule and on budget.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international and geopolitical events, including military conflicts, threatened hostilities, conflicts or heighted tension among alliance countries, and other geopolitical conflicts could also have a serious adverse impact on our business. For example, our drug-device combination products are manufactured using plastic materials (including resins and polymer-based parts) and packaging that are derived, directly or indirectly, from petroleum-based feedstocks. Accordingly, the recent increases in crude oil and other energy prices, as well as volatility in those prices, could potentially lead to higher costs for plastic resins, polymer components, adhesives and packaging materials, and other petroleum-related inputs. Rising oil prices may also increase freight and logistics costs and, depending on market conditions, may contribute to broader inflationary pressures that affect labor, utilities and other manufacturing expenses. While we cannot predict the broader consequences, these conflicts and retaliatory and counter-retaliatory actions could materially adversely affect global trade, energy costs,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pStyle w:val="TextBody"/>
        <w:bidi w:val="0"/>
        <w:spacing w:before="360" w:after="120"/>
        <w:jc w:val="left"/>
        <w:rPr>
          <w:rFonts w:ascii="Times New Roman" w:hAnsi="Times New Roman"/>
          <w:sz w:val="20"/>
        </w:rPr>
      </w:pPr>
      <w:r>
        <w:rPr>
          <w:rFonts w:ascii="Times New Roman" w:hAnsi="Times New Roman"/>
          <w:b/>
          <w:i/>
          <w:color w:val="000000"/>
          <w:sz w:val="20"/>
        </w:rPr>
        <w:t>Our operations might be interrupted by the occurrence of a natural disaster or other catastrophic event.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Currently, our manufacturing facility in Connecticut is the sole location for the manufacturing of Afrezza and Tyvaso DPI. Similarly, we have exclusive supply arrangements with the contract manufacturers that produce V-Go and Furoscix. The facilities and the specialized manufacturing equipment used to manufacture these products would be costly to replace and could require substantial lead-time to repair or replace. We depend on our facilities and on collaborators, contractors and vendors for the continued operation of our business. Natural disasters, such as interruptions in the supply of natural resources, public health pandemics or epidemics, earthquakes and extreme weather conditions, including, but not limited to, hurricanes, floods, tornados, wildfires, and winter storms, or other catastrophic events, including political and governmental changes, conflicts, explosions, actions of animal rights activists, terrorist attacks and wars, could disrupt our operations or those of our collaborators, contractors and vendors. Such conditions may be further exacerbated by the effects of climate change.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our products.</w:t>
      </w:r>
    </w:p>
    <w:p>
      <w:pPr>
        <w:pStyle w:val="TextBody"/>
        <w:bidi w:val="0"/>
        <w:spacing w:before="120" w:after="120"/>
        <w:jc w:val="left"/>
        <w:rPr>
          <w:rFonts w:ascii="Times New Roman" w:hAnsi="Times New Roman"/>
          <w:sz w:val="20"/>
        </w:rPr>
      </w:pPr>
      <w:r>
        <w:rPr>
          <w:rFonts w:ascii="Times New Roman" w:hAnsi="Times New Roman"/>
          <w:b/>
          <w:i/>
          <w:color w:val="000000"/>
          <w:sz w:val="20"/>
        </w:rPr>
        <w:t>Adverse developments affecting the financial services industry could adversely affect our current and projected business operations and our financial condition and 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Adverse developments that affect financial institutions, such as events involving liquidity that are rumored or actual, have in the past and may in the future lead to bank failures and market-wide liquidity problems. Additionally, it is uncertain whether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sz w:val="20"/>
        </w:rPr>
      </w:pPr>
      <w:bookmarkStart w:id="18" w:name="item_4_mine_safety_disclosures"/>
      <w:bookmarkEnd w:id="18"/>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color w:val="000000"/>
          <w:sz w:val="20"/>
        </w:rPr>
        <w:t>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sz w:val="20"/>
        </w:rPr>
      </w:pPr>
      <w:bookmarkStart w:id="19" w:name="item_5_or_information"/>
      <w:bookmarkEnd w:id="19"/>
      <w:r>
        <w:rPr>
          <w:rFonts w:ascii="Times New Roman" w:hAnsi="Times New Roman"/>
          <w:b/>
          <w:color w:val="000000"/>
          <w:sz w:val="20"/>
        </w:rPr>
        <w:t>ITEM 5.</w:t>
      </w:r>
      <w:r>
        <w:rPr>
          <w:rFonts w:ascii="Times New Roman" w:hAnsi="Times New Roman"/>
          <w:color w:val="000000"/>
          <w:sz w:val="20"/>
        </w:rPr>
        <w:t xml:space="preserve"> </w:t>
      </w:r>
      <w:r>
        <w:rPr>
          <w:rFonts w:ascii="Times New Roman" w:hAnsi="Times New Roman"/>
          <w:b/>
          <w:color w:val="000000"/>
          <w:sz w:val="20"/>
        </w:rPr>
        <w:t>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During the three months ended March 31, 2026, one of our officers (as defined in Rule 16a-1(f) under the Exchange Act) terminated a written trading plan for the orderly disposition of the Company’s securities as set forth in the table below:</w:t>
      </w:r>
    </w:p>
    <w:tbl>
      <w:tblPr>
        <w:tblW w:w="10205" w:type="dxa"/>
        <w:jc w:val="left"/>
        <w:tblInd w:w="0" w:type="dxa"/>
        <w:tblLayout w:type="fixed"/>
        <w:tblCellMar>
          <w:top w:w="28" w:type="dxa"/>
          <w:left w:w="28" w:type="dxa"/>
          <w:bottom w:w="28" w:type="dxa"/>
          <w:right w:w="28" w:type="dxa"/>
        </w:tblCellMar>
      </w:tblPr>
      <w:tblGrid>
        <w:gridCol w:w="1135"/>
        <w:gridCol w:w="146"/>
        <w:gridCol w:w="1111"/>
        <w:gridCol w:w="146"/>
        <w:gridCol w:w="806"/>
        <w:gridCol w:w="146"/>
        <w:gridCol w:w="792"/>
        <w:gridCol w:w="168"/>
        <w:gridCol w:w="269"/>
        <w:gridCol w:w="640"/>
        <w:gridCol w:w="146"/>
        <w:gridCol w:w="146"/>
        <w:gridCol w:w="229"/>
        <w:gridCol w:w="1226"/>
        <w:gridCol w:w="146"/>
        <w:gridCol w:w="146"/>
        <w:gridCol w:w="398"/>
        <w:gridCol w:w="945"/>
        <w:gridCol w:w="146"/>
        <w:gridCol w:w="146"/>
        <w:gridCol w:w="1172"/>
      </w:tblGrid>
      <w:tr>
        <w:trPr/>
        <w:tc>
          <w:tcPr>
            <w:tcW w:w="11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r>
      <w:tr>
        <w:trPr/>
        <w:tc>
          <w:tcPr>
            <w:tcW w:w="11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Trading Arrangement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and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Rule </w:t>
              <w:br/>
              <w:t>10b5-1</w:t>
            </w:r>
            <w:r>
              <w:rPr>
                <w:rFonts w:ascii="Times New Roman" w:hAnsi="Times New Roman"/>
                <w:b/>
                <w:color w:val="000000"/>
                <w:sz w:val="13"/>
              </w:rPr>
              <w:t>(1)</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Non-Rule </w:t>
              <w:br/>
              <w:t>10b5-1</w:t>
            </w:r>
            <w:r>
              <w:rPr>
                <w:rFonts w:ascii="Times New Roman" w:hAnsi="Times New Roman"/>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Shares of Common Stock to be Sold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Total Shares of Common Stock </w:t>
              <w:br/>
              <w:t>to be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Expiration Date</w:t>
            </w:r>
          </w:p>
        </w:tc>
      </w:tr>
      <w:tr>
        <w:trPr/>
        <w:tc>
          <w:tcPr>
            <w:tcW w:w="11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Michael Castagna</w:t>
              <w:br/>
            </w:r>
            <w:r>
              <w:rPr>
                <w:rFonts w:ascii="Times New Roman" w:hAnsi="Times New Roman"/>
                <w:i/>
                <w:color w:val="000000"/>
                <w:sz w:val="20"/>
              </w:rPr>
              <w:t>Chief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Termination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11, 2026</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Contract, instruction or written plan intended to satisfy the affirmative defense conditions of Rule 10b5-1(c) under the Exchange Act.</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"Non-Rule 10b5-1 trading arrangement" as defined in Item 408(c) of Regulation S-K under the Exchange Act.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0" w:name="item_6_exhibits"/>
      <w:bookmarkEnd w:id="20"/>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18"/>
        <w:gridCol w:w="254"/>
        <w:gridCol w:w="9033"/>
      </w:tblGrid>
      <w:tr>
        <w:trPr/>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254" w:type="dxa"/>
            <w:tcBorders/>
            <w:shd w:fill="FFFFFF" w:val="clear"/>
            <w:vAlign w:val="center"/>
          </w:tcPr>
          <w:p>
            <w:pPr>
              <w:pStyle w:val="TableContents"/>
              <w:bidi w:val="0"/>
              <w:spacing w:before="0" w:after="283"/>
              <w:jc w:val="left"/>
              <w:rPr>
                <w:sz w:val="4"/>
                <w:szCs w:val="4"/>
              </w:rPr>
            </w:pPr>
            <w:r>
              <w:rPr>
                <w:sz w:val="4"/>
                <w:szCs w:val="4"/>
              </w:rPr>
            </w:r>
          </w:p>
        </w:tc>
        <w:tc>
          <w:tcPr>
            <w:tcW w:w="9033" w:type="dxa"/>
            <w:tcBorders/>
            <w:shd w:fill="FFFFFF" w:val="clear"/>
            <w:vAlign w:val="center"/>
          </w:tcPr>
          <w:p>
            <w:pPr>
              <w:pStyle w:val="TableContents"/>
              <w:bidi w:val="0"/>
              <w:spacing w:before="0" w:after="283"/>
              <w:jc w:val="left"/>
              <w:rPr>
                <w:sz w:val="4"/>
                <w:szCs w:val="4"/>
              </w:rPr>
            </w:pPr>
            <w:r>
              <w:rPr>
                <w:sz w:val="4"/>
                <w:szCs w:val="4"/>
              </w:rPr>
            </w:r>
          </w:p>
        </w:tc>
      </w:tr>
      <w:tr>
        <w:trPr/>
        <w:tc>
          <w:tcPr>
            <w:tcW w:w="918"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2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3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Description of Document</w:t>
            </w:r>
            <w:r>
              <w:rPr>
                <w:rFonts w:ascii="Times New Roman" w:hAnsi="Times New Roman"/>
                <w:color w:val="000000"/>
                <w:sz w:val="16"/>
              </w:rPr>
              <w:t xml:space="preserve"> </w:t>
            </w:r>
          </w:p>
        </w:tc>
      </w:tr>
      <w:tr>
        <w:trPr/>
        <w:tc>
          <w:tcPr>
            <w:tcW w:w="918"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2.1#</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Agreement and Plan of Merger, dated August 24, 2025, by and among MannKind Corporation, Seacoast Merger Sub, Inc. and scPharmaceuticals Inc. (incorporated by reference to Exhibit 2.1 to MannKind’s Current Report on Form 8-K (File No. 000-50865), filed with the SEC on August 25, 2025).</w:t>
              </w:r>
            </w:hyperlink>
          </w:p>
        </w:tc>
      </w:tr>
      <w:tr>
        <w:trPr/>
        <w:tc>
          <w:tcPr>
            <w:tcW w:w="918"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Certificate of Incorporation (incorporated by reference to Exhibit 3.1 to MannKind’s Quarterly Report on Form 10-Q (File No. 000-50865), filed with the SEC on August 9, 2016).</w:t>
              </w:r>
            </w:hyperlink>
          </w:p>
        </w:tc>
      </w:tr>
      <w:tr>
        <w:trPr/>
        <w:tc>
          <w:tcPr>
            <w:tcW w:w="918"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of Amended and Restated Certificate of Incorporation of MannKind Corporation (incorporated by reference to Exhibit 3.1 to MannKind’s Current Report on Form 8-K (File No. 000-50865), filed with the SEC on March 2, 2017).</w:t>
              </w:r>
            </w:hyperlink>
          </w:p>
        </w:tc>
      </w:tr>
      <w:tr>
        <w:trPr/>
        <w:tc>
          <w:tcPr>
            <w:tcW w:w="918"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3.3</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of Amended and Restated Certificate of Incorporation of MannKind Corporation (incorporated by reference to Exhibit 3.1 to MannKind’s Current Report on Form 8-K (File No. 000-50865), filed with the SEC on December 13, 2017).</w:t>
              </w:r>
            </w:hyperlink>
          </w:p>
        </w:tc>
      </w:tr>
      <w:tr>
        <w:trPr/>
        <w:tc>
          <w:tcPr>
            <w:tcW w:w="918"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3.4</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Amendment of Amended and Restated Certificate of Incorporation of MannKind Corporation (incorporated by reference to Exhibit 3.1 to MannKind’s Current Report on Form 8-K (File No. 000-50865), filed with the SEC on May 27, 2020).</w:t>
              </w:r>
            </w:hyperlink>
          </w:p>
        </w:tc>
      </w:tr>
      <w:tr>
        <w:trPr/>
        <w:tc>
          <w:tcPr>
            <w:tcW w:w="918"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3.5</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Certificate of Amendment of Amended and Restated Certificate of Incorporation of MannKind Corporation (incorporated by reference to Exhibit 3.1 to MannKind’s Current Report on Form 8-K (File No. 000-50865), filed with the SEC on May 30, 2023).</w:t>
              </w:r>
            </w:hyperlink>
          </w:p>
        </w:tc>
      </w:tr>
      <w:tr>
        <w:trPr/>
        <w:tc>
          <w:tcPr>
            <w:tcW w:w="918"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3.6</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Amended and Restated Bylaws (incorporated by reference to Exhibit 3.2 to MannKind’s Current Report on Form 8-K (File No. 000-50865), filed with the SEC on May 27, 2020).</w:t>
              </w:r>
            </w:hyperlink>
          </w:p>
        </w:tc>
      </w:tr>
      <w:tr>
        <w:trPr/>
        <w:tc>
          <w:tcPr>
            <w:tcW w:w="918"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pPr>
            <w:r>
              <w:rPr>
                <w:rFonts w:ascii="Times New Roman" w:hAnsi="Times New Roman"/>
                <w:color w:val="000000"/>
                <w:sz w:val="20"/>
              </w:rPr>
              <w:t xml:space="preserve">Reference is made to Exhibits </w:t>
            </w:r>
            <w:hyperlink r:id="rId9">
              <w:r>
                <w:rPr>
                  <w:rStyle w:val="InternetLink"/>
                  <w:rFonts w:ascii="Times New Roman" w:hAnsi="Times New Roman"/>
                  <w:color w:val="0000FF"/>
                  <w:sz w:val="20"/>
                  <w:u w:val="single"/>
                </w:rPr>
                <w:t>3.1</w:t>
              </w:r>
            </w:hyperlink>
            <w:r>
              <w:rPr>
                <w:rFonts w:ascii="Times New Roman" w:hAnsi="Times New Roman"/>
                <w:color w:val="000000"/>
                <w:sz w:val="20"/>
              </w:rPr>
              <w:t xml:space="preserve">, </w:t>
            </w:r>
            <w:hyperlink r:id="rId10">
              <w:r>
                <w:rPr>
                  <w:rStyle w:val="InternetLink"/>
                  <w:rFonts w:ascii="Times New Roman" w:hAnsi="Times New Roman"/>
                  <w:color w:val="0000FF"/>
                  <w:sz w:val="20"/>
                  <w:u w:val="single"/>
                </w:rPr>
                <w:t>3.2</w:t>
              </w:r>
            </w:hyperlink>
            <w:r>
              <w:rPr>
                <w:rFonts w:ascii="Times New Roman" w:hAnsi="Times New Roman"/>
                <w:color w:val="000000"/>
                <w:sz w:val="20"/>
              </w:rPr>
              <w:t xml:space="preserve">, </w:t>
            </w:r>
            <w:hyperlink r:id="rId11">
              <w:r>
                <w:rPr>
                  <w:rStyle w:val="InternetLink"/>
                  <w:rFonts w:ascii="Times New Roman" w:hAnsi="Times New Roman"/>
                  <w:color w:val="0000FF"/>
                  <w:sz w:val="20"/>
                  <w:u w:val="single"/>
                </w:rPr>
                <w:t>3.3</w:t>
              </w:r>
            </w:hyperlink>
            <w:r>
              <w:rPr>
                <w:rFonts w:ascii="Times New Roman" w:hAnsi="Times New Roman"/>
                <w:color w:val="000000"/>
                <w:sz w:val="20"/>
              </w:rPr>
              <w:t xml:space="preserve">, </w:t>
            </w:r>
            <w:hyperlink r:id="rId12">
              <w:r>
                <w:rPr>
                  <w:rStyle w:val="InternetLink"/>
                  <w:rFonts w:ascii="Times New Roman" w:hAnsi="Times New Roman"/>
                  <w:color w:val="0000FF"/>
                  <w:sz w:val="20"/>
                  <w:u w:val="single"/>
                </w:rPr>
                <w:t>3.4</w:t>
              </w:r>
            </w:hyperlink>
            <w:r>
              <w:rPr>
                <w:rFonts w:ascii="Times New Roman" w:hAnsi="Times New Roman"/>
                <w:color w:val="000000"/>
                <w:sz w:val="20"/>
              </w:rPr>
              <w:t xml:space="preserve">, </w:t>
            </w:r>
            <w:hyperlink r:id="rId13">
              <w:r>
                <w:rPr>
                  <w:rStyle w:val="InternetLink"/>
                  <w:rFonts w:ascii="Times New Roman" w:hAnsi="Times New Roman"/>
                  <w:color w:val="0000FF"/>
                  <w:sz w:val="20"/>
                  <w:u w:val="single"/>
                </w:rPr>
                <w:t>3.5</w:t>
              </w:r>
            </w:hyperlink>
            <w:r>
              <w:rPr>
                <w:rFonts w:ascii="Times New Roman" w:hAnsi="Times New Roman"/>
                <w:color w:val="000000"/>
                <w:sz w:val="20"/>
              </w:rPr>
              <w:t xml:space="preserve"> and </w:t>
            </w:r>
            <w:hyperlink r:id="rId14">
              <w:r>
                <w:rPr>
                  <w:rStyle w:val="InternetLink"/>
                  <w:rFonts w:ascii="Times New Roman" w:hAnsi="Times New Roman"/>
                  <w:color w:val="0000FF"/>
                  <w:sz w:val="20"/>
                  <w:u w:val="single"/>
                </w:rPr>
                <w:t>3.6</w:t>
              </w:r>
            </w:hyperlink>
            <w:r>
              <w:rPr>
                <w:rFonts w:ascii="Times New Roman" w:hAnsi="Times New Roman"/>
                <w:color w:val="000000"/>
                <w:sz w:val="20"/>
              </w:rPr>
              <w:t>.</w:t>
            </w:r>
          </w:p>
        </w:tc>
      </w:tr>
      <w:tr>
        <w:trPr/>
        <w:tc>
          <w:tcPr>
            <w:tcW w:w="918"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of common stock certificate (incorporated by reference to Exhibit 4.2 to MannKind’s Annual Report on Form 10-K (File No. 000-50865), filed with the SEC on March 16, 2017).</w:t>
              </w:r>
            </w:hyperlink>
          </w:p>
        </w:tc>
      </w:tr>
      <w:tr>
        <w:trPr/>
        <w:tc>
          <w:tcPr>
            <w:tcW w:w="918"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4.3</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Milestone Rights Purchase Agreement, dated as of July 1, 2013, by and among MannKind, Deerfield Private Design Fund II, L.P. and Horizon Santé FLML SÁRL (incorporated by reference to Exhibit 99.3 to MannKind’s Current Report on Form 8-K (File No. 000-50865), filed with the SEC on July 1, 2013).</w:t>
              </w:r>
            </w:hyperlink>
          </w:p>
        </w:tc>
      </w:tr>
      <w:tr>
        <w:trPr/>
        <w:tc>
          <w:tcPr>
            <w:tcW w:w="918"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4.4</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Form of Warrant to Purchase Stock issued to MidCap Financial Trust on August 6, 2019 (incorporated by reference to Exhibit 4.1 to MannKind’s Current Report on Form 8-K (File No. 000-50865), filed with the SEC on August 7, 2019).</w:t>
              </w:r>
            </w:hyperlink>
          </w:p>
        </w:tc>
      </w:tr>
      <w:tr>
        <w:trPr/>
        <w:tc>
          <w:tcPr>
            <w:tcW w:w="918"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10.1**#</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Seventh Amendment to Commercial Supply Agreement, dated January 7, 2026, by and between MannKind Corporation and United Therapeutics Corporation (incorporated by reference to Exhibit 10.37 to MannKind Corporation’s Annual Report on Form 10-K for the year ended December 31, 2025, filed with the SEC on February 26, 2026).</w:t>
              </w:r>
            </w:hyperlink>
          </w:p>
        </w:tc>
      </w:tr>
      <w:tr>
        <w:trPr/>
        <w:tc>
          <w:tcPr>
            <w:tcW w:w="918"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31.1</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pPr>
            <w:hyperlink w:anchor="mnkd-ex31_1.htm">
              <w:r>
                <w:rPr>
                  <w:rStyle w:val="InternetLink"/>
                  <w:rFonts w:ascii="Times New Roman" w:hAnsi="Times New Roman"/>
                  <w:color w:val="0000FF"/>
                  <w:sz w:val="20"/>
                  <w:u w:val="single"/>
                </w:rPr>
                <w:t>Certification of the Chief Executive Officer pursuant to Rules 13a-14(a) and 15d-14(a) of the Securities Exchange Act of 1934, as amended.</w:t>
              </w:r>
            </w:hyperlink>
          </w:p>
        </w:tc>
      </w:tr>
      <w:tr>
        <w:trPr/>
        <w:tc>
          <w:tcPr>
            <w:tcW w:w="918"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31.2</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pPr>
            <w:hyperlink w:anchor="mnkd-ex31_2.htm">
              <w:r>
                <w:rPr>
                  <w:rStyle w:val="InternetLink"/>
                  <w:rFonts w:ascii="Times New Roman" w:hAnsi="Times New Roman"/>
                  <w:color w:val="0000FF"/>
                  <w:sz w:val="20"/>
                  <w:u w:val="single"/>
                </w:rPr>
                <w:t>Certification of the Chief Financial Officer pursuant to Rules 13a-14(a) and 15d-14(a) of the Securities Exchange Act of 1934, as amended.</w:t>
              </w:r>
            </w:hyperlink>
          </w:p>
        </w:tc>
      </w:tr>
      <w:tr>
        <w:trPr/>
        <w:tc>
          <w:tcPr>
            <w:tcW w:w="918"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32.1</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pPr>
            <w:hyperlink w:anchor="mnkd-ex32_1.htm">
              <w:r>
                <w:rPr>
                  <w:rStyle w:val="InternetLink"/>
                  <w:rFonts w:ascii="Times New Roman" w:hAnsi="Times New Roman"/>
                  <w:color w:val="0000FF"/>
                  <w:sz w:val="20"/>
                  <w:u w:val="single"/>
                </w:rPr>
                <w:t>Certification of the Chief Executive Officer pursuant to Rules 13a-14(b) and 15d-14(b) of the Securities Exchange Act of 1934, as amended and Section 1350 of Chapter 63 of Title 18 of the United States Code (18 U.S.C. §1350).</w:t>
              </w:r>
            </w:hyperlink>
          </w:p>
        </w:tc>
      </w:tr>
      <w:tr>
        <w:trPr/>
        <w:tc>
          <w:tcPr>
            <w:tcW w:w="918"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32.2</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pPr>
            <w:hyperlink w:anchor="mnkd-ex32_2.htm">
              <w:r>
                <w:rPr>
                  <w:rStyle w:val="InternetLink"/>
                  <w:rFonts w:ascii="Times New Roman" w:hAnsi="Times New Roman"/>
                  <w:color w:val="0000FF"/>
                  <w:sz w:val="20"/>
                  <w:u w:val="single"/>
                </w:rPr>
                <w:t>Certification of the Chief Financial Officer pursuant to Rules 13a-14(b) and 15d-14(b) of the Securities Exchange Act of 1934, as amended and Section 1350 of Chapter 63 of Title 18 of the United States Code (18 U.S.C. §1350).</w:t>
              </w:r>
            </w:hyperlink>
          </w:p>
        </w:tc>
      </w:tr>
      <w:tr>
        <w:trPr/>
        <w:tc>
          <w:tcPr>
            <w:tcW w:w="918"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101</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Interactive Data Files pursuant to Rule 405 of Regulation S-T.</w:t>
            </w:r>
          </w:p>
        </w:tc>
      </w:tr>
      <w:tr>
        <w:trPr/>
        <w:tc>
          <w:tcPr>
            <w:tcW w:w="918"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8" w:type="dxa"/>
            <w:tcBorders/>
            <w:tcMar>
              <w:top w:w="0" w:type="dxa"/>
              <w:left w:w="0" w:type="dxa"/>
              <w:bottom w:w="0" w:type="dxa"/>
              <w:right w:w="0" w:type="dxa"/>
            </w:tcMar>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104</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0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has been formatted in Inline XBRL.</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 Certain portions of this exhibit have been omitted pursuant to Item 601(b)(10)(iv) of Regulation S-K.</w:t>
      </w:r>
    </w:p>
    <w:p>
      <w:pPr>
        <w:pStyle w:val="TextBody"/>
        <w:bidi w:val="0"/>
        <w:jc w:val="left"/>
        <w:rPr>
          <w:rFonts w:ascii="Times New Roman" w:hAnsi="Times New Roman"/>
          <w:sz w:val="20"/>
        </w:rPr>
      </w:pPr>
      <w:r>
        <w:rPr>
          <w:rFonts w:ascii="Times New Roman" w:hAnsi="Times New Roman"/>
          <w:color w:val="000000"/>
          <w:sz w:val="18"/>
        </w:rPr>
        <w:t># Certain annexes, exhibits and schedules have been omitted pursuant to Item 601(a)(5) of Regulation S-K.</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jc w:val="left"/>
        <w:rPr/>
      </w:pPr>
      <w:r>
        <w:rPr/>
        <w:t> </w:t>
      </w:r>
    </w:p>
    <w:tbl>
      <w:tblPr>
        <w:tblW w:w="8553" w:type="dxa"/>
        <w:jc w:val="left"/>
        <w:tblInd w:w="0" w:type="dxa"/>
        <w:tblLayout w:type="fixed"/>
        <w:tblCellMar>
          <w:top w:w="28" w:type="dxa"/>
          <w:left w:w="28" w:type="dxa"/>
          <w:bottom w:w="28" w:type="dxa"/>
          <w:right w:w="28" w:type="dxa"/>
        </w:tblCellMar>
      </w:tblPr>
      <w:tblGrid>
        <w:gridCol w:w="1741"/>
        <w:gridCol w:w="406"/>
        <w:gridCol w:w="6406"/>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40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6, 2026</w:t>
            </w:r>
          </w:p>
        </w:tc>
        <w:tc>
          <w:tcPr>
            <w:tcW w:w="68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MANNKIND CORPORATION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4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E. CASTAGNA</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 Castagna</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 behalf of the registrant and as the registrant’s Principal Executive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4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CHRISTOPHER B. PRENTISS</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B. Prentiss</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spacing w:before="0" w:after="120"/>
        <w:jc w:val="right"/>
        <w:rPr>
          <w:rFonts w:ascii="Times New Roman" w:hAnsi="Times New Roman"/>
          <w:b/>
          <w:color w:val="000000"/>
          <w:sz w:val="24"/>
        </w:rPr>
      </w:pPr>
      <w:bookmarkStart w:id="22" w:name="mnkd-ex10_1.htm"/>
      <w:bookmarkStart w:id="23" w:name="ksmnkdex10_1"/>
      <w:bookmarkEnd w:id="22"/>
      <w:bookmarkEnd w:id="23"/>
      <w:r>
        <w:rPr>
          <w:rFonts w:ascii="Times New Roman" w:hAnsi="Times New Roman"/>
          <w:b/>
          <w:color w:val="000000"/>
          <w:sz w:val="24"/>
        </w:rPr>
        <w:t>Exhibit 10.1</w:t>
      </w:r>
      <w:r>
        <w:br w:type="page"/>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Non-employee Director Compensation</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Adopted November 17, 2017</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Modified November 14, 2018</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Modified August 2, 2024</w:t>
      </w:r>
    </w:p>
    <w:p>
      <w:pPr>
        <w:pStyle w:val="TextBody"/>
        <w:bidi w:val="0"/>
        <w:spacing w:before="0" w:after="120"/>
        <w:jc w:val="both"/>
        <w:rPr/>
      </w:pPr>
      <w:r>
        <w:rPr/>
        <w:t> </w:t>
      </w:r>
    </w:p>
    <w:tbl>
      <w:tblPr>
        <w:tblW w:w="10205" w:type="dxa"/>
        <w:jc w:val="left"/>
        <w:tblInd w:w="0" w:type="dxa"/>
        <w:tblLayout w:type="fixed"/>
        <w:tblCellMar>
          <w:top w:w="28" w:type="dxa"/>
          <w:left w:w="28" w:type="dxa"/>
          <w:bottom w:w="28" w:type="dxa"/>
          <w:right w:w="28" w:type="dxa"/>
        </w:tblCellMar>
      </w:tblPr>
      <w:tblGrid>
        <w:gridCol w:w="2342"/>
        <w:gridCol w:w="7863"/>
      </w:tblGrid>
      <w:tr>
        <w:trPr/>
        <w:tc>
          <w:tcPr>
            <w:tcW w:w="2342" w:type="dxa"/>
            <w:tcBorders/>
            <w:vAlign w:val="center"/>
          </w:tcPr>
          <w:p>
            <w:pPr>
              <w:pStyle w:val="TableContents"/>
              <w:bidi w:val="0"/>
              <w:spacing w:before="0" w:after="283"/>
              <w:jc w:val="left"/>
              <w:rPr>
                <w:sz w:val="4"/>
                <w:szCs w:val="4"/>
              </w:rPr>
            </w:pPr>
            <w:r>
              <w:rPr>
                <w:sz w:val="4"/>
                <w:szCs w:val="4"/>
              </w:rPr>
            </w:r>
          </w:p>
        </w:tc>
        <w:tc>
          <w:tcPr>
            <w:tcW w:w="7863" w:type="dxa"/>
            <w:tcBorders/>
            <w:vAlign w:val="center"/>
          </w:tcPr>
          <w:p>
            <w:pPr>
              <w:pStyle w:val="TableContents"/>
              <w:bidi w:val="0"/>
              <w:spacing w:before="0" w:after="283"/>
              <w:jc w:val="left"/>
              <w:rPr>
                <w:sz w:val="4"/>
                <w:szCs w:val="4"/>
              </w:rPr>
            </w:pPr>
            <w:r>
              <w:rPr>
                <w:sz w:val="4"/>
                <w:szCs w:val="4"/>
              </w:rPr>
            </w:r>
          </w:p>
        </w:tc>
      </w:tr>
      <w:tr>
        <w:trPr/>
        <w:tc>
          <w:tcPr>
            <w:tcW w:w="2342" w:type="dxa"/>
            <w:tcBorders>
              <w:top w:val="single" w:sz="4" w:space="0" w:color="000000"/>
              <w:left w:val="single" w:sz="4" w:space="0" w:color="000000"/>
              <w:bottom w:val="single" w:sz="4" w:space="0" w:color="000000"/>
              <w:right w:val="single" w:sz="4" w:space="0" w:color="000000"/>
            </w:tcBorders>
            <w:shd w:fill="D9D9D9" w:val="clear"/>
            <w:tcMar>
              <w:left w:w="108" w:type="dxa"/>
              <w:right w:w="108" w:type="dxa"/>
            </w:tcMar>
            <w:vAlign w:val="center"/>
          </w:tcPr>
          <w:p>
            <w:pPr>
              <w:pStyle w:val="TableContents"/>
              <w:bidi w:val="0"/>
              <w:spacing w:before="0" w:after="120"/>
              <w:jc w:val="center"/>
              <w:rPr>
                <w:rFonts w:ascii="Times New Roman" w:hAnsi="Times New Roman"/>
                <w:b/>
                <w:color w:val="000000"/>
                <w:sz w:val="24"/>
              </w:rPr>
            </w:pPr>
            <w:r>
              <w:rPr>
                <w:rFonts w:ascii="Times New Roman" w:hAnsi="Times New Roman"/>
                <w:b/>
                <w:color w:val="000000"/>
                <w:sz w:val="24"/>
              </w:rPr>
              <w:t>Element</w:t>
            </w:r>
          </w:p>
        </w:tc>
        <w:tc>
          <w:tcPr>
            <w:tcW w:w="7863"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0" w:after="120"/>
              <w:jc w:val="center"/>
              <w:rPr>
                <w:rFonts w:ascii="Times New Roman" w:hAnsi="Times New Roman"/>
                <w:b/>
                <w:color w:val="000000"/>
                <w:sz w:val="24"/>
              </w:rPr>
            </w:pPr>
            <w:r>
              <w:rPr>
                <w:rFonts w:ascii="Times New Roman" w:hAnsi="Times New Roman"/>
                <w:b/>
                <w:color w:val="000000"/>
                <w:sz w:val="24"/>
              </w:rPr>
              <w:t>Amount</w:t>
            </w:r>
          </w:p>
        </w:tc>
      </w:tr>
      <w:tr>
        <w:trPr/>
        <w:tc>
          <w:tcPr>
            <w:tcW w:w="2342"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120"/>
              <w:jc w:val="left"/>
              <w:rPr>
                <w:rFonts w:ascii="Times New Roman" w:hAnsi="Times New Roman"/>
                <w:b/>
                <w:color w:val="000000"/>
                <w:sz w:val="24"/>
              </w:rPr>
            </w:pPr>
            <w:r>
              <w:rPr>
                <w:rFonts w:ascii="Times New Roman" w:hAnsi="Times New Roman"/>
                <w:b/>
                <w:color w:val="000000"/>
                <w:sz w:val="24"/>
              </w:rPr>
              <w:t>Annual Cash Retainer</w:t>
            </w:r>
          </w:p>
        </w:tc>
        <w:tc>
          <w:tcPr>
            <w:tcW w:w="7863"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$50,000 (cash)</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In lieu of cash, a director can elect to receive a RSU valued at $50,000 on the basis of the 20-day trailing average closing price as of the trading day immediately preceding the date of the annual meeting</w:t>
            </w:r>
          </w:p>
        </w:tc>
      </w:tr>
      <w:tr>
        <w:trPr/>
        <w:tc>
          <w:tcPr>
            <w:tcW w:w="2342"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120"/>
              <w:jc w:val="left"/>
              <w:rPr>
                <w:rFonts w:ascii="Times New Roman" w:hAnsi="Times New Roman"/>
                <w:b/>
                <w:color w:val="000000"/>
                <w:sz w:val="24"/>
              </w:rPr>
            </w:pPr>
            <w:r>
              <w:rPr>
                <w:rFonts w:ascii="Times New Roman" w:hAnsi="Times New Roman"/>
                <w:b/>
                <w:color w:val="000000"/>
                <w:sz w:val="24"/>
              </w:rPr>
              <w:t>Annual Equity Grant</w:t>
            </w:r>
          </w:p>
        </w:tc>
        <w:tc>
          <w:tcPr>
            <w:tcW w:w="7863"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Intended equity value: $250,000</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(The number of shares for this equity award will be determined using the then-current guideline price for employee equity awards.)</w:t>
            </w:r>
          </w:p>
        </w:tc>
      </w:tr>
      <w:tr>
        <w:trPr/>
        <w:tc>
          <w:tcPr>
            <w:tcW w:w="2342"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120"/>
              <w:jc w:val="left"/>
              <w:rPr>
                <w:rFonts w:ascii="Times New Roman" w:hAnsi="Times New Roman"/>
                <w:b/>
                <w:color w:val="000000"/>
                <w:sz w:val="24"/>
              </w:rPr>
            </w:pPr>
            <w:r>
              <w:rPr>
                <w:rFonts w:ascii="Times New Roman" w:hAnsi="Times New Roman"/>
                <w:b/>
                <w:color w:val="000000"/>
                <w:sz w:val="24"/>
              </w:rPr>
              <w:t>Equity Vehicles</w:t>
            </w:r>
          </w:p>
        </w:tc>
        <w:tc>
          <w:tcPr>
            <w:tcW w:w="7863"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100% RSU</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(RSUs vest immediately, but shares will not be distributed until the director leaves the board.)</w:t>
            </w:r>
          </w:p>
        </w:tc>
      </w:tr>
      <w:tr>
        <w:trPr/>
        <w:tc>
          <w:tcPr>
            <w:tcW w:w="2342"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120"/>
              <w:jc w:val="left"/>
              <w:rPr>
                <w:rFonts w:ascii="Times New Roman" w:hAnsi="Times New Roman"/>
                <w:b/>
                <w:color w:val="000000"/>
                <w:sz w:val="24"/>
              </w:rPr>
            </w:pPr>
            <w:r>
              <w:rPr>
                <w:rFonts w:ascii="Times New Roman" w:hAnsi="Times New Roman"/>
                <w:b/>
                <w:color w:val="000000"/>
                <w:sz w:val="24"/>
              </w:rPr>
              <w:t>Initial Equity Grant</w:t>
            </w:r>
          </w:p>
        </w:tc>
        <w:tc>
          <w:tcPr>
            <w:tcW w:w="7863"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None</w:t>
            </w:r>
          </w:p>
        </w:tc>
      </w:tr>
      <w:tr>
        <w:trPr/>
        <w:tc>
          <w:tcPr>
            <w:tcW w:w="2342"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120"/>
              <w:jc w:val="left"/>
              <w:rPr>
                <w:rFonts w:ascii="Times New Roman" w:hAnsi="Times New Roman"/>
                <w:sz w:val="24"/>
              </w:rPr>
            </w:pPr>
            <w:r>
              <w:rPr>
                <w:rFonts w:ascii="Times New Roman" w:hAnsi="Times New Roman"/>
                <w:b/>
                <w:color w:val="000000"/>
                <w:sz w:val="24"/>
              </w:rPr>
              <w:t>Independent Chairman Premium</w:t>
            </w:r>
            <w:r>
              <w:rPr>
                <w:rFonts w:ascii="Times New Roman" w:hAnsi="Times New Roman"/>
                <w:color w:val="000000"/>
                <w:sz w:val="24"/>
              </w:rPr>
              <w:t xml:space="preserve"> </w:t>
            </w:r>
          </w:p>
        </w:tc>
        <w:tc>
          <w:tcPr>
            <w:tcW w:w="7863"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$50,000 (cash)</w:t>
            </w:r>
          </w:p>
        </w:tc>
      </w:tr>
      <w:tr>
        <w:trPr/>
        <w:tc>
          <w:tcPr>
            <w:tcW w:w="2342"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120"/>
              <w:jc w:val="left"/>
              <w:rPr>
                <w:rFonts w:ascii="Times New Roman" w:hAnsi="Times New Roman"/>
                <w:b/>
                <w:color w:val="000000"/>
                <w:sz w:val="24"/>
              </w:rPr>
            </w:pPr>
            <w:r>
              <w:rPr>
                <w:rFonts w:ascii="Times New Roman" w:hAnsi="Times New Roman"/>
                <w:b/>
                <w:color w:val="000000"/>
                <w:sz w:val="24"/>
              </w:rPr>
              <w:t>Committee Member Compensation</w:t>
            </w:r>
          </w:p>
        </w:tc>
        <w:tc>
          <w:tcPr>
            <w:tcW w:w="7863"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Audit: $10,000</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Compensation: $7,500</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 xml:space="preserve">Nominating/Governance: $5,000 </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(cash)</w:t>
            </w:r>
          </w:p>
        </w:tc>
      </w:tr>
      <w:tr>
        <w:trPr/>
        <w:tc>
          <w:tcPr>
            <w:tcW w:w="2342"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120"/>
              <w:jc w:val="left"/>
              <w:rPr>
                <w:rFonts w:ascii="Times New Roman" w:hAnsi="Times New Roman"/>
                <w:b/>
                <w:color w:val="000000"/>
                <w:sz w:val="24"/>
              </w:rPr>
            </w:pPr>
            <w:r>
              <w:rPr>
                <w:rFonts w:ascii="Times New Roman" w:hAnsi="Times New Roman"/>
                <w:b/>
                <w:color w:val="000000"/>
                <w:sz w:val="24"/>
              </w:rPr>
              <w:t>Committee Chair Premiums</w:t>
            </w:r>
          </w:p>
        </w:tc>
        <w:tc>
          <w:tcPr>
            <w:tcW w:w="7863"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Audit: $15,000</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Comp: $12,500</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Nominating/Governance: $5,000</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(cash)</w:t>
            </w:r>
          </w:p>
        </w:tc>
      </w:tr>
    </w:tbl>
    <w:p>
      <w:pPr>
        <w:pStyle w:val="TextBody"/>
        <w:bidi w:val="0"/>
        <w:spacing w:before="0" w:after="120"/>
        <w:jc w:val="both"/>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mnkd-ex10_2.htm"/>
      <w:bookmarkStart w:id="25" w:name="ksmnkdex10_2"/>
      <w:bookmarkEnd w:id="24"/>
      <w:bookmarkEnd w:id="25"/>
      <w:r>
        <w:rPr/>
        <w:t> </w:t>
      </w:r>
      <w:r>
        <w:br w:type="page"/>
      </w:r>
    </w:p>
    <w:p>
      <w:pPr>
        <w:pStyle w:val="TextBody"/>
        <w:bidi w:val="0"/>
        <w:jc w:val="right"/>
        <w:rPr>
          <w:rFonts w:ascii="Times New Roman" w:hAnsi="Times New Roman"/>
          <w:b/>
          <w:color w:val="000000"/>
          <w:sz w:val="22"/>
        </w:rPr>
      </w:pPr>
      <w:r>
        <w:rPr>
          <w:rFonts w:ascii="Times New Roman" w:hAnsi="Times New Roman"/>
          <w:b/>
          <w:color w:val="000000"/>
          <w:sz w:val="22"/>
        </w:rPr>
        <w:t>Exhibit 10.2</w:t>
      </w:r>
    </w:p>
    <w:p>
      <w:pPr>
        <w:pStyle w:val="TextBody"/>
        <w:bidi w:val="0"/>
        <w:jc w:val="center"/>
        <w:rPr>
          <w:rFonts w:ascii="sans-serif" w:hAnsi="sans-serif"/>
          <w:b/>
          <w:color w:val="000000"/>
          <w:sz w:val="22"/>
        </w:rPr>
      </w:pPr>
      <w:r>
        <w:rPr>
          <w:rFonts w:ascii="sans-serif" w:hAnsi="sans-serif"/>
          <w:b/>
          <w:color w:val="000000"/>
          <w:sz w:val="22"/>
        </w:rPr>
        <w:t>FIFTH AMENDMENT</w:t>
      </w:r>
    </w:p>
    <w:p>
      <w:pPr>
        <w:pStyle w:val="TextBody"/>
        <w:bidi w:val="0"/>
        <w:jc w:val="center"/>
        <w:rPr>
          <w:rFonts w:ascii="sans-serif" w:hAnsi="sans-serif"/>
          <w:b/>
          <w:color w:val="000000"/>
          <w:sz w:val="22"/>
        </w:rPr>
      </w:pPr>
      <w:r>
        <w:rPr>
          <w:rFonts w:ascii="sans-serif" w:hAnsi="sans-serif"/>
          <w:b/>
          <w:color w:val="000000"/>
          <w:sz w:val="22"/>
        </w:rPr>
        <w:t>TO</w:t>
      </w:r>
    </w:p>
    <w:p>
      <w:pPr>
        <w:pStyle w:val="TextBody"/>
        <w:bidi w:val="0"/>
        <w:spacing w:before="0" w:after="240"/>
        <w:jc w:val="center"/>
        <w:rPr>
          <w:rFonts w:ascii="sans-serif" w:hAnsi="sans-serif"/>
          <w:b/>
          <w:color w:val="000000"/>
          <w:sz w:val="22"/>
        </w:rPr>
      </w:pPr>
      <w:r>
        <w:rPr>
          <w:rFonts w:ascii="sans-serif" w:hAnsi="sans-serif"/>
          <w:b/>
          <w:color w:val="000000"/>
          <w:sz w:val="22"/>
        </w:rPr>
        <w:t>COMMERCIAL SUPPLY AGREEMENT</w:t>
      </w:r>
    </w:p>
    <w:p>
      <w:pPr>
        <w:pStyle w:val="TextBody"/>
        <w:bidi w:val="0"/>
        <w:spacing w:before="0" w:after="240"/>
        <w:jc w:val="left"/>
        <w:rPr>
          <w:rFonts w:ascii="Times New Roman" w:hAnsi="Times New Roman"/>
          <w:sz w:val="20"/>
        </w:rPr>
      </w:pPr>
      <w:r>
        <w:rPr>
          <w:rFonts w:ascii="sans-serif" w:hAnsi="sans-serif"/>
          <w:color w:val="000000"/>
          <w:sz w:val="22"/>
        </w:rPr>
        <w:t xml:space="preserve">This amendment is effective the last date signed by a party, between </w:t>
      </w:r>
      <w:r>
        <w:rPr>
          <w:rFonts w:ascii="sans-serif" w:hAnsi="sans-serif"/>
          <w:b/>
          <w:color w:val="000000"/>
          <w:sz w:val="22"/>
        </w:rPr>
        <w:t>MannKind Corporation</w:t>
      </w:r>
      <w:r>
        <w:rPr>
          <w:rFonts w:ascii="sans-serif" w:hAnsi="sans-serif"/>
          <w:color w:val="000000"/>
          <w:sz w:val="22"/>
        </w:rPr>
        <w:t>, a Delaware corporation (“</w:t>
      </w:r>
      <w:r>
        <w:rPr>
          <w:rFonts w:ascii="sans-serif" w:hAnsi="sans-serif"/>
          <w:b/>
          <w:color w:val="000000"/>
          <w:sz w:val="22"/>
        </w:rPr>
        <w:t>MannKind</w:t>
      </w:r>
      <w:r>
        <w:rPr>
          <w:rFonts w:ascii="Times New Roman" w:hAnsi="Times New Roman"/>
          <w:color w:val="000000"/>
          <w:sz w:val="20"/>
        </w:rPr>
        <w:t>”</w:t>
      </w:r>
      <w:r>
        <w:rPr>
          <w:rFonts w:ascii="sans-serif" w:hAnsi="sans-serif"/>
          <w:color w:val="000000"/>
          <w:sz w:val="22"/>
        </w:rPr>
        <w:t xml:space="preserve">), having a principal place of business at One Casper Street, Danbury, Connecticut 06810, and </w:t>
      </w:r>
      <w:r>
        <w:rPr>
          <w:rFonts w:ascii="sans-serif" w:hAnsi="sans-serif"/>
          <w:b/>
          <w:color w:val="000000"/>
          <w:sz w:val="22"/>
        </w:rPr>
        <w:t>United Therapeutics Corporation</w:t>
      </w:r>
      <w:r>
        <w:rPr>
          <w:rFonts w:ascii="sans-serif" w:hAnsi="sans-serif"/>
          <w:color w:val="000000"/>
          <w:sz w:val="22"/>
        </w:rPr>
        <w:t>, a Delaware public benefit corporation (“</w:t>
      </w:r>
      <w:r>
        <w:rPr>
          <w:rFonts w:ascii="sans-serif" w:hAnsi="sans-serif"/>
          <w:b/>
          <w:color w:val="000000"/>
          <w:sz w:val="22"/>
        </w:rPr>
        <w:t>United Therapeutics</w:t>
      </w:r>
      <w:r>
        <w:rPr>
          <w:rFonts w:ascii="Times New Roman" w:hAnsi="Times New Roman"/>
          <w:color w:val="000000"/>
          <w:sz w:val="20"/>
        </w:rPr>
        <w:t>”</w:t>
      </w:r>
      <w:r>
        <w:rPr>
          <w:rFonts w:ascii="sans-serif" w:hAnsi="sans-serif"/>
          <w:color w:val="000000"/>
          <w:sz w:val="22"/>
        </w:rPr>
        <w:t>), having a principal place of business at 1040 Spring Street, Silver Spring, Maryland 20910.</w:t>
      </w:r>
    </w:p>
    <w:p>
      <w:pPr>
        <w:pStyle w:val="TextBody"/>
        <w:bidi w:val="0"/>
        <w:spacing w:before="0" w:after="240"/>
        <w:jc w:val="left"/>
        <w:rPr>
          <w:rFonts w:ascii="Times New Roman" w:hAnsi="Times New Roman"/>
          <w:sz w:val="20"/>
        </w:rPr>
      </w:pPr>
      <w:r>
        <w:rPr>
          <w:rFonts w:ascii="sans-serif" w:hAnsi="sans-serif"/>
          <w:b/>
          <w:color w:val="000000"/>
          <w:sz w:val="22"/>
        </w:rPr>
        <w:t>WHEREAS</w:t>
      </w:r>
      <w:r>
        <w:rPr>
          <w:rFonts w:ascii="sans-serif" w:hAnsi="sans-serif"/>
          <w:color w:val="000000"/>
          <w:sz w:val="22"/>
        </w:rPr>
        <w:t>, the parties to this amendment entered into a Commercial Supply Agreement effective as of August 12, 2021 (such agreement, as amended in a First Amendment effective October 16, 2021, a Second Amendment effective June 15, 2022, a Third Amendment effective August 31, 2022, and a Fourth Amendment effective December 22, 2022, the “</w:t>
      </w:r>
      <w:r>
        <w:rPr>
          <w:rFonts w:ascii="sans-serif" w:hAnsi="sans-serif"/>
          <w:b/>
          <w:color w:val="000000"/>
          <w:sz w:val="22"/>
        </w:rPr>
        <w:t>Agreement</w:t>
      </w:r>
      <w:r>
        <w:rPr>
          <w:rFonts w:ascii="Times New Roman" w:hAnsi="Times New Roman"/>
          <w:color w:val="000000"/>
          <w:sz w:val="20"/>
        </w:rPr>
        <w:t>”</w:t>
      </w:r>
      <w:r>
        <w:rPr>
          <w:rFonts w:ascii="sans-serif" w:hAnsi="sans-serif"/>
          <w:color w:val="000000"/>
          <w:sz w:val="22"/>
        </w:rPr>
        <w:t>), and the parties now wish to amend the Agreement as set forth below.</w:t>
      </w:r>
    </w:p>
    <w:p>
      <w:pPr>
        <w:pStyle w:val="TextBody"/>
        <w:bidi w:val="0"/>
        <w:spacing w:before="0" w:after="240"/>
        <w:jc w:val="left"/>
        <w:rPr>
          <w:rFonts w:ascii="Times New Roman" w:hAnsi="Times New Roman"/>
          <w:sz w:val="20"/>
        </w:rPr>
      </w:pPr>
      <w:r>
        <w:rPr>
          <w:rFonts w:ascii="sans-serif" w:hAnsi="sans-serif"/>
          <w:b/>
          <w:color w:val="000000"/>
          <w:sz w:val="22"/>
        </w:rPr>
        <w:t>NOW, THEREFORE</w:t>
      </w:r>
      <w:r>
        <w:rPr>
          <w:rFonts w:ascii="sans-serif" w:hAnsi="sans-serif"/>
          <w:color w:val="000000"/>
          <w:sz w:val="22"/>
        </w:rPr>
        <w:t>, in consideration of the terms and conditions specified herein and other good and valuable consideration, the receipt and sufficiency of which is hereby acknowledged, the parties hereby agree as follows:</w:t>
      </w:r>
    </w:p>
    <w:p>
      <w:pPr>
        <w:pStyle w:val="TextBody"/>
        <w:bidi w:val="0"/>
        <w:spacing w:before="0" w:after="240"/>
        <w:jc w:val="left"/>
        <w:rPr>
          <w:rFonts w:ascii="Calibri" w:hAnsi="Calibri"/>
          <w:b/>
          <w:color w:val="000000"/>
          <w:sz w:val="22"/>
        </w:rPr>
      </w:pPr>
      <w:r>
        <w:rPr>
          <w:rFonts w:ascii="Calibri" w:hAnsi="Calibri"/>
          <w:b/>
          <w:color w:val="000000"/>
          <w:sz w:val="22"/>
        </w:rPr>
        <w:t>1.</w:t>
      </w:r>
    </w:p>
    <w:p>
      <w:pPr>
        <w:pStyle w:val="TextBody"/>
        <w:bidi w:val="0"/>
        <w:spacing w:before="0" w:after="240"/>
        <w:jc w:val="left"/>
        <w:rPr/>
      </w:pPr>
      <w:r>
        <w:rPr>
          <w:rFonts w:ascii="sans-serif" w:hAnsi="sans-serif"/>
          <w:b/>
          <w:color w:val="000000"/>
          <w:sz w:val="22"/>
        </w:rPr>
        <w:t>AMENDMENTS</w:t>
      </w:r>
      <w:r>
        <w:rPr>
          <w:rFonts w:ascii="sans-serif" w:hAnsi="sans-serif"/>
          <w:color w:val="000000"/>
          <w:sz w:val="22"/>
        </w:rPr>
        <w:t>.</w:t>
      </w:r>
    </w:p>
    <w:p>
      <w:pPr>
        <w:pStyle w:val="TextBody"/>
        <w:bidi w:val="0"/>
        <w:spacing w:before="0" w:after="240"/>
        <w:jc w:val="left"/>
        <w:rPr>
          <w:rFonts w:ascii="Calibri" w:hAnsi="Calibri"/>
          <w:color w:val="000000"/>
          <w:sz w:val="22"/>
        </w:rPr>
      </w:pPr>
      <w:r>
        <w:rPr>
          <w:rFonts w:ascii="Calibri" w:hAnsi="Calibri"/>
          <w:color w:val="000000"/>
          <w:sz w:val="22"/>
        </w:rPr>
        <w:t>a.</w:t>
      </w:r>
    </w:p>
    <w:p>
      <w:pPr>
        <w:pStyle w:val="TextBody"/>
        <w:bidi w:val="0"/>
        <w:spacing w:before="0" w:after="240"/>
        <w:jc w:val="left"/>
        <w:rPr>
          <w:rFonts w:ascii="sans-serif" w:hAnsi="sans-serif"/>
          <w:color w:val="000000"/>
          <w:sz w:val="22"/>
        </w:rPr>
      </w:pPr>
      <w:r>
        <w:rPr>
          <w:rFonts w:ascii="sans-serif" w:hAnsi="sans-serif"/>
          <w:color w:val="000000"/>
          <w:sz w:val="22"/>
        </w:rPr>
        <w:t>Effective January 1, 2024, Appendices A, B and E of the Agreement are deleted in their entirety and replaced with the versions of such appendices attached hereto, and all references to such appendices in the Agreement shall be construed as references to the updated versions of each such appendices attached hereto as of such date. Until such date, the existing version of Appendices A, B and E shall remain in effect.</w:t>
      </w:r>
    </w:p>
    <w:p>
      <w:pPr>
        <w:pStyle w:val="TextBody"/>
        <w:bidi w:val="0"/>
        <w:spacing w:before="0" w:after="240"/>
        <w:jc w:val="left"/>
        <w:rPr>
          <w:rFonts w:ascii="Calibri" w:hAnsi="Calibri"/>
          <w:color w:val="000000"/>
          <w:sz w:val="22"/>
        </w:rPr>
      </w:pPr>
      <w:r>
        <w:rPr>
          <w:rFonts w:ascii="Calibri" w:hAnsi="Calibri"/>
          <w:color w:val="000000"/>
          <w:sz w:val="22"/>
        </w:rPr>
        <w:t>b.</w:t>
      </w:r>
    </w:p>
    <w:p>
      <w:pPr>
        <w:pStyle w:val="TextBody"/>
        <w:bidi w:val="0"/>
        <w:spacing w:before="0" w:after="240"/>
        <w:jc w:val="left"/>
        <w:rPr>
          <w:rFonts w:ascii="sans-serif" w:hAnsi="sans-serif"/>
          <w:color w:val="000000"/>
          <w:sz w:val="22"/>
        </w:rPr>
      </w:pPr>
      <w:r>
        <w:rPr>
          <w:rFonts w:ascii="sans-serif" w:hAnsi="sans-serif"/>
          <w:color w:val="000000"/>
          <w:sz w:val="22"/>
        </w:rPr>
        <w:t>Effective immediately, Appendix F of the Agreement is deleted in its entirety and replaced with the version of Appendix F attached hereto. All references to Appendix F in the Agreement shall be construed as a reference to the updated version of Appendix F attached hereto.</w:t>
      </w:r>
    </w:p>
    <w:p>
      <w:pPr>
        <w:pStyle w:val="TextBody"/>
        <w:bidi w:val="0"/>
        <w:spacing w:before="0" w:after="0"/>
        <w:jc w:val="left"/>
        <w:rPr>
          <w:rFonts w:ascii="Calibri" w:hAnsi="Calibri"/>
          <w:b/>
          <w:color w:val="000000"/>
          <w:sz w:val="22"/>
        </w:rPr>
      </w:pPr>
      <w:r>
        <w:rPr>
          <w:rFonts w:ascii="Calibri" w:hAnsi="Calibri"/>
          <w:b/>
          <w:color w:val="000000"/>
          <w:sz w:val="22"/>
        </w:rPr>
        <w:t>2.</w:t>
      </w:r>
    </w:p>
    <w:p>
      <w:pPr>
        <w:pStyle w:val="TextBody"/>
        <w:bidi w:val="0"/>
        <w:jc w:val="left"/>
        <w:rPr/>
      </w:pPr>
      <w:r>
        <w:rPr>
          <w:rFonts w:ascii="sans-serif" w:hAnsi="sans-serif"/>
          <w:b/>
          <w:color w:val="000000"/>
          <w:sz w:val="22"/>
        </w:rPr>
        <w:t xml:space="preserve">GENERAL. </w:t>
      </w:r>
      <w:r>
        <w:rPr>
          <w:rFonts w:ascii="sans-serif" w:hAnsi="sans-serif"/>
          <w:color w:val="000000"/>
          <w:sz w:val="22"/>
        </w:rPr>
        <w:t>All terms of the Agreement that are not specifically modified by this amendment remain in full force and effect. The parties may execute this amendment in counterparts, each of which is deemed an original for all purposes, and which together will constitute the same instrument. The parties may execute this amendment by electronic means (electronic signature through generally recognized e-signature vendors), by scanned pdfs of wet-ink signed documents, or by return of originals.</w:t>
      </w:r>
    </w:p>
    <w:p>
      <w:pPr>
        <w:pStyle w:val="TextBody"/>
        <w:bidi w:val="0"/>
        <w:spacing w:before="0" w:after="240"/>
        <w:jc w:val="center"/>
        <w:rPr>
          <w:rFonts w:ascii="sans-serif" w:hAnsi="sans-serif"/>
          <w:i/>
          <w:color w:val="000000"/>
          <w:sz w:val="22"/>
        </w:rPr>
      </w:pPr>
      <w:r>
        <w:rPr>
          <w:rFonts w:ascii="sans-serif" w:hAnsi="sans-serif"/>
          <w:i/>
          <w:color w:val="000000"/>
          <w:sz w:val="22"/>
        </w:rPr>
        <w:t>* * *</w:t>
      </w:r>
    </w:p>
    <w:p>
      <w:pPr>
        <w:pStyle w:val="TextBody"/>
        <w:bidi w:val="0"/>
        <w:spacing w:before="0" w:after="240"/>
        <w:jc w:val="center"/>
        <w:rPr>
          <w:rFonts w:ascii="sans-serif" w:hAnsi="sans-serif"/>
          <w:i/>
          <w:color w:val="000000"/>
          <w:sz w:val="22"/>
        </w:rPr>
      </w:pPr>
      <w:r>
        <w:rPr>
          <w:rFonts w:ascii="sans-serif" w:hAnsi="sans-serif"/>
          <w:i/>
          <w:color w:val="000000"/>
          <w:sz w:val="22"/>
        </w:rPr>
        <w:t>Signature page follows</w:t>
      </w:r>
    </w:p>
    <w:p>
      <w:pPr>
        <w:pStyle w:val="TextBody"/>
        <w:bidi w:val="0"/>
        <w:jc w:val="center"/>
        <w:rPr>
          <w:rFonts w:ascii="sans-serif" w:hAnsi="sans-serif"/>
          <w:color w:val="000000"/>
          <w:sz w:val="22"/>
        </w:rPr>
      </w:pPr>
      <w:r>
        <w:rPr>
          <w:rFonts w:ascii="sans-serif" w:hAnsi="sans-serif"/>
          <w:color w:val="000000"/>
          <w:sz w:val="22"/>
        </w:rPr>
        <w:t>Confidential</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sans-serif" w:hAnsi="sans-serif"/>
          <w:color w:val="000000"/>
          <w:sz w:val="22"/>
        </w:rPr>
      </w:pPr>
      <w:r>
        <w:rPr>
          <w:rFonts w:ascii="sans-serif" w:hAnsi="sans-serif"/>
          <w:color w:val="000000"/>
          <w:sz w:val="22"/>
        </w:rPr>
        <w:t>IN WITNESS WHEREOF, the parties have caused this amendment to be signed by their duly authorized representatives as of the date indicated below.</w:t>
      </w:r>
    </w:p>
    <w:tbl>
      <w:tblPr>
        <w:tblW w:w="8822" w:type="dxa"/>
        <w:jc w:val="left"/>
        <w:tblInd w:w="0" w:type="dxa"/>
        <w:tblLayout w:type="fixed"/>
        <w:tblCellMar>
          <w:top w:w="28" w:type="dxa"/>
          <w:left w:w="28" w:type="dxa"/>
          <w:bottom w:w="28" w:type="dxa"/>
          <w:right w:w="28" w:type="dxa"/>
        </w:tblCellMar>
      </w:tblPr>
      <w:tblGrid>
        <w:gridCol w:w="5086"/>
        <w:gridCol w:w="3736"/>
      </w:tblGrid>
      <w:tr>
        <w:trPr/>
        <w:tc>
          <w:tcPr>
            <w:tcW w:w="5086"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508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2"/>
              </w:rPr>
            </w:pPr>
            <w:r>
              <w:rPr>
                <w:rFonts w:ascii="sans-serif" w:hAnsi="sans-serif"/>
                <w:b/>
                <w:caps/>
                <w:color w:val="000000"/>
                <w:sz w:val="22"/>
              </w:rPr>
              <w:t>United Therapeutics Corporation</w:t>
            </w:r>
            <w:r>
              <w:rPr>
                <w:rFonts w:ascii="Times New Roman" w:hAnsi="Times New Roman"/>
                <w:caps/>
                <w:color w:val="000000"/>
                <w:sz w:val="22"/>
              </w:rPr>
              <w:t xml:space="preserve"> </w:t>
            </w:r>
          </w:p>
          <w:p>
            <w:pPr>
              <w:pStyle w:val="TableContents"/>
              <w:bidi w:val="0"/>
              <w:spacing w:before="0" w:after="240"/>
              <w:jc w:val="left"/>
              <w:rPr/>
            </w:pPr>
            <w:r>
              <w:rPr/>
              <w:t> </w:t>
            </w:r>
          </w:p>
          <w:p>
            <w:pPr>
              <w:pStyle w:val="TableContents"/>
              <w:bidi w:val="0"/>
              <w:jc w:val="left"/>
              <w:rPr>
                <w:rFonts w:ascii="sans-serif" w:hAnsi="sans-serif"/>
                <w:color w:val="000000"/>
                <w:sz w:val="22"/>
              </w:rPr>
            </w:pPr>
            <w:r>
              <w:rPr>
                <w:rFonts w:ascii="sans-serif" w:hAnsi="sans-serif"/>
                <w:color w:val="000000"/>
                <w:sz w:val="22"/>
              </w:rPr>
              <w:t>By: /s/ Patrick Poisson</w:t>
            </w:r>
          </w:p>
          <w:p>
            <w:pPr>
              <w:pStyle w:val="TableContents"/>
              <w:bidi w:val="0"/>
              <w:jc w:val="left"/>
              <w:rPr>
                <w:rFonts w:ascii="Times New Roman" w:hAnsi="Times New Roman"/>
                <w:sz w:val="22"/>
              </w:rPr>
            </w:pPr>
            <w:r>
              <w:rPr>
                <w:rFonts w:ascii="sans-serif" w:hAnsi="sans-serif"/>
                <w:color w:val="000000"/>
                <w:sz w:val="22"/>
              </w:rPr>
              <w:t>Name: Patrick Poisson</w:t>
            </w:r>
            <w:r>
              <w:rPr>
                <w:rFonts w:ascii="Times New Roman" w:hAnsi="Times New Roman"/>
                <w:color w:val="000000"/>
                <w:sz w:val="22"/>
              </w:rPr>
              <w:t xml:space="preserve"> </w:t>
            </w:r>
          </w:p>
          <w:p>
            <w:pPr>
              <w:pStyle w:val="TableContents"/>
              <w:bidi w:val="0"/>
              <w:jc w:val="left"/>
              <w:rPr>
                <w:rFonts w:ascii="Times New Roman" w:hAnsi="Times New Roman"/>
                <w:sz w:val="22"/>
              </w:rPr>
            </w:pPr>
            <w:r>
              <w:rPr>
                <w:rFonts w:ascii="sans-serif" w:hAnsi="sans-serif"/>
                <w:color w:val="000000"/>
                <w:sz w:val="22"/>
              </w:rPr>
              <w:t>Title: EVP, Technical Operations</w:t>
            </w:r>
            <w:r>
              <w:rPr>
                <w:rFonts w:ascii="Times New Roman" w:hAnsi="Times New Roman"/>
                <w:color w:val="000000"/>
                <w:sz w:val="22"/>
              </w:rPr>
              <w:t xml:space="preserve"> </w:t>
            </w:r>
          </w:p>
          <w:p>
            <w:pPr>
              <w:pStyle w:val="TableContents"/>
              <w:bidi w:val="0"/>
              <w:spacing w:before="0" w:after="240"/>
              <w:jc w:val="left"/>
              <w:rPr>
                <w:rFonts w:ascii="sans-serif" w:hAnsi="sans-serif"/>
                <w:color w:val="000000"/>
                <w:sz w:val="22"/>
              </w:rPr>
            </w:pPr>
            <w:r>
              <w:rPr>
                <w:rFonts w:ascii="sans-serif" w:hAnsi="sans-serif"/>
                <w:color w:val="000000"/>
                <w:sz w:val="22"/>
              </w:rPr>
              <w:t>Date: 10-Jan-2024</w:t>
            </w:r>
          </w:p>
        </w:tc>
        <w:tc>
          <w:tcPr>
            <w:tcW w:w="373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2"/>
              </w:rPr>
            </w:pPr>
            <w:r>
              <w:rPr>
                <w:rFonts w:ascii="sans-serif" w:hAnsi="sans-serif"/>
                <w:b/>
                <w:caps/>
                <w:color w:val="000000"/>
                <w:sz w:val="22"/>
              </w:rPr>
              <w:t>MannKind Corporation</w:t>
            </w:r>
            <w:r>
              <w:rPr>
                <w:rFonts w:ascii="Times New Roman" w:hAnsi="Times New Roman"/>
                <w:caps/>
                <w:color w:val="000000"/>
                <w:sz w:val="22"/>
              </w:rPr>
              <w:t xml:space="preserve"> </w:t>
            </w:r>
          </w:p>
          <w:p>
            <w:pPr>
              <w:pStyle w:val="TableContents"/>
              <w:bidi w:val="0"/>
              <w:spacing w:before="0" w:after="240"/>
              <w:jc w:val="left"/>
              <w:rPr/>
            </w:pPr>
            <w:r>
              <w:rPr/>
              <w:t> </w:t>
            </w:r>
          </w:p>
          <w:p>
            <w:pPr>
              <w:pStyle w:val="TableContents"/>
              <w:bidi w:val="0"/>
              <w:jc w:val="left"/>
              <w:rPr>
                <w:rFonts w:ascii="Times New Roman" w:hAnsi="Times New Roman"/>
                <w:sz w:val="22"/>
              </w:rPr>
            </w:pPr>
            <w:r>
              <w:rPr>
                <w:rFonts w:ascii="sans-serif" w:hAnsi="sans-serif"/>
                <w:color w:val="000000"/>
                <w:sz w:val="22"/>
              </w:rPr>
              <w:t>By: /s/ Sanjay Singh</w:t>
            </w:r>
            <w:r>
              <w:rPr>
                <w:rFonts w:ascii="Times New Roman" w:hAnsi="Times New Roman"/>
                <w:color w:val="000000"/>
                <w:sz w:val="22"/>
              </w:rPr>
              <w:t xml:space="preserve"> </w:t>
            </w:r>
          </w:p>
          <w:p>
            <w:pPr>
              <w:pStyle w:val="TableContents"/>
              <w:bidi w:val="0"/>
              <w:jc w:val="left"/>
              <w:rPr>
                <w:rFonts w:ascii="sans-serif" w:hAnsi="sans-serif"/>
                <w:color w:val="000000"/>
                <w:sz w:val="22"/>
              </w:rPr>
            </w:pPr>
            <w:r>
              <w:rPr>
                <w:rFonts w:ascii="sans-serif" w:hAnsi="sans-serif"/>
                <w:color w:val="000000"/>
                <w:sz w:val="22"/>
              </w:rPr>
              <w:t>Name: Sanjay Singh</w:t>
            </w:r>
          </w:p>
          <w:p>
            <w:pPr>
              <w:pStyle w:val="TableContents"/>
              <w:bidi w:val="0"/>
              <w:jc w:val="left"/>
              <w:rPr>
                <w:rFonts w:ascii="sans-serif" w:hAnsi="sans-serif"/>
                <w:color w:val="000000"/>
                <w:sz w:val="22"/>
              </w:rPr>
            </w:pPr>
            <w:r>
              <w:rPr>
                <w:rFonts w:ascii="sans-serif" w:hAnsi="sans-serif"/>
                <w:color w:val="000000"/>
                <w:sz w:val="22"/>
              </w:rPr>
              <w:t>Title: EVP, Technical Operations</w:t>
            </w:r>
          </w:p>
          <w:p>
            <w:pPr>
              <w:pStyle w:val="TableContents"/>
              <w:bidi w:val="0"/>
              <w:spacing w:before="0" w:after="240"/>
              <w:jc w:val="left"/>
              <w:rPr>
                <w:rFonts w:ascii="sans-serif" w:hAnsi="sans-serif"/>
                <w:color w:val="000000"/>
                <w:sz w:val="22"/>
              </w:rPr>
            </w:pPr>
            <w:r>
              <w:rPr>
                <w:rFonts w:ascii="sans-serif" w:hAnsi="sans-serif"/>
                <w:color w:val="000000"/>
                <w:sz w:val="22"/>
              </w:rPr>
              <w:t>Date: 10-Jan-2024</w:t>
            </w:r>
          </w:p>
        </w:tc>
      </w:tr>
    </w:tbl>
    <w:p>
      <w:pPr>
        <w:pStyle w:val="TextBody"/>
        <w:bidi w:val="0"/>
        <w:spacing w:before="0" w:after="240"/>
        <w:jc w:val="left"/>
        <w:rPr/>
      </w:pPr>
      <w:r>
        <w:rPr/>
        <w:t> </w:t>
      </w:r>
    </w:p>
    <w:p>
      <w:pPr>
        <w:pStyle w:val="TextBody"/>
        <w:bidi w:val="0"/>
        <w:jc w:val="center"/>
        <w:rPr>
          <w:rFonts w:ascii="sans-serif" w:hAnsi="sans-serif"/>
          <w:color w:val="000000"/>
          <w:sz w:val="22"/>
        </w:rPr>
      </w:pPr>
      <w:r>
        <w:rPr>
          <w:rFonts w:ascii="sans-serif" w:hAnsi="sans-serif"/>
          <w:color w:val="000000"/>
          <w:sz w:val="22"/>
        </w:rPr>
        <w:t>Confidential</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mnkd-ex10_3.htm"/>
      <w:bookmarkStart w:id="27" w:name="ksmnkdex10_3"/>
      <w:bookmarkEnd w:id="26"/>
      <w:bookmarkEnd w:id="27"/>
      <w:r>
        <w:rPr/>
        <w:t> </w:t>
      </w:r>
      <w:r>
        <w:br w:type="page"/>
      </w:r>
    </w:p>
    <w:p>
      <w:pPr>
        <w:pStyle w:val="TextBody"/>
        <w:bidi w:val="0"/>
        <w:jc w:val="left"/>
        <w:rPr/>
      </w:pPr>
      <w:r>
        <w:rPr/>
        <w:t> </w:t>
      </w:r>
    </w:p>
    <w:p>
      <w:pPr>
        <w:pStyle w:val="TextBody"/>
        <w:bidi w:val="0"/>
        <w:jc w:val="right"/>
        <w:rPr>
          <w:rFonts w:ascii="Times New Roman" w:hAnsi="Times New Roman"/>
          <w:b/>
          <w:color w:val="000000"/>
          <w:sz w:val="22"/>
        </w:rPr>
      </w:pPr>
      <w:r>
        <w:rPr>
          <w:rFonts w:ascii="Times New Roman" w:hAnsi="Times New Roman"/>
          <w:b/>
          <w:color w:val="000000"/>
          <w:sz w:val="22"/>
        </w:rPr>
        <w:t>Exhibit 10.3</w:t>
      </w:r>
    </w:p>
    <w:p>
      <w:pPr>
        <w:pStyle w:val="TextBody"/>
        <w:bidi w:val="0"/>
        <w:jc w:val="center"/>
        <w:rPr>
          <w:rFonts w:ascii="sans-serif" w:hAnsi="sans-serif"/>
          <w:b/>
          <w:color w:val="000000"/>
          <w:sz w:val="22"/>
        </w:rPr>
      </w:pPr>
      <w:r>
        <w:rPr>
          <w:rFonts w:ascii="sans-serif" w:hAnsi="sans-serif"/>
          <w:b/>
          <w:color w:val="000000"/>
          <w:sz w:val="22"/>
        </w:rPr>
        <w:t>SIXTH AMENDMENT</w:t>
      </w:r>
    </w:p>
    <w:p>
      <w:pPr>
        <w:pStyle w:val="TextBody"/>
        <w:bidi w:val="0"/>
        <w:jc w:val="center"/>
        <w:rPr>
          <w:rFonts w:ascii="sans-serif" w:hAnsi="sans-serif"/>
          <w:b/>
          <w:color w:val="000000"/>
          <w:sz w:val="22"/>
        </w:rPr>
      </w:pPr>
      <w:r>
        <w:rPr>
          <w:rFonts w:ascii="sans-serif" w:hAnsi="sans-serif"/>
          <w:b/>
          <w:color w:val="000000"/>
          <w:sz w:val="22"/>
        </w:rPr>
        <w:t>TO</w:t>
      </w:r>
    </w:p>
    <w:p>
      <w:pPr>
        <w:pStyle w:val="TextBody"/>
        <w:bidi w:val="0"/>
        <w:spacing w:before="0" w:after="240"/>
        <w:jc w:val="center"/>
        <w:rPr>
          <w:rFonts w:ascii="sans-serif" w:hAnsi="sans-serif"/>
          <w:b/>
          <w:color w:val="000000"/>
          <w:sz w:val="22"/>
        </w:rPr>
      </w:pPr>
      <w:r>
        <w:rPr>
          <w:rFonts w:ascii="sans-serif" w:hAnsi="sans-serif"/>
          <w:b/>
          <w:color w:val="000000"/>
          <w:sz w:val="22"/>
        </w:rPr>
        <w:t>COMMERCIAL SUPPLY AGREEMENT</w:t>
      </w:r>
    </w:p>
    <w:p>
      <w:pPr>
        <w:pStyle w:val="TextBody"/>
        <w:bidi w:val="0"/>
        <w:spacing w:before="0" w:after="240"/>
        <w:jc w:val="left"/>
        <w:rPr>
          <w:rFonts w:ascii="Times New Roman" w:hAnsi="Times New Roman"/>
          <w:sz w:val="20"/>
        </w:rPr>
      </w:pPr>
      <w:r>
        <w:rPr>
          <w:rFonts w:ascii="sans-serif" w:hAnsi="sans-serif"/>
          <w:color w:val="000000"/>
          <w:sz w:val="22"/>
        </w:rPr>
        <w:t xml:space="preserve">This amendment is effective the last date signed by a party, between </w:t>
      </w:r>
      <w:r>
        <w:rPr>
          <w:rFonts w:ascii="sans-serif" w:hAnsi="sans-serif"/>
          <w:b/>
          <w:color w:val="000000"/>
          <w:sz w:val="22"/>
        </w:rPr>
        <w:t>MannKind Corporation</w:t>
      </w:r>
      <w:r>
        <w:rPr>
          <w:rFonts w:ascii="sans-serif" w:hAnsi="sans-serif"/>
          <w:color w:val="000000"/>
          <w:sz w:val="22"/>
        </w:rPr>
        <w:t>, a Delaware corporation (“</w:t>
      </w:r>
      <w:r>
        <w:rPr>
          <w:rFonts w:ascii="sans-serif" w:hAnsi="sans-serif"/>
          <w:b/>
          <w:color w:val="000000"/>
          <w:sz w:val="22"/>
        </w:rPr>
        <w:t>MannKind</w:t>
      </w:r>
      <w:r>
        <w:rPr>
          <w:rFonts w:ascii="Times New Roman" w:hAnsi="Times New Roman"/>
          <w:color w:val="000000"/>
          <w:sz w:val="20"/>
        </w:rPr>
        <w:t>”</w:t>
      </w:r>
      <w:r>
        <w:rPr>
          <w:rFonts w:ascii="sans-serif" w:hAnsi="sans-serif"/>
          <w:color w:val="000000"/>
          <w:sz w:val="22"/>
        </w:rPr>
        <w:t xml:space="preserve">), having a principal place of business at One Casper Street, Danbury, Connecticut 06810, and </w:t>
      </w:r>
      <w:r>
        <w:rPr>
          <w:rFonts w:ascii="sans-serif" w:hAnsi="sans-serif"/>
          <w:b/>
          <w:color w:val="000000"/>
          <w:sz w:val="22"/>
        </w:rPr>
        <w:t>United Therapeutics Corporation</w:t>
      </w:r>
      <w:r>
        <w:rPr>
          <w:rFonts w:ascii="sans-serif" w:hAnsi="sans-serif"/>
          <w:color w:val="000000"/>
          <w:sz w:val="22"/>
        </w:rPr>
        <w:t>, a Delaware public benefit corporation (“</w:t>
      </w:r>
      <w:r>
        <w:rPr>
          <w:rFonts w:ascii="sans-serif" w:hAnsi="sans-serif"/>
          <w:b/>
          <w:color w:val="000000"/>
          <w:sz w:val="22"/>
        </w:rPr>
        <w:t>United Therapeutics</w:t>
      </w:r>
      <w:r>
        <w:rPr>
          <w:rFonts w:ascii="Times New Roman" w:hAnsi="Times New Roman"/>
          <w:color w:val="000000"/>
          <w:sz w:val="20"/>
        </w:rPr>
        <w:t>”</w:t>
      </w:r>
      <w:r>
        <w:rPr>
          <w:rFonts w:ascii="sans-serif" w:hAnsi="sans-serif"/>
          <w:color w:val="000000"/>
          <w:sz w:val="22"/>
        </w:rPr>
        <w:t>), having a principal place of business at 1000 Spring Street, Silver Spring, Maryland 20910.</w:t>
      </w:r>
    </w:p>
    <w:p>
      <w:pPr>
        <w:pStyle w:val="TextBody"/>
        <w:bidi w:val="0"/>
        <w:spacing w:before="0" w:after="240"/>
        <w:jc w:val="left"/>
        <w:rPr>
          <w:rFonts w:ascii="Times New Roman" w:hAnsi="Times New Roman"/>
          <w:sz w:val="20"/>
        </w:rPr>
      </w:pPr>
      <w:r>
        <w:rPr>
          <w:rFonts w:ascii="sans-serif" w:hAnsi="sans-serif"/>
          <w:b/>
          <w:color w:val="000000"/>
          <w:sz w:val="22"/>
        </w:rPr>
        <w:t>WHEREAS</w:t>
      </w:r>
      <w:r>
        <w:rPr>
          <w:rFonts w:ascii="sans-serif" w:hAnsi="sans-serif"/>
          <w:color w:val="000000"/>
          <w:sz w:val="22"/>
        </w:rPr>
        <w:t>, the parties to this amendment entered into a Commercial Supply Agreement effective as of August 12, 2021 (such agreement, as amended in a First Amendment effective October 16, 2021, a Second Amendment effective June 15, 2022, a Third Amendment effective August 31, 2022, a Fourth Amendment effective December 22, 2022 and a Fifth Amendment effective January 10, 2024, the “</w:t>
      </w:r>
      <w:r>
        <w:rPr>
          <w:rFonts w:ascii="sans-serif" w:hAnsi="sans-serif"/>
          <w:b/>
          <w:color w:val="000000"/>
          <w:sz w:val="22"/>
        </w:rPr>
        <w:t>Agreement</w:t>
      </w:r>
      <w:r>
        <w:rPr>
          <w:rFonts w:ascii="Times New Roman" w:hAnsi="Times New Roman"/>
          <w:color w:val="000000"/>
          <w:sz w:val="20"/>
        </w:rPr>
        <w:t>”</w:t>
      </w:r>
      <w:r>
        <w:rPr>
          <w:rFonts w:ascii="sans-serif" w:hAnsi="sans-serif"/>
          <w:color w:val="000000"/>
          <w:sz w:val="22"/>
        </w:rPr>
        <w:t>), and the parties now wish to amend the Agreement as set forth below.</w:t>
      </w:r>
    </w:p>
    <w:p>
      <w:pPr>
        <w:pStyle w:val="TextBody"/>
        <w:bidi w:val="0"/>
        <w:spacing w:before="0" w:after="240"/>
        <w:jc w:val="left"/>
        <w:rPr>
          <w:rFonts w:ascii="Times New Roman" w:hAnsi="Times New Roman"/>
          <w:sz w:val="20"/>
        </w:rPr>
      </w:pPr>
      <w:r>
        <w:rPr>
          <w:rFonts w:ascii="sans-serif" w:hAnsi="sans-serif"/>
          <w:b/>
          <w:color w:val="000000"/>
          <w:sz w:val="22"/>
        </w:rPr>
        <w:t>NOW, THEREFORE</w:t>
      </w:r>
      <w:r>
        <w:rPr>
          <w:rFonts w:ascii="sans-serif" w:hAnsi="sans-serif"/>
          <w:color w:val="000000"/>
          <w:sz w:val="22"/>
        </w:rPr>
        <w:t>, in consideration of the terms and conditions specified herein and other good and valuable consideration, the receipt and sufficiency of which is hereby acknowledged, the parties hereby agree as follows:</w:t>
      </w:r>
    </w:p>
    <w:p>
      <w:pPr>
        <w:pStyle w:val="TextBody"/>
        <w:bidi w:val="0"/>
        <w:spacing w:before="0" w:after="240"/>
        <w:jc w:val="left"/>
        <w:rPr>
          <w:rFonts w:ascii="Calibri" w:hAnsi="Calibri"/>
          <w:b/>
          <w:color w:val="000000"/>
          <w:sz w:val="22"/>
        </w:rPr>
      </w:pPr>
      <w:r>
        <w:rPr>
          <w:rFonts w:ascii="Calibri" w:hAnsi="Calibri"/>
          <w:b/>
          <w:color w:val="000000"/>
          <w:sz w:val="22"/>
        </w:rPr>
        <w:t>1.</w:t>
      </w:r>
    </w:p>
    <w:p>
      <w:pPr>
        <w:pStyle w:val="TextBody"/>
        <w:bidi w:val="0"/>
        <w:spacing w:before="0" w:after="240"/>
        <w:jc w:val="left"/>
        <w:rPr/>
      </w:pPr>
      <w:r>
        <w:rPr>
          <w:rFonts w:ascii="sans-serif" w:hAnsi="sans-serif"/>
          <w:b/>
          <w:color w:val="000000"/>
          <w:sz w:val="22"/>
        </w:rPr>
        <w:t>AMENDMENTS</w:t>
      </w:r>
      <w:r>
        <w:rPr>
          <w:rFonts w:ascii="sans-serif" w:hAnsi="sans-serif"/>
          <w:color w:val="000000"/>
          <w:sz w:val="22"/>
        </w:rPr>
        <w:t>.</w:t>
      </w:r>
    </w:p>
    <w:p>
      <w:pPr>
        <w:pStyle w:val="TextBody"/>
        <w:bidi w:val="0"/>
        <w:spacing w:before="0" w:after="240"/>
        <w:jc w:val="left"/>
        <w:rPr>
          <w:rFonts w:ascii="Calibri" w:hAnsi="Calibri"/>
          <w:color w:val="000000"/>
          <w:sz w:val="22"/>
        </w:rPr>
      </w:pPr>
      <w:r>
        <w:rPr>
          <w:rFonts w:ascii="Calibri" w:hAnsi="Calibri"/>
          <w:color w:val="000000"/>
          <w:sz w:val="22"/>
        </w:rPr>
        <w:t>a.</w:t>
      </w:r>
    </w:p>
    <w:p>
      <w:pPr>
        <w:pStyle w:val="TextBody"/>
        <w:bidi w:val="0"/>
        <w:spacing w:before="0" w:after="240"/>
        <w:jc w:val="left"/>
        <w:rPr>
          <w:rFonts w:ascii="sans-serif" w:hAnsi="sans-serif"/>
          <w:color w:val="000000"/>
          <w:sz w:val="22"/>
        </w:rPr>
      </w:pPr>
      <w:r>
        <w:rPr>
          <w:rFonts w:ascii="sans-serif" w:hAnsi="sans-serif"/>
          <w:color w:val="000000"/>
          <w:sz w:val="22"/>
        </w:rPr>
        <w:t>Effective January 1, 2025, Appendices A and B of the Agreement are deleted in their entirety and replaced with the versions of such appendices attached hereto, and all references to such appendices in the Agreement shall be construed as references to the updated version of each such updated appendix as of such date. Until such date, the existing version of Appendices A and B shall remain in effect.</w:t>
      </w:r>
    </w:p>
    <w:p>
      <w:pPr>
        <w:pStyle w:val="TextBody"/>
        <w:bidi w:val="0"/>
        <w:spacing w:before="0" w:after="240"/>
        <w:jc w:val="left"/>
        <w:rPr>
          <w:rFonts w:ascii="Calibri" w:hAnsi="Calibri"/>
          <w:color w:val="000000"/>
          <w:sz w:val="22"/>
        </w:rPr>
      </w:pPr>
      <w:r>
        <w:rPr>
          <w:rFonts w:ascii="Calibri" w:hAnsi="Calibri"/>
          <w:color w:val="000000"/>
          <w:sz w:val="22"/>
        </w:rPr>
        <w:t>b.</w:t>
      </w:r>
    </w:p>
    <w:p>
      <w:pPr>
        <w:pStyle w:val="TextBody"/>
        <w:bidi w:val="0"/>
        <w:spacing w:before="0" w:after="240"/>
        <w:jc w:val="left"/>
        <w:rPr>
          <w:rFonts w:ascii="sans-serif" w:hAnsi="sans-serif"/>
          <w:color w:val="000000"/>
          <w:sz w:val="22"/>
        </w:rPr>
      </w:pPr>
      <w:r>
        <w:rPr>
          <w:rFonts w:ascii="sans-serif" w:hAnsi="sans-serif"/>
          <w:color w:val="000000"/>
          <w:sz w:val="22"/>
        </w:rPr>
        <w:t>Effective January 1, 2025, Appendix E of the Agreement (Staffing Payments) shall be deleted in its entirety and replaced by the version attached hereto to reflect that Staffing Payments will be included in Cost of Goods Sold (COGS) and not separately reimbursable as of such date.</w:t>
      </w:r>
    </w:p>
    <w:p>
      <w:pPr>
        <w:pStyle w:val="TextBody"/>
        <w:bidi w:val="0"/>
        <w:spacing w:before="0" w:after="0"/>
        <w:jc w:val="left"/>
        <w:rPr>
          <w:rFonts w:ascii="Calibri" w:hAnsi="Calibri"/>
          <w:b/>
          <w:color w:val="000000"/>
          <w:sz w:val="22"/>
        </w:rPr>
      </w:pPr>
      <w:r>
        <w:rPr>
          <w:rFonts w:ascii="Calibri" w:hAnsi="Calibri"/>
          <w:b/>
          <w:color w:val="000000"/>
          <w:sz w:val="22"/>
        </w:rPr>
        <w:t>2.</w:t>
      </w:r>
    </w:p>
    <w:p>
      <w:pPr>
        <w:pStyle w:val="TextBody"/>
        <w:bidi w:val="0"/>
        <w:jc w:val="left"/>
        <w:rPr/>
      </w:pPr>
      <w:r>
        <w:rPr>
          <w:rFonts w:ascii="sans-serif" w:hAnsi="sans-serif"/>
          <w:b/>
          <w:color w:val="000000"/>
          <w:sz w:val="22"/>
        </w:rPr>
        <w:t xml:space="preserve">GENERAL. </w:t>
      </w:r>
      <w:r>
        <w:rPr>
          <w:rFonts w:ascii="sans-serif" w:hAnsi="sans-serif"/>
          <w:color w:val="000000"/>
          <w:sz w:val="22"/>
        </w:rPr>
        <w:t>All terms of the Agreement that are not specifically modified by this amendment remain in full force and effect. The parties may execute this amendment in counterparts, each of which is deemed an original for all purposes, and which together will constitute the same instrument. The parties may execute this amendment by electronic means (electronic signature through generally recognized e-signature vendors), by scanned pdfs of wet-ink signed documents, or by return of originals.</w:t>
      </w:r>
    </w:p>
    <w:p>
      <w:pPr>
        <w:pStyle w:val="TextBody"/>
        <w:bidi w:val="0"/>
        <w:spacing w:before="0" w:after="240"/>
        <w:jc w:val="center"/>
        <w:rPr>
          <w:rFonts w:ascii="sans-serif" w:hAnsi="sans-serif"/>
          <w:i/>
          <w:color w:val="000000"/>
          <w:sz w:val="22"/>
        </w:rPr>
      </w:pPr>
      <w:r>
        <w:rPr>
          <w:rFonts w:ascii="sans-serif" w:hAnsi="sans-serif"/>
          <w:i/>
          <w:color w:val="000000"/>
          <w:sz w:val="22"/>
        </w:rPr>
        <w:t>* * *</w:t>
      </w:r>
    </w:p>
    <w:p>
      <w:pPr>
        <w:pStyle w:val="TextBody"/>
        <w:bidi w:val="0"/>
        <w:spacing w:before="0" w:after="240"/>
        <w:jc w:val="center"/>
        <w:rPr>
          <w:rFonts w:ascii="sans-serif" w:hAnsi="sans-serif"/>
          <w:i/>
          <w:color w:val="000000"/>
          <w:sz w:val="22"/>
        </w:rPr>
      </w:pPr>
      <w:r>
        <w:rPr>
          <w:rFonts w:ascii="sans-serif" w:hAnsi="sans-serif"/>
          <w:i/>
          <w:color w:val="000000"/>
          <w:sz w:val="22"/>
        </w:rPr>
        <w:t>Signature page follows</w:t>
      </w:r>
    </w:p>
    <w:p>
      <w:pPr>
        <w:pStyle w:val="TextBody"/>
        <w:bidi w:val="0"/>
        <w:jc w:val="center"/>
        <w:rPr>
          <w:rFonts w:ascii="Times New Roman" w:hAnsi="Times New Roman"/>
          <w:sz w:val="20"/>
        </w:rPr>
      </w:pPr>
      <w:r>
        <w:rPr>
          <w:rFonts w:ascii="sans-serif" w:hAnsi="sans-serif"/>
          <w:color w:val="000000"/>
          <w:sz w:val="22"/>
        </w:rPr>
        <w:t>Page 1</w:t>
      </w:r>
      <w:r>
        <w:rPr>
          <w:rFonts w:ascii="Times New Roman" w:hAnsi="Times New Roman"/>
          <w:color w:val="000000"/>
          <w:sz w:val="20"/>
        </w:rPr>
        <w:t xml:space="preserve"> </w:t>
      </w:r>
      <w:r>
        <w:rPr>
          <w:rFonts w:ascii="sans-serif" w:hAnsi="sans-serif"/>
          <w:color w:val="000000"/>
          <w:sz w:val="22"/>
        </w:rPr>
        <w:t>of 2</w:t>
      </w:r>
    </w:p>
    <w:p>
      <w:pPr>
        <w:pStyle w:val="TextBody"/>
        <w:bidi w:val="0"/>
        <w:jc w:val="center"/>
        <w:rPr>
          <w:rFonts w:ascii="sans-serif" w:hAnsi="sans-serif"/>
          <w:color w:val="000000"/>
          <w:sz w:val="22"/>
        </w:rPr>
      </w:pPr>
      <w:r>
        <w:rPr>
          <w:rFonts w:ascii="sans-serif" w:hAnsi="sans-serif"/>
          <w:color w:val="000000"/>
          <w:sz w:val="22"/>
        </w:rPr>
        <w:t>Confidential</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left"/>
        <w:rPr>
          <w:rFonts w:ascii="sans-serif" w:hAnsi="sans-serif"/>
          <w:color w:val="000000"/>
          <w:sz w:val="22"/>
        </w:rPr>
      </w:pPr>
      <w:r>
        <w:rPr>
          <w:rFonts w:ascii="sans-serif" w:hAnsi="sans-serif"/>
          <w:color w:val="000000"/>
          <w:sz w:val="22"/>
        </w:rPr>
        <w:t>IN WITNESS WHEREOF, the parties have caused this amendment to be signed by their duly authorized representatives as of the date indicated below.</w:t>
      </w:r>
    </w:p>
    <w:tbl>
      <w:tblPr>
        <w:tblW w:w="8822" w:type="dxa"/>
        <w:jc w:val="left"/>
        <w:tblInd w:w="0" w:type="dxa"/>
        <w:tblLayout w:type="fixed"/>
        <w:tblCellMar>
          <w:top w:w="28" w:type="dxa"/>
          <w:left w:w="28" w:type="dxa"/>
          <w:bottom w:w="28" w:type="dxa"/>
          <w:right w:w="28" w:type="dxa"/>
        </w:tblCellMar>
      </w:tblPr>
      <w:tblGrid>
        <w:gridCol w:w="5086"/>
        <w:gridCol w:w="3736"/>
      </w:tblGrid>
      <w:tr>
        <w:trPr/>
        <w:tc>
          <w:tcPr>
            <w:tcW w:w="5086"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508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2"/>
              </w:rPr>
            </w:pPr>
            <w:r>
              <w:rPr>
                <w:rFonts w:ascii="sans-serif" w:hAnsi="sans-serif"/>
                <w:b/>
                <w:caps/>
                <w:color w:val="000000"/>
                <w:sz w:val="22"/>
              </w:rPr>
              <w:t>United Therapeutics Corporation</w:t>
            </w:r>
            <w:r>
              <w:rPr>
                <w:rFonts w:ascii="Times New Roman" w:hAnsi="Times New Roman"/>
                <w:caps/>
                <w:color w:val="000000"/>
                <w:sz w:val="22"/>
              </w:rPr>
              <w:t xml:space="preserve"> </w:t>
            </w:r>
          </w:p>
          <w:p>
            <w:pPr>
              <w:pStyle w:val="TableContents"/>
              <w:bidi w:val="0"/>
              <w:spacing w:before="0" w:after="240"/>
              <w:jc w:val="left"/>
              <w:rPr/>
            </w:pPr>
            <w:r>
              <w:rPr/>
              <w:t> </w:t>
            </w:r>
          </w:p>
          <w:p>
            <w:pPr>
              <w:pStyle w:val="TableContents"/>
              <w:bidi w:val="0"/>
              <w:jc w:val="left"/>
              <w:rPr>
                <w:rFonts w:ascii="sans-serif" w:hAnsi="sans-serif"/>
                <w:color w:val="000000"/>
                <w:sz w:val="22"/>
              </w:rPr>
            </w:pPr>
            <w:r>
              <w:rPr>
                <w:rFonts w:ascii="sans-serif" w:hAnsi="sans-serif"/>
                <w:color w:val="000000"/>
                <w:sz w:val="22"/>
              </w:rPr>
              <w:t>By: /s/ Patrick Poisson</w:t>
            </w:r>
          </w:p>
          <w:p>
            <w:pPr>
              <w:pStyle w:val="TableContents"/>
              <w:bidi w:val="0"/>
              <w:jc w:val="left"/>
              <w:rPr>
                <w:rFonts w:ascii="Times New Roman" w:hAnsi="Times New Roman"/>
                <w:sz w:val="22"/>
              </w:rPr>
            </w:pPr>
            <w:r>
              <w:rPr>
                <w:rFonts w:ascii="sans-serif" w:hAnsi="sans-serif"/>
                <w:color w:val="000000"/>
                <w:sz w:val="22"/>
              </w:rPr>
              <w:t>Name: Patrick Poisson</w:t>
            </w:r>
            <w:r>
              <w:rPr>
                <w:rFonts w:ascii="Times New Roman" w:hAnsi="Times New Roman"/>
                <w:color w:val="000000"/>
                <w:sz w:val="22"/>
              </w:rPr>
              <w:t xml:space="preserve"> </w:t>
            </w:r>
          </w:p>
          <w:p>
            <w:pPr>
              <w:pStyle w:val="TableContents"/>
              <w:bidi w:val="0"/>
              <w:jc w:val="left"/>
              <w:rPr>
                <w:rFonts w:ascii="Times New Roman" w:hAnsi="Times New Roman"/>
                <w:sz w:val="22"/>
              </w:rPr>
            </w:pPr>
            <w:r>
              <w:rPr>
                <w:rFonts w:ascii="sans-serif" w:hAnsi="sans-serif"/>
                <w:color w:val="000000"/>
                <w:sz w:val="22"/>
              </w:rPr>
              <w:t>Title: EVP, Technical Operations</w:t>
            </w:r>
            <w:r>
              <w:rPr>
                <w:rFonts w:ascii="Times New Roman" w:hAnsi="Times New Roman"/>
                <w:color w:val="000000"/>
                <w:sz w:val="22"/>
              </w:rPr>
              <w:t xml:space="preserve"> </w:t>
            </w:r>
          </w:p>
          <w:p>
            <w:pPr>
              <w:pStyle w:val="TableContents"/>
              <w:bidi w:val="0"/>
              <w:spacing w:before="0" w:after="240"/>
              <w:jc w:val="left"/>
              <w:rPr>
                <w:rFonts w:ascii="sans-serif" w:hAnsi="sans-serif"/>
                <w:color w:val="000000"/>
                <w:sz w:val="22"/>
              </w:rPr>
            </w:pPr>
            <w:r>
              <w:rPr>
                <w:rFonts w:ascii="sans-serif" w:hAnsi="sans-serif"/>
                <w:color w:val="000000"/>
                <w:sz w:val="22"/>
              </w:rPr>
              <w:t>Date: December 2, 2024</w:t>
            </w:r>
          </w:p>
        </w:tc>
        <w:tc>
          <w:tcPr>
            <w:tcW w:w="373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2"/>
              </w:rPr>
            </w:pPr>
            <w:r>
              <w:rPr>
                <w:rFonts w:ascii="sans-serif" w:hAnsi="sans-serif"/>
                <w:b/>
                <w:caps/>
                <w:color w:val="000000"/>
                <w:sz w:val="22"/>
              </w:rPr>
              <w:t>MannKind Corporation</w:t>
            </w:r>
            <w:r>
              <w:rPr>
                <w:rFonts w:ascii="Times New Roman" w:hAnsi="Times New Roman"/>
                <w:caps/>
                <w:color w:val="000000"/>
                <w:sz w:val="22"/>
              </w:rPr>
              <w:t xml:space="preserve"> </w:t>
            </w:r>
          </w:p>
          <w:p>
            <w:pPr>
              <w:pStyle w:val="TableContents"/>
              <w:bidi w:val="0"/>
              <w:spacing w:before="0" w:after="240"/>
              <w:jc w:val="left"/>
              <w:rPr/>
            </w:pPr>
            <w:r>
              <w:rPr/>
              <w:t> </w:t>
            </w:r>
          </w:p>
          <w:p>
            <w:pPr>
              <w:pStyle w:val="TableContents"/>
              <w:bidi w:val="0"/>
              <w:jc w:val="left"/>
              <w:rPr>
                <w:rFonts w:ascii="sans-serif" w:hAnsi="sans-serif"/>
                <w:color w:val="000000"/>
                <w:sz w:val="22"/>
              </w:rPr>
            </w:pPr>
            <w:r>
              <w:rPr>
                <w:rFonts w:ascii="sans-serif" w:hAnsi="sans-serif"/>
                <w:color w:val="000000"/>
                <w:sz w:val="22"/>
              </w:rPr>
              <w:t>By: /s/ Sanjay Singh</w:t>
            </w:r>
          </w:p>
          <w:p>
            <w:pPr>
              <w:pStyle w:val="TableContents"/>
              <w:bidi w:val="0"/>
              <w:jc w:val="left"/>
              <w:rPr>
                <w:rFonts w:ascii="sans-serif" w:hAnsi="sans-serif"/>
                <w:color w:val="000000"/>
                <w:sz w:val="22"/>
              </w:rPr>
            </w:pPr>
            <w:r>
              <w:rPr>
                <w:rFonts w:ascii="sans-serif" w:hAnsi="sans-serif"/>
                <w:color w:val="000000"/>
                <w:sz w:val="22"/>
              </w:rPr>
              <w:t>Name: Sanjay Singh</w:t>
            </w:r>
          </w:p>
          <w:p>
            <w:pPr>
              <w:pStyle w:val="TableContents"/>
              <w:bidi w:val="0"/>
              <w:jc w:val="left"/>
              <w:rPr>
                <w:rFonts w:ascii="sans-serif" w:hAnsi="sans-serif"/>
                <w:color w:val="000000"/>
                <w:sz w:val="22"/>
              </w:rPr>
            </w:pPr>
            <w:r>
              <w:rPr>
                <w:rFonts w:ascii="sans-serif" w:hAnsi="sans-serif"/>
                <w:color w:val="000000"/>
                <w:sz w:val="22"/>
              </w:rPr>
              <w:t>Title: EVP, Technical Operations</w:t>
            </w:r>
          </w:p>
          <w:p>
            <w:pPr>
              <w:pStyle w:val="TableContents"/>
              <w:bidi w:val="0"/>
              <w:spacing w:before="0" w:after="240"/>
              <w:jc w:val="left"/>
              <w:rPr>
                <w:rFonts w:ascii="sans-serif" w:hAnsi="sans-serif"/>
                <w:color w:val="000000"/>
                <w:sz w:val="22"/>
              </w:rPr>
            </w:pPr>
            <w:r>
              <w:rPr>
                <w:rFonts w:ascii="sans-serif" w:hAnsi="sans-serif"/>
                <w:color w:val="000000"/>
                <w:sz w:val="22"/>
              </w:rPr>
              <w:t>Date: December 2, 2024</w:t>
            </w:r>
          </w:p>
        </w:tc>
      </w:tr>
    </w:tbl>
    <w:p>
      <w:pPr>
        <w:pStyle w:val="TextBody"/>
        <w:bidi w:val="0"/>
        <w:jc w:val="left"/>
        <w:rPr/>
      </w:pPr>
      <w:r>
        <w:rPr/>
        <w:t> </w:t>
      </w:r>
    </w:p>
    <w:p>
      <w:pPr>
        <w:pStyle w:val="TextBody"/>
        <w:bidi w:val="0"/>
        <w:jc w:val="center"/>
        <w:rPr>
          <w:rFonts w:ascii="Times New Roman" w:hAnsi="Times New Roman"/>
          <w:sz w:val="20"/>
        </w:rPr>
      </w:pPr>
      <w:r>
        <w:rPr>
          <w:rFonts w:ascii="sans-serif" w:hAnsi="sans-serif"/>
          <w:color w:val="000000"/>
          <w:sz w:val="22"/>
        </w:rPr>
        <w:t>Page 2</w:t>
      </w:r>
      <w:r>
        <w:rPr>
          <w:rFonts w:ascii="Times New Roman" w:hAnsi="Times New Roman"/>
          <w:color w:val="000000"/>
          <w:sz w:val="20"/>
        </w:rPr>
        <w:t xml:space="preserve"> </w:t>
      </w:r>
      <w:r>
        <w:rPr>
          <w:rFonts w:ascii="sans-serif" w:hAnsi="sans-serif"/>
          <w:color w:val="000000"/>
          <w:sz w:val="22"/>
        </w:rPr>
        <w:t>of 2</w:t>
      </w:r>
    </w:p>
    <w:p>
      <w:pPr>
        <w:pStyle w:val="TextBody"/>
        <w:bidi w:val="0"/>
        <w:jc w:val="center"/>
        <w:rPr>
          <w:rFonts w:ascii="sans-serif" w:hAnsi="sans-serif"/>
          <w:color w:val="000000"/>
          <w:sz w:val="22"/>
        </w:rPr>
      </w:pPr>
      <w:r>
        <w:rPr>
          <w:rFonts w:ascii="sans-serif" w:hAnsi="sans-serif"/>
          <w:color w:val="000000"/>
          <w:sz w:val="22"/>
        </w:rPr>
        <w:t>Confidential</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mnkd-ex31_1.htm"/>
      <w:bookmarkStart w:id="29" w:name="ksmnkdex31_1"/>
      <w:bookmarkEnd w:id="28"/>
      <w:bookmarkEnd w:id="29"/>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CERTIFICATION OF CHIEF EXECUTIVE OFFICER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RULE 13a-14(a) OR 15d-14(a) OF THE SECURITIES EXCHANGE ACT OF 1934, 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Michael E. Castagna,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for the quarterly period ended March 31, 2026 of MannKind Corporation;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283"/>
              <w:jc w:val="left"/>
              <w:rPr>
                <w:sz w:val="4"/>
                <w:szCs w:val="4"/>
              </w:rPr>
            </w:pPr>
            <w:r>
              <w:rPr>
                <w:sz w:val="4"/>
                <w:szCs w:val="4"/>
              </w:rPr>
            </w:r>
          </w:p>
        </w:tc>
      </w:tr>
      <w:tr>
        <w:trPr/>
        <w:tc>
          <w:tcPr>
            <w:tcW w:w="3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 Michael E. Castagna</w:t>
            </w:r>
          </w:p>
        </w:tc>
      </w:tr>
      <w:tr>
        <w:trPr/>
        <w:tc>
          <w:tcPr>
            <w:tcW w:w="318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Michael E. Castagna</w:t>
            </w:r>
          </w:p>
          <w:p>
            <w:pPr>
              <w:pStyle w:val="TableContents"/>
              <w:bidi w:val="0"/>
              <w:jc w:val="left"/>
              <w:rPr>
                <w:rFonts w:ascii="Times New Roman" w:hAnsi="Times New Roman"/>
                <w:color w:val="000000"/>
                <w:sz w:val="20"/>
              </w:rPr>
            </w:pPr>
            <w:r>
              <w:rPr>
                <w:rFonts w:ascii="Times New Roman" w:hAnsi="Times New Roman"/>
                <w:color w:val="000000"/>
                <w:sz w:val="20"/>
              </w:rPr>
              <w:t xml:space="preserve">Chief Executive Officer and Director </w:t>
            </w:r>
          </w:p>
          <w:p>
            <w:pPr>
              <w:pStyle w:val="TableContents"/>
              <w:bidi w:val="0"/>
              <w:spacing w:before="0" w:after="20"/>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6, 2026</w:t>
      </w:r>
    </w:p>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mnkd-ex31_2.htm"/>
      <w:bookmarkStart w:id="31" w:name="ksmnkdex31_2"/>
      <w:bookmarkEnd w:id="30"/>
      <w:bookmarkEnd w:id="31"/>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CERTIFICATION OF CHIEF FINANCIAL OFFICER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RULE 13a-14(a) OR 15d-14(a) OF THE SECURITIES EXCHANGE ACT OF 1934, 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Christopher B. Prentiss,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for the quarterly period ended March 31, 2026 of MannKind Corporation;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 Christopher B. Prentiss</w:t>
            </w:r>
          </w:p>
        </w:tc>
      </w:tr>
      <w:tr>
        <w:trPr/>
        <w:tc>
          <w:tcPr>
            <w:tcW w:w="22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Christopher B. Prentiss</w:t>
            </w:r>
          </w:p>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0"/>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6, 2026</w:t>
      </w:r>
    </w:p>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mnkd-ex32_1.htm"/>
      <w:bookmarkStart w:id="33" w:name="ksmnkdex32_1"/>
      <w:bookmarkEnd w:id="32"/>
      <w:bookmarkEnd w:id="33"/>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CERTIFICATION OF </w:t>
      </w:r>
    </w:p>
    <w:p>
      <w:pPr>
        <w:pStyle w:val="TextBody"/>
        <w:bidi w:val="0"/>
        <w:jc w:val="center"/>
        <w:rPr>
          <w:rFonts w:ascii="Times New Roman" w:hAnsi="Times New Roman"/>
          <w:color w:val="000000"/>
          <w:sz w:val="20"/>
        </w:rPr>
      </w:pPr>
      <w:r>
        <w:rPr>
          <w:rFonts w:ascii="Times New Roman" w:hAnsi="Times New Roman"/>
          <w:color w:val="000000"/>
          <w:sz w:val="20"/>
        </w:rPr>
        <w:t xml:space="preserve">CHIEF EXECUTIVE OFFICER </w:t>
      </w:r>
    </w:p>
    <w:p>
      <w:pPr>
        <w:pStyle w:val="TextBody"/>
        <w:bidi w:val="0"/>
        <w:jc w:val="center"/>
        <w:rPr>
          <w:rFonts w:ascii="Times New Roman" w:hAnsi="Times New Roman"/>
          <w:color w:val="000000"/>
          <w:sz w:val="20"/>
        </w:rPr>
      </w:pPr>
      <w:r>
        <w:rPr>
          <w:rFonts w:ascii="Times New Roman" w:hAnsi="Times New Roman"/>
          <w:color w:val="000000"/>
          <w:sz w:val="20"/>
        </w:rPr>
        <w:t xml:space="preserve">PURSUANT TO </w:t>
      </w:r>
    </w:p>
    <w:p>
      <w:pPr>
        <w:pStyle w:val="TextBody"/>
        <w:bidi w:val="0"/>
        <w:jc w:val="center"/>
        <w:rPr>
          <w:rFonts w:ascii="Times New Roman" w:hAnsi="Times New Roman"/>
          <w:color w:val="000000"/>
          <w:sz w:val="20"/>
        </w:rPr>
      </w:pPr>
      <w:r>
        <w:rPr>
          <w:rFonts w:ascii="Times New Roman" w:hAnsi="Times New Roman"/>
          <w:color w:val="000000"/>
          <w:sz w:val="20"/>
        </w:rPr>
        <w:t xml:space="preserve">RULE 13a-14(b) OR 15d-14(b) OF THE SECURITIES EXCHANGE ACT OF 1934, AS AMENDED, AND SECTION 1350 OF </w:t>
      </w:r>
    </w:p>
    <w:p>
      <w:pPr>
        <w:pStyle w:val="TextBody"/>
        <w:bidi w:val="0"/>
        <w:spacing w:before="240" w:after="283"/>
        <w:jc w:val="center"/>
        <w:rPr>
          <w:rFonts w:ascii="Times New Roman" w:hAnsi="Times New Roman"/>
          <w:sz w:val="20"/>
        </w:rPr>
      </w:pPr>
      <w:r>
        <w:rPr>
          <w:rFonts w:ascii="Times New Roman" w:hAnsi="Times New Roman"/>
          <w:color w:val="000000"/>
          <w:sz w:val="20"/>
        </w:rPr>
        <w:t>CHAPTER 63 OF TITLE 18 OF THE UNITED STATES CODE (18 U.S.C. § 1350)</w:t>
      </w:r>
      <w:r>
        <w:rPr>
          <w:rFonts w:ascii="Times New Roman" w:hAnsi="Times New Roman"/>
          <w:b/>
          <w:color w:val="000000"/>
          <w:sz w:val="13"/>
        </w:rPr>
        <w:t>1</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filing of the quarterly report of MannKind Corporation (the “Company”) on Form 10-Q for the quarterly period ended March 31, 2026, as filed with the Securities and Exchange Commission on or about the date hereof, to which this certification is attached as Exhibit 32.1 (the “Report”) and pursuant to the requirement set forth in Rule 13a-14(b) or Rule 15d-14(b) of the Securities Exchange Act of 1934, as amended (the “Exchange Act”), and Section 1350 of Chapter 63 of Title 18 of the United States Code (18 U.S.C. §1350), Michael E. Castagna, Chief Executive Officer of MannKind Corporation (the “Company”), hereby certifies that, to the best of his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The Report fully complies with the requirements of Section 13(a) or Section 15(d) of the Exchange Act,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Witness Whereof, the undersigned has set his hand hereto as of the 6th day of May, 2026. </w:t>
      </w:r>
    </w:p>
    <w:p>
      <w:pPr>
        <w:pStyle w:val="TextBody"/>
        <w:bidi w:val="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Michael E. Castagna</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 Castagna</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pBdr>
          <w:bottom w:val="single" w:sz="6"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7"/>
        <w:gridCol w:w="9998"/>
      </w:tblGrid>
      <w:tr>
        <w:trPr/>
        <w:tc>
          <w:tcPr>
            <w:tcW w:w="207" w:type="dxa"/>
            <w:tcBorders/>
            <w:vAlign w:val="center"/>
          </w:tcPr>
          <w:p>
            <w:pPr>
              <w:pStyle w:val="TableContents"/>
              <w:bidi w:val="0"/>
              <w:spacing w:before="0" w:after="283"/>
              <w:jc w:val="left"/>
              <w:rPr>
                <w:sz w:val="4"/>
                <w:szCs w:val="4"/>
              </w:rPr>
            </w:pPr>
            <w:r>
              <w:rPr>
                <w:sz w:val="4"/>
                <w:szCs w:val="4"/>
              </w:rPr>
            </w:r>
          </w:p>
        </w:tc>
        <w:tc>
          <w:tcPr>
            <w:tcW w:w="9998" w:type="dxa"/>
            <w:tcBorders/>
            <w:vAlign w:val="center"/>
          </w:tcPr>
          <w:p>
            <w:pPr>
              <w:pStyle w:val="TableContents"/>
              <w:bidi w:val="0"/>
              <w:spacing w:before="0" w:after="283"/>
              <w:jc w:val="left"/>
              <w:rPr>
                <w:sz w:val="4"/>
                <w:szCs w:val="4"/>
              </w:rPr>
            </w:pPr>
            <w:r>
              <w:rPr>
                <w:sz w:val="4"/>
                <w:szCs w:val="4"/>
              </w:rPr>
            </w:r>
          </w:p>
        </w:tc>
      </w:tr>
      <w:tr>
        <w:trPr/>
        <w:tc>
          <w:tcPr>
            <w:tcW w:w="2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p>
        </w:tc>
        <w:tc>
          <w:tcPr>
            <w:tcW w:w="99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 </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4" w:name="mnkd-ex32_2.htm"/>
      <w:bookmarkStart w:id="35" w:name="ksmnkdex32_2"/>
      <w:bookmarkEnd w:id="34"/>
      <w:bookmarkEnd w:id="35"/>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CERTIFICATION OF </w:t>
      </w:r>
    </w:p>
    <w:p>
      <w:pPr>
        <w:pStyle w:val="TextBody"/>
        <w:bidi w:val="0"/>
        <w:jc w:val="center"/>
        <w:rPr>
          <w:rFonts w:ascii="Times New Roman" w:hAnsi="Times New Roman"/>
          <w:color w:val="000000"/>
          <w:sz w:val="20"/>
        </w:rPr>
      </w:pPr>
      <w:r>
        <w:rPr>
          <w:rFonts w:ascii="Times New Roman" w:hAnsi="Times New Roman"/>
          <w:color w:val="000000"/>
          <w:sz w:val="20"/>
        </w:rPr>
        <w:t xml:space="preserve">CHIEF FINANCIAL OFFICER </w:t>
      </w:r>
    </w:p>
    <w:p>
      <w:pPr>
        <w:pStyle w:val="TextBody"/>
        <w:bidi w:val="0"/>
        <w:jc w:val="center"/>
        <w:rPr>
          <w:rFonts w:ascii="Times New Roman" w:hAnsi="Times New Roman"/>
          <w:color w:val="000000"/>
          <w:sz w:val="20"/>
        </w:rPr>
      </w:pPr>
      <w:r>
        <w:rPr>
          <w:rFonts w:ascii="Times New Roman" w:hAnsi="Times New Roman"/>
          <w:color w:val="000000"/>
          <w:sz w:val="20"/>
        </w:rPr>
        <w:t xml:space="preserve">PURSUANT TO </w:t>
      </w:r>
    </w:p>
    <w:p>
      <w:pPr>
        <w:pStyle w:val="TextBody"/>
        <w:bidi w:val="0"/>
        <w:jc w:val="center"/>
        <w:rPr>
          <w:rFonts w:ascii="Times New Roman" w:hAnsi="Times New Roman"/>
          <w:color w:val="000000"/>
          <w:sz w:val="20"/>
        </w:rPr>
      </w:pPr>
      <w:r>
        <w:rPr>
          <w:rFonts w:ascii="Times New Roman" w:hAnsi="Times New Roman"/>
          <w:color w:val="000000"/>
          <w:sz w:val="20"/>
        </w:rPr>
        <w:t xml:space="preserve">RULE 13a-14(b) OR 15d-14(b) OF THE SECURITIES EXCHANGE ACT OF 1934, AS AMENDED, AND SECTION 1350 OF </w:t>
      </w:r>
    </w:p>
    <w:p>
      <w:pPr>
        <w:pStyle w:val="TextBody"/>
        <w:bidi w:val="0"/>
        <w:spacing w:before="240" w:after="283"/>
        <w:jc w:val="center"/>
        <w:rPr>
          <w:rFonts w:ascii="Times New Roman" w:hAnsi="Times New Roman"/>
          <w:sz w:val="20"/>
        </w:rPr>
      </w:pPr>
      <w:r>
        <w:rPr>
          <w:rFonts w:ascii="Times New Roman" w:hAnsi="Times New Roman"/>
          <w:color w:val="000000"/>
          <w:sz w:val="20"/>
        </w:rPr>
        <w:t>CHAPTER 63 OF TITLE 18 OF THE UNITED STATES CODE (18 U.S.C. § 1350)</w:t>
      </w:r>
      <w:r>
        <w:rPr>
          <w:rFonts w:ascii="Times New Roman" w:hAnsi="Times New Roman"/>
          <w:b/>
          <w:color w:val="000000"/>
          <w:sz w:val="13"/>
        </w:rPr>
        <w:t>1</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filing of the quarterly report of MannKind Corporation (the “Company”) on Form 10-Q for the quarterly period ended March 31, 2026, as filed with the Securities and Exchange Commission on or about the date hereof, to which this certification is attached as Exhibit 32.2 (the “Report”) and pursuant to the requirement set forth in Rule 13a-14(b) or Rule 15d-14(b) of the Securities Exchange Act of 1934, as amended (the “Exchange Act”), and Section 1350 of Chapter 63 of Title 18 of the United States Code (18 U.S.C. §1350), Christopher B. Prentiss, Chief Financial Officer of MannKind Corporation (the “Company”), hereby certifies that, to the best of his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The Report fully complies with the requirements of Section 13(a) or Section 15(d) of the Exchange Act,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Witness Whereof, the undersigned has set his hand hereto as of the 6th day of May, 2026. </w:t>
      </w:r>
    </w:p>
    <w:p>
      <w:pPr>
        <w:pStyle w:val="TextBody"/>
        <w:bidi w:val="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Christopher B. Prentiss</w:t>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B. Prentiss</w:t>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pBdr>
          <w:bottom w:val="single" w:sz="6"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7"/>
        <w:gridCol w:w="9998"/>
      </w:tblGrid>
      <w:tr>
        <w:trPr/>
        <w:tc>
          <w:tcPr>
            <w:tcW w:w="207" w:type="dxa"/>
            <w:tcBorders/>
            <w:vAlign w:val="center"/>
          </w:tcPr>
          <w:p>
            <w:pPr>
              <w:pStyle w:val="TableContents"/>
              <w:bidi w:val="0"/>
              <w:spacing w:before="0" w:after="283"/>
              <w:jc w:val="left"/>
              <w:rPr>
                <w:sz w:val="4"/>
                <w:szCs w:val="4"/>
              </w:rPr>
            </w:pPr>
            <w:r>
              <w:rPr>
                <w:sz w:val="4"/>
                <w:szCs w:val="4"/>
              </w:rPr>
            </w:r>
          </w:p>
        </w:tc>
        <w:tc>
          <w:tcPr>
            <w:tcW w:w="9998" w:type="dxa"/>
            <w:tcBorders/>
            <w:vAlign w:val="center"/>
          </w:tcPr>
          <w:p>
            <w:pPr>
              <w:pStyle w:val="TableContents"/>
              <w:bidi w:val="0"/>
              <w:spacing w:before="0" w:after="283"/>
              <w:jc w:val="left"/>
              <w:rPr>
                <w:sz w:val="4"/>
                <w:szCs w:val="4"/>
              </w:rPr>
            </w:pPr>
            <w:r>
              <w:rPr>
                <w:sz w:val="4"/>
                <w:szCs w:val="4"/>
              </w:rPr>
            </w:r>
          </w:p>
        </w:tc>
      </w:tr>
      <w:tr>
        <w:trPr/>
        <w:tc>
          <w:tcPr>
            <w:tcW w:w="2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p>
        </w:tc>
        <w:tc>
          <w:tcPr>
            <w:tcW w:w="99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 </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0899460/000119312525186994/d931701dex21.htm" TargetMode="External"/><Relationship Id="rId3" Type="http://schemas.openxmlformats.org/officeDocument/2006/relationships/hyperlink" Target="https://www.sec.gov/Archives/edgar/data/899460/000119312516676980/d225552dex31.htm" TargetMode="External"/><Relationship Id="rId4" Type="http://schemas.openxmlformats.org/officeDocument/2006/relationships/hyperlink" Target="https://www.sec.gov/Archives/edgar/data/899460/000119312517066630/d313758dex31.htm" TargetMode="External"/><Relationship Id="rId5" Type="http://schemas.openxmlformats.org/officeDocument/2006/relationships/hyperlink" Target="https://www.sec.gov/Archives/edgar/data/899460/000119312517368329/d511527dex31.htm" TargetMode="External"/><Relationship Id="rId6" Type="http://schemas.openxmlformats.org/officeDocument/2006/relationships/hyperlink" Target="https://www.sec.gov/Archives/edgar/data/899460/000119312520153051/d936164dex31.htm" TargetMode="External"/><Relationship Id="rId7" Type="http://schemas.openxmlformats.org/officeDocument/2006/relationships/hyperlink" Target="https://www.sec.gov/Archives/edgar/data/899460/000119312523156575/d473553dex31.htm" TargetMode="External"/><Relationship Id="rId8" Type="http://schemas.openxmlformats.org/officeDocument/2006/relationships/hyperlink" Target="https://www.sec.gov/Archives/edgar/data/899460/000119312520153051/d936164dex32.htm" TargetMode="External"/><Relationship Id="rId9" Type="http://schemas.openxmlformats.org/officeDocument/2006/relationships/hyperlink" Target="https://www.sec.gov/Archives/edgar/data/899460/000119312516676980/d225552dex31.htm" TargetMode="External"/><Relationship Id="rId10" Type="http://schemas.openxmlformats.org/officeDocument/2006/relationships/hyperlink" Target="https://www.sec.gov/Archives/edgar/data/899460/000119312517066630/d313758dex31.htm" TargetMode="External"/><Relationship Id="rId11" Type="http://schemas.openxmlformats.org/officeDocument/2006/relationships/hyperlink" Target="https://www.sec.gov/Archives/edgar/data/899460/000119312517368329/d511527dex31.htm" TargetMode="External"/><Relationship Id="rId12" Type="http://schemas.openxmlformats.org/officeDocument/2006/relationships/hyperlink" Target="https://www.sec.gov/Archives/edgar/data/899460/000119312520153051/d936164dex31.htm" TargetMode="External"/><Relationship Id="rId13" Type="http://schemas.openxmlformats.org/officeDocument/2006/relationships/hyperlink" Target="https://www.sec.gov/Archives/edgar/data/899460/000119312523156575/d473553dex31.htm" TargetMode="External"/><Relationship Id="rId14" Type="http://schemas.openxmlformats.org/officeDocument/2006/relationships/hyperlink" Target="https://www.sec.gov/Archives/edgar/data/899460/000119312520153051/d936164dex32.htm" TargetMode="External"/><Relationship Id="rId15" Type="http://schemas.openxmlformats.org/officeDocument/2006/relationships/hyperlink" Target="https://www.sec.gov/Archives/edgar/data/899460/000119312517085519/d305327dex42.htm" TargetMode="External"/><Relationship Id="rId16" Type="http://schemas.openxmlformats.org/officeDocument/2006/relationships/hyperlink" Target="https://www.sec.gov/Archives/edgar/data/899460/000119312513279522/d562665dex993.htm" TargetMode="External"/><Relationship Id="rId17" Type="http://schemas.openxmlformats.org/officeDocument/2006/relationships/hyperlink" Target="https://www.sec.gov/Archives/edgar/data/899460/000119312519215305/d757696dex41.htm" TargetMode="External"/><Relationship Id="rId18" Type="http://schemas.openxmlformats.org/officeDocument/2006/relationships/hyperlink" Target="https://www.sec.gov/Archives/edgar/data/0000899460/000119312526073516/mnkd-ex10_37.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56982</Words>
  <Characters>318203</Characters>
  <CharactersWithSpaces>376002</CharactersWithSpaces>
  <Paragraphs>6265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