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ind w:left="500" w:right="240" w:hanging="492"/>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580"/>
        <w:spacing w:after="0"/>
        <w:tabs>
          <w:tab w:leader="none" w:pos="6700" w:val="left"/>
          <w:tab w:leader="none" w:pos="7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3776345</wp:posOffset>
            </wp:positionH>
            <wp:positionV relativeFrom="paragraph">
              <wp:posOffset>-7620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1"/>
              </w:rPr>
              <w:t>Delaware</w:t>
            </w: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right"/>
              <w:ind w:right="2296"/>
              <w:spacing w:after="0"/>
              <w:rPr>
                <w:sz w:val="20"/>
                <w:szCs w:val="20"/>
                <w:color w:val="auto"/>
              </w:rPr>
            </w:pPr>
            <w:r>
              <w:rPr>
                <w:rFonts w:ascii="Arial" w:cs="Arial" w:eastAsia="Arial" w:hAnsi="Arial"/>
                <w:sz w:val="18"/>
                <w:szCs w:val="18"/>
                <w:b w:val="1"/>
                <w:bCs w:val="1"/>
                <w:color w:val="auto"/>
              </w:rPr>
              <w:t>13-3607736</w:t>
            </w:r>
          </w:p>
        </w:tc>
        <w:tc>
          <w:tcPr>
            <w:tcW w:w="0" w:type="dxa"/>
            <w:vAlign w:val="bottom"/>
          </w:tcPr>
          <w:p>
            <w:pPr>
              <w:spacing w:after="0"/>
              <w:rPr>
                <w:sz w:val="1"/>
                <w:szCs w:val="1"/>
                <w:color w:val="auto"/>
              </w:rPr>
            </w:pPr>
          </w:p>
        </w:tc>
      </w:tr>
      <w:tr>
        <w:trPr>
          <w:trHeight w:val="216"/>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0"/>
              </w:rPr>
              <w:t>(State or other jurisdiction of</w:t>
            </w: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center"/>
              <w:ind w:right="1896"/>
              <w:spacing w:after="0"/>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1"/>
              </w:rPr>
              <w:t>incorporation or organization)</w:t>
            </w:r>
          </w:p>
        </w:tc>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jc w:val="center"/>
              <w:ind w:right="1896"/>
              <w:spacing w:after="0"/>
              <w:rPr>
                <w:sz w:val="20"/>
                <w:szCs w:val="20"/>
                <w:color w:val="auto"/>
              </w:rPr>
            </w:pPr>
            <w:r>
              <w:rPr>
                <w:rFonts w:ascii="Arial" w:cs="Arial" w:eastAsia="Arial" w:hAnsi="Arial"/>
                <w:sz w:val="18"/>
                <w:szCs w:val="18"/>
                <w:b w:val="1"/>
                <w:bCs w:val="1"/>
                <w:color w:val="auto"/>
                <w:w w:val="93"/>
              </w:rPr>
              <w:t>Identification No.)</w:t>
            </w:r>
          </w:p>
        </w:tc>
        <w:tc>
          <w:tcPr>
            <w:tcW w:w="0" w:type="dxa"/>
            <w:vAlign w:val="bottom"/>
          </w:tcPr>
          <w:p>
            <w:pPr>
              <w:spacing w:after="0"/>
              <w:rPr>
                <w:sz w:val="1"/>
                <w:szCs w:val="1"/>
                <w:color w:val="auto"/>
              </w:rPr>
            </w:pPr>
          </w:p>
        </w:tc>
      </w:tr>
      <w:tr>
        <w:trPr>
          <w:trHeight w:val="292"/>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89"/>
              </w:rPr>
              <w:t>30930 Russell Ranch Road, Suite 300</w:t>
            </w: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2"/>
              </w:rPr>
              <w:t>Westlake Village, California</w:t>
            </w:r>
          </w:p>
        </w:tc>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jc w:val="right"/>
              <w:ind w:right="2496"/>
              <w:spacing w:after="0"/>
              <w:rPr>
                <w:sz w:val="20"/>
                <w:szCs w:val="20"/>
                <w:color w:val="auto"/>
              </w:rPr>
            </w:pPr>
            <w:r>
              <w:rPr>
                <w:rFonts w:ascii="Arial" w:cs="Arial" w:eastAsia="Arial" w:hAnsi="Arial"/>
                <w:sz w:val="18"/>
                <w:szCs w:val="18"/>
                <w:b w:val="1"/>
                <w:bCs w:val="1"/>
                <w:color w:val="auto"/>
              </w:rPr>
              <w:t>91362</w:t>
            </w:r>
          </w:p>
        </w:tc>
        <w:tc>
          <w:tcPr>
            <w:tcW w:w="0" w:type="dxa"/>
            <w:vAlign w:val="bottom"/>
          </w:tcPr>
          <w:p>
            <w:pPr>
              <w:spacing w:after="0"/>
              <w:rPr>
                <w:sz w:val="1"/>
                <w:szCs w:val="1"/>
                <w:color w:val="auto"/>
              </w:rPr>
            </w:pPr>
          </w:p>
        </w:tc>
      </w:tr>
      <w:tr>
        <w:trPr>
          <w:trHeight w:val="186"/>
        </w:trPr>
        <w:tc>
          <w:tcPr>
            <w:tcW w:w="4500" w:type="dxa"/>
            <w:vAlign w:val="bottom"/>
            <w:gridSpan w:val="2"/>
          </w:tcPr>
          <w:p>
            <w:pPr>
              <w:jc w:val="center"/>
              <w:ind w:left="103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40" w:type="dxa"/>
            <w:vAlign w:val="bottom"/>
          </w:tcPr>
          <w:p>
            <w:pPr>
              <w:jc w:val="center"/>
              <w:ind w:right="1896"/>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59"/>
        </w:trPr>
        <w:tc>
          <w:tcPr>
            <w:tcW w:w="4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(818) 661-5000</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7600" w:type="dxa"/>
            <w:vAlign w:val="bottom"/>
            <w:gridSpan w:val="7"/>
          </w:tcPr>
          <w:p>
            <w:pPr>
              <w:jc w:val="center"/>
              <w:ind w:left="3557"/>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4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1240" w:type="dxa"/>
            <w:vAlign w:val="bottom"/>
            <w:gridSpan w:val="8"/>
          </w:tcPr>
          <w:p>
            <w:pPr>
              <w:jc w:val="center"/>
              <w:spacing w:after="0"/>
              <w:rPr>
                <w:sz w:val="20"/>
                <w:szCs w:val="20"/>
                <w:color w:val="auto"/>
              </w:rPr>
            </w:pPr>
            <w:r>
              <w:rPr>
                <w:rFonts w:ascii="Arial" w:cs="Arial" w:eastAsia="Arial" w:hAnsi="Arial"/>
                <w:sz w:val="16"/>
                <w:szCs w:val="16"/>
                <w:color w:val="auto"/>
                <w:w w:val="91"/>
              </w:rPr>
              <w:t>(Former name, former address and former fiscal year, if changed since last report)</w:t>
            </w:r>
          </w:p>
        </w:tc>
        <w:tc>
          <w:tcPr>
            <w:tcW w:w="0" w:type="dxa"/>
            <w:vAlign w:val="bottom"/>
          </w:tcPr>
          <w:p>
            <w:pPr>
              <w:spacing w:after="0"/>
              <w:rPr>
                <w:sz w:val="1"/>
                <w:szCs w:val="1"/>
                <w:color w:val="auto"/>
              </w:rPr>
            </w:pPr>
          </w:p>
        </w:tc>
      </w:tr>
      <w:tr>
        <w:trPr>
          <w:trHeight w:val="283"/>
        </w:trPr>
        <w:tc>
          <w:tcPr>
            <w:tcW w:w="7600" w:type="dxa"/>
            <w:vAlign w:val="bottom"/>
            <w:gridSpan w:val="7"/>
          </w:tcPr>
          <w:p>
            <w:pPr>
              <w:jc w:val="center"/>
              <w:ind w:left="3577"/>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5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20" w:type="dxa"/>
            <w:vAlign w:val="bottom"/>
          </w:tcPr>
          <w:p>
            <w:pPr>
              <w:spacing w:after="0"/>
              <w:rPr>
                <w:sz w:val="18"/>
                <w:szCs w:val="18"/>
                <w:color w:val="auto"/>
              </w:rPr>
            </w:pPr>
          </w:p>
        </w:tc>
        <w:tc>
          <w:tcPr>
            <w:tcW w:w="308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3"/>
              </w:rPr>
              <w:t>Trading</w:t>
            </w:r>
          </w:p>
        </w:tc>
        <w:tc>
          <w:tcPr>
            <w:tcW w:w="3640" w:type="dxa"/>
            <w:vAlign w:val="bottom"/>
            <w:vMerge w:val="restart"/>
          </w:tcPr>
          <w:p>
            <w:pPr>
              <w:jc w:val="center"/>
              <w:ind w:right="536"/>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91"/>
              </w:rPr>
              <w:t>Symbol(s)</w:t>
            </w:r>
          </w:p>
        </w:tc>
        <w:tc>
          <w:tcPr>
            <w:tcW w:w="3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$0.01 per share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rPr>
              <w:t>MNKD</w:t>
            </w: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556"/>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97"/>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380" w:type="dxa"/>
            <w:vAlign w:val="bottom"/>
          </w:tcPr>
          <w:p>
            <w:pPr>
              <w:ind w:left="318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33"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p>
      <w:pPr>
        <w:ind w:right="579"/>
        <w:spacing w:after="0" w:line="28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30, 2021, there were 249,660,178 shares of the registrant’s common stock, $0.01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494030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6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10480" w:type="dxa"/>
            <w:vAlign w:val="bottom"/>
            <w:gridSpan w:val="21"/>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480" w:type="dxa"/>
            <w:vAlign w:val="bottom"/>
            <w:gridSpan w:val="21"/>
            <w:vMerge w:val="continue"/>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298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 Financial Statements (Unaudited)</w:t>
              </w:r>
            </w:hyperlink>
          </w:p>
        </w:tc>
        <w:tc>
          <w:tcPr>
            <w:tcW w:w="7500" w:type="dxa"/>
            <w:vAlign w:val="bottom"/>
            <w:gridSpan w:val="10"/>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8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June 30, 2021 and December 31, 2020</w:t>
              </w:r>
            </w:hyperlink>
          </w:p>
        </w:tc>
        <w:tc>
          <w:tcPr>
            <w:tcW w:w="4680" w:type="dxa"/>
            <w:vAlign w:val="bottom"/>
            <w:gridSpan w:val="6"/>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48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Three and six months ended June 30, 2021 and 2020</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48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Loss: Three and six months ended June 30, 2021 and 2020</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830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Stockholders’ Deficit: Three and six months ended June 30, 2021 and 2020</w:t>
              </w:r>
            </w:hyperlink>
          </w:p>
        </w:tc>
        <w:tc>
          <w:tcPr>
            <w:tcW w:w="218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68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Condensed Consolidated Statements of Cash Flows: Six months ended June 30, 2021 and 2020</w:t>
              </w:r>
            </w:hyperlink>
          </w:p>
        </w:tc>
        <w:tc>
          <w:tcPr>
            <w:tcW w:w="3620" w:type="dxa"/>
            <w:vAlign w:val="bottom"/>
            <w:gridSpan w:val="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0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Condensed Consolidated Financial Statements</w:t>
              </w:r>
            </w:hyperlink>
          </w:p>
        </w:tc>
        <w:tc>
          <w:tcPr>
            <w:tcW w:w="6480" w:type="dxa"/>
            <w:vAlign w:val="bottom"/>
            <w:gridSpan w:val="9"/>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0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Item 2. Management’s Discussion and Analysis of Financial Condition and Results of Operations</w:t>
              </w:r>
            </w:hyperlink>
          </w:p>
        </w:tc>
        <w:tc>
          <w:tcPr>
            <w:tcW w:w="3460" w:type="dxa"/>
            <w:vAlign w:val="bottom"/>
            <w:gridSpan w:val="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9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Item 3. Quantitative and Qualitative Disclosures About Market Risk</w:t>
              </w:r>
            </w:hyperlink>
          </w:p>
        </w:tc>
        <w:tc>
          <w:tcPr>
            <w:tcW w:w="5560" w:type="dxa"/>
            <w:vAlign w:val="bottom"/>
            <w:gridSpan w:val="7"/>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Item 4. Controls and Procedures</w:t>
              </w:r>
            </w:hyperlink>
          </w:p>
        </w:tc>
        <w:tc>
          <w:tcPr>
            <w:tcW w:w="8140" w:type="dxa"/>
            <w:vAlign w:val="bottom"/>
            <w:gridSpan w:val="1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258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43">
              <w:r>
                <w:rPr>
                  <w:rFonts w:ascii="Arial" w:cs="Arial" w:eastAsia="Arial" w:hAnsi="Arial"/>
                  <w:sz w:val="18"/>
                  <w:szCs w:val="18"/>
                  <w:color w:val="0000EE"/>
                  <w:w w:val="95"/>
                </w:rPr>
                <w:t>PART II: OTHER INFORMATION</w:t>
              </w:r>
            </w:hyperlink>
          </w:p>
        </w:tc>
        <w:tc>
          <w:tcPr>
            <w:tcW w:w="7900" w:type="dxa"/>
            <w:vAlign w:val="bottom"/>
            <w:gridSpan w:val="1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Item 1. Legal Proceedings</w:t>
              </w:r>
            </w:hyperlink>
          </w:p>
        </w:tc>
        <w:tc>
          <w:tcPr>
            <w:tcW w:w="8580" w:type="dxa"/>
            <w:vAlign w:val="bottom"/>
            <w:gridSpan w:val="15"/>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Item 1A. Risk Factors</w:t>
              </w:r>
            </w:hyperlink>
          </w:p>
        </w:tc>
        <w:tc>
          <w:tcPr>
            <w:tcW w:w="8880" w:type="dxa"/>
            <w:vAlign w:val="bottom"/>
            <w:gridSpan w:val="17"/>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480" w:type="dxa"/>
            <w:vAlign w:val="bottom"/>
            <w:gridSpan w:val="2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Item 2. Unregistered Sales of Equity Securities and Use of Proceeds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9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Item 3. Defaults Upon Senior Securities</w:t>
              </w:r>
            </w:hyperlink>
          </w:p>
        </w:tc>
        <w:tc>
          <w:tcPr>
            <w:tcW w:w="5580" w:type="dxa"/>
            <w:vAlign w:val="bottom"/>
            <w:gridSpan w:val="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9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Item 4. Mine Safety Disclosures</w:t>
              </w:r>
            </w:hyperlink>
          </w:p>
        </w:tc>
        <w:tc>
          <w:tcPr>
            <w:tcW w:w="7580" w:type="dxa"/>
            <w:vAlign w:val="bottom"/>
            <w:gridSpan w:val="11"/>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Item 5. Other Information</w:t>
              </w:r>
            </w:hyperlink>
          </w:p>
        </w:tc>
        <w:tc>
          <w:tcPr>
            <w:tcW w:w="440" w:type="dxa"/>
            <w:vAlign w:val="bottom"/>
            <w:tcBorders>
              <w:top w:val="single" w:sz="8" w:color="0000EE"/>
            </w:tcBorders>
            <w:gridSpan w:val="2"/>
          </w:tcPr>
          <w:p>
            <w:pPr>
              <w:spacing w:after="0"/>
              <w:rPr>
                <w:sz w:val="17"/>
                <w:szCs w:val="17"/>
                <w:color w:val="auto"/>
              </w:rPr>
            </w:pPr>
          </w:p>
        </w:tc>
        <w:tc>
          <w:tcPr>
            <w:tcW w:w="8160" w:type="dxa"/>
            <w:vAlign w:val="bottom"/>
            <w:gridSpan w:val="1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1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Item 6. Exhibits</w:t>
              </w:r>
            </w:hyperlink>
          </w:p>
        </w:tc>
        <w:tc>
          <w:tcPr>
            <w:tcW w:w="9320" w:type="dxa"/>
            <w:vAlign w:val="bottom"/>
            <w:gridSpan w:val="1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10480" w:type="dxa"/>
            <w:vAlign w:val="bottom"/>
            <w:gridSpan w:val="21"/>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SIGNATURES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100" w:type="dxa"/>
            <w:vAlign w:val="bottom"/>
            <w:gridSpan w:val="2"/>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4700" w:type="dxa"/>
            <w:vAlign w:val="bottom"/>
            <w:gridSpan w:val="13"/>
          </w:tcPr>
          <w:p>
            <w:pPr>
              <w:jc w:val="right"/>
              <w:ind w:right="220"/>
              <w:spacing w:after="0"/>
              <w:rPr>
                <w:sz w:val="20"/>
                <w:szCs w:val="20"/>
                <w:color w:val="auto"/>
              </w:rPr>
            </w:pPr>
            <w:r>
              <w:rPr>
                <w:rFonts w:ascii="Arial" w:cs="Arial" w:eastAsia="Arial" w:hAnsi="Arial"/>
                <w:sz w:val="18"/>
                <w:szCs w:val="18"/>
                <w:color w:val="auto"/>
              </w:rPr>
              <w:t>1</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4080"/>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 2020</w:t>
            </w:r>
          </w:p>
        </w:tc>
      </w:tr>
      <w:tr>
        <w:trPr>
          <w:trHeight w:val="223"/>
        </w:trPr>
        <w:tc>
          <w:tcPr>
            <w:tcW w:w="7540" w:type="dxa"/>
            <w:vAlign w:val="bottom"/>
            <w:tcBorders>
              <w:top w:val="single" w:sz="8" w:color="CFF0FC"/>
            </w:tcBorders>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62,522</w:t>
            </w:r>
          </w:p>
        </w:tc>
        <w:tc>
          <w:tcPr>
            <w:tcW w:w="3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67,005</w:t>
            </w:r>
          </w:p>
        </w:tc>
        <w:tc>
          <w:tcPr>
            <w:tcW w:w="100" w:type="dxa"/>
            <w:vAlign w:val="bottom"/>
            <w:shd w:val="clear" w:color="auto" w:fill="CFF0FC"/>
          </w:tcPr>
          <w:p>
            <w:pPr>
              <w:spacing w:after="0"/>
              <w:rPr>
                <w:sz w:val="19"/>
                <w:szCs w:val="19"/>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99,970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6,305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w:t>
            </w:r>
          </w:p>
        </w:tc>
        <w:tc>
          <w:tcPr>
            <w:tcW w:w="100" w:type="dxa"/>
            <w:vAlign w:val="bottom"/>
            <w:shd w:val="clear" w:color="auto" w:fill="CFF0FC"/>
          </w:tcPr>
          <w:p>
            <w:pPr>
              <w:spacing w:after="0"/>
              <w:rPr>
                <w:sz w:val="19"/>
                <w:szCs w:val="19"/>
                <w:color w:val="auto"/>
              </w:rPr>
            </w:pPr>
          </w:p>
        </w:tc>
      </w:tr>
      <w:tr>
        <w:trPr>
          <w:trHeight w:val="229"/>
        </w:trPr>
        <w:tc>
          <w:tcPr>
            <w:tcW w:w="7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3,624</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Borders>
              <w:bottom w:val="single" w:sz="8" w:color="CFF0FC"/>
            </w:tcBorders>
          </w:tcPr>
          <w:p>
            <w:pPr>
              <w:spacing w:after="0"/>
              <w:rPr>
                <w:sz w:val="19"/>
                <w:szCs w:val="19"/>
                <w:color w:val="auto"/>
              </w:rPr>
            </w:pPr>
          </w:p>
        </w:tc>
      </w:tr>
      <w:tr>
        <w:trPr>
          <w:trHeight w:val="223"/>
        </w:trPr>
        <w:tc>
          <w:tcPr>
            <w:tcW w:w="7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179,903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79,476</w:t>
            </w:r>
          </w:p>
        </w:tc>
        <w:tc>
          <w:tcPr>
            <w:tcW w:w="100" w:type="dxa"/>
            <w:vAlign w:val="bottom"/>
            <w:shd w:val="clear" w:color="auto" w:fill="CFF0FC"/>
          </w:tcPr>
          <w:p>
            <w:pPr>
              <w:spacing w:after="0"/>
              <w:rPr>
                <w:sz w:val="19"/>
                <w:szCs w:val="19"/>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28,139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25,867</w:t>
            </w:r>
          </w:p>
        </w:tc>
        <w:tc>
          <w:tcPr>
            <w:tcW w:w="100" w:type="dxa"/>
            <w:vAlign w:val="bottom"/>
          </w:tcPr>
          <w:p>
            <w:pPr>
              <w:spacing w:after="0"/>
              <w:rPr>
                <w:sz w:val="19"/>
                <w:szCs w:val="19"/>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38,950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Borders>
              <w:bottom w:val="single" w:sz="8" w:color="CFF0FC"/>
            </w:tcBorders>
          </w:tcPr>
          <w:p>
            <w:pPr>
              <w:spacing w:after="0"/>
              <w:rPr>
                <w:sz w:val="19"/>
                <w:szCs w:val="19"/>
                <w:color w:val="auto"/>
              </w:rPr>
            </w:pPr>
          </w:p>
        </w:tc>
      </w:tr>
      <w:tr>
        <w:trPr>
          <w:trHeight w:val="223"/>
        </w:trPr>
        <w:tc>
          <w:tcPr>
            <w:tcW w:w="75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252,791</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108,608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540" w:type="dxa"/>
            <w:vAlign w:val="bottom"/>
            <w:shd w:val="clear" w:color="auto" w:fill="CFF0FC"/>
          </w:tcPr>
          <w:p>
            <w:pPr>
              <w:ind w:left="1800"/>
              <w:spacing w:after="0"/>
              <w:rPr>
                <w:sz w:val="20"/>
                <w:szCs w:val="20"/>
                <w:color w:val="auto"/>
              </w:rPr>
            </w:pPr>
            <w:r>
              <w:rPr>
                <w:rFonts w:ascii="Arial" w:cs="Arial" w:eastAsia="Arial" w:hAnsi="Arial"/>
                <w:sz w:val="18"/>
                <w:szCs w:val="18"/>
                <w:b w:val="1"/>
                <w:bCs w:val="1"/>
                <w:color w:val="auto"/>
              </w:rPr>
              <w:t>LIABILITIES AND STOCKHOLDERS' DEFICIT</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7,486</w:t>
            </w:r>
          </w:p>
        </w:tc>
        <w:tc>
          <w:tcPr>
            <w:tcW w:w="3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5,582</w:t>
            </w:r>
          </w:p>
        </w:tc>
        <w:tc>
          <w:tcPr>
            <w:tcW w:w="100" w:type="dxa"/>
            <w:vAlign w:val="bottom"/>
            <w:shd w:val="clear" w:color="auto" w:fill="CFF0FC"/>
          </w:tcPr>
          <w:p>
            <w:pPr>
              <w:spacing w:after="0"/>
              <w:rPr>
                <w:sz w:val="19"/>
                <w:szCs w:val="19"/>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22,406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19,707</w:t>
            </w:r>
          </w:p>
        </w:tc>
        <w:tc>
          <w:tcPr>
            <w:tcW w:w="100" w:type="dxa"/>
            <w:vAlign w:val="bottom"/>
          </w:tcPr>
          <w:p>
            <w:pPr>
              <w:spacing w:after="0"/>
              <w:rPr>
                <w:sz w:val="19"/>
                <w:szCs w:val="19"/>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PPP loan — current</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4,061</w:t>
            </w:r>
          </w:p>
        </w:tc>
        <w:tc>
          <w:tcPr>
            <w:tcW w:w="100" w:type="dxa"/>
            <w:vAlign w:val="bottom"/>
            <w:shd w:val="clear" w:color="auto" w:fill="CFF0FC"/>
          </w:tcPr>
          <w:p>
            <w:pPr>
              <w:spacing w:after="0"/>
              <w:rPr>
                <w:sz w:val="19"/>
                <w:szCs w:val="19"/>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Deferred revenue — current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20,126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33,275</w:t>
            </w:r>
          </w:p>
        </w:tc>
        <w:tc>
          <w:tcPr>
            <w:tcW w:w="100" w:type="dxa"/>
            <w:vAlign w:val="bottom"/>
          </w:tcPr>
          <w:p>
            <w:pPr>
              <w:spacing w:after="0"/>
              <w:rPr>
                <w:sz w:val="19"/>
                <w:szCs w:val="19"/>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Recognized loss on purchase commitments — current</w:t>
            </w: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11,080</w:t>
            </w:r>
          </w:p>
        </w:tc>
        <w:tc>
          <w:tcPr>
            <w:tcW w:w="100" w:type="dxa"/>
            <w:vAlign w:val="bottom"/>
            <w:shd w:val="clear" w:color="auto" w:fill="CFF0FC"/>
          </w:tcPr>
          <w:p>
            <w:pPr>
              <w:spacing w:after="0"/>
              <w:rPr>
                <w:sz w:val="19"/>
                <w:szCs w:val="19"/>
                <w:color w:val="auto"/>
              </w:rPr>
            </w:pPr>
          </w:p>
        </w:tc>
      </w:tr>
      <w:tr>
        <w:trPr>
          <w:trHeight w:val="223"/>
        </w:trPr>
        <w:tc>
          <w:tcPr>
            <w:tcW w:w="75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60,429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73,705</w:t>
            </w:r>
          </w:p>
        </w:tc>
        <w:tc>
          <w:tcPr>
            <w:tcW w:w="100" w:type="dxa"/>
            <w:vAlign w:val="bottom"/>
          </w:tcPr>
          <w:p>
            <w:pPr>
              <w:spacing w:after="0"/>
              <w:rPr>
                <w:sz w:val="19"/>
                <w:szCs w:val="19"/>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223,217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MidCap credit facility</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38,614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49,335</w:t>
            </w:r>
          </w:p>
        </w:tc>
        <w:tc>
          <w:tcPr>
            <w:tcW w:w="100" w:type="dxa"/>
            <w:vAlign w:val="bottom"/>
          </w:tcPr>
          <w:p>
            <w:pPr>
              <w:spacing w:after="0"/>
              <w:rPr>
                <w:sz w:val="19"/>
                <w:szCs w:val="19"/>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Mann Group promissory notes</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63,027</w:t>
            </w:r>
          </w:p>
        </w:tc>
        <w:tc>
          <w:tcPr>
            <w:tcW w:w="100" w:type="dxa"/>
            <w:vAlign w:val="bottom"/>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Accrued interest — Mann Group promissory notes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4,150</w:t>
            </w:r>
          </w:p>
        </w:tc>
        <w:tc>
          <w:tcPr>
            <w:tcW w:w="100" w:type="dxa"/>
            <w:vAlign w:val="bottom"/>
          </w:tcPr>
          <w:p>
            <w:pPr>
              <w:spacing w:after="0"/>
              <w:rPr>
                <w:sz w:val="19"/>
                <w:szCs w:val="19"/>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PPP loan — long term</w:t>
            </w:r>
          </w:p>
        </w:tc>
        <w:tc>
          <w:tcPr>
            <w:tcW w:w="2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FF0FC"/>
          </w:tcPr>
          <w:p>
            <w:pPr>
              <w:spacing w:after="0"/>
              <w:rPr>
                <w:sz w:val="19"/>
                <w:szCs w:val="19"/>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2024 convertible notes</w:t>
            </w:r>
          </w:p>
        </w:tc>
        <w:tc>
          <w:tcPr>
            <w:tcW w:w="24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Recognized loss on purchase commitments — long term</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83,179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84,208</w:t>
            </w:r>
          </w:p>
        </w:tc>
        <w:tc>
          <w:tcPr>
            <w:tcW w:w="100" w:type="dxa"/>
            <w:vAlign w:val="bottom"/>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9"/>
                <w:szCs w:val="19"/>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 long term</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100" w:type="dxa"/>
            <w:vAlign w:val="bottom"/>
            <w:shd w:val="clear" w:color="auto" w:fill="CFF0FC"/>
          </w:tcPr>
          <w:p>
            <w:pPr>
              <w:spacing w:after="0"/>
              <w:rPr>
                <w:sz w:val="19"/>
                <w:szCs w:val="19"/>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Milestone rights liability</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4,839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5,926</w:t>
            </w:r>
          </w:p>
        </w:tc>
        <w:tc>
          <w:tcPr>
            <w:tcW w:w="100" w:type="dxa"/>
            <w:vAlign w:val="bottom"/>
          </w:tcPr>
          <w:p>
            <w:pPr>
              <w:spacing w:after="0"/>
              <w:rPr>
                <w:sz w:val="19"/>
                <w:szCs w:val="19"/>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Deposits from customer</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436,342</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289,027</w:t>
            </w:r>
          </w:p>
        </w:tc>
        <w:tc>
          <w:tcPr>
            <w:tcW w:w="100" w:type="dxa"/>
            <w:vAlign w:val="bottom"/>
            <w:tcBorders>
              <w:bottom w:val="single" w:sz="8" w:color="CFF0FC"/>
            </w:tcBorders>
          </w:tcPr>
          <w:p>
            <w:pPr>
              <w:spacing w:after="0"/>
              <w:rPr>
                <w:sz w:val="19"/>
                <w:szCs w:val="19"/>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12)</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Stockholders' deficit:</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Undesignated preferred stock, $0.01 par value — 10,000,000 shares authorized;</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 shares issued or outstanding as of June 30, 2021 and December 31, 2020</w:t>
            </w:r>
          </w:p>
        </w:tc>
        <w:tc>
          <w:tcPr>
            <w:tcW w:w="24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540" w:type="dxa"/>
            <w:vAlign w:val="bottom"/>
          </w:tcPr>
          <w:p>
            <w:pPr>
              <w:spacing w:after="0"/>
              <w:rPr>
                <w:sz w:val="20"/>
                <w:szCs w:val="20"/>
                <w:color w:val="auto"/>
              </w:rPr>
            </w:pPr>
            <w:r>
              <w:rPr>
                <w:rFonts w:ascii="Arial" w:cs="Arial" w:eastAsia="Arial" w:hAnsi="Arial"/>
                <w:sz w:val="18"/>
                <w:szCs w:val="18"/>
                <w:color w:val="auto"/>
              </w:rPr>
              <w:t>Common stock, $0.01 par value - 400,000,000 shares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Arial" w:cs="Arial" w:eastAsia="Arial" w:hAnsi="Arial"/>
                <w:sz w:val="18"/>
                <w:szCs w:val="18"/>
                <w:color w:val="auto"/>
              </w:rPr>
              <w:t>authorized, 249,617,550 and 242,117,089 shares issued and outstanding</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at June 30, 2021 and December 31, 2020, respectively</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2,496</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20"/>
                <w:szCs w:val="20"/>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2,911,535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2,866,303</w:t>
            </w:r>
          </w:p>
        </w:tc>
        <w:tc>
          <w:tcPr>
            <w:tcW w:w="100" w:type="dxa"/>
            <w:vAlign w:val="bottom"/>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(3,097,582)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(3,049,143)</w:t>
            </w: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deficit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(183,551)</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(180,419)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Total liabilities and stockholders' deficit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252,791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108,608</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9,976</w:t>
            </w:r>
          </w:p>
        </w:tc>
        <w:tc>
          <w:tcPr>
            <w:tcW w:w="1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6,985</w:t>
            </w:r>
          </w:p>
        </w:tc>
        <w:tc>
          <w:tcPr>
            <w:tcW w:w="160" w:type="dxa"/>
            <w:vAlign w:val="bottom"/>
          </w:tcPr>
          <w:p>
            <w:pPr>
              <w:spacing w:after="0"/>
              <w:rPr>
                <w:sz w:val="19"/>
                <w:szCs w:val="19"/>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18,075</w:t>
            </w:r>
          </w:p>
        </w:tc>
        <w:tc>
          <w:tcPr>
            <w:tcW w:w="160" w:type="dxa"/>
            <w:vAlign w:val="bottom"/>
          </w:tcPr>
          <w:p>
            <w:pPr>
              <w:spacing w:after="0"/>
              <w:rPr>
                <w:sz w:val="19"/>
                <w:szCs w:val="19"/>
                <w:color w:val="auto"/>
              </w:rPr>
            </w:pPr>
          </w:p>
        </w:tc>
        <w:tc>
          <w:tcPr>
            <w:tcW w:w="5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14,985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Revenue — collaborations and services</w:t>
            </w: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40,716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 collaborations and services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Asset impairment</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(gain) on foreign currency translation</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(2,935)</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Loss on purchase commitments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33,553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23,029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57,180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46,385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on notes</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(2,812)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(8,234)</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29"/>
        </w:trPr>
        <w:tc>
          <w:tcPr>
            <w:tcW w:w="5320" w:type="dxa"/>
            <w:vAlign w:val="bottom"/>
          </w:tcPr>
          <w:p>
            <w:pPr>
              <w:ind w:left="260"/>
              <w:spacing w:after="0"/>
              <w:rPr>
                <w:sz w:val="20"/>
                <w:szCs w:val="20"/>
                <w:color w:val="auto"/>
              </w:rPr>
            </w:pPr>
            <w:r>
              <w:rPr>
                <w:rFonts w:ascii="Arial" w:cs="Arial" w:eastAsia="Arial" w:hAnsi="Arial"/>
                <w:sz w:val="18"/>
                <w:szCs w:val="18"/>
                <w:color w:val="auto"/>
              </w:rPr>
              <w:t>Interest expense on Mann Group promissory notes</w:t>
            </w: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(1,398)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(22,130)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(22,130)</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(25,250)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(31,975)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(48,439)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(35,523)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(10,252)</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(48,439)</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(19,574)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267"/>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5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(48,439)</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(19,574)</w:t>
            </w:r>
          </w:p>
        </w:tc>
        <w:tc>
          <w:tcPr>
            <w:tcW w:w="120" w:type="dxa"/>
            <w:vAlign w:val="bottom"/>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translation loss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(35,523)</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(10,252)</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(48,439)</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(19,593)</w:t>
            </w:r>
          </w:p>
        </w:tc>
        <w:tc>
          <w:tcPr>
            <w:tcW w:w="12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040" w:type="dxa"/>
            <w:vAlign w:val="bottom"/>
          </w:tcPr>
          <w:p>
            <w:pPr>
              <w:spacing w:after="0"/>
              <w:rPr>
                <w:sz w:val="13"/>
                <w:szCs w:val="13"/>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Common Stock</w:t>
            </w:r>
          </w:p>
        </w:tc>
        <w:tc>
          <w:tcPr>
            <w:tcW w:w="8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5"/>
              </w:rPr>
              <w:t>Accumulated</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3040" w:type="dxa"/>
            <w:vAlign w:val="bottom"/>
          </w:tcPr>
          <w:p>
            <w:pPr>
              <w:spacing w:after="0"/>
              <w:rPr>
                <w:sz w:val="12"/>
                <w:szCs w:val="12"/>
                <w:color w:val="auto"/>
              </w:rPr>
            </w:pPr>
          </w:p>
        </w:tc>
        <w:tc>
          <w:tcPr>
            <w:tcW w:w="1280" w:type="dxa"/>
            <w:vAlign w:val="bottom"/>
            <w:gridSpan w:val="2"/>
          </w:tcPr>
          <w:p>
            <w:pPr>
              <w:jc w:val="right"/>
              <w:ind w:right="54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ind w:right="297"/>
              <w:spacing w:after="0" w:line="142"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60"/>
              <w:spacing w:after="0" w:line="142" w:lineRule="exact"/>
              <w:rPr>
                <w:sz w:val="20"/>
                <w:szCs w:val="20"/>
                <w:color w:val="auto"/>
              </w:rPr>
            </w:pPr>
            <w:r>
              <w:rPr>
                <w:rFonts w:ascii="Arial" w:cs="Arial" w:eastAsia="Arial" w:hAnsi="Arial"/>
                <w:sz w:val="13"/>
                <w:szCs w:val="13"/>
                <w:b w:val="1"/>
                <w:bCs w:val="1"/>
                <w:color w:val="auto"/>
                <w:w w:val="78"/>
              </w:rPr>
              <w:t>Loss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680"/>
              <w:spacing w:after="0" w:line="142" w:lineRule="exact"/>
              <w:rPr>
                <w:sz w:val="20"/>
                <w:szCs w:val="20"/>
                <w:color w:val="auto"/>
              </w:rPr>
            </w:pPr>
            <w:r>
              <w:rPr>
                <w:rFonts w:ascii="Arial" w:cs="Arial" w:eastAsia="Arial" w:hAnsi="Arial"/>
                <w:sz w:val="13"/>
                <w:szCs w:val="13"/>
                <w:b w:val="1"/>
                <w:bCs w:val="1"/>
                <w:color w:val="auto"/>
              </w:rPr>
              <w:t>Deficit</w:t>
            </w:r>
          </w:p>
        </w:tc>
        <w:tc>
          <w:tcPr>
            <w:tcW w:w="240" w:type="dxa"/>
            <w:vAlign w:val="bottom"/>
          </w:tcPr>
          <w:p>
            <w:pPr>
              <w:spacing w:after="0"/>
              <w:rPr>
                <w:sz w:val="12"/>
                <w:szCs w:val="12"/>
                <w:color w:val="auto"/>
              </w:rPr>
            </w:pPr>
          </w:p>
        </w:tc>
        <w:tc>
          <w:tcPr>
            <w:tcW w:w="1020" w:type="dxa"/>
            <w:vAlign w:val="bottom"/>
            <w:gridSpan w:val="2"/>
          </w:tcPr>
          <w:p>
            <w:pPr>
              <w:jc w:val="right"/>
              <w:ind w:right="560"/>
              <w:spacing w:after="0" w:line="142" w:lineRule="exact"/>
              <w:rPr>
                <w:sz w:val="20"/>
                <w:szCs w:val="20"/>
                <w:color w:val="auto"/>
              </w:rPr>
            </w:pPr>
            <w:r>
              <w:rPr>
                <w:rFonts w:ascii="Arial" w:cs="Arial" w:eastAsia="Arial" w:hAnsi="Arial"/>
                <w:sz w:val="13"/>
                <w:szCs w:val="13"/>
                <w:b w:val="1"/>
                <w:bCs w:val="1"/>
                <w:color w:val="auto"/>
              </w:rPr>
              <w:t>Total</w:t>
            </w:r>
          </w:p>
        </w:tc>
      </w:tr>
      <w:tr>
        <w:trPr>
          <w:trHeight w:val="142"/>
        </w:trPr>
        <w:tc>
          <w:tcPr>
            <w:tcW w:w="304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JANUARY 1, 2020</w:t>
            </w:r>
          </w:p>
        </w:tc>
        <w:tc>
          <w:tcPr>
            <w:tcW w:w="11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211,788</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2,118</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2,799,278</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(2,991,903)</w:t>
            </w:r>
          </w:p>
        </w:tc>
        <w:tc>
          <w:tcPr>
            <w:tcW w:w="3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(190,526)</w:t>
            </w:r>
          </w:p>
        </w:tc>
        <w:tc>
          <w:tcPr>
            <w:tcW w:w="120" w:type="dxa"/>
            <w:vAlign w:val="bottom"/>
            <w:tcBorders>
              <w:top w:val="single" w:sz="8" w:color="CFF0FC"/>
            </w:tcBorders>
            <w:shd w:val="clear" w:color="auto" w:fill="CFF0FC"/>
          </w:tcPr>
          <w:p>
            <w:pPr>
              <w:spacing w:after="0"/>
              <w:rPr>
                <w:sz w:val="12"/>
                <w:szCs w:val="12"/>
                <w:color w:val="auto"/>
              </w:rPr>
            </w:pPr>
          </w:p>
        </w:tc>
      </w:tr>
      <w:tr>
        <w:trPr>
          <w:trHeight w:val="134"/>
        </w:trPr>
        <w:tc>
          <w:tcPr>
            <w:tcW w:w="304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under Employee</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040" w:type="dxa"/>
            <w:vAlign w:val="bottom"/>
          </w:tcPr>
          <w:p>
            <w:pPr>
              <w:ind w:left="340"/>
              <w:spacing w:after="0"/>
              <w:rPr>
                <w:sz w:val="20"/>
                <w:szCs w:val="20"/>
                <w:color w:val="auto"/>
              </w:rPr>
            </w:pPr>
            <w:r>
              <w:rPr>
                <w:rFonts w:ascii="Arial" w:cs="Arial" w:eastAsia="Arial" w:hAnsi="Arial"/>
                <w:sz w:val="13"/>
                <w:szCs w:val="13"/>
                <w:color w:val="auto"/>
              </w:rPr>
              <w:t>Stock Purchase Plan</w:t>
            </w:r>
          </w:p>
        </w:tc>
        <w:tc>
          <w:tcPr>
            <w:tcW w:w="1140" w:type="dxa"/>
            <w:vAlign w:val="bottom"/>
          </w:tcPr>
          <w:p>
            <w:pPr>
              <w:jc w:val="right"/>
              <w:spacing w:after="0"/>
              <w:rPr>
                <w:sz w:val="20"/>
                <w:szCs w:val="20"/>
                <w:color w:val="auto"/>
              </w:rPr>
            </w:pPr>
            <w:r>
              <w:rPr>
                <w:rFonts w:ascii="Arial" w:cs="Arial" w:eastAsia="Arial" w:hAnsi="Arial"/>
                <w:sz w:val="13"/>
                <w:szCs w:val="13"/>
                <w:color w:val="auto"/>
              </w:rPr>
              <w:t>334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318</w:t>
            </w:r>
          </w:p>
        </w:tc>
        <w:tc>
          <w:tcPr>
            <w:tcW w:w="120" w:type="dxa"/>
            <w:vAlign w:val="bottom"/>
          </w:tcPr>
          <w:p>
            <w:pPr>
              <w:spacing w:after="0"/>
              <w:rPr>
                <w:sz w:val="12"/>
                <w:szCs w:val="12"/>
                <w:color w:val="auto"/>
              </w:rPr>
            </w:pPr>
          </w:p>
        </w:tc>
      </w:tr>
      <w:tr>
        <w:trPr>
          <w:trHeight w:val="148"/>
        </w:trPr>
        <w:tc>
          <w:tcPr>
            <w:tcW w:w="30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1,128</w:t>
            </w:r>
          </w:p>
        </w:tc>
        <w:tc>
          <w:tcPr>
            <w:tcW w:w="120" w:type="dxa"/>
            <w:vAlign w:val="bottom"/>
            <w:shd w:val="clear" w:color="auto" w:fill="CFF0FC"/>
          </w:tcPr>
          <w:p>
            <w:pPr>
              <w:spacing w:after="0"/>
              <w:rPr>
                <w:sz w:val="12"/>
                <w:szCs w:val="12"/>
                <w:color w:val="auto"/>
              </w:rPr>
            </w:pPr>
          </w:p>
        </w:tc>
      </w:tr>
      <w:tr>
        <w:trPr>
          <w:trHeight w:val="134"/>
        </w:trPr>
        <w:tc>
          <w:tcPr>
            <w:tcW w:w="304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associated</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040" w:type="dxa"/>
            <w:vAlign w:val="bottom"/>
          </w:tcPr>
          <w:p>
            <w:pPr>
              <w:ind w:left="340"/>
              <w:spacing w:after="0"/>
              <w:rPr>
                <w:sz w:val="20"/>
                <w:szCs w:val="20"/>
                <w:color w:val="auto"/>
              </w:rPr>
            </w:pPr>
            <w:r>
              <w:rPr>
                <w:rFonts w:ascii="Arial" w:cs="Arial" w:eastAsia="Arial" w:hAnsi="Arial"/>
                <w:sz w:val="13"/>
                <w:szCs w:val="13"/>
                <w:color w:val="auto"/>
              </w:rPr>
              <w:t>with debt interest payment</w:t>
            </w:r>
          </w:p>
        </w:tc>
        <w:tc>
          <w:tcPr>
            <w:tcW w:w="1140" w:type="dxa"/>
            <w:vAlign w:val="bottom"/>
          </w:tcPr>
          <w:p>
            <w:pPr>
              <w:jc w:val="right"/>
              <w:spacing w:after="0"/>
              <w:rPr>
                <w:sz w:val="20"/>
                <w:szCs w:val="20"/>
                <w:color w:val="auto"/>
              </w:rPr>
            </w:pPr>
            <w:r>
              <w:rPr>
                <w:rFonts w:ascii="Arial" w:cs="Arial" w:eastAsia="Arial" w:hAnsi="Arial"/>
                <w:sz w:val="13"/>
                <w:szCs w:val="13"/>
                <w:color w:val="auto"/>
              </w:rPr>
              <w:t>99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144</w:t>
            </w:r>
          </w:p>
        </w:tc>
        <w:tc>
          <w:tcPr>
            <w:tcW w:w="120" w:type="dxa"/>
            <w:vAlign w:val="bottom"/>
          </w:tcPr>
          <w:p>
            <w:pPr>
              <w:spacing w:after="0"/>
              <w:rPr>
                <w:sz w:val="12"/>
                <w:szCs w:val="12"/>
                <w:color w:val="auto"/>
              </w:rPr>
            </w:pPr>
          </w:p>
        </w:tc>
      </w:tr>
      <w:tr>
        <w:trPr>
          <w:trHeight w:val="134"/>
        </w:trPr>
        <w:tc>
          <w:tcPr>
            <w:tcW w:w="304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Net issuance of common stock associated</w:t>
            </w: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0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units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(322)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(317)</w:t>
            </w:r>
          </w:p>
        </w:tc>
      </w:tr>
      <w:tr>
        <w:trPr>
          <w:trHeight w:val="134"/>
        </w:trPr>
        <w:tc>
          <w:tcPr>
            <w:tcW w:w="304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in at-the-market</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040" w:type="dxa"/>
            <w:vAlign w:val="bottom"/>
          </w:tcPr>
          <w:p>
            <w:pPr>
              <w:ind w:left="340"/>
              <w:spacing w:after="0"/>
              <w:rPr>
                <w:sz w:val="20"/>
                <w:szCs w:val="20"/>
                <w:color w:val="auto"/>
              </w:rPr>
            </w:pPr>
            <w:r>
              <w:rPr>
                <w:rFonts w:ascii="Arial" w:cs="Arial" w:eastAsia="Arial" w:hAnsi="Arial"/>
                <w:sz w:val="13"/>
                <w:szCs w:val="13"/>
                <w:color w:val="auto"/>
              </w:rPr>
              <w:t>offering</w:t>
            </w:r>
          </w:p>
        </w:tc>
        <w:tc>
          <w:tcPr>
            <w:tcW w:w="1140" w:type="dxa"/>
            <w:vAlign w:val="bottom"/>
          </w:tcPr>
          <w:p>
            <w:pPr>
              <w:jc w:val="right"/>
              <w:spacing w:after="0"/>
              <w:rPr>
                <w:sz w:val="20"/>
                <w:szCs w:val="20"/>
                <w:color w:val="auto"/>
              </w:rPr>
            </w:pPr>
            <w:r>
              <w:rPr>
                <w:rFonts w:ascii="Arial" w:cs="Arial" w:eastAsia="Arial" w:hAnsi="Arial"/>
                <w:sz w:val="13"/>
                <w:szCs w:val="13"/>
                <w:color w:val="auto"/>
              </w:rPr>
              <w:t>413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518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522</w:t>
            </w:r>
          </w:p>
        </w:tc>
        <w:tc>
          <w:tcPr>
            <w:tcW w:w="120" w:type="dxa"/>
            <w:vAlign w:val="bottom"/>
          </w:tcPr>
          <w:p>
            <w:pPr>
              <w:spacing w:after="0"/>
              <w:rPr>
                <w:sz w:val="12"/>
                <w:szCs w:val="12"/>
                <w:color w:val="auto"/>
              </w:rPr>
            </w:pPr>
          </w:p>
        </w:tc>
      </w:tr>
      <w:tr>
        <w:trPr>
          <w:trHeight w:val="134"/>
        </w:trPr>
        <w:tc>
          <w:tcPr>
            <w:tcW w:w="304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cost associated with at-the-market</w:t>
            </w: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0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offering</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(16)</w:t>
            </w:r>
          </w:p>
        </w:tc>
      </w:tr>
      <w:tr>
        <w:trPr>
          <w:trHeight w:val="148"/>
        </w:trPr>
        <w:tc>
          <w:tcPr>
            <w:tcW w:w="3040" w:type="dxa"/>
            <w:vAlign w:val="bottom"/>
          </w:tcPr>
          <w:p>
            <w:pPr>
              <w:ind w:left="260"/>
              <w:spacing w:after="0"/>
              <w:rPr>
                <w:sz w:val="20"/>
                <w:szCs w:val="20"/>
                <w:color w:val="auto"/>
              </w:rPr>
            </w:pPr>
            <w:r>
              <w:rPr>
                <w:rFonts w:ascii="Arial" w:cs="Arial" w:eastAsia="Arial" w:hAnsi="Arial"/>
                <w:sz w:val="13"/>
                <w:szCs w:val="13"/>
                <w:color w:val="auto"/>
              </w:rPr>
              <w:t>Write-off of cumulative translation loss</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2"/>
                <w:szCs w:val="12"/>
                <w:color w:val="auto"/>
              </w:rPr>
            </w:pPr>
          </w:p>
        </w:tc>
      </w:tr>
      <w:tr>
        <w:trPr>
          <w:trHeight w:val="148"/>
        </w:trPr>
        <w:tc>
          <w:tcPr>
            <w:tcW w:w="30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(9,322)</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(9,322)</w:t>
            </w:r>
          </w:p>
        </w:tc>
      </w:tr>
      <w:tr>
        <w:trPr>
          <w:trHeight w:val="182"/>
        </w:trPr>
        <w:tc>
          <w:tcPr>
            <w:tcW w:w="304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BALANCE, MARCH 31, 2020</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213,138</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2,131</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2,801,044</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(3,001,225)</w:t>
            </w:r>
          </w:p>
        </w:tc>
        <w:tc>
          <w:tcPr>
            <w:tcW w:w="300" w:type="dxa"/>
            <w:vAlign w:val="bottom"/>
            <w:tcBorders>
              <w:bottom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(198,050)</w:t>
            </w:r>
          </w:p>
        </w:tc>
        <w:tc>
          <w:tcPr>
            <w:tcW w:w="120" w:type="dxa"/>
            <w:vAlign w:val="bottom"/>
            <w:tcBorders>
              <w:bottom w:val="single" w:sz="8" w:color="CFF0FC"/>
            </w:tcBorders>
          </w:tcPr>
          <w:p>
            <w:pPr>
              <w:spacing w:after="0"/>
              <w:rPr>
                <w:sz w:val="15"/>
                <w:szCs w:val="15"/>
                <w:color w:val="auto"/>
              </w:rPr>
            </w:pPr>
          </w:p>
        </w:tc>
      </w:tr>
      <w:tr>
        <w:trPr>
          <w:trHeight w:val="129"/>
        </w:trPr>
        <w:tc>
          <w:tcPr>
            <w:tcW w:w="30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304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2,185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2,185</w:t>
            </w:r>
          </w:p>
        </w:tc>
        <w:tc>
          <w:tcPr>
            <w:tcW w:w="120" w:type="dxa"/>
            <w:vAlign w:val="bottom"/>
          </w:tcPr>
          <w:p>
            <w:pPr>
              <w:spacing w:after="0"/>
              <w:rPr>
                <w:sz w:val="12"/>
                <w:szCs w:val="12"/>
                <w:color w:val="auto"/>
              </w:rPr>
            </w:pPr>
          </w:p>
        </w:tc>
      </w:tr>
      <w:tr>
        <w:trPr>
          <w:trHeight w:val="134"/>
        </w:trPr>
        <w:tc>
          <w:tcPr>
            <w:tcW w:w="304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from the</w:t>
            </w: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0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exercise of warrants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7,250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11,527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11,600</w:t>
            </w:r>
          </w:p>
        </w:tc>
        <w:tc>
          <w:tcPr>
            <w:tcW w:w="120" w:type="dxa"/>
            <w:vAlign w:val="bottom"/>
            <w:shd w:val="clear" w:color="auto" w:fill="CFF0FC"/>
          </w:tcPr>
          <w:p>
            <w:pPr>
              <w:spacing w:after="0"/>
              <w:rPr>
                <w:sz w:val="12"/>
                <w:szCs w:val="12"/>
                <w:color w:val="auto"/>
              </w:rPr>
            </w:pPr>
          </w:p>
        </w:tc>
      </w:tr>
      <w:tr>
        <w:trPr>
          <w:trHeight w:val="134"/>
        </w:trPr>
        <w:tc>
          <w:tcPr>
            <w:tcW w:w="304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040" w:type="dxa"/>
            <w:vAlign w:val="bottom"/>
          </w:tcPr>
          <w:p>
            <w:pPr>
              <w:ind w:left="340"/>
              <w:spacing w:after="0"/>
              <w:rPr>
                <w:sz w:val="20"/>
                <w:szCs w:val="20"/>
                <w:color w:val="auto"/>
              </w:rPr>
            </w:pPr>
            <w:r>
              <w:rPr>
                <w:rFonts w:ascii="Arial" w:cs="Arial" w:eastAsia="Arial" w:hAnsi="Arial"/>
                <w:sz w:val="13"/>
                <w:szCs w:val="13"/>
                <w:color w:val="auto"/>
              </w:rPr>
              <w:t>conversion of the June 2020 note</w:t>
            </w:r>
          </w:p>
        </w:tc>
        <w:tc>
          <w:tcPr>
            <w:tcW w:w="1140" w:type="dxa"/>
            <w:vAlign w:val="bottom"/>
          </w:tcPr>
          <w:p>
            <w:pPr>
              <w:jc w:val="right"/>
              <w:spacing w:after="0"/>
              <w:rPr>
                <w:sz w:val="20"/>
                <w:szCs w:val="20"/>
                <w:color w:val="auto"/>
              </w:rPr>
            </w:pPr>
            <w:r>
              <w:rPr>
                <w:rFonts w:ascii="Arial" w:cs="Arial" w:eastAsia="Arial" w:hAnsi="Arial"/>
                <w:sz w:val="13"/>
                <w:szCs w:val="13"/>
                <w:color w:val="auto"/>
              </w:rPr>
              <w:t>1,235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2,618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2,630</w:t>
            </w:r>
          </w:p>
        </w:tc>
        <w:tc>
          <w:tcPr>
            <w:tcW w:w="120" w:type="dxa"/>
            <w:vAlign w:val="bottom"/>
          </w:tcPr>
          <w:p>
            <w:pPr>
              <w:spacing w:after="0"/>
              <w:rPr>
                <w:sz w:val="12"/>
                <w:szCs w:val="12"/>
                <w:color w:val="auto"/>
              </w:rPr>
            </w:pPr>
          </w:p>
        </w:tc>
      </w:tr>
      <w:tr>
        <w:trPr>
          <w:trHeight w:val="134"/>
        </w:trPr>
        <w:tc>
          <w:tcPr>
            <w:tcW w:w="304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Net issuance of common stock associated</w:t>
            </w: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0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units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w:t>
            </w:r>
          </w:p>
        </w:tc>
        <w:tc>
          <w:tcPr>
            <w:tcW w:w="120" w:type="dxa"/>
            <w:vAlign w:val="bottom"/>
            <w:shd w:val="clear" w:color="auto" w:fill="CFF0FC"/>
          </w:tcPr>
          <w:p>
            <w:pPr>
              <w:spacing w:after="0"/>
              <w:rPr>
                <w:sz w:val="12"/>
                <w:szCs w:val="12"/>
                <w:color w:val="auto"/>
              </w:rPr>
            </w:pPr>
          </w:p>
        </w:tc>
      </w:tr>
      <w:tr>
        <w:trPr>
          <w:trHeight w:val="134"/>
        </w:trPr>
        <w:tc>
          <w:tcPr>
            <w:tcW w:w="304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in at-the-market</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040" w:type="dxa"/>
            <w:vAlign w:val="bottom"/>
          </w:tcPr>
          <w:p>
            <w:pPr>
              <w:ind w:left="340"/>
              <w:spacing w:after="0"/>
              <w:rPr>
                <w:sz w:val="20"/>
                <w:szCs w:val="20"/>
                <w:color w:val="auto"/>
              </w:rPr>
            </w:pPr>
            <w:r>
              <w:rPr>
                <w:rFonts w:ascii="Arial" w:cs="Arial" w:eastAsia="Arial" w:hAnsi="Arial"/>
                <w:sz w:val="13"/>
                <w:szCs w:val="13"/>
                <w:color w:val="auto"/>
              </w:rPr>
              <w:t>offering</w:t>
            </w:r>
          </w:p>
        </w:tc>
        <w:tc>
          <w:tcPr>
            <w:tcW w:w="1140" w:type="dxa"/>
            <w:vAlign w:val="bottom"/>
          </w:tcPr>
          <w:p>
            <w:pPr>
              <w:jc w:val="right"/>
              <w:spacing w:after="0"/>
              <w:rPr>
                <w:sz w:val="20"/>
                <w:szCs w:val="20"/>
                <w:color w:val="auto"/>
              </w:rPr>
            </w:pPr>
            <w:r>
              <w:rPr>
                <w:rFonts w:ascii="Arial" w:cs="Arial" w:eastAsia="Arial" w:hAnsi="Arial"/>
                <w:sz w:val="13"/>
                <w:szCs w:val="13"/>
                <w:color w:val="auto"/>
              </w:rPr>
              <w:t>7,459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12,291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12,366</w:t>
            </w:r>
          </w:p>
        </w:tc>
        <w:tc>
          <w:tcPr>
            <w:tcW w:w="120" w:type="dxa"/>
            <w:vAlign w:val="bottom"/>
          </w:tcPr>
          <w:p>
            <w:pPr>
              <w:spacing w:after="0"/>
              <w:rPr>
                <w:sz w:val="12"/>
                <w:szCs w:val="12"/>
                <w:color w:val="auto"/>
              </w:rPr>
            </w:pPr>
          </w:p>
        </w:tc>
      </w:tr>
      <w:tr>
        <w:trPr>
          <w:trHeight w:val="134"/>
        </w:trPr>
        <w:tc>
          <w:tcPr>
            <w:tcW w:w="304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cost associated with at-the-market</w:t>
            </w: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0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offering</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(320)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(320)</w:t>
            </w:r>
          </w:p>
        </w:tc>
      </w:tr>
      <w:tr>
        <w:trPr>
          <w:trHeight w:val="134"/>
        </w:trPr>
        <w:tc>
          <w:tcPr>
            <w:tcW w:w="304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from market</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040" w:type="dxa"/>
            <w:vAlign w:val="bottom"/>
          </w:tcPr>
          <w:p>
            <w:pPr>
              <w:ind w:left="340"/>
              <w:spacing w:after="0"/>
              <w:rPr>
                <w:sz w:val="20"/>
                <w:szCs w:val="20"/>
                <w:color w:val="auto"/>
              </w:rPr>
            </w:pPr>
            <w:r>
              <w:rPr>
                <w:rFonts w:ascii="Arial" w:cs="Arial" w:eastAsia="Arial" w:hAnsi="Arial"/>
                <w:sz w:val="13"/>
                <w:szCs w:val="13"/>
                <w:color w:val="auto"/>
              </w:rPr>
              <w:t>price stock purchase</w:t>
            </w:r>
          </w:p>
        </w:tc>
        <w:tc>
          <w:tcPr>
            <w:tcW w:w="1140" w:type="dxa"/>
            <w:vAlign w:val="bottom"/>
          </w:tcPr>
          <w:p>
            <w:pPr>
              <w:jc w:val="right"/>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2"/>
                <w:szCs w:val="12"/>
                <w:color w:val="auto"/>
              </w:rPr>
            </w:pPr>
          </w:p>
        </w:tc>
      </w:tr>
      <w:tr>
        <w:trPr>
          <w:trHeight w:val="134"/>
        </w:trPr>
        <w:tc>
          <w:tcPr>
            <w:tcW w:w="304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Adjustment of common stock in association</w:t>
            </w: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0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with restricted stock units</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(461)</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304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3"/>
                <w:szCs w:val="13"/>
                <w:color w:val="auto"/>
              </w:rPr>
              <w:t>(10,252)</w:t>
            </w:r>
          </w:p>
        </w:tc>
        <w:tc>
          <w:tcPr>
            <w:tcW w:w="24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(10,252)</w:t>
            </w:r>
          </w:p>
        </w:tc>
      </w:tr>
      <w:tr>
        <w:trPr>
          <w:trHeight w:val="142"/>
        </w:trPr>
        <w:tc>
          <w:tcPr>
            <w:tcW w:w="304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JUNE 30, 2020</w:t>
            </w: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228,928</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jc w:val="right"/>
              <w:ind w:right="20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2,289</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2,829,478</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(3,011,477)</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(179,710)</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30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040" w:type="dxa"/>
            <w:vAlign w:val="bottom"/>
          </w:tcPr>
          <w:p>
            <w:pPr>
              <w:spacing w:after="0"/>
              <w:rPr>
                <w:sz w:val="13"/>
                <w:szCs w:val="13"/>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8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3"/>
                <w:szCs w:val="13"/>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5"/>
              </w:rPr>
              <w:t>Accumulated</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040" w:type="dxa"/>
            <w:vAlign w:val="bottom"/>
          </w:tcPr>
          <w:p>
            <w:pPr>
              <w:spacing w:after="0"/>
              <w:rPr>
                <w:sz w:val="12"/>
                <w:szCs w:val="12"/>
                <w:color w:val="auto"/>
              </w:rPr>
            </w:pPr>
          </w:p>
        </w:tc>
        <w:tc>
          <w:tcPr>
            <w:tcW w:w="1140" w:type="dxa"/>
            <w:vAlign w:val="bottom"/>
          </w:tcPr>
          <w:p>
            <w:pPr>
              <w:jc w:val="right"/>
              <w:ind w:right="337"/>
              <w:spacing w:after="0" w:line="142" w:lineRule="exact"/>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ind w:right="297"/>
              <w:spacing w:after="0" w:line="142" w:lineRule="exact"/>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2" w:lineRule="exact"/>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2"/>
                <w:szCs w:val="12"/>
                <w:color w:val="auto"/>
              </w:rPr>
            </w:pPr>
          </w:p>
        </w:tc>
        <w:tc>
          <w:tcPr>
            <w:tcW w:w="1260" w:type="dxa"/>
            <w:vAlign w:val="bottom"/>
            <w:gridSpan w:val="2"/>
          </w:tcPr>
          <w:p>
            <w:pPr>
              <w:jc w:val="right"/>
              <w:ind w:right="640"/>
              <w:spacing w:after="0" w:line="142" w:lineRule="exact"/>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560"/>
              <w:spacing w:after="0" w:line="142" w:lineRule="exact"/>
              <w:rPr>
                <w:sz w:val="20"/>
                <w:szCs w:val="20"/>
                <w:color w:val="auto"/>
              </w:rPr>
            </w:pPr>
            <w:r>
              <w:rPr>
                <w:rFonts w:ascii="Arial" w:cs="Arial" w:eastAsia="Arial" w:hAnsi="Arial"/>
                <w:sz w:val="13"/>
                <w:szCs w:val="13"/>
                <w:b w:val="1"/>
                <w:bCs w:val="1"/>
                <w:color w:val="auto"/>
              </w:rPr>
              <w:t>Total</w:t>
            </w:r>
          </w:p>
        </w:tc>
      </w:tr>
      <w:tr>
        <w:trPr>
          <w:trHeight w:val="142"/>
        </w:trPr>
        <w:tc>
          <w:tcPr>
            <w:tcW w:w="304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JANUARY 1, 2021</w:t>
            </w:r>
          </w:p>
        </w:tc>
        <w:tc>
          <w:tcPr>
            <w:tcW w:w="11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242,118</w:t>
            </w:r>
          </w:p>
        </w:tc>
        <w:tc>
          <w:tcPr>
            <w:tcW w:w="24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2,421</w:t>
            </w:r>
          </w:p>
        </w:tc>
        <w:tc>
          <w:tcPr>
            <w:tcW w:w="2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2,866,303</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ind w:left="900"/>
              <w:spacing w:after="0" w:line="142" w:lineRule="exact"/>
              <w:rPr>
                <w:sz w:val="20"/>
                <w:szCs w:val="20"/>
                <w:color w:val="auto"/>
              </w:rPr>
            </w:pPr>
            <w:r>
              <w:rPr>
                <w:rFonts w:ascii="Arial" w:cs="Arial" w:eastAsia="Arial" w:hAnsi="Arial"/>
                <w:sz w:val="13"/>
                <w:szCs w:val="13"/>
                <w:color w:val="auto"/>
                <w:w w:val="91"/>
              </w:rPr>
              <w:t>—</w:t>
            </w: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(3,049,143)</w:t>
            </w: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7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(180,419)</w:t>
            </w:r>
          </w:p>
        </w:tc>
        <w:tc>
          <w:tcPr>
            <w:tcW w:w="100" w:type="dxa"/>
            <w:vAlign w:val="bottom"/>
            <w:tcBorders>
              <w:top w:val="single" w:sz="8" w:color="CFF0FC"/>
            </w:tcBorders>
            <w:shd w:val="clear" w:color="auto" w:fill="CFF0FC"/>
          </w:tcPr>
          <w:p>
            <w:pPr>
              <w:spacing w:after="0"/>
              <w:rPr>
                <w:sz w:val="12"/>
                <w:szCs w:val="12"/>
                <w:color w:val="auto"/>
              </w:rPr>
            </w:pPr>
          </w:p>
        </w:tc>
      </w:tr>
      <w:tr>
        <w:trPr>
          <w:trHeight w:val="134"/>
        </w:trPr>
        <w:tc>
          <w:tcPr>
            <w:tcW w:w="3040" w:type="dxa"/>
            <w:vAlign w:val="bottom"/>
          </w:tcPr>
          <w:p>
            <w:pPr>
              <w:ind w:left="260"/>
              <w:spacing w:after="0" w:line="134" w:lineRule="exact"/>
              <w:rPr>
                <w:sz w:val="20"/>
                <w:szCs w:val="20"/>
                <w:color w:val="auto"/>
              </w:rPr>
            </w:pPr>
            <w:r>
              <w:rPr>
                <w:rFonts w:ascii="Arial" w:cs="Arial" w:eastAsia="Arial" w:hAnsi="Arial"/>
                <w:sz w:val="13"/>
                <w:szCs w:val="13"/>
                <w:color w:val="auto"/>
              </w:rPr>
              <w:t>Net issuance of common stock associated</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40" w:type="dxa"/>
            <w:vAlign w:val="bottom"/>
          </w:tcPr>
          <w:p>
            <w:pPr>
              <w:ind w:left="340"/>
              <w:spacing w:after="0"/>
              <w:rPr>
                <w:sz w:val="20"/>
                <w:szCs w:val="20"/>
                <w:color w:val="auto"/>
              </w:rPr>
            </w:pPr>
            <w:r>
              <w:rPr>
                <w:rFonts w:ascii="Arial" w:cs="Arial" w:eastAsia="Arial" w:hAnsi="Arial"/>
                <w:sz w:val="13"/>
                <w:szCs w:val="13"/>
                <w:color w:val="auto"/>
              </w:rPr>
              <w:t>units</w:t>
            </w:r>
          </w:p>
        </w:tc>
        <w:tc>
          <w:tcPr>
            <w:tcW w:w="1140" w:type="dxa"/>
            <w:vAlign w:val="bottom"/>
          </w:tcPr>
          <w:p>
            <w:pPr>
              <w:jc w:val="right"/>
              <w:spacing w:after="0"/>
              <w:rPr>
                <w:sz w:val="20"/>
                <w:szCs w:val="20"/>
                <w:color w:val="auto"/>
              </w:rPr>
            </w:pPr>
            <w:r>
              <w:rPr>
                <w:rFonts w:ascii="Arial" w:cs="Arial" w:eastAsia="Arial" w:hAnsi="Arial"/>
                <w:sz w:val="13"/>
                <w:szCs w:val="13"/>
                <w:color w:val="auto"/>
              </w:rPr>
              <w:t>390</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397</w:t>
            </w:r>
          </w:p>
        </w:tc>
        <w:tc>
          <w:tcPr>
            <w:tcW w:w="100" w:type="dxa"/>
            <w:vAlign w:val="bottom"/>
          </w:tcPr>
          <w:p>
            <w:pPr>
              <w:spacing w:after="0"/>
              <w:rPr>
                <w:sz w:val="12"/>
                <w:szCs w:val="12"/>
                <w:color w:val="auto"/>
              </w:rPr>
            </w:pPr>
          </w:p>
        </w:tc>
      </w:tr>
      <w:tr>
        <w:trPr>
          <w:trHeight w:val="134"/>
        </w:trPr>
        <w:tc>
          <w:tcPr>
            <w:tcW w:w="304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under Employee</w:t>
            </w: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Stock Purchase Plan</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293</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ind w:left="9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390</w:t>
            </w:r>
          </w:p>
        </w:tc>
        <w:tc>
          <w:tcPr>
            <w:tcW w:w="100" w:type="dxa"/>
            <w:vAlign w:val="bottom"/>
            <w:shd w:val="clear" w:color="auto" w:fill="CFF0FC"/>
          </w:tcPr>
          <w:p>
            <w:pPr>
              <w:spacing w:after="0"/>
              <w:rPr>
                <w:sz w:val="12"/>
                <w:szCs w:val="12"/>
                <w:color w:val="auto"/>
              </w:rPr>
            </w:pPr>
          </w:p>
        </w:tc>
      </w:tr>
      <w:tr>
        <w:trPr>
          <w:trHeight w:val="149"/>
        </w:trPr>
        <w:tc>
          <w:tcPr>
            <w:tcW w:w="304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1,935</w:t>
            </w:r>
          </w:p>
        </w:tc>
        <w:tc>
          <w:tcPr>
            <w:tcW w:w="100" w:type="dxa"/>
            <w:vAlign w:val="bottom"/>
          </w:tcPr>
          <w:p>
            <w:pPr>
              <w:spacing w:after="0"/>
              <w:rPr>
                <w:sz w:val="12"/>
                <w:szCs w:val="12"/>
                <w:color w:val="auto"/>
              </w:rPr>
            </w:pPr>
          </w:p>
        </w:tc>
      </w:tr>
      <w:tr>
        <w:trPr>
          <w:trHeight w:val="134"/>
        </w:trPr>
        <w:tc>
          <w:tcPr>
            <w:tcW w:w="304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conversion of the Mann Group</w:t>
            </w: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convertible note</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3,830</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9,535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ind w:left="9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9,573</w:t>
            </w:r>
          </w:p>
        </w:tc>
        <w:tc>
          <w:tcPr>
            <w:tcW w:w="100" w:type="dxa"/>
            <w:vAlign w:val="bottom"/>
            <w:shd w:val="clear" w:color="auto" w:fill="CFF0FC"/>
          </w:tcPr>
          <w:p>
            <w:pPr>
              <w:spacing w:after="0"/>
              <w:rPr>
                <w:sz w:val="12"/>
                <w:szCs w:val="12"/>
                <w:color w:val="auto"/>
              </w:rPr>
            </w:pPr>
          </w:p>
        </w:tc>
      </w:tr>
      <w:tr>
        <w:trPr>
          <w:trHeight w:val="134"/>
        </w:trPr>
        <w:tc>
          <w:tcPr>
            <w:tcW w:w="304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tcPr>
          <w:p>
            <w:pPr>
              <w:ind w:left="340"/>
              <w:spacing w:after="0" w:line="135" w:lineRule="exact"/>
              <w:rPr>
                <w:sz w:val="20"/>
                <w:szCs w:val="20"/>
                <w:color w:val="auto"/>
              </w:rPr>
            </w:pPr>
            <w:r>
              <w:rPr>
                <w:rFonts w:ascii="Arial" w:cs="Arial" w:eastAsia="Arial" w:hAnsi="Arial"/>
                <w:sz w:val="13"/>
                <w:szCs w:val="13"/>
                <w:color w:val="auto"/>
              </w:rPr>
              <w:t>conversion of the Mann Group</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40" w:type="dxa"/>
            <w:vAlign w:val="bottom"/>
          </w:tcPr>
          <w:p>
            <w:pPr>
              <w:ind w:left="340"/>
              <w:spacing w:after="0"/>
              <w:rPr>
                <w:sz w:val="20"/>
                <w:szCs w:val="20"/>
                <w:color w:val="auto"/>
              </w:rPr>
            </w:pPr>
            <w:r>
              <w:rPr>
                <w:rFonts w:ascii="Arial" w:cs="Arial" w:eastAsia="Arial" w:hAnsi="Arial"/>
                <w:sz w:val="13"/>
                <w:szCs w:val="13"/>
                <w:color w:val="auto"/>
              </w:rPr>
              <w:t>convertible note interest</w:t>
            </w:r>
          </w:p>
        </w:tc>
        <w:tc>
          <w:tcPr>
            <w:tcW w:w="1140" w:type="dxa"/>
            <w:vAlign w:val="bottom"/>
          </w:tcPr>
          <w:p>
            <w:pPr>
              <w:jc w:val="right"/>
              <w:spacing w:after="0"/>
              <w:rPr>
                <w:sz w:val="20"/>
                <w:szCs w:val="20"/>
                <w:color w:val="auto"/>
              </w:rPr>
            </w:pPr>
            <w:r>
              <w:rPr>
                <w:rFonts w:ascii="Arial" w:cs="Arial" w:eastAsia="Arial" w:hAnsi="Arial"/>
                <w:sz w:val="13"/>
                <w:szCs w:val="13"/>
                <w:color w:val="auto"/>
              </w:rPr>
              <w:t>170</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427</w:t>
            </w:r>
          </w:p>
        </w:tc>
        <w:tc>
          <w:tcPr>
            <w:tcW w:w="100" w:type="dxa"/>
            <w:vAlign w:val="bottom"/>
          </w:tcPr>
          <w:p>
            <w:pPr>
              <w:spacing w:after="0"/>
              <w:rPr>
                <w:sz w:val="12"/>
                <w:szCs w:val="12"/>
                <w:color w:val="auto"/>
              </w:rPr>
            </w:pPr>
          </w:p>
        </w:tc>
      </w:tr>
      <w:tr>
        <w:trPr>
          <w:trHeight w:val="134"/>
        </w:trPr>
        <w:tc>
          <w:tcPr>
            <w:tcW w:w="304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conversion of the 2024 convertible notes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1,667</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4,983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ind w:left="9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w:t>
            </w:r>
          </w:p>
        </w:tc>
        <w:tc>
          <w:tcPr>
            <w:tcW w:w="100" w:type="dxa"/>
            <w:vAlign w:val="bottom"/>
            <w:shd w:val="clear" w:color="auto" w:fill="CFF0FC"/>
          </w:tcPr>
          <w:p>
            <w:pPr>
              <w:spacing w:after="0"/>
              <w:rPr>
                <w:sz w:val="12"/>
                <w:szCs w:val="12"/>
                <w:color w:val="auto"/>
              </w:rPr>
            </w:pPr>
          </w:p>
        </w:tc>
      </w:tr>
      <w:tr>
        <w:trPr>
          <w:trHeight w:val="134"/>
        </w:trPr>
        <w:tc>
          <w:tcPr>
            <w:tcW w:w="304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tcPr>
          <w:p>
            <w:pPr>
              <w:ind w:left="340"/>
              <w:spacing w:after="0" w:line="135" w:lineRule="exact"/>
              <w:rPr>
                <w:sz w:val="20"/>
                <w:szCs w:val="20"/>
                <w:color w:val="auto"/>
              </w:rPr>
            </w:pPr>
            <w:r>
              <w:rPr>
                <w:rFonts w:ascii="Arial" w:cs="Arial" w:eastAsia="Arial" w:hAnsi="Arial"/>
                <w:sz w:val="13"/>
                <w:szCs w:val="13"/>
                <w:color w:val="auto"/>
              </w:rPr>
              <w:t>payoff of the 2024 convertible note</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40" w:type="dxa"/>
            <w:vAlign w:val="bottom"/>
          </w:tcPr>
          <w:p>
            <w:pPr>
              <w:ind w:left="340"/>
              <w:spacing w:after="0"/>
              <w:rPr>
                <w:sz w:val="20"/>
                <w:szCs w:val="20"/>
                <w:color w:val="auto"/>
              </w:rPr>
            </w:pPr>
            <w:r>
              <w:rPr>
                <w:rFonts w:ascii="Arial" w:cs="Arial" w:eastAsia="Arial" w:hAnsi="Arial"/>
                <w:sz w:val="13"/>
                <w:szCs w:val="13"/>
                <w:color w:val="auto"/>
              </w:rPr>
              <w:t>interest</w:t>
            </w:r>
          </w:p>
        </w:tc>
        <w:tc>
          <w:tcPr>
            <w:tcW w:w="1140" w:type="dxa"/>
            <w:vAlign w:val="bottom"/>
          </w:tcPr>
          <w:p>
            <w:pPr>
              <w:jc w:val="right"/>
              <w:spacing w:after="0"/>
              <w:rPr>
                <w:sz w:val="20"/>
                <w:szCs w:val="20"/>
                <w:color w:val="auto"/>
              </w:rPr>
            </w:pPr>
            <w:r>
              <w:rPr>
                <w:rFonts w:ascii="Arial" w:cs="Arial" w:eastAsia="Arial" w:hAnsi="Arial"/>
                <w:sz w:val="13"/>
                <w:szCs w:val="13"/>
                <w:color w:val="auto"/>
              </w:rPr>
              <w:t>27</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2"/>
                <w:szCs w:val="12"/>
                <w:color w:val="auto"/>
              </w:rPr>
            </w:pPr>
          </w:p>
        </w:tc>
      </w:tr>
      <w:tr>
        <w:trPr>
          <w:trHeight w:val="134"/>
        </w:trPr>
        <w:tc>
          <w:tcPr>
            <w:tcW w:w="304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in at-the-market</w:t>
            </w: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offering</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578</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ind w:left="9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1,886</w:t>
            </w:r>
          </w:p>
        </w:tc>
        <w:tc>
          <w:tcPr>
            <w:tcW w:w="100" w:type="dxa"/>
            <w:vAlign w:val="bottom"/>
            <w:shd w:val="clear" w:color="auto" w:fill="CFF0FC"/>
          </w:tcPr>
          <w:p>
            <w:pPr>
              <w:spacing w:after="0"/>
              <w:rPr>
                <w:sz w:val="12"/>
                <w:szCs w:val="12"/>
                <w:color w:val="auto"/>
              </w:rPr>
            </w:pPr>
          </w:p>
        </w:tc>
      </w:tr>
      <w:tr>
        <w:trPr>
          <w:trHeight w:val="134"/>
        </w:trPr>
        <w:tc>
          <w:tcPr>
            <w:tcW w:w="3040" w:type="dxa"/>
            <w:vAlign w:val="bottom"/>
          </w:tcPr>
          <w:p>
            <w:pPr>
              <w:ind w:left="260"/>
              <w:spacing w:after="0" w:line="134" w:lineRule="exact"/>
              <w:rPr>
                <w:sz w:val="20"/>
                <w:szCs w:val="20"/>
                <w:color w:val="auto"/>
              </w:rPr>
            </w:pPr>
            <w:r>
              <w:rPr>
                <w:rFonts w:ascii="Arial" w:cs="Arial" w:eastAsia="Arial" w:hAnsi="Arial"/>
                <w:sz w:val="13"/>
                <w:szCs w:val="13"/>
                <w:color w:val="auto"/>
              </w:rPr>
              <w:t>Issuance cost associated with at-the-market</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40" w:type="dxa"/>
            <w:vAlign w:val="bottom"/>
          </w:tcPr>
          <w:p>
            <w:pPr>
              <w:ind w:left="340"/>
              <w:spacing w:after="0"/>
              <w:rPr>
                <w:sz w:val="20"/>
                <w:szCs w:val="20"/>
                <w:color w:val="auto"/>
              </w:rPr>
            </w:pPr>
            <w:r>
              <w:rPr>
                <w:rFonts w:ascii="Arial" w:cs="Arial" w:eastAsia="Arial" w:hAnsi="Arial"/>
                <w:sz w:val="13"/>
                <w:szCs w:val="13"/>
                <w:color w:val="auto"/>
              </w:rPr>
              <w:t>offering</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(38)</w:t>
            </w:r>
          </w:p>
        </w:tc>
      </w:tr>
      <w:tr>
        <w:trPr>
          <w:trHeight w:val="148"/>
        </w:trPr>
        <w:tc>
          <w:tcPr>
            <w:tcW w:w="30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ind w:left="9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(12,916)</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(12,916)</w:t>
            </w:r>
          </w:p>
        </w:tc>
      </w:tr>
      <w:tr>
        <w:trPr>
          <w:trHeight w:val="142"/>
        </w:trPr>
        <w:tc>
          <w:tcPr>
            <w:tcW w:w="3040" w:type="dxa"/>
            <w:vAlign w:val="bottom"/>
          </w:tcPr>
          <w:p>
            <w:pPr>
              <w:spacing w:after="0" w:line="142" w:lineRule="exact"/>
              <w:rPr>
                <w:sz w:val="20"/>
                <w:szCs w:val="20"/>
                <w:color w:val="auto"/>
              </w:rPr>
            </w:pPr>
            <w:r>
              <w:rPr>
                <w:rFonts w:ascii="Arial" w:cs="Arial" w:eastAsia="Arial" w:hAnsi="Arial"/>
                <w:sz w:val="13"/>
                <w:szCs w:val="13"/>
                <w:color w:val="auto"/>
              </w:rPr>
              <w:t>BALANCE, MARCH 31, 2021</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249,073</w:t>
            </w:r>
          </w:p>
        </w:tc>
        <w:tc>
          <w:tcPr>
            <w:tcW w:w="24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2,491</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2,885,946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ind w:left="900"/>
              <w:spacing w:after="0" w:line="142" w:lineRule="exact"/>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(3,062,059)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(173,622)</w:t>
            </w:r>
          </w:p>
        </w:tc>
        <w:tc>
          <w:tcPr>
            <w:tcW w:w="100" w:type="dxa"/>
            <w:vAlign w:val="bottom"/>
          </w:tcPr>
          <w:p>
            <w:pPr>
              <w:spacing w:after="0"/>
              <w:rPr>
                <w:sz w:val="12"/>
                <w:szCs w:val="12"/>
                <w:color w:val="auto"/>
              </w:rPr>
            </w:pPr>
          </w:p>
        </w:tc>
      </w:tr>
      <w:tr>
        <w:trPr>
          <w:trHeight w:val="20"/>
        </w:trPr>
        <w:tc>
          <w:tcPr>
            <w:tcW w:w="30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3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304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Net issuance of common stock associated</w:t>
            </w: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units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520</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(550)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ind w:left="9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(545)</w:t>
            </w:r>
          </w:p>
        </w:tc>
      </w:tr>
      <w:tr>
        <w:trPr>
          <w:trHeight w:val="148"/>
        </w:trPr>
        <w:tc>
          <w:tcPr>
            <w:tcW w:w="304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3,926</w:t>
            </w:r>
          </w:p>
        </w:tc>
        <w:tc>
          <w:tcPr>
            <w:tcW w:w="100" w:type="dxa"/>
            <w:vAlign w:val="bottom"/>
          </w:tcPr>
          <w:p>
            <w:pPr>
              <w:spacing w:after="0"/>
              <w:rPr>
                <w:sz w:val="12"/>
                <w:szCs w:val="12"/>
                <w:color w:val="auto"/>
              </w:rPr>
            </w:pPr>
          </w:p>
        </w:tc>
      </w:tr>
      <w:tr>
        <w:trPr>
          <w:trHeight w:val="148"/>
        </w:trPr>
        <w:tc>
          <w:tcPr>
            <w:tcW w:w="30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Premium on Mann Group convertible note</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22,107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ind w:left="9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22,107</w:t>
            </w:r>
          </w:p>
        </w:tc>
        <w:tc>
          <w:tcPr>
            <w:tcW w:w="100" w:type="dxa"/>
            <w:vAlign w:val="bottom"/>
            <w:shd w:val="clear" w:color="auto" w:fill="CFF0FC"/>
          </w:tcPr>
          <w:p>
            <w:pPr>
              <w:spacing w:after="0"/>
              <w:rPr>
                <w:sz w:val="12"/>
                <w:szCs w:val="12"/>
                <w:color w:val="auto"/>
              </w:rPr>
            </w:pPr>
          </w:p>
        </w:tc>
      </w:tr>
      <w:tr>
        <w:trPr>
          <w:trHeight w:val="134"/>
        </w:trPr>
        <w:tc>
          <w:tcPr>
            <w:tcW w:w="304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from market</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40" w:type="dxa"/>
            <w:vAlign w:val="bottom"/>
          </w:tcPr>
          <w:p>
            <w:pPr>
              <w:ind w:left="340"/>
              <w:spacing w:after="0"/>
              <w:rPr>
                <w:sz w:val="20"/>
                <w:szCs w:val="20"/>
                <w:color w:val="auto"/>
              </w:rPr>
            </w:pPr>
            <w:r>
              <w:rPr>
                <w:rFonts w:ascii="Arial" w:cs="Arial" w:eastAsia="Arial" w:hAnsi="Arial"/>
                <w:sz w:val="13"/>
                <w:szCs w:val="13"/>
                <w:color w:val="auto"/>
              </w:rPr>
              <w:t>price stock purchase</w:t>
            </w:r>
          </w:p>
        </w:tc>
        <w:tc>
          <w:tcPr>
            <w:tcW w:w="1140" w:type="dxa"/>
            <w:vAlign w:val="bottom"/>
          </w:tcPr>
          <w:p>
            <w:pPr>
              <w:jc w:val="right"/>
              <w:spacing w:after="0"/>
              <w:rPr>
                <w:sz w:val="20"/>
                <w:szCs w:val="20"/>
                <w:color w:val="auto"/>
              </w:rPr>
            </w:pPr>
            <w:r>
              <w:rPr>
                <w:rFonts w:ascii="Arial" w:cs="Arial" w:eastAsia="Arial" w:hAnsi="Arial"/>
                <w:sz w:val="13"/>
                <w:szCs w:val="13"/>
                <w:color w:val="auto"/>
              </w:rPr>
              <w:t>25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2"/>
                <w:szCs w:val="12"/>
                <w:color w:val="auto"/>
              </w:rPr>
            </w:pPr>
          </w:p>
        </w:tc>
      </w:tr>
      <w:tr>
        <w:trPr>
          <w:trHeight w:val="148"/>
        </w:trPr>
        <w:tc>
          <w:tcPr>
            <w:tcW w:w="30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ind w:left="9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(35,523)</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(35,523)</w:t>
            </w:r>
          </w:p>
        </w:tc>
      </w:tr>
      <w:tr>
        <w:trPr>
          <w:trHeight w:val="142"/>
        </w:trPr>
        <w:tc>
          <w:tcPr>
            <w:tcW w:w="3040" w:type="dxa"/>
            <w:vAlign w:val="bottom"/>
          </w:tcPr>
          <w:p>
            <w:pPr>
              <w:spacing w:after="0" w:line="142" w:lineRule="exact"/>
              <w:rPr>
                <w:sz w:val="20"/>
                <w:szCs w:val="20"/>
                <w:color w:val="auto"/>
              </w:rPr>
            </w:pPr>
            <w:r>
              <w:rPr>
                <w:rFonts w:ascii="Arial" w:cs="Arial" w:eastAsia="Arial" w:hAnsi="Arial"/>
                <w:sz w:val="13"/>
                <w:szCs w:val="13"/>
                <w:color w:val="auto"/>
              </w:rPr>
              <w:t>BALANCE, JUNE 30, 2021</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249,618</w:t>
            </w:r>
          </w:p>
        </w:tc>
        <w:tc>
          <w:tcPr>
            <w:tcW w:w="24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2,496</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2,911,535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ind w:left="900"/>
              <w:spacing w:after="0" w:line="142" w:lineRule="exact"/>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(3,097,582)</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(183,551)</w:t>
            </w:r>
          </w:p>
        </w:tc>
        <w:tc>
          <w:tcPr>
            <w:tcW w:w="100" w:type="dxa"/>
            <w:vAlign w:val="bottom"/>
          </w:tcPr>
          <w:p>
            <w:pPr>
              <w:spacing w:after="0"/>
              <w:rPr>
                <w:sz w:val="12"/>
                <w:szCs w:val="12"/>
                <w:color w:val="auto"/>
              </w:rPr>
            </w:pPr>
          </w:p>
        </w:tc>
      </w:tr>
      <w:tr>
        <w:trPr>
          <w:trHeight w:val="20"/>
        </w:trPr>
        <w:tc>
          <w:tcPr>
            <w:tcW w:w="30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7"/>
              </w:rPr>
              <w:t>Six Months Ended June 30,</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2021</w:t>
            </w: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97"/>
              <w:spacing w:after="0" w:line="142" w:lineRule="exact"/>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CASH FLOWS FROM OPERATING ACTIVITIES:</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260"/>
              <w:spacing w:after="0"/>
              <w:rPr>
                <w:sz w:val="20"/>
                <w:szCs w:val="20"/>
                <w:color w:val="auto"/>
              </w:rPr>
            </w:pPr>
            <w:r>
              <w:rPr>
                <w:rFonts w:ascii="Arial" w:cs="Arial" w:eastAsia="Arial" w:hAnsi="Arial"/>
                <w:sz w:val="13"/>
                <w:szCs w:val="13"/>
                <w:color w:val="auto"/>
              </w:rPr>
              <w:t>Net loss</w:t>
            </w:r>
          </w:p>
        </w:tc>
        <w:tc>
          <w:tcPr>
            <w:tcW w:w="940" w:type="dxa"/>
            <w:vAlign w:val="bottom"/>
          </w:tcPr>
          <w:p>
            <w:pPr>
              <w:jc w:val="right"/>
              <w:ind w:right="797"/>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(48,439)</w:t>
            </w:r>
          </w:p>
        </w:tc>
        <w:tc>
          <w:tcPr>
            <w:tcW w:w="740" w:type="dxa"/>
            <w:vAlign w:val="bottom"/>
            <w:gridSpan w:val="2"/>
          </w:tcPr>
          <w:p>
            <w:pPr>
              <w:jc w:val="right"/>
              <w:ind w:right="508"/>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(19,574)</w:t>
            </w: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500"/>
              <w:spacing w:after="0"/>
              <w:rPr>
                <w:sz w:val="20"/>
                <w:szCs w:val="20"/>
                <w:color w:val="auto"/>
              </w:rPr>
            </w:pPr>
            <w:r>
              <w:rPr>
                <w:rFonts w:ascii="Arial" w:cs="Arial" w:eastAsia="Arial" w:hAnsi="Arial"/>
                <w:sz w:val="13"/>
                <w:szCs w:val="13"/>
                <w:color w:val="auto"/>
              </w:rPr>
              <w:t>Loss on extinguishment of debt</w:t>
            </w:r>
          </w:p>
        </w:tc>
        <w:tc>
          <w:tcPr>
            <w:tcW w:w="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22,130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Stock-based compensation expense</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5,861</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500"/>
              <w:spacing w:after="0"/>
              <w:rPr>
                <w:sz w:val="20"/>
                <w:szCs w:val="20"/>
                <w:color w:val="auto"/>
              </w:rPr>
            </w:pPr>
            <w:r>
              <w:rPr>
                <w:rFonts w:ascii="Arial" w:cs="Arial" w:eastAsia="Arial" w:hAnsi="Arial"/>
                <w:sz w:val="13"/>
                <w:szCs w:val="13"/>
                <w:color w:val="auto"/>
              </w:rPr>
              <w:t>Interest on milestone payment</w:t>
            </w:r>
          </w:p>
        </w:tc>
        <w:tc>
          <w:tcPr>
            <w:tcW w:w="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3,663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(Gain) loss on foreign currency translation</w:t>
            </w:r>
          </w:p>
        </w:tc>
        <w:tc>
          <w:tcPr>
            <w:tcW w:w="9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(2,935)</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500"/>
              <w:spacing w:after="0"/>
              <w:rPr>
                <w:sz w:val="20"/>
                <w:szCs w:val="20"/>
                <w:color w:val="auto"/>
              </w:rPr>
            </w:pPr>
            <w:r>
              <w:rPr>
                <w:rFonts w:ascii="Arial" w:cs="Arial" w:eastAsia="Arial" w:hAnsi="Arial"/>
                <w:sz w:val="13"/>
                <w:szCs w:val="13"/>
                <w:color w:val="auto"/>
              </w:rPr>
              <w:t>Depreciation, amortization and accretion</w:t>
            </w:r>
          </w:p>
        </w:tc>
        <w:tc>
          <w:tcPr>
            <w:tcW w:w="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1,671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Interest expense on Mann Group promissory notes</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1,398</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2,536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500"/>
              <w:spacing w:after="0"/>
              <w:rPr>
                <w:sz w:val="20"/>
                <w:szCs w:val="20"/>
                <w:color w:val="auto"/>
              </w:rPr>
            </w:pPr>
            <w:r>
              <w:rPr>
                <w:rFonts w:ascii="Arial" w:cs="Arial" w:eastAsia="Arial" w:hAnsi="Arial"/>
                <w:sz w:val="13"/>
                <w:szCs w:val="13"/>
                <w:color w:val="auto"/>
              </w:rPr>
              <w:t>Amortization of right-of-use assets</w:t>
            </w:r>
          </w:p>
        </w:tc>
        <w:tc>
          <w:tcPr>
            <w:tcW w:w="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668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Asset impairment</w:t>
            </w:r>
          </w:p>
        </w:tc>
        <w:tc>
          <w:tcPr>
            <w:tcW w:w="9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500"/>
              <w:spacing w:after="0"/>
              <w:rPr>
                <w:sz w:val="20"/>
                <w:szCs w:val="20"/>
                <w:color w:val="auto"/>
              </w:rPr>
            </w:pPr>
            <w:r>
              <w:rPr>
                <w:rFonts w:ascii="Arial" w:cs="Arial" w:eastAsia="Arial" w:hAnsi="Arial"/>
                <w:sz w:val="13"/>
                <w:szCs w:val="13"/>
                <w:color w:val="auto"/>
              </w:rPr>
              <w:t>Write-off of inventory</w:t>
            </w:r>
          </w:p>
        </w:tc>
        <w:tc>
          <w:tcPr>
            <w:tcW w:w="94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net</w:t>
            </w:r>
          </w:p>
        </w:tc>
        <w:tc>
          <w:tcPr>
            <w:tcW w:w="9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500"/>
              <w:spacing w:after="0"/>
              <w:rPr>
                <w:sz w:val="20"/>
                <w:szCs w:val="20"/>
                <w:color w:val="auto"/>
              </w:rPr>
            </w:pPr>
            <w:r>
              <w:rPr>
                <w:rFonts w:ascii="Arial" w:cs="Arial" w:eastAsia="Arial" w:hAnsi="Arial"/>
                <w:sz w:val="13"/>
                <w:szCs w:val="13"/>
                <w:color w:val="auto"/>
              </w:rPr>
              <w:t>Changes in operating assets and liabilities:</w:t>
            </w: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receivable, net</w:t>
            </w:r>
          </w:p>
        </w:tc>
        <w:tc>
          <w:tcPr>
            <w:tcW w:w="9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(2,087)</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740"/>
              <w:spacing w:after="0"/>
              <w:rPr>
                <w:sz w:val="20"/>
                <w:szCs w:val="20"/>
                <w:color w:val="auto"/>
              </w:rPr>
            </w:pPr>
            <w:r>
              <w:rPr>
                <w:rFonts w:ascii="Arial" w:cs="Arial" w:eastAsia="Arial" w:hAnsi="Arial"/>
                <w:sz w:val="13"/>
                <w:szCs w:val="13"/>
                <w:color w:val="auto"/>
              </w:rPr>
              <w:t>Inventory</w:t>
            </w:r>
          </w:p>
        </w:tc>
        <w:tc>
          <w:tcPr>
            <w:tcW w:w="9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(2,509)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Prepaid expenses and other current assets</w:t>
            </w:r>
          </w:p>
        </w:tc>
        <w:tc>
          <w:tcPr>
            <w:tcW w:w="9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(502)</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740"/>
              <w:spacing w:after="0"/>
              <w:rPr>
                <w:sz w:val="20"/>
                <w:szCs w:val="20"/>
                <w:color w:val="auto"/>
              </w:rPr>
            </w:pPr>
            <w:r>
              <w:rPr>
                <w:rFonts w:ascii="Arial" w:cs="Arial" w:eastAsia="Arial" w:hAnsi="Arial"/>
                <w:sz w:val="13"/>
                <w:szCs w:val="13"/>
                <w:color w:val="auto"/>
              </w:rPr>
              <w:t>Other assets</w:t>
            </w:r>
          </w:p>
        </w:tc>
        <w:tc>
          <w:tcPr>
            <w:tcW w:w="9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(202)</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payable</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1,904</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740"/>
              <w:spacing w:after="0"/>
              <w:rPr>
                <w:sz w:val="20"/>
                <w:szCs w:val="20"/>
                <w:color w:val="auto"/>
              </w:rPr>
            </w:pPr>
            <w:r>
              <w:rPr>
                <w:rFonts w:ascii="Arial" w:cs="Arial" w:eastAsia="Arial" w:hAnsi="Arial"/>
                <w:sz w:val="13"/>
                <w:szCs w:val="13"/>
                <w:color w:val="auto"/>
              </w:rPr>
              <w:t>Accrued expenses and other current liabilities</w:t>
            </w:r>
          </w:p>
        </w:tc>
        <w:tc>
          <w:tcPr>
            <w:tcW w:w="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(1,343)</w:t>
            </w: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Deferred revenue</w:t>
            </w:r>
          </w:p>
        </w:tc>
        <w:tc>
          <w:tcPr>
            <w:tcW w:w="9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(13,222)</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(3,803)</w:t>
            </w:r>
          </w:p>
        </w:tc>
        <w:tc>
          <w:tcPr>
            <w:tcW w:w="0" w:type="dxa"/>
            <w:vAlign w:val="bottom"/>
          </w:tcPr>
          <w:p>
            <w:pPr>
              <w:spacing w:after="0"/>
              <w:rPr>
                <w:sz w:val="1"/>
                <w:szCs w:val="1"/>
                <w:color w:val="auto"/>
              </w:rPr>
            </w:pPr>
          </w:p>
        </w:tc>
      </w:tr>
      <w:tr>
        <w:trPr>
          <w:trHeight w:val="148"/>
        </w:trPr>
        <w:tc>
          <w:tcPr>
            <w:tcW w:w="7720" w:type="dxa"/>
            <w:vAlign w:val="bottom"/>
          </w:tcPr>
          <w:p>
            <w:pPr>
              <w:ind w:left="740"/>
              <w:spacing w:after="0"/>
              <w:rPr>
                <w:sz w:val="20"/>
                <w:szCs w:val="20"/>
                <w:color w:val="auto"/>
              </w:rPr>
            </w:pPr>
            <w:r>
              <w:rPr>
                <w:rFonts w:ascii="Arial" w:cs="Arial" w:eastAsia="Arial" w:hAnsi="Arial"/>
                <w:sz w:val="13"/>
                <w:szCs w:val="13"/>
                <w:color w:val="auto"/>
              </w:rPr>
              <w:t>Operating lease liabilities</w:t>
            </w:r>
          </w:p>
        </w:tc>
        <w:tc>
          <w:tcPr>
            <w:tcW w:w="9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(1,554)</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(1,401)</w:t>
            </w: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Recognized loss on purchase commitments</w:t>
            </w:r>
          </w:p>
        </w:tc>
        <w:tc>
          <w:tcPr>
            <w:tcW w:w="9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(3,636)</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(1,236)</w:t>
            </w:r>
          </w:p>
        </w:tc>
        <w:tc>
          <w:tcPr>
            <w:tcW w:w="0" w:type="dxa"/>
            <w:vAlign w:val="bottom"/>
          </w:tcPr>
          <w:p>
            <w:pPr>
              <w:spacing w:after="0"/>
              <w:rPr>
                <w:sz w:val="1"/>
                <w:szCs w:val="1"/>
                <w:color w:val="auto"/>
              </w:rPr>
            </w:pPr>
          </w:p>
        </w:tc>
      </w:tr>
      <w:tr>
        <w:trPr>
          <w:trHeight w:val="148"/>
        </w:trPr>
        <w:tc>
          <w:tcPr>
            <w:tcW w:w="7720" w:type="dxa"/>
            <w:vAlign w:val="bottom"/>
          </w:tcPr>
          <w:p>
            <w:pPr>
              <w:ind w:left="740"/>
              <w:spacing w:after="0"/>
              <w:rPr>
                <w:sz w:val="20"/>
                <w:szCs w:val="20"/>
                <w:color w:val="auto"/>
              </w:rPr>
            </w:pPr>
            <w:r>
              <w:rPr>
                <w:rFonts w:ascii="Arial" w:cs="Arial" w:eastAsia="Arial" w:hAnsi="Arial"/>
                <w:sz w:val="13"/>
                <w:szCs w:val="13"/>
                <w:color w:val="auto"/>
              </w:rPr>
              <w:t>Deposits from customer</w:t>
            </w:r>
          </w:p>
        </w:tc>
        <w:tc>
          <w:tcPr>
            <w:tcW w:w="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5,317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Accrued interest on Mann Group promissory notes</w:t>
            </w:r>
          </w:p>
        </w:tc>
        <w:tc>
          <w:tcPr>
            <w:tcW w:w="9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(4,919)</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tcPr>
          <w:p>
            <w:pPr>
              <w:ind w:left="1000"/>
              <w:spacing w:after="0" w:line="142" w:lineRule="exact"/>
              <w:rPr>
                <w:sz w:val="20"/>
                <w:szCs w:val="20"/>
                <w:color w:val="auto"/>
              </w:rPr>
            </w:pPr>
            <w:r>
              <w:rPr>
                <w:rFonts w:ascii="Arial" w:cs="Arial" w:eastAsia="Arial" w:hAnsi="Arial"/>
                <w:sz w:val="13"/>
                <w:szCs w:val="13"/>
                <w:color w:val="auto"/>
              </w:rPr>
              <w:t>Net cash used in operating activities</w:t>
            </w:r>
          </w:p>
        </w:tc>
        <w:tc>
          <w:tcPr>
            <w:tcW w:w="9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(34,178)</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(14,903)</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CASH FLOWS FROM INVESTING ACTIVITIES:</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Purchase of debt securities</w:t>
            </w:r>
          </w:p>
        </w:tc>
        <w:tc>
          <w:tcPr>
            <w:tcW w:w="9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(138,920)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 of available-for-sale securities</w:t>
            </w:r>
          </w:p>
        </w:tc>
        <w:tc>
          <w:tcPr>
            <w:tcW w:w="9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(3,000)</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Purchase of property and equipment</w:t>
            </w:r>
          </w:p>
        </w:tc>
        <w:tc>
          <w:tcPr>
            <w:tcW w:w="9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(2,030)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sale of treasury bills</w:t>
            </w:r>
          </w:p>
        </w:tc>
        <w:tc>
          <w:tcPr>
            <w:tcW w:w="9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tcPr>
          <w:p>
            <w:pPr>
              <w:ind w:left="1000"/>
              <w:spacing w:after="0" w:line="141" w:lineRule="exact"/>
              <w:rPr>
                <w:sz w:val="20"/>
                <w:szCs w:val="20"/>
                <w:color w:val="auto"/>
              </w:rPr>
            </w:pPr>
            <w:r>
              <w:rPr>
                <w:rFonts w:ascii="Arial" w:cs="Arial" w:eastAsia="Arial" w:hAnsi="Arial"/>
                <w:sz w:val="13"/>
                <w:szCs w:val="13"/>
                <w:color w:val="auto"/>
              </w:rPr>
              <w:t>Net cash (used in) provided by investing activities</w:t>
            </w:r>
          </w:p>
        </w:tc>
        <w:tc>
          <w:tcPr>
            <w:tcW w:w="9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(143,950)</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19,700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CASH FLOWS FROM FINANCING ACTIVITIES:</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260"/>
              <w:spacing w:after="0"/>
              <w:rPr>
                <w:sz w:val="20"/>
                <w:szCs w:val="20"/>
                <w:color w:val="auto"/>
              </w:rPr>
            </w:pPr>
            <w:r>
              <w:rPr>
                <w:rFonts w:ascii="Arial" w:cs="Arial" w:eastAsia="Arial" w:hAnsi="Arial"/>
                <w:sz w:val="13"/>
                <w:szCs w:val="13"/>
                <w:color w:val="auto"/>
              </w:rPr>
              <w:t>Proceeds from the Senior convertible notes</w:t>
            </w:r>
          </w:p>
        </w:tc>
        <w:tc>
          <w:tcPr>
            <w:tcW w:w="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230,000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costs associated with Senior convertible notes</w:t>
            </w:r>
          </w:p>
        </w:tc>
        <w:tc>
          <w:tcPr>
            <w:tcW w:w="9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(7,268)</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Principal payments on Mann Group promissory notes</w:t>
            </w:r>
          </w:p>
        </w:tc>
        <w:tc>
          <w:tcPr>
            <w:tcW w:w="9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(35,051)</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of MidCap credit facility</w:t>
            </w:r>
          </w:p>
        </w:tc>
        <w:tc>
          <w:tcPr>
            <w:tcW w:w="9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(10,000)</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Payment of MidCap credit facility prepayment penalty</w:t>
            </w:r>
          </w:p>
        </w:tc>
        <w:tc>
          <w:tcPr>
            <w:tcW w:w="9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(1,000)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Milestone payment</w:t>
            </w:r>
          </w:p>
        </w:tc>
        <w:tc>
          <w:tcPr>
            <w:tcW w:w="9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(5,000)</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Proceeds from at-the-market offering</w:t>
            </w:r>
          </w:p>
        </w:tc>
        <w:tc>
          <w:tcPr>
            <w:tcW w:w="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1,886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12,564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costs associated with at-the-market offering</w:t>
            </w:r>
          </w:p>
        </w:tc>
        <w:tc>
          <w:tcPr>
            <w:tcW w:w="9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134"/>
        </w:trPr>
        <w:tc>
          <w:tcPr>
            <w:tcW w:w="7720" w:type="dxa"/>
            <w:vAlign w:val="bottom"/>
          </w:tcPr>
          <w:p>
            <w:pPr>
              <w:ind w:left="260"/>
              <w:spacing w:after="0" w:line="134" w:lineRule="exact"/>
              <w:rPr>
                <w:sz w:val="20"/>
                <w:szCs w:val="20"/>
                <w:color w:val="auto"/>
              </w:rPr>
            </w:pPr>
            <w:r>
              <w:rPr>
                <w:rFonts w:ascii="Arial" w:cs="Arial" w:eastAsia="Arial" w:hAnsi="Arial"/>
                <w:sz w:val="13"/>
                <w:szCs w:val="13"/>
                <w:color w:val="auto"/>
              </w:rPr>
              <w:t>Payment of employment taxes related to vested restricted stock units</w:t>
            </w: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340"/>
              <w:spacing w:after="0"/>
              <w:rPr>
                <w:sz w:val="20"/>
                <w:szCs w:val="20"/>
                <w:color w:val="auto"/>
              </w:rPr>
            </w:pPr>
            <w:r>
              <w:rPr>
                <w:rFonts w:ascii="Arial" w:cs="Arial" w:eastAsia="Arial" w:hAnsi="Arial"/>
                <w:sz w:val="13"/>
                <w:szCs w:val="13"/>
                <w:color w:val="auto"/>
              </w:rPr>
              <w:t>and exercise of stock options</w:t>
            </w:r>
          </w:p>
        </w:tc>
        <w:tc>
          <w:tcPr>
            <w:tcW w:w="9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(148)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market price stock purchase</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Issuance of common stock from the exercise of warrants</w:t>
            </w:r>
          </w:p>
        </w:tc>
        <w:tc>
          <w:tcPr>
            <w:tcW w:w="94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PPP loan</w:t>
            </w:r>
          </w:p>
        </w:tc>
        <w:tc>
          <w:tcPr>
            <w:tcW w:w="9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tcPr>
          <w:p>
            <w:pPr>
              <w:ind w:left="1000"/>
              <w:spacing w:after="0" w:line="141" w:lineRule="exact"/>
              <w:rPr>
                <w:sz w:val="20"/>
                <w:szCs w:val="20"/>
                <w:color w:val="auto"/>
              </w:rPr>
            </w:pPr>
            <w:r>
              <w:rPr>
                <w:rFonts w:ascii="Arial" w:cs="Arial" w:eastAsia="Arial" w:hAnsi="Arial"/>
                <w:sz w:val="13"/>
                <w:szCs w:val="13"/>
                <w:color w:val="auto"/>
              </w:rPr>
              <w:t>Net cash provided by financing activities</w:t>
            </w:r>
          </w:p>
        </w:tc>
        <w:tc>
          <w:tcPr>
            <w:tcW w:w="9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173,487</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28,519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NET INCREASE IN CASH AND CASH EQUIVALENTS AND RESTRICTED CASH</w:t>
            </w:r>
          </w:p>
        </w:tc>
        <w:tc>
          <w:tcPr>
            <w:tcW w:w="9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(4,641)</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33,316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b w:val="1"/>
                <w:bCs w:val="1"/>
                <w:color w:val="auto"/>
              </w:rPr>
              <w:t>CASH AND CASH EQUIVALENTS AND RESTRICTED CASH, BEGINNING OF PERIOD</w:t>
            </w:r>
          </w:p>
        </w:tc>
        <w:tc>
          <w:tcPr>
            <w:tcW w:w="9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67,163</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30,222</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CASH AND CASH EQUIVALENTS AND RESTRICTED CASH, END OF PERIOD</w:t>
            </w:r>
          </w:p>
        </w:tc>
        <w:tc>
          <w:tcPr>
            <w:tcW w:w="940" w:type="dxa"/>
            <w:vAlign w:val="bottom"/>
            <w:tcBorders>
              <w:bottom w:val="single" w:sz="8" w:color="auto"/>
            </w:tcBorders>
            <w:shd w:val="clear" w:color="auto" w:fill="CFF0FC"/>
          </w:tcPr>
          <w:p>
            <w:pPr>
              <w:jc w:val="right"/>
              <w:ind w:right="797"/>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62,522</w:t>
            </w: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ind w:right="508"/>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63,538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3"/>
                <w:szCs w:val="13"/>
                <w:b w:val="1"/>
                <w:bCs w:val="1"/>
                <w:color w:val="auto"/>
              </w:rPr>
              <w:t>SUPPLEMENTAL CASH FLOWS DISCLOSURES:</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72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paid in cash, net of amounts capitalized</w:t>
            </w:r>
          </w:p>
        </w:tc>
        <w:tc>
          <w:tcPr>
            <w:tcW w:w="940" w:type="dxa"/>
            <w:vAlign w:val="bottom"/>
            <w:shd w:val="clear" w:color="auto" w:fill="CFF0FC"/>
          </w:tcPr>
          <w:p>
            <w:pPr>
              <w:jc w:val="right"/>
              <w:ind w:right="79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6,717</w:t>
            </w: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508"/>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20"/>
                <w:szCs w:val="20"/>
                <w:color w:val="auto"/>
              </w:rPr>
            </w:pPr>
            <w:r>
              <w:rPr>
                <w:rFonts w:ascii="Arial" w:cs="Arial" w:eastAsia="Arial" w:hAnsi="Arial"/>
                <w:sz w:val="13"/>
                <w:szCs w:val="13"/>
                <w:b w:val="1"/>
                <w:bCs w:val="1"/>
                <w:color w:val="auto"/>
              </w:rPr>
              <w:t>NON-CASH INVESTING AND FINANCING ACTIVITIES:</w:t>
            </w: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Premium on Mann Group convertible note</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22,107</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Payment on Mann Group convertible note through issuance of common stock</w:t>
            </w:r>
          </w:p>
        </w:tc>
        <w:tc>
          <w:tcPr>
            <w:tcW w:w="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9,573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of 2024 convertible notes through issuance of common stock</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720" w:type="dxa"/>
            <w:vAlign w:val="bottom"/>
          </w:tcPr>
          <w:p>
            <w:pPr>
              <w:ind w:left="260"/>
              <w:spacing w:after="0"/>
              <w:rPr>
                <w:sz w:val="20"/>
                <w:szCs w:val="20"/>
                <w:color w:val="auto"/>
              </w:rPr>
            </w:pPr>
            <w:r>
              <w:rPr>
                <w:rFonts w:ascii="Arial" w:cs="Arial" w:eastAsia="Arial" w:hAnsi="Arial"/>
                <w:sz w:val="13"/>
                <w:szCs w:val="13"/>
                <w:color w:val="auto"/>
              </w:rPr>
              <w:t>Non-cash construction in progress and property and equipment</w:t>
            </w:r>
          </w:p>
        </w:tc>
        <w:tc>
          <w:tcPr>
            <w:tcW w:w="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1,183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of Mann Group convertible note interest through issuance of common stock</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427</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Issuance of common stock under Employee Stock Purchase Plan</w:t>
            </w:r>
          </w:p>
        </w:tc>
        <w:tc>
          <w:tcPr>
            <w:tcW w:w="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of interest on 2024 convertible notes through issuance of common stock</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Payment of principal on Senior convertible notes through issuance of common stock</w:t>
            </w:r>
          </w:p>
        </w:tc>
        <w:tc>
          <w:tcPr>
            <w:tcW w:w="94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Receivable from at-the-market offering</w:t>
            </w:r>
          </w:p>
        </w:tc>
        <w:tc>
          <w:tcPr>
            <w:tcW w:w="9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left="340" w:right="2660"/>
        <w:spacing w:after="0" w:line="266" w:lineRule="auto"/>
        <w:rPr>
          <w:sz w:val="20"/>
          <w:szCs w:val="20"/>
          <w:color w:val="auto"/>
        </w:rPr>
      </w:pPr>
      <w:r>
        <w:rPr>
          <w:rFonts w:ascii="Arial" w:cs="Arial" w:eastAsia="Arial" w:hAnsi="Arial"/>
          <w:sz w:val="18"/>
          <w:szCs w:val="18"/>
          <w:b w:val="1"/>
          <w:bCs w:val="1"/>
          <w:color w:val="auto"/>
        </w:rPr>
        <w:t>MANNKIND CORPORATION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2020 filed with the SEC on February 25, 2021 (the “Annual Report”).</w:t>
      </w:r>
    </w:p>
    <w:p>
      <w:pPr>
        <w:spacing w:after="0" w:line="17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six months ended June 30, 2021 may not be indicative of the results that may be expected for the full year.</w:t>
      </w:r>
    </w:p>
    <w:p>
      <w:pPr>
        <w:spacing w:after="0" w:line="18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Financial Statement Estimates </w:t>
      </w:r>
      <w:r>
        <w:rPr>
          <w:rFonts w:ascii="Arial" w:cs="Arial" w:eastAsia="Arial" w:hAnsi="Arial"/>
          <w:sz w:val="16"/>
          <w:szCs w:val="16"/>
          <w:color w:val="auto"/>
        </w:rPr>
        <w:t>— The preparation of financial statements in conformity with GAAP requires management to make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that affect the amounts reported in the financial statements and accompanying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and the COVID-19 pandemic has increased the level of judgment used by management in developing these estimates and assumptions. The COVID-19 pandemic continues to rapidly evolve and the ultimate impact of the COVID-19 pandemic is highly uncertain and subject to change. These effects could have a material impact on the estimates and assumptions used in the preparation of the condensed consolidated financial statements. The more significant estimates include revenue recognition and gross-to-net adjustments, assessing long-lived assets for impairment, clinical trial expenses, inventory costing and recoverability, recognized loss on purchase commitment, milestone rights liability, stock-based compensation and the determination of the provision for income taxes and corresponding deferred tax assets and liabilities, and the valuation allowance recorded against net deferred tax assets.</w:t>
      </w:r>
    </w:p>
    <w:p>
      <w:pPr>
        <w:spacing w:after="0" w:line="168" w:lineRule="exact"/>
        <w:rPr>
          <w:sz w:val="20"/>
          <w:szCs w:val="20"/>
          <w:color w:val="auto"/>
        </w:rPr>
      </w:pPr>
    </w:p>
    <w:p>
      <w:pPr>
        <w:ind w:right="120"/>
        <w:spacing w:after="0" w:line="305" w:lineRule="auto"/>
        <w:rPr>
          <w:sz w:val="20"/>
          <w:szCs w:val="20"/>
          <w:color w:val="auto"/>
        </w:rPr>
      </w:pPr>
      <w:r>
        <w:rPr>
          <w:rFonts w:ascii="Arial" w:cs="Arial" w:eastAsia="Arial" w:hAnsi="Arial"/>
          <w:sz w:val="16"/>
          <w:szCs w:val="16"/>
          <w:i w:val="1"/>
          <w:iCs w:val="1"/>
          <w:color w:val="auto"/>
        </w:rPr>
        <w:t xml:space="preserve">Business </w:t>
      </w:r>
      <w:r>
        <w:rPr>
          <w:rFonts w:ascii="Arial" w:cs="Arial" w:eastAsia="Arial" w:hAnsi="Arial"/>
          <w:sz w:val="16"/>
          <w:szCs w:val="16"/>
          <w:color w:val="auto"/>
        </w:rPr>
        <w:t>— MannKind is a biopharmaceutical company focused on the development and commercialization of inhaled therapeutic products for patients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endocrine and orphan lung diseases. The Company’s lead product is Afrezza (insulin human) Inhalation Powder, an ultra rapid-acting inhaled insulin indicated to improve glycemic control in adults with diabetes, which was approved by the U.S. Food and Drug Administration (“FDA”) in June 2014. Since September 2018, the Company has been collaborating with United Therapeutics to develop an inhaled formulation of treprostinil, known as Tyvaso DPI. In April 2021, United Therapeutics submitted a new drug application (“NDA”) to the FDA seeking approval of Tyvaso DPI.</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condensed consolidated financial statements have been prepared in accordance with GAAP.</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is not currently profitable and has rarely generated positive net cash flow from operations. In addition, the Company expects to continue to incur significant expenditures for the foreseeable future in support of its manufacturing operations, sales and marketing costs for Afrezza, and development of other product candidates in the Company’s pipeline. As of June 30, 2021, the Company had capital resources of $62.5 million in cash and cash equivalents, $100.0 million in short-term investments, $39.0 million in long-term investments, an accumulated deficit of $3.1 billion and total principal amount of outstanding borrowings of $293.3 million.</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In August 2019, the Company and its wholly owned subsidiary, MannKind LLC, entered into a credit and security agreement with MidCap Financial Trust (as amended, the “MidCap credit facility”). The MidCap Credit Facility currently provides a secured term loan facility with a potential aggregate principal amount of up to $110.0 million, leaving a balance of $50.0 million outstanding as of December 31, 2020. In April 2021, $10.0 million of the outstanding principal amount was repaid leaving a balance of $40.0 million at June 30, 2021. See Note 6 – </w:t>
      </w:r>
      <w:r>
        <w:rPr>
          <w:rFonts w:ascii="Arial" w:cs="Arial" w:eastAsia="Arial" w:hAnsi="Arial"/>
          <w:sz w:val="17"/>
          <w:szCs w:val="17"/>
          <w:i w:val="1"/>
          <w:iCs w:val="1"/>
          <w:color w:val="auto"/>
        </w:rPr>
        <w:t>Borrowings</w:t>
      </w:r>
      <w:r>
        <w:rPr>
          <w:rFonts w:ascii="Arial" w:cs="Arial" w:eastAsia="Arial" w:hAnsi="Arial"/>
          <w:sz w:val="17"/>
          <w:szCs w:val="17"/>
          <w:color w:val="auto"/>
        </w:rPr>
        <w:t>. In March 2021, the Company issued $230.0 million of 2.50% convertible senior notes due 2026 (the “Senior convertible notes”) to provide additional operating capital and pay down higher cost debt. The cash received from this debt issuance has resolved the Company’s significant risks and uncertainties regarding sources of liquidity, which previously raised substantial doubt about the Company’s ability to continue as a going concern.</w:t>
      </w:r>
    </w:p>
    <w:p>
      <w:pPr>
        <w:spacing w:after="0" w:line="177"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The Company believes its resources will be sufficient to fund its operations for the next twelve months from the date of issuance of these condensed consolidated financial statements. Certain prior year amounts have been reclassified for consistency with the current year presentation. These reclassifications had no effect on the reported condensed consolidated balance sheets or statements of operations. An adjustment has been made to the condensed consolidated statements of cash flows for the six months ended June 30, 2020 to combine payment of employment taxes related to vested restricted stock units and exercise of stock options in the cash flows from financing activities. These changes in classification do not affect previously reported cash flows from operating or investing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 The condensed consolidated financial statements include the accounts of the Company and its wholly-owned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Intercompany balances and transactions have been eliminated.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jc w:val="both"/>
        <w:ind w:right="140"/>
        <w:spacing w:after="0" w:line="286" w:lineRule="auto"/>
        <w:rPr>
          <w:sz w:val="20"/>
          <w:szCs w:val="20"/>
          <w:color w:val="auto"/>
        </w:rPr>
      </w:pPr>
      <w:r>
        <w:rPr>
          <w:rFonts w:ascii="Arial" w:cs="Arial" w:eastAsia="Arial" w:hAnsi="Arial"/>
          <w:sz w:val="17"/>
          <w:szCs w:val="17"/>
          <w:i w:val="1"/>
          <w:iCs w:val="1"/>
          <w:color w:val="auto"/>
        </w:rPr>
        <w:t xml:space="preserve">Segment Information </w:t>
      </w:r>
      <w:r>
        <w:rPr>
          <w:rFonts w:ascii="Arial" w:cs="Arial" w:eastAsia="Arial" w:hAnsi="Arial"/>
          <w:sz w:val="17"/>
          <w:szCs w:val="17"/>
          <w:color w:val="auto"/>
        </w:rPr>
        <w:t>— Operating segments are identified as components of an enterprise about which separate discrete financial information is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for 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when its customers obtain control of promised goods or services, in an amount that reflects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which the Company expects to be entitled in exchange for those goods or services.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To determine revenue recognition for arrangements that are within the scope of Accounting Standards Codification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the Company performs the following five steps: (i) identify the contract(s) with a customer, (ii) identify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Topic 606, including when it is probable that the entity will collect the consideration it is entitled to in exchange for the goods or services it transfers to the customer.</w:t>
      </w:r>
    </w:p>
    <w:p>
      <w:pPr>
        <w:spacing w:after="0" w:line="192"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At contract inception, once the contract is determined to be within the scope of Topic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and specialty pharmacies and (ii) collaboration arrangements.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Revenue Recognition – Net Revenue – Commercial Product Sales – </w:t>
      </w:r>
      <w:r>
        <w:rPr>
          <w:rFonts w:ascii="Arial" w:cs="Arial" w:eastAsia="Arial" w:hAnsi="Arial"/>
          <w:sz w:val="18"/>
          <w:szCs w:val="18"/>
          <w:color w:val="auto"/>
        </w:rPr>
        <w:t>The Company sells Afrezza to a limited number of wholesale distributors and specialty</w:t>
      </w:r>
      <w:r>
        <w:rPr>
          <w:rFonts w:ascii="Arial" w:cs="Arial" w:eastAsia="Arial" w:hAnsi="Arial"/>
          <w:sz w:val="18"/>
          <w:szCs w:val="18"/>
          <w:i w:val="1"/>
          <w:iCs w:val="1"/>
          <w:color w:val="auto"/>
        </w:rPr>
        <w:t xml:space="preserve"> </w:t>
      </w:r>
      <w:r>
        <w:rPr>
          <w:rFonts w:ascii="Arial" w:cs="Arial" w:eastAsia="Arial" w:hAnsi="Arial"/>
          <w:sz w:val="18"/>
          <w:szCs w:val="18"/>
          <w:color w:val="auto"/>
        </w:rPr>
        <w:t>pharmacies in the U.S. (collectively, its “Customers”). Wholesale distributors subsequently resell the Company’s products to retail pharmacies and certain medical centers or hospitals. Specialty pharmacies sell directly to patients. In addition to distribution agreements with Customers, the Company enters into arrangements with payers that provide for government mandated and/or privately negotiated rebates, chargebacks, and discounts with respect to the purchase of the Company’s products.</w:t>
      </w:r>
    </w:p>
    <w:p>
      <w:pPr>
        <w:spacing w:after="0" w:line="18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Company recognizes revenue on product sales when the Customer obtains control of the Company's product, which occurs at delivery for wholesale distributors and generally at delivery for specialty pharmacies. Product revenues are recorded net of applicable reserves, including discounts, allowances, rebates, returns and other incentives. See Reserves for Variable Consideration below.</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 xml:space="preserve">Free Goods Program – </w:t>
      </w:r>
      <w:r>
        <w:rPr>
          <w:rFonts w:ascii="Arial" w:cs="Arial" w:eastAsia="Arial" w:hAnsi="Arial"/>
          <w:sz w:val="17"/>
          <w:szCs w:val="17"/>
          <w:color w:val="auto"/>
        </w:rPr>
        <w:t>From time to time, the Company offers programs to potential new patients that allow them to obtain free goods (prescription fills)</w:t>
      </w:r>
      <w:r>
        <w:rPr>
          <w:rFonts w:ascii="Arial" w:cs="Arial" w:eastAsia="Arial" w:hAnsi="Arial"/>
          <w:sz w:val="17"/>
          <w:szCs w:val="17"/>
          <w:i w:val="1"/>
          <w:iCs w:val="1"/>
          <w:color w:val="auto"/>
        </w:rPr>
        <w:t xml:space="preserve"> </w:t>
      </w:r>
      <w:r>
        <w:rPr>
          <w:rFonts w:ascii="Arial" w:cs="Arial" w:eastAsia="Arial" w:hAnsi="Arial"/>
          <w:sz w:val="17"/>
          <w:szCs w:val="17"/>
          <w:color w:val="auto"/>
        </w:rPr>
        <w:t>from a pharmacy. The Company excludes such amounts related to these programs from both gross and net revenue. The cost of product associated with the free goods program is recognized as cost of goods sold in the condensed consolidated statements of operations.</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Reserves for Variable Consideration </w:t>
      </w:r>
      <w:r>
        <w:rPr>
          <w:rFonts w:ascii="Arial" w:cs="Arial" w:eastAsia="Arial" w:hAnsi="Arial"/>
          <w:sz w:val="17"/>
          <w:szCs w:val="17"/>
          <w:color w:val="auto"/>
        </w:rPr>
        <w:t>— Revenues from product sales are recorded at the net sales price (transaction price), which includes estimates of</w:t>
      </w:r>
      <w:r>
        <w:rPr>
          <w:rFonts w:ascii="Arial" w:cs="Arial" w:eastAsia="Arial" w:hAnsi="Arial"/>
          <w:sz w:val="17"/>
          <w:szCs w:val="17"/>
          <w:i w:val="1"/>
          <w:iCs w:val="1"/>
          <w:color w:val="auto"/>
        </w:rPr>
        <w:t xml:space="preserve"> </w:t>
      </w:r>
      <w:r>
        <w:rPr>
          <w:rFonts w:ascii="Arial" w:cs="Arial" w:eastAsia="Arial" w:hAnsi="Arial"/>
          <w:sz w:val="17"/>
          <w:szCs w:val="17"/>
          <w:color w:val="auto"/>
        </w:rPr>
        <w:t>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These reserves, as further detailed below, are based on the amounts earned, or to be claimed on the related sales, and result in a reduction of accounts receivable or establishment of a current liability. Significant judgments are required in making these estimates.</w:t>
      </w:r>
    </w:p>
    <w:p>
      <w:pPr>
        <w:spacing w:after="0" w:line="17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Where appropriate, these estimates take into consideration a range of possible outcomes, which are probability-weighted in accordance with the expected value method in Topic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estimates detailed below as of June 30, 2021 and, therefore, the transaction price was not reduced further during the six months ended June 30, 2021. Actual amounts of consideration ultimately received may differ from the Company’s estimates. If actual results in the future vary from the Company’s estimates, the Company will adjust these estimates, which would affect net revenue — commercial product sales and earnings in the period such variances become known.</w:t>
      </w:r>
    </w:p>
    <w:p>
      <w:pPr>
        <w:spacing w:after="0" w:line="177"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Significant judgment is required in estimating gross-to-net adjustments considering legal interpretations of applicable laws and regulations, historical experience, payer channel mix, current contract prices under applicable programs, unbilled claims, processing time lags and inventory levels in the distribution channel.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both"/>
        <w:ind w:right="180"/>
        <w:spacing w:after="0" w:line="287" w:lineRule="auto"/>
        <w:rPr>
          <w:sz w:val="20"/>
          <w:szCs w:val="20"/>
          <w:color w:val="auto"/>
        </w:rPr>
      </w:pPr>
      <w:r>
        <w:rPr>
          <w:rFonts w:ascii="Arial" w:cs="Arial" w:eastAsia="Arial" w:hAnsi="Arial"/>
          <w:sz w:val="16"/>
          <w:szCs w:val="16"/>
          <w:i w:val="1"/>
          <w:iCs w:val="1"/>
          <w:color w:val="auto"/>
        </w:rPr>
        <w:t xml:space="preserve">Trade Discounts and Allowances </w:t>
      </w:r>
      <w:r>
        <w:rPr>
          <w:rFonts w:ascii="Arial" w:cs="Arial" w:eastAsia="Arial" w:hAnsi="Arial"/>
          <w:sz w:val="16"/>
          <w:szCs w:val="16"/>
          <w:color w:val="auto"/>
        </w:rPr>
        <w:t>— The Company generally provides Customers with discounts which include incentives, such as prompt pay discounts,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However, the Company has determined such services received to date are not distinct from the Company’s sale of products to the Customer and, therefore, these payments have been recorded as a reduction of revenue and as a reduction to accounts receivable, net.</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 Consistent with industry practice, the Company generally offers Customers a right of return for unopened product that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percentage is estimated to be in the single-digits. Adjustments to the returns reserve have been made in the past and may be necessary in the future based on revised estimates to our assumptions.</w:t>
      </w:r>
    </w:p>
    <w:p>
      <w:pPr>
        <w:spacing w:after="0" w:line="17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 xml:space="preserve">Provider Chargebacks and Discounts </w:t>
      </w:r>
      <w:r>
        <w:rPr>
          <w:rFonts w:ascii="Arial" w:cs="Arial" w:eastAsia="Arial" w:hAnsi="Arial"/>
          <w:sz w:val="16"/>
          <w:szCs w:val="16"/>
          <w:color w:val="auto"/>
        </w:rPr>
        <w:t>— Chargebacks for fees and discounts to providers represent the estimated obligations resulting from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commitments to sell products to qualified healthcare providers at prices lower than the list prices charged to Customers who directly purchase the product from the Company.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16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i w:val="1"/>
          <w:iCs w:val="1"/>
          <w:color w:val="auto"/>
        </w:rPr>
        <w:t xml:space="preserve">Government Rebates </w:t>
      </w:r>
      <w:r>
        <w:rPr>
          <w:rFonts w:ascii="Arial" w:cs="Arial" w:eastAsia="Arial" w:hAnsi="Arial"/>
          <w:sz w:val="16"/>
          <w:szCs w:val="16"/>
          <w:color w:val="auto"/>
        </w:rPr>
        <w:t>— The Company is subject to discount obligations under Medicare and state Medicaid programs. These reserves are recorded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the related revenue is recognized, resulting in a reduction of product revenue and the establishment of a current liability that is included in accrued expenses and other current liabilities. Estimates around Medicaid have historically required significant judgment due to timing lags in receiving invoices for claims from states. For Medicare,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 The Company’s estimates include consideration of historical claims experience, payer channel mix, current contract prices, unbilled claims, claim submission time lags and inventory in the distribution channel.</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Payer Rebates </w:t>
      </w:r>
      <w:r>
        <w:rPr>
          <w:rFonts w:ascii="Arial" w:cs="Arial" w:eastAsia="Arial" w:hAnsi="Arial"/>
          <w:sz w:val="18"/>
          <w:szCs w:val="18"/>
          <w:color w:val="auto"/>
        </w:rPr>
        <w:t>— The Company contracts with certain private payer organizations, primarily insurance companies and pharmacy benefit managers,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 The Company’s estimates include consideration of historical claims experience, payer channel mix, current contract prices, unbilled claims, claim submission time lags and inventory in the distribution channel.</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Other Incentives </w:t>
      </w:r>
      <w:r>
        <w:rPr>
          <w:rFonts w:ascii="Arial" w:cs="Arial" w:eastAsia="Arial" w:hAnsi="Arial"/>
          <w:sz w:val="17"/>
          <w:szCs w:val="17"/>
          <w:color w:val="auto"/>
        </w:rPr>
        <w:t>— Other incentives which the Company offers include voluntary patient support programs, such as the Company's co-pay assistance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which are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the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 w:name="page13"/>
    <w:bookmarkEnd w:id="12"/>
    <w:p>
      <w:pPr>
        <w:ind w:right="20"/>
        <w:spacing w:after="0" w:line="286" w:lineRule="auto"/>
        <w:rPr>
          <w:sz w:val="20"/>
          <w:szCs w:val="20"/>
          <w:color w:val="auto"/>
        </w:rPr>
      </w:pPr>
      <w:r>
        <w:rPr>
          <w:rFonts w:ascii="Arial" w:cs="Arial" w:eastAsia="Arial" w:hAnsi="Arial"/>
          <w:sz w:val="16"/>
          <w:szCs w:val="16"/>
          <w:i w:val="1"/>
          <w:iCs w:val="1"/>
          <w:color w:val="auto"/>
        </w:rPr>
        <w:t xml:space="preserve">Revenue Recognition — Revenue — Collaborations and Services </w:t>
      </w:r>
      <w:r>
        <w:rPr>
          <w:rFonts w:ascii="Arial" w:cs="Arial" w:eastAsia="Arial" w:hAnsi="Arial"/>
          <w:sz w:val="16"/>
          <w:szCs w:val="16"/>
          <w:color w:val="auto"/>
        </w:rPr>
        <w:t>— The Company enters into licensing, research or other agreements under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licenses certain rights to its product candidates to third parties, conducts research or provides other services to third parties. The terms of these arrangements may include, but are not limited to payment to the Company of one or more of the following: up-front license fees; development, regulatory, and commercial milestone payments; payments for manufacturing commercial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For further information see Note 7 – </w:t>
      </w:r>
      <w:r>
        <w:rPr>
          <w:rFonts w:ascii="Arial" w:cs="Arial" w:eastAsia="Arial" w:hAnsi="Arial"/>
          <w:sz w:val="16"/>
          <w:szCs w:val="16"/>
          <w:i w:val="1"/>
          <w:iCs w:val="1"/>
          <w:color w:val="auto"/>
        </w:rPr>
        <w:t>Collaboration, Licensing and Other Arrangements</w:t>
      </w:r>
      <w:r>
        <w:rPr>
          <w:rFonts w:ascii="Arial" w:cs="Arial" w:eastAsia="Arial" w:hAnsi="Arial"/>
          <w:sz w:val="16"/>
          <w:szCs w:val="16"/>
          <w:color w:val="auto"/>
        </w:rPr>
        <w:t>.</w:t>
      </w:r>
    </w:p>
    <w:p>
      <w:pPr>
        <w:spacing w:after="0" w:line="17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w:t>
      </w:r>
    </w:p>
    <w:p>
      <w:pPr>
        <w:spacing w:after="0" w:line="19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been completed and all performance obligations have been delivered, the Company will recognize the milestone payment as revenue in its entirety in the period the milestone was achieved.</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collaborative agreements, for accounting purposes, represent contracts with customers and therefore are not subject to accounting literature on collaborative agreements. The Company grants licenses to its intellectual property, supplies raw materials or finished goods, provides research and development services and offers sales support for the co-promotion of products, all of which are outputs of the Company’s ongoing activities, in exchange for consideration. The Company does not develop assets jointly with collaboration partners, and does not share in significant risks of their development or commercialization activities. Accordingly, the Company concluded that its collaborative agreements must generally be accounted for pursuant to Topic 606, Revenue from Contracts with Customers.</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Rather, the Company evaluates grants of additional licensing rights upon option exercises to determine whether such should be accounted for as separate contracts. The Company concluded there is no material right in these options.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3" w:name="page14"/>
    <w:bookmarkEnd w:id="13"/>
    <w:p>
      <w:pPr>
        <w:ind w:right="60"/>
        <w:spacing w:after="0" w:line="293" w:lineRule="auto"/>
        <w:rPr>
          <w:sz w:val="20"/>
          <w:szCs w:val="20"/>
          <w:color w:val="auto"/>
        </w:rPr>
      </w:pPr>
      <w:r>
        <w:rPr>
          <w:rFonts w:ascii="Arial" w:cs="Arial" w:eastAsia="Arial" w:hAnsi="Arial"/>
          <w:sz w:val="16"/>
          <w:szCs w:val="16"/>
          <w:color w:val="auto"/>
        </w:rPr>
        <w:t>The Company follows detailed accounting guidance in measuring revenue and certain judgments affect the application of its revenue policy. For example, in connection with its existing collaboration agreements, the Company has recorded on its condensed consolidated balance sheets short-term and long-term deferred revenue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w:t>
      </w:r>
    </w:p>
    <w:p>
      <w:pPr>
        <w:spacing w:after="0" w:line="16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 At the inception of each arrangement that includes development milestone payments, the Company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spacing w:after="0" w:line="181"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loan </w:t>
      </w:r>
      <w:r>
        <w:rPr>
          <w:rFonts w:ascii="Arial" w:cs="Arial" w:eastAsia="Arial" w:hAnsi="Arial"/>
          <w:sz w:val="17"/>
          <w:szCs w:val="17"/>
          <w:color w:val="auto"/>
        </w:rPr>
        <w:t>— On April 10, 2020, the Company received the proceeds from a loan in the amount of approximately $4.9 million (the “PPP loan”) from</w:t>
      </w:r>
    </w:p>
    <w:p>
      <w:pPr>
        <w:spacing w:after="0" w:line="34" w:lineRule="exact"/>
        <w:rPr>
          <w:rFonts w:ascii="Arial" w:cs="Arial" w:eastAsia="Arial" w:hAnsi="Arial"/>
          <w:sz w:val="17"/>
          <w:szCs w:val="17"/>
          <w:i w:val="1"/>
          <w:iCs w:val="1"/>
          <w:color w:val="auto"/>
        </w:rPr>
      </w:pPr>
    </w:p>
    <w:p>
      <w:pPr>
        <w:ind w:right="20"/>
        <w:spacing w:after="0" w:line="252" w:lineRule="auto"/>
        <w:rPr>
          <w:rFonts w:ascii="Arial" w:cs="Arial" w:eastAsia="Arial" w:hAnsi="Arial"/>
          <w:sz w:val="17"/>
          <w:szCs w:val="17"/>
          <w:i w:val="1"/>
          <w:iCs w:val="1"/>
          <w:color w:val="auto"/>
        </w:rPr>
      </w:pPr>
      <w:r>
        <w:rPr>
          <w:rFonts w:ascii="Arial" w:cs="Arial" w:eastAsia="Arial" w:hAnsi="Arial"/>
          <w:sz w:val="18"/>
          <w:szCs w:val="18"/>
          <w:color w:val="auto"/>
        </w:rPr>
        <w:t xml:space="preserve">JPMorgan Chase Bank, N.A., as lender, pursuant to the Paycheck Protection Program (the “PPP”) of the Coronavirus Aid, Relief, and Economic Security Act (the “CARES Act”). The Company accounted for the PPP loan as a financial liability in accordance with ASC Topic 470, </w:t>
      </w:r>
      <w:r>
        <w:rPr>
          <w:rFonts w:ascii="Arial" w:cs="Arial" w:eastAsia="Arial" w:hAnsi="Arial"/>
          <w:sz w:val="18"/>
          <w:szCs w:val="18"/>
          <w:i w:val="1"/>
          <w:iCs w:val="1"/>
          <w:color w:val="auto"/>
        </w:rPr>
        <w:t>Debt</w:t>
      </w:r>
      <w:r>
        <w:rPr>
          <w:rFonts w:ascii="Arial" w:cs="Arial" w:eastAsia="Arial" w:hAnsi="Arial"/>
          <w:sz w:val="18"/>
          <w:szCs w:val="18"/>
          <w:color w:val="auto"/>
        </w:rPr>
        <w:t xml:space="preserve">. Accordingly, the PPP loan was recognized as current and long-term debt in the Company’s consolidated balance sheets and is included as PPP loan — current and PPP loan — long term. In addition,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accrued interest is included in accrued expenses and other current liabilities. On July 28, 2021, the Company received notification from the U.S. Small Business Administration (“SBA”) that the full principal amount of the PPP loan was forgiven. See Note 6 – </w:t>
      </w:r>
      <w:r>
        <w:rPr>
          <w:rFonts w:ascii="Arial" w:cs="Arial" w:eastAsia="Arial" w:hAnsi="Arial"/>
          <w:sz w:val="18"/>
          <w:szCs w:val="18"/>
          <w:i w:val="1"/>
          <w:iCs w:val="1"/>
          <w:color w:val="auto"/>
        </w:rPr>
        <w:t xml:space="preserve">Borrowings </w:t>
      </w:r>
      <w:r>
        <w:rPr>
          <w:rFonts w:ascii="Arial" w:cs="Arial" w:eastAsia="Arial" w:hAnsi="Arial"/>
          <w:sz w:val="18"/>
          <w:szCs w:val="18"/>
          <w:color w:val="auto"/>
        </w:rPr>
        <w:t>for additional information.</w:t>
      </w:r>
    </w:p>
    <w:p>
      <w:pPr>
        <w:spacing w:after="0" w:line="19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 Cost of goods sold includes material, labor costs and manufacturing overhead. Cost of goods sold also includes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current period manufacturing costs in excess of costs capitalized into inventory (excess capacity costs). These costs, in addition to the impact of the revaluation of inventory for standard costing, and write-offs of inventory are recorded as expenses in the period in which they are incurred, rather than as a portion of inventory costs. The cost of goods sold excludes the cost of insulin purchased under our Insulin Supply Agreement (the “Insulin Supply Agreement”) with Amphastar Pharmaceuticals, Inc. (“Amphastar”). All insulin inventory on hand was written off and the full purchase commitment contract to purchase future insulin was accrued as a recognized loss on purchase commitments as of the end of 2015.</w:t>
      </w:r>
    </w:p>
    <w:p>
      <w:pPr>
        <w:spacing w:after="0" w:line="164"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i w:val="1"/>
          <w:iCs w:val="1"/>
          <w:color w:val="auto"/>
        </w:rPr>
        <w:t xml:space="preserve">Cash and Cash Equivalents and Restricted Cash </w:t>
      </w:r>
      <w:r>
        <w:rPr>
          <w:rFonts w:ascii="Arial" w:cs="Arial" w:eastAsia="Arial" w:hAnsi="Arial"/>
          <w:sz w:val="17"/>
          <w:szCs w:val="17"/>
          <w:color w:val="auto"/>
        </w:rPr>
        <w:t>—The Company considers all highly liquid investments with original or remaining maturities of 90 days</w:t>
      </w:r>
      <w:r>
        <w:rPr>
          <w:rFonts w:ascii="Arial" w:cs="Arial" w:eastAsia="Arial" w:hAnsi="Arial"/>
          <w:sz w:val="17"/>
          <w:szCs w:val="17"/>
          <w:i w:val="1"/>
          <w:iCs w:val="1"/>
          <w:color w:val="auto"/>
        </w:rPr>
        <w:t xml:space="preserve"> </w:t>
      </w:r>
      <w:r>
        <w:rPr>
          <w:rFonts w:ascii="Arial" w:cs="Arial" w:eastAsia="Arial" w:hAnsi="Arial"/>
          <w:sz w:val="17"/>
          <w:szCs w:val="17"/>
          <w:color w:val="auto"/>
        </w:rPr>
        <w:t>or less at the time of purchase, that are readily convertible into cash to be cash equivalents. As of June 30, 2021 and December 31, 2020, cash equivalents were comprised of money market accounts with maturities less than 90 days from the date of purchase.</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records restricted cash when cash and cash equivalents are restricted as to withdrawal or usage. The Company presents amounts of restricted cash that will be available for use within 12 months of the reporting date as restricted cash in current assets.</w:t>
      </w:r>
    </w:p>
    <w:p>
      <w:pPr>
        <w:spacing w:after="0" w:line="17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condensed consolidated balance sheets that sum to amounts reported on the condensed consolidated statements of cash flows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4"/>
                <w:szCs w:val="14"/>
                <w:color w:val="auto"/>
              </w:rPr>
            </w:pPr>
          </w:p>
        </w:tc>
        <w:tc>
          <w:tcPr>
            <w:tcW w:w="154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December 31, 2020</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2020</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62,522</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67,005</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63,222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9"/>
                <w:szCs w:val="19"/>
                <w:color w:val="auto"/>
              </w:rPr>
            </w:pPr>
          </w:p>
        </w:tc>
      </w:tr>
      <w:tr>
        <w:trPr>
          <w:trHeight w:val="223"/>
        </w:trPr>
        <w:tc>
          <w:tcPr>
            <w:tcW w:w="53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cash, cash equivalents, and restricted cash</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62,522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67,163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Held-to-Maturity Investments </w:t>
      </w:r>
      <w:r>
        <w:rPr>
          <w:rFonts w:ascii="Arial" w:cs="Arial" w:eastAsia="Arial" w:hAnsi="Arial"/>
          <w:sz w:val="16"/>
          <w:szCs w:val="16"/>
          <w:color w:val="auto"/>
        </w:rPr>
        <w:t>— The Company’s investments generally consist of commercial paper, corporate notes or bonds and U.S. Treasury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 the three and six months ended June 30, 2021, the Company held short-term and long-term investments of debt securities, including commercial paper and bonds. The Company intends to hold its investments until maturity and are therefore stated at amortized cost. Those investments with maturities less than 12 months are included in short-term investments and investments with maturities in excess of twelve months are included in long-term investments in our condensed consolidated balance sheets. The amortization of the Company’s investments is recognized as interest expense in the condensed consolidated statements of operations and was approximately $0.1 million for the three and six months ended June 30, 2021. There was no such amortization for the three or six months ended June 30, 2020. </w:t>
      </w:r>
      <w:r>
        <w:rPr>
          <w:rFonts w:ascii="Arial" w:cs="Arial" w:eastAsia="Arial" w:hAnsi="Arial"/>
          <w:sz w:val="16"/>
          <w:szCs w:val="16"/>
          <w:i w:val="1"/>
          <w:iCs w:val="1"/>
          <w:color w:val="auto"/>
        </w:rPr>
        <w:t>No allowance for credit losses on held-to-maturity securities was required as of June 30,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ind w:right="20"/>
        <w:spacing w:after="0" w:line="269" w:lineRule="auto"/>
        <w:rPr>
          <w:sz w:val="20"/>
          <w:szCs w:val="20"/>
          <w:color w:val="auto"/>
        </w:rPr>
      </w:pPr>
      <w:r>
        <w:rPr>
          <w:rFonts w:ascii="Arial" w:cs="Arial" w:eastAsia="Arial" w:hAnsi="Arial"/>
          <w:sz w:val="17"/>
          <w:szCs w:val="17"/>
          <w:i w:val="1"/>
          <w:iCs w:val="1"/>
          <w:color w:val="auto"/>
        </w:rPr>
        <w:t xml:space="preserve">Available-for-Sale Investment </w:t>
      </w:r>
      <w:r>
        <w:rPr>
          <w:rFonts w:ascii="Arial" w:cs="Arial" w:eastAsia="Arial" w:hAnsi="Arial"/>
          <w:sz w:val="17"/>
          <w:szCs w:val="17"/>
          <w:color w:val="auto"/>
        </w:rPr>
        <w:t>— In June 2021, the Company invested $3.0 million in Thirona Bio, Inc. (“Thirona”) and received a $3.0 million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promissory note (the “Thirona convertible note”). Unless earlier converted into conversion shares pursuant to the note purchase agreement, the principal and accrued interest shall be due and payable by Thirona on demand by the Company at any time after the maturity date of December 2022. Interest shall accrue at a rate of 6% per annum. The Thirona convertible note is a general unsecured obligation of Thirona. The Thirona convertible note is classified as an available-for-sale security and is included in other assets in the condensed consolidated balance sheet. Available-for-sale investments are subsequently measured at fair value. Unrealized holding gains and losses are excluded from earnings and reported in other comprehensive income until realized. The Company determines fair value of its available-for-sale investments using level 3 inputs. As of June 30, 2021, the Company evaluated the fair value of its investment in Thirona and determined that the fair value approximates the carrying value of $3.0 million. In June 2021, the Company and Thirona also entered into a collaboration agreement to develop a compound for the treatment of fibrotic lung diseases. See Note 7 – </w:t>
      </w:r>
      <w:r>
        <w:rPr>
          <w:rFonts w:ascii="Arial" w:cs="Arial" w:eastAsia="Arial" w:hAnsi="Arial"/>
          <w:sz w:val="17"/>
          <w:szCs w:val="17"/>
          <w:i w:val="1"/>
          <w:iCs w:val="1"/>
          <w:color w:val="auto"/>
        </w:rPr>
        <w:t>Collaboration, Licensing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Arrangements </w:t>
      </w:r>
      <w:r>
        <w:rPr>
          <w:rFonts w:ascii="Arial" w:cs="Arial" w:eastAsia="Arial" w:hAnsi="Arial"/>
          <w:sz w:val="17"/>
          <w:szCs w:val="17"/>
          <w:color w:val="auto"/>
        </w:rPr>
        <w:t>for additional information.</w:t>
      </w:r>
    </w:p>
    <w:p>
      <w:pPr>
        <w:spacing w:after="0" w:line="18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i w:val="1"/>
          <w:iCs w:val="1"/>
          <w:color w:val="auto"/>
        </w:rPr>
        <w:t xml:space="preserve">Concentration of Credit Risk </w:t>
      </w:r>
      <w:r>
        <w:rPr>
          <w:rFonts w:ascii="Arial" w:cs="Arial" w:eastAsia="Arial" w:hAnsi="Arial"/>
          <w:sz w:val="18"/>
          <w:szCs w:val="18"/>
          <w:color w:val="auto"/>
        </w:rPr>
        <w:t>— Financial instruments that potentially subject the Company to concentration of credit risk consist of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investments. Cash and cash equivalents are held in high credit quality institutions. Cash equivalents consist of interest-bearing money market accounts. Investments generally consist of commercial paper, corporate notes or bonds and U.S. Treasury securities. The cash equivalents and investments are regularly monitored by management.</w:t>
      </w:r>
    </w:p>
    <w:p>
      <w:pPr>
        <w:spacing w:after="0" w:line="187"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i w:val="1"/>
          <w:iCs w:val="1"/>
          <w:color w:val="auto"/>
        </w:rPr>
        <w:t xml:space="preserve">Accounts Receivable and Allowance for Doubtful Accounts </w:t>
      </w:r>
      <w:r>
        <w:rPr>
          <w:rFonts w:ascii="Arial" w:cs="Arial" w:eastAsia="Arial" w:hAnsi="Arial"/>
          <w:sz w:val="17"/>
          <w:szCs w:val="17"/>
          <w:color w:val="auto"/>
        </w:rPr>
        <w:t>— Accounts receivable are recorded at the invoiced amount and are not interest bearing.</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 receivable are presented net of an allowance for doubtful accounts if there are estimated losses resulting from the inability of its customers to make required payments. The Company makes ongoing assumptions relating to the collectability of its accounts receivable in its calculation of the allowance for doubtful accounts. Accounts receivable are also presented net of an allowance for product returns and trade discounts and allowances because the Company’s customers have the right of setoff for these amounts against the related accounts receivable.</w:t>
      </w:r>
    </w:p>
    <w:p>
      <w:pPr>
        <w:spacing w:after="0" w:line="17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i w:val="1"/>
          <w:iCs w:val="1"/>
          <w:color w:val="auto"/>
        </w:rPr>
        <w:t xml:space="preserve">Pre-Launch Inventory </w:t>
      </w:r>
      <w:r>
        <w:rPr>
          <w:rFonts w:ascii="Arial" w:cs="Arial" w:eastAsia="Arial" w:hAnsi="Arial"/>
          <w:sz w:val="16"/>
          <w:szCs w:val="16"/>
          <w:color w:val="auto"/>
        </w:rPr>
        <w:t>— An improvement to the manufacturing process for the Company’s primary excipient, fumaryl diketopiperazine (“FDKP”) was</w:t>
      </w:r>
      <w:r>
        <w:rPr>
          <w:rFonts w:ascii="Arial" w:cs="Arial" w:eastAsia="Arial" w:hAnsi="Arial"/>
          <w:sz w:val="16"/>
          <w:szCs w:val="16"/>
          <w:i w:val="1"/>
          <w:iCs w:val="1"/>
          <w:color w:val="auto"/>
        </w:rPr>
        <w:t xml:space="preserve"> </w:t>
      </w:r>
      <w:r>
        <w:rPr>
          <w:rFonts w:ascii="Arial" w:cs="Arial" w:eastAsia="Arial" w:hAnsi="Arial"/>
          <w:sz w:val="16"/>
          <w:szCs w:val="16"/>
          <w:color w:val="auto"/>
        </w:rPr>
        <w:t>demonstrated to be viable and management expects to realize an economic benefit in the future as a result of such process improvement. Accordingly, the Company is required to assess whether to capitalize inventory costs related to such excipient prior to regulatory approval of the new supplier and the improved manufacturing process. In doing so, management must consider a number of factors in order to determine the amount of inventory to be capitalized, including the historical experience of achieving regulatory approvals for the Company’s manufacturing process, feedback from regulatory agencies on the changes being effected and the amount of inventory that is likely to be used in commercial production. The shelf life of the excipient will be determined as part of the regulatory approval process; in the interim, the Company must assess the available stability data to determine whether there is likely to be adequate shelf life to support anticipated future sales occurring beyond the expected approval date of the new raw material. If management is aware of any specific material risks or contingencies other than the normal regulatory review and approval process, or if the criteria for capitalizing inventory produced prior to regulatory approval are otherwise not met, the Company would not capitalize such inventory costs, choosing instead to recognize such costs as a research and development expense in the period incurred.</w:t>
      </w:r>
    </w:p>
    <w:p>
      <w:pPr>
        <w:spacing w:after="0" w:line="17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 Inventories are stated at the lower of cost or net realizable value. The Company determines the cost of inventory using the first-in, first-out,</w:t>
      </w:r>
      <w:r>
        <w:rPr>
          <w:rFonts w:ascii="Arial" w:cs="Arial" w:eastAsia="Arial" w:hAnsi="Arial"/>
          <w:sz w:val="16"/>
          <w:szCs w:val="16"/>
          <w:i w:val="1"/>
          <w:iCs w:val="1"/>
          <w:color w:val="auto"/>
        </w:rPr>
        <w:t xml:space="preserve"> </w:t>
      </w:r>
      <w:r>
        <w:rPr>
          <w:rFonts w:ascii="Arial" w:cs="Arial" w:eastAsia="Arial" w:hAnsi="Arial"/>
          <w:sz w:val="16"/>
          <w:szCs w:val="16"/>
          <w:color w:val="auto"/>
        </w:rPr>
        <w:t>or FIFO, method. The Company capitalizes inventory costs associated with the Company’s products based on management’s judgment that future economic benefits are expected to be realized; otherwise, such costs are expensed as incurred as cost of goods sold. 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spacing w:after="0" w:line="18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 The Company evaluates long-lived assets for impairment whenever events or changes in circumstances indicate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carrying value of an asset may not be recoverable. Assets are considered to be impaired if the carrying value is considered to be unrecoverable.</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August 2019, the Company recorded a $1.5 million commitment asset and a $0.4 million other asset for deferred debt issuance costs related to the future funding commitments of the MidCap Credit Facility. A quarterly assessment was performed to determine if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 w:name="page16"/>
    <w:bookmarkEnd w:id="15"/>
    <w:p>
      <w:pPr>
        <w:ind w:right="60"/>
        <w:spacing w:after="0" w:line="279" w:lineRule="auto"/>
        <w:rPr>
          <w:sz w:val="20"/>
          <w:szCs w:val="20"/>
          <w:color w:val="auto"/>
        </w:rPr>
      </w:pPr>
      <w:r>
        <w:rPr>
          <w:rFonts w:ascii="Arial" w:cs="Arial" w:eastAsia="Arial" w:hAnsi="Arial"/>
          <w:sz w:val="17"/>
          <w:szCs w:val="17"/>
          <w:color w:val="auto"/>
        </w:rPr>
        <w:t xml:space="preserve">the Company was on target to achieve certain required milestone conditions in order for the Company to access further borrowings under the MidCap credit facility. The Company determined that such milestone conditions related to Afrezza trailing net revenue were unlikely to be achieved. As a result, an asset impairment of $1.9 million was recognized during the six months ended June 30, 2020 and is reflected in the Company’s condensed consolidated statements of operations. See Note 6 – </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for further information on the MidCap credit facility.</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Recognized Loss on Purchase Commitments </w:t>
      </w:r>
      <w:r>
        <w:rPr>
          <w:rFonts w:ascii="Arial" w:cs="Arial" w:eastAsia="Arial" w:hAnsi="Arial"/>
          <w:sz w:val="17"/>
          <w:szCs w:val="17"/>
          <w:color w:val="auto"/>
        </w:rPr>
        <w:t>— The Company assesses whether losses on long-term purchase commitments should be accrued. Losses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condensed consolidated statements of operations. The liability balance of the recognized loss on insulin purchase commitments was $88.7 million and $95.3 million as of June 30, 2021 and December 31, 2020, respectively. No new contracts were identified in 2020 or in the first six months of 2021 that required a new loss on purchase commitment accrual.</w:t>
      </w:r>
    </w:p>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Milestone Rights Liability </w:t>
      </w:r>
      <w:r>
        <w:rPr>
          <w:rFonts w:ascii="Arial" w:cs="Arial" w:eastAsia="Arial" w:hAnsi="Arial"/>
          <w:sz w:val="18"/>
          <w:szCs w:val="18"/>
          <w:color w:val="auto"/>
        </w:rPr>
        <w:t>— On July 1, 2013, in conjunction with the execution of a financing facility with Deerfield Private Design Fund II L.P. and</w:t>
      </w:r>
      <w:r>
        <w:rPr>
          <w:rFonts w:ascii="Arial" w:cs="Arial" w:eastAsia="Arial" w:hAnsi="Arial"/>
          <w:sz w:val="18"/>
          <w:szCs w:val="18"/>
          <w:i w:val="1"/>
          <w:iCs w:val="1"/>
          <w:color w:val="auto"/>
        </w:rPr>
        <w:t xml:space="preserve"> </w:t>
      </w:r>
      <w:r>
        <w:rPr>
          <w:rFonts w:ascii="Arial" w:cs="Arial" w:eastAsia="Arial" w:hAnsi="Arial"/>
          <w:sz w:val="18"/>
          <w:szCs w:val="18"/>
          <w:color w:val="auto"/>
        </w:rPr>
        <w:t>Deerfield Private Design International I L.P., the Company issued to Deerfield Private Design Fund II, L.P. and Horizon Santé FLML SÁRL (the “Milestone Purchasers”) certain rights to receive payments of up to $90.0 million, of which $65.0 million remains payable as of June 30, 2021 upon the occurrence of specified strategic and sales milestones, including the achievement of specified net sales figures (the “Milestone Rights”). The Company analyzed the Milestone Rights and determined that they did not meet the definition of a freestanding derivative. Since the Company has not elected to apply the fair value option to the Milestone Rights, the Company recorded them at their estimated initial fair value and accounted for the Milestone Rights as a liability.</w:t>
      </w:r>
    </w:p>
    <w:p>
      <w:pPr>
        <w:spacing w:after="0" w:line="19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the Company’s consolidated statements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6 – </w:t>
      </w:r>
      <w:r>
        <w:rPr>
          <w:rFonts w:ascii="Arial" w:cs="Arial" w:eastAsia="Arial" w:hAnsi="Arial"/>
          <w:sz w:val="16"/>
          <w:szCs w:val="16"/>
          <w:i w:val="1"/>
          <w:iCs w:val="1"/>
          <w:color w:val="auto"/>
        </w:rPr>
        <w:t>Borrowings</w:t>
      </w:r>
      <w:r>
        <w:rPr>
          <w:rFonts w:ascii="Arial" w:cs="Arial" w:eastAsia="Arial" w:hAnsi="Arial"/>
          <w:sz w:val="16"/>
          <w:szCs w:val="16"/>
          <w:color w:val="auto"/>
        </w:rPr>
        <w:t>).</w:t>
      </w:r>
    </w:p>
    <w:p>
      <w:pPr>
        <w:spacing w:after="0" w:line="1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Company applies various valuation approaches in determining the fair value of its financial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17"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provisions for federal, foreign, state and local income taxes are calculated on pre-tax income based on current tax law and include the</w:t>
      </w:r>
      <w:r>
        <w:rPr>
          <w:rFonts w:ascii="Arial" w:cs="Arial" w:eastAsia="Arial" w:hAnsi="Arial"/>
          <w:sz w:val="16"/>
          <w:szCs w:val="16"/>
          <w:i w:val="1"/>
          <w:iCs w:val="1"/>
          <w:color w:val="auto"/>
        </w:rPr>
        <w:t xml:space="preserve"> </w:t>
      </w:r>
      <w:r>
        <w:rPr>
          <w:rFonts w:ascii="Arial" w:cs="Arial" w:eastAsia="Arial" w:hAnsi="Arial"/>
          <w:sz w:val="16"/>
          <w:szCs w:val="16"/>
          <w:color w:val="auto"/>
        </w:rPr>
        <w:t>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15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Penalties, if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ind w:right="200"/>
        <w:spacing w:after="0" w:line="277" w:lineRule="auto"/>
        <w:rPr>
          <w:sz w:val="20"/>
          <w:szCs w:val="20"/>
          <w:color w:val="auto"/>
        </w:rPr>
      </w:pPr>
      <w:r>
        <w:rPr>
          <w:rFonts w:ascii="Arial" w:cs="Arial" w:eastAsia="Arial" w:hAnsi="Arial"/>
          <w:sz w:val="18"/>
          <w:szCs w:val="18"/>
          <w:color w:val="auto"/>
        </w:rPr>
        <w:t>probable and reasonably estimable, are recognized as a component of income tax expense. The Company has reduced its deferred tax assets for uncertain tax positions but has not recorded liabilities for income tax expense, penalties, or interest.</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 The Company records a loss contingency for a liability when it is both probable that a liability has been incurred and the amount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Share-based payments to employees, including grants of stock options, RSUs, performance-based non-qualified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awards (“PNQs”), restricted stock units with market conditions (“Market RSUs”) and the compensatory elements of employee stock purchase plans, are recognized in the condensed consolidated statements of operations based upon the fair value of the awards at the grant date. The Company uses the Black-Scholes option valuation model to estimate the grant date fair value of employee stock options and the compensatory elements of employee stock purchase plans. RSUs are valued based on the market price on the grant date. Market RSUs are valued using a Monte Carlo valuation model and RSUs with performance conditions are evaluated for the probability that the performance conditions will be met and estimates the date at which the performance conditions will be met in order to properly recognize stock-based compensation expense over the requisite service period.</w:t>
      </w:r>
    </w:p>
    <w:p>
      <w:pPr>
        <w:spacing w:after="0" w:line="166"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i w:val="1"/>
          <w:iCs w:val="1"/>
          <w:color w:val="auto"/>
        </w:rPr>
        <w:t xml:space="preserve">Clinical Trial Expenses </w:t>
      </w:r>
      <w:r>
        <w:rPr>
          <w:rFonts w:ascii="Arial" w:cs="Arial" w:eastAsia="Arial" w:hAnsi="Arial"/>
          <w:sz w:val="18"/>
          <w:szCs w:val="18"/>
          <w:color w:val="auto"/>
        </w:rPr>
        <w:t>— Clinical trial expenses, which are primarily reflected in research and development expenses in the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operations, result from obligations under contracts with vendors, consultants and clinical site agreements in addition to internal costs associated with conducting clinical trials.</w:t>
      </w:r>
    </w:p>
    <w:p>
      <w:pPr>
        <w:spacing w:after="0" w:line="1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Recently Adopted Accounting Standards </w:t>
      </w:r>
      <w:r>
        <w:rPr>
          <w:rFonts w:ascii="Arial" w:cs="Arial" w:eastAsia="Arial" w:hAnsi="Arial"/>
          <w:sz w:val="17"/>
          <w:szCs w:val="17"/>
          <w:color w:val="auto"/>
        </w:rPr>
        <w:t>— In August 2020, the FASB issued ASU 2020-06,</w:t>
      </w:r>
      <w:r>
        <w:rPr>
          <w:rFonts w:ascii="Arial" w:cs="Arial" w:eastAsia="Arial" w:hAnsi="Arial"/>
          <w:sz w:val="17"/>
          <w:szCs w:val="17"/>
          <w:i w:val="1"/>
          <w:iCs w:val="1"/>
          <w:color w:val="auto"/>
        </w:rPr>
        <w:t xml:space="preserve"> Issuer’s Accounting for Convertible Instruments and Contracts on an Entity’s Own Equity</w:t>
      </w:r>
      <w:r>
        <w:rPr>
          <w:rFonts w:ascii="Arial" w:cs="Arial" w:eastAsia="Arial" w:hAnsi="Arial"/>
          <w:sz w:val="17"/>
          <w:szCs w:val="17"/>
          <w:color w:val="auto"/>
        </w:rPr>
        <w:t>, which simplifies the accounting for certain financial instruments with characteristics of liabilities and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convertible instruments and contracts on an entity’s own equity. The Company early adopted this standard as of January 1, 2021. The adoption of this standard did not have a material impact on the Company's condensed consolidated financial statements.</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 xml:space="preserve">Recently Issued Accounting Standards </w:t>
      </w:r>
      <w:r>
        <w:rPr>
          <w:rFonts w:ascii="Arial" w:cs="Arial" w:eastAsia="Arial" w:hAnsi="Arial"/>
          <w:sz w:val="18"/>
          <w:szCs w:val="18"/>
          <w:color w:val="auto"/>
        </w:rPr>
        <w:t>— From time to time, new accounting pronouncements are issued by the Financial Accounting Standards Board</w:t>
      </w:r>
      <w:r>
        <w:rPr>
          <w:rFonts w:ascii="Arial" w:cs="Arial" w:eastAsia="Arial" w:hAnsi="Arial"/>
          <w:sz w:val="18"/>
          <w:szCs w:val="18"/>
          <w:i w:val="1"/>
          <w:iCs w:val="1"/>
          <w:color w:val="auto"/>
        </w:rPr>
        <w:t xml:space="preserve"> </w:t>
      </w:r>
      <w:r>
        <w:rPr>
          <w:rFonts w:ascii="Arial" w:cs="Arial" w:eastAsia="Arial" w:hAnsi="Arial"/>
          <w:sz w:val="18"/>
          <w:szCs w:val="18"/>
          <w:color w:val="auto"/>
        </w:rPr>
        <w:t>(FASB) 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December 31, 2020</w:t>
            </w: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 commercial</w:t>
            </w:r>
          </w:p>
        </w:tc>
        <w:tc>
          <w:tcPr>
            <w:tcW w:w="16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780" w:type="dxa"/>
            <w:vAlign w:val="bottom"/>
          </w:tcPr>
          <w:p>
            <w:pPr>
              <w:ind w:left="260"/>
              <w:spacing w:after="0"/>
              <w:rPr>
                <w:sz w:val="20"/>
                <w:szCs w:val="20"/>
                <w:color w:val="auto"/>
              </w:rPr>
            </w:pPr>
            <w:r>
              <w:rPr>
                <w:rFonts w:ascii="Arial" w:cs="Arial" w:eastAsia="Arial" w:hAnsi="Arial"/>
                <w:sz w:val="18"/>
                <w:szCs w:val="18"/>
                <w:color w:val="auto"/>
              </w:rPr>
              <w:t>Accounts receivable, gross</w:t>
            </w:r>
          </w:p>
        </w:tc>
        <w:tc>
          <w:tcPr>
            <w:tcW w:w="18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8,467</w:t>
            </w:r>
          </w:p>
        </w:tc>
        <w:tc>
          <w:tcPr>
            <w:tcW w:w="180" w:type="dxa"/>
            <w:vAlign w:val="bottom"/>
          </w:tcPr>
          <w:p>
            <w:pPr>
              <w:spacing w:after="0"/>
              <w:rPr>
                <w:sz w:val="19"/>
                <w:szCs w:val="19"/>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8,090</w:t>
            </w:r>
          </w:p>
        </w:tc>
        <w:tc>
          <w:tcPr>
            <w:tcW w:w="120" w:type="dxa"/>
            <w:vAlign w:val="bottom"/>
          </w:tcPr>
          <w:p>
            <w:pPr>
              <w:spacing w:after="0"/>
              <w:rPr>
                <w:sz w:val="19"/>
                <w:szCs w:val="19"/>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Wholesaler distribution fees and prompt pay discounts</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(1,335)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(1,205)</w:t>
            </w: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Reserve for returns</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(2,928)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(2,667)</w:t>
            </w:r>
          </w:p>
        </w:tc>
      </w:tr>
      <w:tr>
        <w:trPr>
          <w:trHeight w:val="223"/>
        </w:trPr>
        <w:tc>
          <w:tcPr>
            <w:tcW w:w="57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accounts receivable – commercial, net</w:t>
            </w:r>
          </w:p>
        </w:tc>
        <w:tc>
          <w:tcPr>
            <w:tcW w:w="16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Accounts receivable – collaborations and services</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78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accounts receivable, net</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spacing w:after="0" w:line="279" w:lineRule="auto"/>
        <w:rPr>
          <w:sz w:val="20"/>
          <w:szCs w:val="20"/>
          <w:color w:val="auto"/>
        </w:rPr>
      </w:pPr>
      <w:r>
        <w:rPr>
          <w:rFonts w:ascii="Arial" w:cs="Arial" w:eastAsia="Arial" w:hAnsi="Arial"/>
          <w:sz w:val="18"/>
          <w:szCs w:val="18"/>
          <w:color w:val="auto"/>
        </w:rPr>
        <w:t xml:space="preserve">As of June 30, 2021 and December 31, 2020, the allowance for doubtful accounts was </w:t>
      </w:r>
      <w:r>
        <w:rPr>
          <w:rFonts w:ascii="Arial" w:cs="Arial" w:eastAsia="Arial" w:hAnsi="Arial"/>
          <w:sz w:val="18"/>
          <w:szCs w:val="18"/>
          <w:i w:val="1"/>
          <w:iCs w:val="1"/>
          <w:color w:val="auto"/>
        </w:rPr>
        <w:t>de minimis</w:t>
      </w:r>
      <w:r>
        <w:rPr>
          <w:rFonts w:ascii="Arial" w:cs="Arial" w:eastAsia="Arial" w:hAnsi="Arial"/>
          <w:sz w:val="18"/>
          <w:szCs w:val="18"/>
          <w:color w:val="auto"/>
        </w:rPr>
        <w:t>. The Company had three wholesale distributors representing approximately 88% of commercial accounts receivable as of June 30, 2021 and approximately 82% and 82% of gross sales for the three and six months ended June 30, 2021, respectively.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3,095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FF0FC"/>
          </w:tcPr>
          <w:p>
            <w:pPr>
              <w:spacing w:after="0"/>
              <w:rPr>
                <w:sz w:val="19"/>
                <w:szCs w:val="19"/>
                <w:color w:val="auto"/>
              </w:rPr>
            </w:pPr>
          </w:p>
        </w:tc>
      </w:tr>
      <w:tr>
        <w:trPr>
          <w:trHeight w:val="223"/>
        </w:trPr>
        <w:tc>
          <w:tcPr>
            <w:tcW w:w="7540" w:type="dxa"/>
            <w:vAlign w:val="bottom"/>
          </w:tcPr>
          <w:p>
            <w:pPr>
              <w:ind w:left="260"/>
              <w:spacing w:after="0"/>
              <w:rPr>
                <w:sz w:val="20"/>
                <w:szCs w:val="20"/>
                <w:color w:val="auto"/>
              </w:rPr>
            </w:pPr>
            <w:r>
              <w:rPr>
                <w:rFonts w:ascii="Arial" w:cs="Arial" w:eastAsia="Arial" w:hAnsi="Arial"/>
                <w:sz w:val="18"/>
                <w:szCs w:val="18"/>
                <w:color w:val="auto"/>
              </w:rPr>
              <w:t>Total inventory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Work-in-process and finished goods as of June 30, 2021 and December 31, 2020 include conversion costs and exclude the cost of insulin. All insulin inventory on hand was written off and the projected loss on the purchase commitment contract to purchase future insulin was accrued as of the end of 2015. Raw materials inventory included $0.8 million of pre-launch inventory as of June 30, 2021 and December 31, 2020, which consisted of FDKP received in November 2019 that will be used to manufacture Afrezza under an enhanced manufacturing process for FDKP. The Company expects to receive FDA approval of the new source of FDKP in 2023, after which the pre-launch raw materials inventory will be reclassified as raw materials inventory for use in the manufacturing of Afrezza and Tyvaso DPI.</w:t>
      </w:r>
    </w:p>
    <w:p>
      <w:pPr>
        <w:spacing w:after="0" w:line="19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Inventory that was forecasted to become obsolete due to expiration is recorded in costs of goods sold in the condensed consolidated statements of operations. For the six months ended June 30, 2020, there was an inventory write-off of $0.5 million as a result of this assessment. There was no inventory write-off for the three and six months ended June 30,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Estimated Useful</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7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Life (Years)</w:t>
            </w:r>
          </w:p>
        </w:tc>
        <w:tc>
          <w:tcPr>
            <w:tcW w:w="240" w:type="dxa"/>
            <w:vAlign w:val="bottom"/>
          </w:tcPr>
          <w:p>
            <w:pPr>
              <w:spacing w:after="0"/>
              <w:rPr>
                <w:sz w:val="18"/>
                <w:szCs w:val="18"/>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 2020</w:t>
            </w: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Buildings</w:t>
            </w:r>
          </w:p>
        </w:tc>
        <w:tc>
          <w:tcPr>
            <w:tcW w:w="1620" w:type="dxa"/>
            <w:vAlign w:val="bottom"/>
          </w:tcPr>
          <w:p>
            <w:pPr>
              <w:jc w:val="right"/>
              <w:spacing w:after="0"/>
              <w:rPr>
                <w:sz w:val="20"/>
                <w:szCs w:val="20"/>
                <w:color w:val="auto"/>
              </w:rPr>
            </w:pPr>
            <w:r>
              <w:rPr>
                <w:rFonts w:ascii="Arial" w:cs="Arial" w:eastAsia="Arial" w:hAnsi="Arial"/>
                <w:sz w:val="18"/>
                <w:szCs w:val="18"/>
                <w:color w:val="auto"/>
              </w:rPr>
              <w:t>39-40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17,389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17,389</w:t>
            </w: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Building improvements</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37,717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37,543</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620" w:type="dxa"/>
            <w:vAlign w:val="bottom"/>
          </w:tcPr>
          <w:p>
            <w:pPr>
              <w:jc w:val="right"/>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55,081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55,054</w:t>
            </w: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w:t>
            </w:r>
          </w:p>
        </w:tc>
        <w:tc>
          <w:tcPr>
            <w:tcW w:w="100" w:type="dxa"/>
            <w:vAlign w:val="bottom"/>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8,319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8,319</w:t>
            </w: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8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3,072</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125,457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122,687</w:t>
            </w: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(97,318)</w:t>
            </w: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(96,820)</w:t>
            </w:r>
          </w:p>
        </w:tc>
      </w:tr>
      <w:tr>
        <w:trPr>
          <w:trHeight w:val="223"/>
        </w:trPr>
        <w:tc>
          <w:tcPr>
            <w:tcW w:w="5780" w:type="dxa"/>
            <w:vAlign w:val="bottom"/>
          </w:tcPr>
          <w:p>
            <w:pPr>
              <w:ind w:left="260"/>
              <w:spacing w:after="0"/>
              <w:rPr>
                <w:sz w:val="20"/>
                <w:szCs w:val="20"/>
                <w:color w:val="auto"/>
              </w:rPr>
            </w:pPr>
            <w:r>
              <w:rPr>
                <w:rFonts w:ascii="Arial" w:cs="Arial" w:eastAsia="Arial" w:hAnsi="Arial"/>
                <w:sz w:val="18"/>
                <w:szCs w:val="18"/>
                <w:color w:val="auto"/>
              </w:rPr>
              <w:t>Total property and equipment, net</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28,139</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25,867</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related to property and equipment for the three and six months ended June 30, 2021 and 2020 was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4"/>
          </w:tcPr>
          <w:p>
            <w:pPr>
              <w:jc w:val="center"/>
              <w:ind w:right="219"/>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3"/>
          </w:tcPr>
          <w:p>
            <w:pPr>
              <w:jc w:val="center"/>
              <w:ind w:left="544"/>
              <w:spacing w:after="0"/>
              <w:rPr>
                <w:sz w:val="20"/>
                <w:szCs w:val="20"/>
                <w:color w:val="auto"/>
              </w:rPr>
            </w:pPr>
            <w:r>
              <w:rPr>
                <w:rFonts w:ascii="Arial" w:cs="Arial" w:eastAsia="Arial" w:hAnsi="Arial"/>
                <w:sz w:val="14"/>
                <w:szCs w:val="14"/>
                <w:b w:val="1"/>
                <w:bCs w:val="1"/>
                <w:color w:val="auto"/>
                <w:w w:val="92"/>
              </w:rPr>
              <w:t>Six Months Ended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14"/>
                <w:szCs w:val="14"/>
                <w:b w:val="1"/>
                <w:bCs w:val="1"/>
                <w:color w:val="auto"/>
                <w:w w:val="89"/>
              </w:rPr>
              <w:t>June 30,</w:t>
            </w:r>
          </w:p>
        </w:tc>
        <w:tc>
          <w:tcPr>
            <w:tcW w:w="10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48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941</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120" w:type="dxa"/>
            <w:vAlign w:val="bottom"/>
            <w:shd w:val="clear" w:color="auto" w:fill="CFF0FC"/>
          </w:tcPr>
          <w:p>
            <w:pPr>
              <w:spacing w:after="0"/>
              <w:rPr>
                <w:sz w:val="19"/>
                <w:szCs w:val="19"/>
                <w:color w:val="auto"/>
              </w:rPr>
            </w:pPr>
          </w:p>
        </w:tc>
      </w:tr>
      <w:tr>
        <w:trPr>
          <w:trHeight w:val="837"/>
        </w:trPr>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441"/>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were comprised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Salary and related expenses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10,318</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Discounts and allowances for commercial product sales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4,035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3,688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Deferred lease liability</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Milestone rights liability — current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Danbury facility buildout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Sales and marketing services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1,559</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accrued expenses and other current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22,406</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19,707</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Included in salary and related expenses is approximately $1.0 million of deferred social security taxes as permitted under the CARES Act. The Company was permitted to defer the employer share of social security taxes otherwise owed on dates beginning March 27, 2020 and ending December 31, 2020. The amount of the deferral was based on wages paid from April through December 2020. The Company received notification of forgiveness by the SBA for the full principal balance of the PPP loan as discussed in Note 6 – </w:t>
      </w:r>
      <w:r>
        <w:rPr>
          <w:rFonts w:ascii="Arial" w:cs="Arial" w:eastAsia="Arial" w:hAnsi="Arial"/>
          <w:sz w:val="16"/>
          <w:szCs w:val="16"/>
          <w:i w:val="1"/>
          <w:iCs w:val="1"/>
          <w:color w:val="auto"/>
        </w:rPr>
        <w:t>Borrowings</w:t>
      </w:r>
      <w:r>
        <w:rPr>
          <w:rFonts w:ascii="Arial" w:cs="Arial" w:eastAsia="Arial" w:hAnsi="Arial"/>
          <w:sz w:val="16"/>
          <w:szCs w:val="16"/>
          <w:color w:val="auto"/>
        </w:rPr>
        <w:t>. Therefore, the deferred social security taxes will be repaid in August 2021.</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w:t>
      </w:r>
      <w:r>
        <w:rPr>
          <w:rFonts w:ascii="Arial" w:cs="Arial" w:eastAsia="Arial" w:hAnsi="Arial"/>
          <w:sz w:val="18"/>
          <w:szCs w:val="18"/>
          <w:b w:val="1"/>
          <w:bCs w:val="1"/>
          <w:color w:val="auto"/>
        </w:rPr>
        <w:t xml:space="preserve">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Carrying amount of principal borrowings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25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223,217</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MidCap credit facility</w:t>
            </w:r>
          </w:p>
        </w:tc>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38,614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Mann Group promissory notes</w:t>
            </w:r>
            <w:r>
              <w:rPr>
                <w:rFonts w:ascii="Arial" w:cs="Arial" w:eastAsia="Arial" w:hAnsi="Arial"/>
                <w:sz w:val="15"/>
                <w:szCs w:val="15"/>
                <w:color w:val="auto"/>
              </w:rPr>
              <w:t>(1)</w:t>
            </w:r>
          </w:p>
        </w:tc>
        <w:tc>
          <w:tcPr>
            <w:tcW w:w="2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PPP loan</w:t>
            </w:r>
          </w:p>
        </w:tc>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4,873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2024 convertible notes</w:t>
            </w:r>
          </w:p>
        </w:tc>
        <w:tc>
          <w:tcPr>
            <w:tcW w:w="2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60"/>
              <w:spacing w:after="0"/>
              <w:rPr>
                <w:sz w:val="20"/>
                <w:szCs w:val="20"/>
                <w:color w:val="auto"/>
              </w:rPr>
            </w:pPr>
            <w:r>
              <w:rPr>
                <w:rFonts w:ascii="Arial" w:cs="Arial" w:eastAsia="Arial" w:hAnsi="Arial"/>
                <w:sz w:val="18"/>
                <w:szCs w:val="18"/>
                <w:color w:val="auto"/>
              </w:rPr>
              <w:t>Total debt — net carrying amount</w:t>
            </w:r>
          </w:p>
        </w:tc>
        <w:tc>
          <w:tcPr>
            <w:tcW w:w="25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285,129</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___________________</w:t>
            </w:r>
          </w:p>
        </w:tc>
        <w:tc>
          <w:tcPr>
            <w:tcW w:w="2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vMerge w:val="continue"/>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80" w:right="60" w:hanging="372"/>
        <w:spacing w:after="0" w:line="269"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amendment to the Mann Group convertible note resulted in a substantial premium of $22.1 million based on the fair value post modification, which contributed to the loss on extinguishment in the condensed consolidated statement of operations for the three and six months ended June 30, 2021 and was recognized as additional paid-in capital in the condensed consolidated balance sheet as of June 30, 2021. The accounting for the $22.1 million loss on extinguishment did not result in a change in the financial position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following table provides a summary of the Company’s debt and key terms as of June 30,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720" w:type="dxa"/>
            <w:vAlign w:val="bottom"/>
            <w:gridSpan w:val="5"/>
          </w:tcPr>
          <w:p>
            <w:pPr>
              <w:ind w:left="460"/>
              <w:spacing w:after="0"/>
              <w:rPr>
                <w:sz w:val="20"/>
                <w:szCs w:val="20"/>
                <w:color w:val="auto"/>
              </w:rPr>
            </w:pPr>
            <w:r>
              <w:rPr>
                <w:rFonts w:ascii="Arial" w:cs="Arial" w:eastAsia="Arial" w:hAnsi="Arial"/>
                <w:sz w:val="14"/>
                <w:szCs w:val="14"/>
                <w:b w:val="1"/>
                <w:bCs w:val="1"/>
                <w:color w:val="auto"/>
              </w:rPr>
              <w:t>Amount Due</w:t>
            </w:r>
          </w:p>
        </w:tc>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ind w:left="460"/>
              <w:spacing w:after="0"/>
              <w:rPr>
                <w:sz w:val="20"/>
                <w:szCs w:val="20"/>
                <w:color w:val="auto"/>
              </w:rPr>
            </w:pPr>
            <w:r>
              <w:rPr>
                <w:rFonts w:ascii="Arial" w:cs="Arial" w:eastAsia="Arial" w:hAnsi="Arial"/>
                <w:sz w:val="14"/>
                <w:szCs w:val="14"/>
                <w:b w:val="1"/>
                <w:bCs w:val="1"/>
                <w:color w:val="auto"/>
              </w:rPr>
              <w:t>Terms</w:t>
            </w: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55"/>
        </w:trPr>
        <w:tc>
          <w:tcPr>
            <w:tcW w:w="3000" w:type="dxa"/>
            <w:vAlign w:val="bottom"/>
            <w:tcBorders>
              <w:bottom w:val="single" w:sz="8" w:color="CFF0FC"/>
            </w:tcBorders>
          </w:tcPr>
          <w:p>
            <w:pPr>
              <w:spacing w:after="0"/>
              <w:rPr>
                <w:sz w:val="13"/>
                <w:szCs w:val="13"/>
                <w:color w:val="auto"/>
              </w:rPr>
            </w:pPr>
          </w:p>
        </w:tc>
        <w:tc>
          <w:tcPr>
            <w:tcW w:w="150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June 30, 2021</w:t>
            </w:r>
          </w:p>
        </w:tc>
        <w:tc>
          <w:tcPr>
            <w:tcW w:w="2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center"/>
              <w:ind w:right="32"/>
              <w:spacing w:after="0" w:line="155" w:lineRule="exact"/>
              <w:rPr>
                <w:sz w:val="20"/>
                <w:szCs w:val="20"/>
                <w:color w:val="auto"/>
              </w:rPr>
            </w:pPr>
            <w:r>
              <w:rPr>
                <w:rFonts w:ascii="Arial" w:cs="Arial" w:eastAsia="Arial" w:hAnsi="Arial"/>
                <w:sz w:val="14"/>
                <w:szCs w:val="14"/>
                <w:b w:val="1"/>
                <w:bCs w:val="1"/>
                <w:color w:val="auto"/>
                <w:w w:val="91"/>
              </w:rPr>
              <w:t>December 31, 2020</w:t>
            </w:r>
          </w:p>
        </w:tc>
        <w:tc>
          <w:tcPr>
            <w:tcW w:w="300" w:type="dxa"/>
            <w:vAlign w:val="bottom"/>
            <w:tcBorders>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5"/>
              </w:rPr>
              <w:t>Annual Interest Rate</w:t>
            </w:r>
          </w:p>
        </w:tc>
        <w:tc>
          <w:tcPr>
            <w:tcW w:w="460" w:type="dxa"/>
            <w:vAlign w:val="bottom"/>
            <w:tcBorders>
              <w:top w:val="single" w:sz="8" w:color="auto"/>
              <w:bottom w:val="single" w:sz="8" w:color="CFF0FC"/>
            </w:tcBorders>
          </w:tcPr>
          <w:p>
            <w:pPr>
              <w:spacing w:after="0"/>
              <w:rPr>
                <w:sz w:val="13"/>
                <w:szCs w:val="13"/>
                <w:color w:val="auto"/>
              </w:rPr>
            </w:pPr>
          </w:p>
        </w:tc>
        <w:tc>
          <w:tcPr>
            <w:tcW w:w="14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Maturity Date</w:t>
            </w:r>
          </w:p>
        </w:tc>
        <w:tc>
          <w:tcPr>
            <w:tcW w:w="360" w:type="dxa"/>
            <w:vAlign w:val="bottom"/>
            <w:tcBorders>
              <w:top w:val="single" w:sz="8" w:color="auto"/>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Conversion Price</w:t>
            </w:r>
          </w:p>
        </w:tc>
      </w:tr>
      <w:tr>
        <w:trPr>
          <w:trHeight w:val="209"/>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15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5"/>
              </w:rPr>
              <w:t>$230.0 million</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2.50%</w:t>
            </w:r>
          </w:p>
        </w:tc>
        <w:tc>
          <w:tcPr>
            <w:tcW w:w="46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March 2026</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$5.21</w:t>
            </w:r>
          </w:p>
        </w:tc>
      </w:tr>
      <w:tr>
        <w:trPr>
          <w:trHeight w:val="230"/>
        </w:trPr>
        <w:tc>
          <w:tcPr>
            <w:tcW w:w="30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per share</w:t>
            </w:r>
          </w:p>
        </w:tc>
      </w:tr>
      <w:tr>
        <w:trPr>
          <w:trHeight w:val="215"/>
        </w:trPr>
        <w:tc>
          <w:tcPr>
            <w:tcW w:w="3000" w:type="dxa"/>
            <w:vAlign w:val="bottom"/>
          </w:tcPr>
          <w:p>
            <w:pPr>
              <w:spacing w:after="0"/>
              <w:rPr>
                <w:sz w:val="20"/>
                <w:szCs w:val="20"/>
                <w:color w:val="auto"/>
              </w:rPr>
            </w:pPr>
            <w:r>
              <w:rPr>
                <w:rFonts w:ascii="Arial" w:cs="Arial" w:eastAsia="Arial" w:hAnsi="Arial"/>
                <w:sz w:val="18"/>
                <w:szCs w:val="18"/>
                <w:color w:val="auto"/>
              </w:rPr>
              <w:t>MidCap credit facility</w:t>
            </w:r>
            <w:r>
              <w:rPr>
                <w:rFonts w:ascii="Arial" w:cs="Arial" w:eastAsia="Arial" w:hAnsi="Arial"/>
                <w:sz w:val="15"/>
                <w:szCs w:val="15"/>
                <w:color w:val="auto"/>
              </w:rPr>
              <w:t>(1)</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6"/>
              </w:rPr>
              <w:t>$40.0 million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$50.0 million</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one-month</w:t>
            </w:r>
          </w:p>
        </w:tc>
        <w:tc>
          <w:tcPr>
            <w:tcW w:w="460" w:type="dxa"/>
            <w:vAlign w:val="bottom"/>
          </w:tcPr>
          <w:p>
            <w:pPr>
              <w:jc w:val="right"/>
              <w:spacing w:after="0"/>
              <w:rPr>
                <w:sz w:val="20"/>
                <w:szCs w:val="20"/>
                <w:color w:val="auto"/>
              </w:rPr>
            </w:pPr>
            <w:r>
              <w:rPr>
                <w:rFonts w:ascii="Arial" w:cs="Arial" w:eastAsia="Arial" w:hAnsi="Arial"/>
                <w:sz w:val="14"/>
                <w:szCs w:val="14"/>
                <w:color w:val="auto"/>
              </w:rPr>
              <w:t>(1)</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August 2025</w:t>
            </w: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3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8"/>
              </w:rPr>
              <w:t>LIBOR (1%</w:t>
            </w: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floor)</w:t>
            </w: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plus 6.25%</w:t>
            </w:r>
          </w:p>
        </w:tc>
        <w:tc>
          <w:tcPr>
            <w:tcW w:w="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Mann Group convertible note</w:t>
            </w:r>
          </w:p>
        </w:tc>
        <w:tc>
          <w:tcPr>
            <w:tcW w:w="15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5"/>
              </w:rPr>
              <w:t>$18.4 million (plus</w:t>
            </w:r>
          </w:p>
        </w:tc>
        <w:tc>
          <w:tcPr>
            <w:tcW w:w="200" w:type="dxa"/>
            <w:vAlign w:val="bottom"/>
            <w:shd w:val="clear" w:color="auto" w:fill="CFF0FC"/>
          </w:tcPr>
          <w:p>
            <w:pPr>
              <w:spacing w:after="0"/>
              <w:rPr>
                <w:sz w:val="18"/>
                <w:szCs w:val="18"/>
                <w:color w:val="auto"/>
              </w:rPr>
            </w:pPr>
          </w:p>
        </w:tc>
        <w:tc>
          <w:tcPr>
            <w:tcW w:w="1720" w:type="dxa"/>
            <w:vAlign w:val="bottom"/>
            <w:gridSpan w:val="3"/>
            <w:shd w:val="clear" w:color="auto" w:fill="CFF0FC"/>
          </w:tcPr>
          <w:p>
            <w:pPr>
              <w:jc w:val="center"/>
              <w:ind w:right="320"/>
              <w:spacing w:after="0"/>
              <w:rPr>
                <w:sz w:val="20"/>
                <w:szCs w:val="20"/>
                <w:color w:val="auto"/>
              </w:rPr>
            </w:pPr>
            <w:r>
              <w:rPr>
                <w:rFonts w:ascii="Arial" w:cs="Arial" w:eastAsia="Arial" w:hAnsi="Arial"/>
                <w:sz w:val="18"/>
                <w:szCs w:val="18"/>
                <w:color w:val="auto"/>
                <w:w w:val="93"/>
              </w:rPr>
              <w:t>$28.0 million (plus</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2.50%</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2025</w:t>
            </w: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$2.50</w:t>
            </w:r>
          </w:p>
        </w:tc>
      </w:tr>
      <w:tr>
        <w:trPr>
          <w:trHeight w:val="216"/>
        </w:trPr>
        <w:tc>
          <w:tcPr>
            <w:tcW w:w="30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$0.2 million accrued</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center"/>
              <w:ind w:right="420"/>
              <w:spacing w:after="0"/>
              <w:rPr>
                <w:sz w:val="20"/>
                <w:szCs w:val="20"/>
                <w:color w:val="auto"/>
              </w:rPr>
            </w:pPr>
            <w:r>
              <w:rPr>
                <w:rFonts w:ascii="Arial" w:cs="Arial" w:eastAsia="Arial" w:hAnsi="Arial"/>
                <w:sz w:val="18"/>
                <w:szCs w:val="18"/>
                <w:color w:val="auto"/>
                <w:w w:val="96"/>
              </w:rPr>
              <w:t>$0.6 million</w:t>
            </w:r>
          </w:p>
        </w:tc>
        <w:tc>
          <w:tcPr>
            <w:tcW w:w="1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per share</w:t>
            </w:r>
          </w:p>
        </w:tc>
      </w:tr>
      <w:tr>
        <w:trPr>
          <w:trHeight w:val="216"/>
        </w:trPr>
        <w:tc>
          <w:tcPr>
            <w:tcW w:w="30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1"/>
              </w:rPr>
              <w:t>interest paid-in-</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center"/>
              <w:ind w:right="420"/>
              <w:spacing w:after="0"/>
              <w:rPr>
                <w:sz w:val="20"/>
                <w:szCs w:val="20"/>
                <w:color w:val="auto"/>
              </w:rPr>
            </w:pPr>
            <w:r>
              <w:rPr>
                <w:rFonts w:ascii="Arial" w:cs="Arial" w:eastAsia="Arial" w:hAnsi="Arial"/>
                <w:sz w:val="18"/>
                <w:szCs w:val="18"/>
                <w:color w:val="auto"/>
                <w:w w:val="87"/>
              </w:rPr>
              <w:t>accrued interest</w:t>
            </w:r>
          </w:p>
        </w:tc>
        <w:tc>
          <w:tcPr>
            <w:tcW w:w="1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7"/>
              </w:rPr>
              <w:t>kind)</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center"/>
              <w:ind w:right="420"/>
              <w:spacing w:after="0"/>
              <w:rPr>
                <w:sz w:val="20"/>
                <w:szCs w:val="20"/>
                <w:color w:val="auto"/>
              </w:rPr>
            </w:pPr>
            <w:r>
              <w:rPr>
                <w:rFonts w:ascii="Arial" w:cs="Arial" w:eastAsia="Arial" w:hAnsi="Arial"/>
                <w:sz w:val="18"/>
                <w:szCs w:val="18"/>
                <w:color w:val="auto"/>
                <w:w w:val="96"/>
              </w:rPr>
              <w:t>paid-in-kind)</w:t>
            </w:r>
          </w:p>
        </w:tc>
        <w:tc>
          <w:tcPr>
            <w:tcW w:w="1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15"/>
        </w:trPr>
        <w:tc>
          <w:tcPr>
            <w:tcW w:w="3000" w:type="dxa"/>
            <w:vAlign w:val="bottom"/>
          </w:tcPr>
          <w:p>
            <w:pPr>
              <w:spacing w:after="0"/>
              <w:rPr>
                <w:sz w:val="20"/>
                <w:szCs w:val="20"/>
                <w:color w:val="auto"/>
              </w:rPr>
            </w:pPr>
            <w:r>
              <w:rPr>
                <w:rFonts w:ascii="Arial" w:cs="Arial" w:eastAsia="Arial" w:hAnsi="Arial"/>
                <w:sz w:val="18"/>
                <w:szCs w:val="18"/>
                <w:color w:val="auto"/>
              </w:rPr>
              <w:t>Mann Group non-convertible note</w:t>
            </w:r>
            <w:r>
              <w:rPr>
                <w:rFonts w:ascii="Arial" w:cs="Arial" w:eastAsia="Arial" w:hAnsi="Arial"/>
                <w:sz w:val="15"/>
                <w:szCs w:val="15"/>
                <w:color w:val="auto"/>
              </w:rPr>
              <w:t>(3)</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720" w:type="dxa"/>
            <w:vAlign w:val="bottom"/>
            <w:gridSpan w:val="3"/>
          </w:tcPr>
          <w:p>
            <w:pPr>
              <w:jc w:val="center"/>
              <w:ind w:right="320"/>
              <w:spacing w:after="0"/>
              <w:rPr>
                <w:sz w:val="20"/>
                <w:szCs w:val="20"/>
                <w:color w:val="auto"/>
              </w:rPr>
            </w:pPr>
            <w:r>
              <w:rPr>
                <w:rFonts w:ascii="Arial" w:cs="Arial" w:eastAsia="Arial" w:hAnsi="Arial"/>
                <w:sz w:val="18"/>
                <w:szCs w:val="18"/>
                <w:color w:val="auto"/>
                <w:w w:val="93"/>
              </w:rPr>
              <w:t>$35.1 million (plus</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7.00%</w:t>
            </w:r>
          </w:p>
        </w:tc>
        <w:tc>
          <w:tcPr>
            <w:tcW w:w="4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November 2024</w:t>
            </w:r>
          </w:p>
        </w:tc>
        <w:tc>
          <w:tcPr>
            <w:tcW w:w="3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3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$3.6 million</w:t>
            </w: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accrued interest</w:t>
            </w: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paid-in-kind)</w:t>
            </w: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PPP loan</w:t>
            </w:r>
            <w:r>
              <w:rPr>
                <w:rFonts w:ascii="Arial" w:cs="Arial" w:eastAsia="Arial" w:hAnsi="Arial"/>
                <w:sz w:val="15"/>
                <w:szCs w:val="15"/>
                <w:color w:val="auto"/>
              </w:rPr>
              <w:t>(4)</w:t>
            </w:r>
          </w:p>
        </w:tc>
        <w:tc>
          <w:tcPr>
            <w:tcW w:w="15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6"/>
              </w:rPr>
              <w:t>$4.9 million</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420"/>
              <w:spacing w:after="0"/>
              <w:rPr>
                <w:sz w:val="20"/>
                <w:szCs w:val="20"/>
                <w:color w:val="auto"/>
              </w:rPr>
            </w:pPr>
            <w:r>
              <w:rPr>
                <w:rFonts w:ascii="Arial" w:cs="Arial" w:eastAsia="Arial" w:hAnsi="Arial"/>
                <w:sz w:val="18"/>
                <w:szCs w:val="18"/>
                <w:color w:val="auto"/>
                <w:w w:val="96"/>
              </w:rPr>
              <w:t>$4.9 million</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0.98%</w:t>
            </w:r>
          </w:p>
        </w:tc>
        <w:tc>
          <w:tcPr>
            <w:tcW w:w="460" w:type="dxa"/>
            <w:vAlign w:val="bottom"/>
            <w:shd w:val="clear" w:color="auto" w:fill="CFF0FC"/>
          </w:tcPr>
          <w:p>
            <w:pPr>
              <w:spacing w:after="0"/>
              <w:rPr>
                <w:sz w:val="19"/>
                <w:szCs w:val="19"/>
                <w:color w:val="auto"/>
              </w:rPr>
            </w:pP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April 2022</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r>
        <w:trPr>
          <w:trHeight w:val="215"/>
        </w:trPr>
        <w:tc>
          <w:tcPr>
            <w:tcW w:w="3000" w:type="dxa"/>
            <w:vAlign w:val="bottom"/>
          </w:tcPr>
          <w:p>
            <w:pPr>
              <w:spacing w:after="0"/>
              <w:rPr>
                <w:sz w:val="20"/>
                <w:szCs w:val="20"/>
                <w:color w:val="auto"/>
              </w:rPr>
            </w:pPr>
            <w:r>
              <w:rPr>
                <w:rFonts w:ascii="Arial" w:cs="Arial" w:eastAsia="Arial" w:hAnsi="Arial"/>
                <w:sz w:val="18"/>
                <w:szCs w:val="18"/>
                <w:color w:val="auto"/>
              </w:rPr>
              <w:t>2024 convertible notes</w:t>
            </w:r>
            <w:r>
              <w:rPr>
                <w:rFonts w:ascii="Arial" w:cs="Arial" w:eastAsia="Arial" w:hAnsi="Arial"/>
                <w:sz w:val="15"/>
                <w:szCs w:val="15"/>
                <w:color w:val="auto"/>
              </w:rPr>
              <w:t>(5)</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$5.0 million</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5.75%</w:t>
            </w:r>
          </w:p>
        </w:tc>
        <w:tc>
          <w:tcPr>
            <w:tcW w:w="4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November 2024</w:t>
            </w:r>
          </w:p>
        </w:tc>
        <w:tc>
          <w:tcPr>
            <w:tcW w:w="3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$3.00</w:t>
            </w:r>
          </w:p>
        </w:tc>
      </w:tr>
      <w:tr>
        <w:trPr>
          <w:trHeight w:val="230"/>
        </w:trPr>
        <w:tc>
          <w:tcPr>
            <w:tcW w:w="3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per share</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9" w:lineRule="exact"/>
        <w:rPr>
          <w:sz w:val="20"/>
          <w:szCs w:val="20"/>
          <w:color w:val="auto"/>
        </w:rPr>
      </w:pPr>
    </w:p>
    <w:p>
      <w:pPr>
        <w:ind w:left="380" w:right="120" w:hanging="372"/>
        <w:spacing w:after="0" w:line="205" w:lineRule="auto"/>
        <w:tabs>
          <w:tab w:leader="none" w:pos="380"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In April 2021, the Company prepaid $10.0 million principal balance and amended the MidCap credit facility. The interest rate prior to the amendment was one-month LIBOR (2% floor) plus 6.75% and the maturity date was in August 2024.</w:t>
      </w:r>
    </w:p>
    <w:p>
      <w:pPr>
        <w:ind w:left="380" w:hanging="372"/>
        <w:spacing w:after="0" w:line="183" w:lineRule="auto"/>
        <w:tabs>
          <w:tab w:leader="none" w:pos="380" w:val="left"/>
        </w:tabs>
        <w:numPr>
          <w:ilvl w:val="0"/>
          <w:numId w:val="5"/>
        </w:numPr>
        <w:rPr>
          <w:rFonts w:ascii="Arial" w:cs="Arial" w:eastAsia="Arial" w:hAnsi="Arial"/>
          <w:sz w:val="23"/>
          <w:szCs w:val="23"/>
          <w:color w:val="auto"/>
          <w:vertAlign w:val="superscript"/>
        </w:rPr>
      </w:pPr>
      <w:r>
        <w:rPr>
          <w:rFonts w:ascii="Arial" w:cs="Arial" w:eastAsia="Arial" w:hAnsi="Arial"/>
          <w:sz w:val="15"/>
          <w:szCs w:val="15"/>
          <w:color w:val="auto"/>
        </w:rPr>
        <w:t>In April 2021, the Mann Group convertible note was amended. The interest rate prior to the amendment was 7.00% and the maturity date was in November 2024.</w:t>
      </w:r>
    </w:p>
    <w:p>
      <w:pPr>
        <w:spacing w:after="0" w:line="10" w:lineRule="exact"/>
        <w:rPr>
          <w:rFonts w:ascii="Arial" w:cs="Arial" w:eastAsia="Arial" w:hAnsi="Arial"/>
          <w:sz w:val="23"/>
          <w:szCs w:val="23"/>
          <w:color w:val="auto"/>
          <w:vertAlign w:val="superscript"/>
        </w:rPr>
      </w:pPr>
    </w:p>
    <w:p>
      <w:pPr>
        <w:ind w:left="380" w:hanging="372"/>
        <w:spacing w:after="0" w:line="182" w:lineRule="auto"/>
        <w:tabs>
          <w:tab w:leader="none" w:pos="380"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In April 2021, the Company prepaid $35.1 million principal balance as well as accrued unpaid interest.</w:t>
      </w:r>
    </w:p>
    <w:p>
      <w:pPr>
        <w:spacing w:after="0" w:line="10"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In July 2021, the Company received full forgiveness from the SBA for the $4.9 million principal balance of the PPP loan.</w:t>
      </w:r>
    </w:p>
    <w:p>
      <w:pPr>
        <w:spacing w:after="0" w:line="10"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In February 2021, the $5.0 million principal balance was converted into 1,666,667 shares of the Company’s common stock.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our borrowings as of June 30, 2021 are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Amounts</w:t>
            </w:r>
          </w:p>
        </w:tc>
      </w:tr>
      <w:tr>
        <w:trPr>
          <w:trHeight w:val="25"/>
        </w:trPr>
        <w:tc>
          <w:tcPr>
            <w:tcW w:w="5960" w:type="dxa"/>
            <w:vAlign w:val="bottom"/>
            <w:tcBorders>
              <w:bottom w:val="single" w:sz="8" w:color="CFF0FC"/>
            </w:tcBorders>
          </w:tcPr>
          <w:p>
            <w:pPr>
              <w:spacing w:after="0"/>
              <w:rPr>
                <w:sz w:val="2"/>
                <w:szCs w:val="2"/>
                <w:color w:val="auto"/>
              </w:rPr>
            </w:pPr>
          </w:p>
        </w:tc>
        <w:tc>
          <w:tcPr>
            <w:tcW w:w="326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4,061</w:t>
            </w:r>
          </w:p>
        </w:tc>
        <w:tc>
          <w:tcPr>
            <w:tcW w:w="120" w:type="dxa"/>
            <w:vAlign w:val="bottom"/>
            <w:shd w:val="clear" w:color="auto" w:fill="CFF0FC"/>
          </w:tcPr>
          <w:p>
            <w:pPr>
              <w:spacing w:after="0"/>
              <w:rPr>
                <w:sz w:val="19"/>
                <w:szCs w:val="19"/>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2022</w:t>
            </w:r>
          </w:p>
        </w:tc>
        <w:tc>
          <w:tcPr>
            <w:tcW w:w="3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6,667</w:t>
            </w:r>
          </w:p>
        </w:tc>
        <w:tc>
          <w:tcPr>
            <w:tcW w:w="12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2024</w:t>
            </w:r>
          </w:p>
        </w:tc>
        <w:tc>
          <w:tcPr>
            <w:tcW w:w="3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38,425</w:t>
            </w: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3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243,333</w:t>
            </w:r>
          </w:p>
        </w:tc>
        <w:tc>
          <w:tcPr>
            <w:tcW w:w="120" w:type="dxa"/>
            <w:vAlign w:val="bottom"/>
            <w:shd w:val="clear" w:color="auto" w:fill="CFF0FC"/>
          </w:tcPr>
          <w:p>
            <w:pPr>
              <w:spacing w:after="0"/>
              <w:rPr>
                <w:sz w:val="19"/>
                <w:szCs w:val="19"/>
                <w:color w:val="auto"/>
              </w:rPr>
            </w:pP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Total principal payments</w:t>
            </w:r>
          </w:p>
        </w:tc>
        <w:tc>
          <w:tcPr>
            <w:tcW w:w="3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293,298</w:t>
            </w: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Discount</w:t>
            </w:r>
          </w:p>
        </w:tc>
        <w:tc>
          <w:tcPr>
            <w:tcW w:w="3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(1,386)</w:t>
            </w: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Debt issuance cost</w:t>
            </w:r>
          </w:p>
        </w:tc>
        <w:tc>
          <w:tcPr>
            <w:tcW w:w="3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(6,783)</w:t>
            </w:r>
          </w:p>
        </w:tc>
      </w:tr>
      <w:tr>
        <w:trPr>
          <w:trHeight w:val="223"/>
        </w:trPr>
        <w:tc>
          <w:tcPr>
            <w:tcW w:w="59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debt — net carrying amount</w:t>
            </w:r>
          </w:p>
        </w:tc>
        <w:tc>
          <w:tcPr>
            <w:tcW w:w="32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285,129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Senior convertible notes </w:t>
      </w:r>
      <w:r>
        <w:rPr>
          <w:rFonts w:ascii="Arial" w:cs="Arial" w:eastAsia="Arial" w:hAnsi="Arial"/>
          <w:sz w:val="18"/>
          <w:szCs w:val="18"/>
          <w:color w:val="auto"/>
        </w:rPr>
        <w:t>– On March 4, 2021, the Company issued $200.0 million aggregate principal amount of Senior convertible notes in a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Pursuant to an option to purchase additional senior convertible notes in the purchase agreement between the Company and the initial purchasers of the Senior convertible notes, the Company issued an additional $30.0 million aggregate principal amount of Senior convertible notes on March 15, 2021. The Senior convertible notes were issued pursuant to an indenture, dated March 4, 2021 (the “Indenture”), between the Company and U.S. Bank National Association, as trustee.</w:t>
      </w:r>
    </w:p>
    <w:p>
      <w:pPr>
        <w:spacing w:after="0" w:line="1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Senior convertible notes are general unsecured obligations of the Company and will mature on March 1, 2026, unless earlier converted, redeemed or repurchased. The Senior convertible notes will bear cash interest from March 4, 2021 at an annual rate of 2.50% payable semi-annually in arrears on March 1 and September 1 of each year, beginning on September 1, 2021. The Senior convertible notes are convertible at the option of the holders at any time prior to the close of business on the business day immediately preceding December 1, 2025, only under the following circumstances: (1) during any calendar quarter commencing after the calendar quarter ending on June 30, 2021 (and only during such calendar quarter), if the last reported sale price of the Company’s common stock, par value $0.01 per share, for at least 20 trading days (whether or not consecutive) during a period of 30 consecutive trading days ending on, and including, the last trading day of the immediately preceding calendar quarter is greater than or equal to 130%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right="20"/>
        <w:spacing w:after="0" w:line="270" w:lineRule="auto"/>
        <w:rPr>
          <w:sz w:val="20"/>
          <w:szCs w:val="20"/>
          <w:color w:val="auto"/>
        </w:rPr>
      </w:pPr>
      <w:r>
        <w:rPr>
          <w:rFonts w:ascii="Arial" w:cs="Arial" w:eastAsia="Arial" w:hAnsi="Arial"/>
          <w:sz w:val="17"/>
          <w:szCs w:val="17"/>
          <w:color w:val="auto"/>
        </w:rPr>
        <w:t>the conversion price for the Senior convertible notes on each applicable trading day; (2) during the five business day period after any ten consecutive trading day period in which the trading price (as defined in the Indenture) per $1,000 principal amount of the Senior convertible notes for each trading day of the measurement period was less than 98% of the product of the last reported sale price of the Common Stock and the conversion rate on each such trading day; (3) if the Company calls such Notes for redemption, at any time prior to the close of business on the scheduled trading day immediately preceding the redemption date, but only with respect to the Senior convertible notes called (or deemed called) for redemption; or (4) upon the occurrence of specified corporate events as set forth in the Indenture. On or after December 1, 2025 until the close of business on the business day immediately preceding the maturity date, holders may convert all or any portion of their Notes at any time, regardless of the foregoing circumstances. Upon conversion, the Company will pay or deliver, as the case may be, cash, shares of the Common Stock or a combination of cash and shares of Common Stock, at the Company’s election, in the manner and subject to the terms and conditions provided in the Indenture.</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initial conversion rate is 191.8281 shares of Common Stock per $1,000 principal amount of Notes (equivalent to an initial conversion price of approximately $5.21 per share of Common Stock). The initial conversion price of the Senior convertible notes represents a premium of approximately 30% to the last reported sale price of the Common Stock on the Nasdaq Global Market on March 1, 2021. The conversion rate for the Senior convertible notes is subject to adjustment under certain circumstances in accordance with the terms of the Indenture, but will not be adjusted for any accrued and unpaid interest. In addition, following certain corporate events that occur prior to the maturity date of the Senior convertible notes or if the Company delivers a notice of redemption in respect of the Senior convertible notes, the Company will, in certain circumstances, increase the conversion rate of the Senior convertible notes for a holder who elects to convert its Notes in connection with such a corporate event or convert its Notes called for redemption during the related redemption period (as defined in the Indenture), as the case may be.</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may not redeem the Senior convertible notes prior to March 6, 2024. The Company may redeem for cash all or any portion of the Senior convertible notes, at its option, on or after March 6, 2024 and prior to the 36th scheduled trading day immediately preceding the maturity date, if the last reported sale price of Common Stock has been at least 130% of the conversion price for the Senior convertible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Senior convertible notes to be redeemed, plus accrued and unpaid interest to, but excluding, the redemption date. If the Company elects to redeem less than all of the outstanding Notes, at least $75.0 million aggregate principal amount of Notes must be outstanding and not subject to redemption as of the relevant redemption notice date. No sinking fund is provided for the Senior convertible notes.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the Company undergoes a fundamental change (as defined in the Indenture), then, subject to certain conditions and except as described in the Indenture, holders may require the Company to repurchase for cash all or any portion of their Notes at a fundamental change repurchase price equal to 100% of the principal amount of the Senior convertible notes to be repurchased, plus accrued and unpaid interest to, but excluding, the fundamental change repurchase date.</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Indenture includes customary covenants and sets forth certain events of default after which the Senior convertible notes may be declared immediately due and payable.</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If certain bankruptcy and insolvency-related events of default involving the Company (and not just any of its significant subsidiaries) occur, 100% of the principal of and accrued and unpaid interest on the Senior convertible notes will automatically become due and payable. If an event of default with respect to the Senior convertible notes, other than certain bankruptcy and insolvency-related events of default involving the Company (and not just any of its significant subsidiaries), occurs and is continuing, the trustee, by notice to the Company, or the holders of at least 25% in principal amount of the outstanding Notes by notice to the Company and the trustee, may, and the trustee at the request of such holders shall, declare 100% of the principal of and accrued and unpaid interest, if any, on all the Senior convertible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Senior convertible notes as set forth in the Indenture.</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corporation organized and existing under the laws of the United States of America, any State thereof or the District of Columbia, and such corporation (if not the Company) expressly assumes by supplemental indenture all of the Company’s obligations under the Senior convertible notes and the Indenture; and (ii) immediately after giving effect to such transaction, no default or event of default has occurred and is continuing under the Indenture.</w:t>
      </w:r>
    </w:p>
    <w:p>
      <w:pPr>
        <w:spacing w:after="0" w:line="16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Company’s net proceeds from the Offering were approximately $222.7 million, after deducting the initial purchasers’ discounts and commissions and the estimated Offering expenses payable by the Company. As of June 30, 2021, the unamortized debt issuance cost was $6.8 million.</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MidCap credit facility </w:t>
      </w:r>
      <w:r>
        <w:rPr>
          <w:rFonts w:ascii="Arial" w:cs="Arial" w:eastAsia="Arial" w:hAnsi="Arial"/>
          <w:sz w:val="18"/>
          <w:szCs w:val="18"/>
          <w:color w:val="auto"/>
        </w:rPr>
        <w:t>— In August 2019, the Company entered into the MidCap credit facility and borrowed the first advance of $40.0 million (“Tranche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 in August 2019 and the second advance of $10.0 million (“Tranche 2”) in December 2020. In April 2021, $10.0 million was prepaid. Under the terms of the MidCap credit facility, a third advance of $60.0 million (“Tranche 3”) will be available to the Company between January 1, 2022 and June 30, 2022, subject to the satisfaction of certain milestone conditions associated with Tyvaso DPI through the Company’s collaboration with United Therapeutics (see Note 7 – </w:t>
      </w:r>
      <w:r>
        <w:rPr>
          <w:rFonts w:ascii="Arial" w:cs="Arial" w:eastAsia="Arial" w:hAnsi="Arial"/>
          <w:sz w:val="18"/>
          <w:szCs w:val="18"/>
          <w:i w:val="1"/>
          <w:iCs w:val="1"/>
          <w:color w:val="auto"/>
        </w:rPr>
        <w:t>Collaboration, Licensing and Other Arrangements</w:t>
      </w:r>
      <w:r>
        <w:rPr>
          <w:rFonts w:ascii="Arial" w:cs="Arial" w:eastAsia="Arial" w:hAnsi="Arial"/>
          <w:sz w:val="18"/>
          <w:szCs w:val="18"/>
          <w:color w:val="auto"/>
        </w:rPr>
        <w:t>).</w:t>
      </w:r>
    </w:p>
    <w:p>
      <w:pPr>
        <w:sectPr>
          <w:pgSz w:w="11900" w:h="16838" w:orient="portrait"/>
          <w:cols w:equalWidth="0" w:num="1">
            <w:col w:w="11240"/>
          </w:cols>
          <w:pgMar w:left="320" w:top="34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1" w:name="page22"/>
    <w:bookmarkEnd w:id="21"/>
    <w:p>
      <w:pPr>
        <w:ind w:right="260"/>
        <w:spacing w:after="0" w:line="290" w:lineRule="auto"/>
        <w:rPr>
          <w:sz w:val="20"/>
          <w:szCs w:val="20"/>
          <w:color w:val="auto"/>
        </w:rPr>
      </w:pPr>
      <w:r>
        <w:rPr>
          <w:rFonts w:ascii="Arial" w:cs="Arial" w:eastAsia="Arial" w:hAnsi="Arial"/>
          <w:sz w:val="17"/>
          <w:szCs w:val="17"/>
          <w:color w:val="auto"/>
        </w:rPr>
        <w:t>In December 2019, the Company entered into the first amendment to the MidCap credit facility, pursuant to which the parties agreed to (i) amend the financial covenant relating to trailing twelve month minimum Afrezza Net Revenue (as defined in the MidCap credit facility) requirements, (ii) add a condition to the third advance that requires the Company achieve certain amounts of Afrezza Net Revenue, and (iii) increase the exit fee from 6.00% to 7.00% of the principal amount of all term loans advanced to the Company under the MidCap credit facility.</w:t>
      </w:r>
    </w:p>
    <w:p>
      <w:pPr>
        <w:spacing w:after="0" w:line="16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August 2020, the Company entered into the second amendment to the MidCap credit facility, pursuant to which the parties agreed that no breach of the minimum Afrezza net revenue covenant for any trailing twelve-month reporting period between July 31, 2020 and November 30, 2020 will be deemed to occur if the Company delivers satisfactory evidence that it had unrestricted cash of at least $40.0 million. Without this amendment, the Company would have been in violation of the minimum Afrezza net revenue covenant as of September 30, 2020.</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November 2020, the Company entered into the third amendment to the MidCap credit facility, pursuant to which the parties agreed to (i) amend the conditions to draw Tranche 2, which had become unavailable, such that the advance became available and was, in fact, funded to the Company on December 1, 2020, (ii) amend the conditions to Tranche 3 such that the third advance was available upon the satisfaction of certain conditions, including certain milestone conditions associated with Tyvaso DPI, (iii) add a covenant that requires the marketing of Tyvaso DPI if the third advance is funded, (iv) amend the financial covenant relating to trailing twelve month minimum Afrezza Net Revenue (as defined in the MidCap credit facility) requirements, (v) increase the minimum cash covenant to $30.0 million at all times, (vi) extend the interest only period until September 1, 2022, at which time principal on each term loan advance is payable in 24 equal monthly installments, and (vii) amend the prepayment fees.</w:t>
      </w:r>
    </w:p>
    <w:p>
      <w:pPr>
        <w:spacing w:after="0" w:line="17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 xml:space="preserve">In connection with the extension of the interest only period for the $40.0 million drawn under Tranche 1, a $0.2 million loss on extinguishment was recognized in the consolidated statements of operations for the year ended December 31, 2020. The funding of $10.0 million under Tranche 2 resulted in the recognition of approximately $0.3 million of debt discount and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debt issuance costs.</w:t>
      </w:r>
    </w:p>
    <w:p>
      <w:pPr>
        <w:spacing w:after="0" w:line="16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In December 2020, the Company entered into the fourth and fifth amendments to the MidCap credit facility. Pursuant to the fourth amendment, MidCap consented to the acquisition by the Company of QrumPharma, Inc. Pursuant to the omnibus joinder and fifth amendment, QrumPharma was joined as a borrower to the MidCap credit facility and to certain related financing documents.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March 2021 the Company entered into the sixth amendment to the MidCap credit facility to accommodate the issuance of the Senior convertible notes. On April 22, 2021, the Company entered into the seventh amendment of the MidCap credit facility, pursuant to which the parties agreed to, among other things, (i) increase the amount available under the third advance from $25.0 million to $60.0 million and extend the date through which the third advance is available to June 30, 2022, (ii) amend the conditions to the third advance of $60.0 million being available to draw, including certain milestone conditions associated with Tyvaso DPI, (iii) remove the Company’s obligation to issue a warrant to purchase shares of the Company’s common stock upon drawing down the third advance, (iv) extend the interest-only period until September 1, 2023 and extend the maturity date until August 1, 2025, (v) amend the financial covenant relating to trailing 12 month minimum Afrezza net revenue, (vi) decrease the minimum cash covenant, (vii) decrease the interest rate on any amounts outstanding, now or in the future, under the MidCap credit facility, (viii) permit the Company to make certain acquisitions, subject to requirements, and (ix) permit the Company to make investments of up to an additional $9.0 million so long as the Company has $90.0 million or more of unrestricted cash and short-term investments following such investment. Concurrent with entering into this amendment, the Company made a $10.0 million principal prepayment against outstanding term loans under the MidCap credit facility and paid a related $1.0 million exit fee in lieu of the unaccrued portion of the original exit fee and prepayment penalties that would otherwise have been due with respect to the partial prepayment.</w:t>
      </w:r>
    </w:p>
    <w:p>
      <w:pPr>
        <w:spacing w:after="0" w:line="16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Tranche 1, Tranche 2 and, if borrowed, Tranche 3, each accrue interest at an annual rate equal to the lesser of (i) 8.25% and (ii) the one-month LIBOR (subject to a one-month LIBOR floor of 1.00%) plus 6.25%. Interest on each term loan advance is due and payable monthly in arrears. Principal on each term loan advance under Tranche 1, Tranche 2 and, if applicable, Tranche 3 is payable in 24 equal monthly installments beginning September 1, 2023, until paid in full on August 1, 2025. The Company has the option to prepay its existing term loans, in whole or in part, subject to early termination fees in an amount equal to 3.00% of principal prepaid if prepayment occurs on or prior to April 22, 2022; 2.00% of principal prepaid if prepayment occurs on or after April 23, 2022 through and including April 22, 2023; and 1.00% of principal prepaid if prepayment occurs on or after April 23, 2023 through the maturity date. Tranche 3 will be subject to a similar scheme of early termination fees measured from the anniversary of the funding date for such tranche, if ever.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The prepayment penalty of $1.0 million related to the payment of $10.0 million was capitalized and will be amortized over the remaining life of the debt.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 unamortized debt discount was $0.4 million and the unamortized prepayment penalty was $0.9 million.</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Company’s obligations under the MidCap credit facility are secured by a security interest on substantially all of its assets, including intellectual property.</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MidCap credit facility, as amended, contains customary affirmative covenants and customary negative covenants limiting the Company’s ability and the ability of the Company’s subsidiaries to, among other things, dispose of assets, undergo a change in control, merge or consolidate, make acquisitions, incur debt, incur liens, pay dividends, repurchase stock and make investments, in each case subject to certain exceptions. The Company must also comply with a financial covenant relating to trailing twelve month minimum Afrezza net revenue, tested on a monthly basis, unless the Company has $90.0 million or more of unrestricted cash and short-term investments. The Company is also subject to a minimum cash covenant of $10.0 million at all times; however, this covenant will be eliminated in the event that Tyvaso DPI is approved by the FDA. As of June 30, 2021, the Company was in compliance with the financial and minimum cash covenants.</w:t>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MidCap credit facility also contains customary events of default relating to, among other things, payment defaults, breaches of covenants, a material adverse change, listing of the Company’s common stock, bankruptcy and insolvency, cross defaults with certain material indebtedness and certain material contracts, judgments, and inaccuracies of representations and warranties. Upon an event of default, the agent and the lenders may declare all or a portion of the Company’s outstanding obligations to be immediately due and payable and exercise other rights and remedies provided for under the MidCap credit facility. During the existence of an event of default, interest on the term loans could be increased by 2.00%.</w:t>
      </w:r>
    </w:p>
    <w:p>
      <w:pPr>
        <w:spacing w:after="0" w:line="17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also agreed to issue warrants to purchase shares of the Company’s common stock (the “MidCap warrants”) upon the drawdown of Tranches 1 and 2 in an aggregate amount equal to 3.25% of the amount drawn, divided by the exercise price per share for that tranche. The exercise price per share is equal to the volume-weighted average closing price of the Company’s common stock for the ten business days immediately preceding the second business day before the issue date. As a result of Tranche 1, the Company issued warrants to purchase an aggregate of 1,171,614 shares of the Company’s common stock, at an exercise price equal to $1.11 per share. As a result of Tranche 2, the Company issued warrants to purchase an aggregate of 111,853 shares of the Company’s common stock, at an exercise price equal to $2.91 per share. The MidCap warrants are immediately exercisable and expire on the earlier to occur of the seventh anniversary of the respective issue date or, in certain circumstances, the closing of a merger, sale or other consolidation transactions in which the consideration is cash, stock of a publicly traded acquirer, or a combination thereof. The Company determined that these warrants met the criteria for equity classification and accounted for such warrants in additional paid-in capital.</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Mann Group promissory notes </w:t>
      </w:r>
      <w:r>
        <w:rPr>
          <w:rFonts w:ascii="Arial" w:cs="Arial" w:eastAsia="Arial" w:hAnsi="Arial"/>
          <w:sz w:val="18"/>
          <w:szCs w:val="18"/>
          <w:color w:val="auto"/>
        </w:rPr>
        <w:t>— In August 2019, the Company issued a $35.0 million note that is convertible into shares of the Company’s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at $2.50 per share (the “Mann Group convertible note”) and issued a non-convertible note to Mann Group in an aggregate principal amount of $35.1 million (the “Mann Group non-convertible note” and, together with the Mann Group convertible note, the “Mann Group promissory notes”) as part of a restructuring of its then existing indebtedness to Mann Group.</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Mann Group promissory notes each accrued interest at the rate of 7.00% per year on the principal amount, payable quarterly in arrears on the first day of each calendar quarter beginning October 1, 2019. On April 22, 2021, the Company and Mann Group entered into an amendment of the Mann Group convertible note, pursuant to which the parties agreed to (i) reduce the interest rate from 7.0% to 2.5% effective on April 22, 2021, and (ii) extend the maturity date from November 3, 2024 to December 31, 2025.</w:t>
      </w:r>
    </w:p>
    <w:p>
      <w:pPr>
        <w:spacing w:after="0" w:line="18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 xml:space="preserve">The amendment to the Mann Group convertible note resulted in a debt extinguishment with a substantial premium based on the fair value post extinguishment. The fair value in excess of the face amount of $18.4 million contributed to a loss on extinguishment of $22.1 million in our condensed consolidated statement of operations for the three and six months ended June 30, 2021 and resulted in a corresponding debt premium of $22.1 million which was recognized as additional paid-in capital in our condensed consolidated balance sheet as of June 30, 2021. </w:t>
      </w:r>
      <w:r>
        <w:rPr>
          <w:rFonts w:ascii="Arial" w:cs="Arial" w:eastAsia="Arial" w:hAnsi="Arial"/>
          <w:sz w:val="14"/>
          <w:szCs w:val="14"/>
          <w:color w:val="auto"/>
        </w:rPr>
        <w:t>The accounting for the $22.1 million loss</w:t>
      </w:r>
      <w:r>
        <w:rPr>
          <w:rFonts w:ascii="Arial" w:cs="Arial" w:eastAsia="Arial" w:hAnsi="Arial"/>
          <w:sz w:val="16"/>
          <w:szCs w:val="16"/>
          <w:color w:val="auto"/>
        </w:rPr>
        <w:t xml:space="preserve"> </w:t>
      </w:r>
      <w:r>
        <w:rPr>
          <w:rFonts w:ascii="Arial" w:cs="Arial" w:eastAsia="Arial" w:hAnsi="Arial"/>
          <w:sz w:val="14"/>
          <w:szCs w:val="14"/>
          <w:color w:val="auto"/>
        </w:rPr>
        <w:t xml:space="preserve">on extinguishment did not result in a change in the financial position of the Company. </w:t>
      </w:r>
      <w:r>
        <w:rPr>
          <w:rFonts w:ascii="Arial" w:cs="Arial" w:eastAsia="Arial" w:hAnsi="Arial"/>
          <w:sz w:val="15"/>
          <w:szCs w:val="15"/>
          <w:color w:val="auto"/>
        </w:rPr>
        <w:t>The Company wrote off a</w:t>
      </w:r>
      <w:r>
        <w:rPr>
          <w:rFonts w:ascii="Arial" w:cs="Arial" w:eastAsia="Arial" w:hAnsi="Arial"/>
          <w:sz w:val="14"/>
          <w:szCs w:val="14"/>
          <w:color w:val="auto"/>
        </w:rPr>
        <w:t xml:space="preserve"> </w:t>
      </w:r>
      <w:r>
        <w:rPr>
          <w:rFonts w:ascii="Arial" w:cs="Arial" w:eastAsia="Arial" w:hAnsi="Arial"/>
          <w:sz w:val="15"/>
          <w:szCs w:val="15"/>
          <w:i w:val="1"/>
          <w:iCs w:val="1"/>
          <w:color w:val="auto"/>
        </w:rPr>
        <w:t>de minimis</w:t>
      </w:r>
      <w:r>
        <w:rPr>
          <w:rFonts w:ascii="Arial" w:cs="Arial" w:eastAsia="Arial" w:hAnsi="Arial"/>
          <w:sz w:val="14"/>
          <w:szCs w:val="14"/>
          <w:color w:val="auto"/>
        </w:rPr>
        <w:t xml:space="preserve"> </w:t>
      </w:r>
      <w:r>
        <w:rPr>
          <w:rFonts w:ascii="Arial" w:cs="Arial" w:eastAsia="Arial" w:hAnsi="Arial"/>
          <w:sz w:val="15"/>
          <w:szCs w:val="15"/>
          <w:color w:val="auto"/>
        </w:rPr>
        <w:t>amount of debt issuance cost.</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principal and any accrued and unpaid interest under the Mann Group convertible note may be converted, at the option of Mann Group, at any time on or prior to the close of business on the business day immediately preceding the stated maturity date, into shares of the Company’s common stock at a conversion rate of 400 shares per $1,000 of principal and/or accrued and unpaid interest, which is equal to a conversion price of $2.50 per share. The conversion rate will be subject to adjustment under certain circumstances described in the Mann Group convertible note. Interest on the convertible note will be payable in kind by adding the amount thereof to the principal amount; provided that with respect to interest accruing from and after January 1, 2021, the Company may, at its option, elect to pay any such interest on any interest payment date, if certain conditions are met, in shares of the Company’s common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stock at a price per shall equal to the last reported sale price on the trading day immediately prior to the payment date.</w:t>
      </w:r>
    </w:p>
    <w:p>
      <w:pPr>
        <w:spacing w:after="0" w:line="23" w:lineRule="exact"/>
        <w:rPr>
          <w:sz w:val="20"/>
          <w:szCs w:val="20"/>
          <w:color w:val="auto"/>
        </w:rPr>
      </w:pPr>
    </w:p>
    <w:p>
      <w:pPr>
        <w:jc w:val="both"/>
        <w:ind w:right="260"/>
        <w:spacing w:after="0" w:line="277" w:lineRule="auto"/>
        <w:rPr>
          <w:sz w:val="20"/>
          <w:szCs w:val="20"/>
          <w:color w:val="auto"/>
        </w:rPr>
      </w:pPr>
      <w:r>
        <w:rPr>
          <w:rFonts w:ascii="Arial" w:cs="Arial" w:eastAsia="Arial" w:hAnsi="Arial"/>
          <w:sz w:val="17"/>
          <w:szCs w:val="17"/>
          <w:color w:val="auto"/>
        </w:rPr>
        <w:t>Pursuant to the terms of the Mann Group convertible note, Mann Group converted $3.0 million of accrued interest and $7.0 million of principal into 1.2 million shares and 2.8 million shares, respectively, of the Company’s common stock in the fourth quarter of 2020. During the six months ended June 30, 2021, Mann Group converted $0.4 million of interest and $9.6 million of principal into 4,000,000 shares of common stock.</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22, 2021, the Company repaid the entire principal amount of $35.1 million outstanding under the Mann Group non-convertible note, together with all accrued and unpaid interest thereon.</w:t>
      </w:r>
    </w:p>
    <w:p>
      <w:pPr>
        <w:spacing w:after="0" w:line="170" w:lineRule="exact"/>
        <w:rPr>
          <w:sz w:val="20"/>
          <w:szCs w:val="20"/>
          <w:color w:val="auto"/>
        </w:rPr>
      </w:pPr>
    </w:p>
    <w:p>
      <w:pPr>
        <w:ind w:right="500" w:firstLine="8"/>
        <w:spacing w:after="0" w:line="263" w:lineRule="auto"/>
        <w:tabs>
          <w:tab w:leader="none" w:pos="37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loan </w:t>
      </w:r>
      <w:r>
        <w:rPr>
          <w:rFonts w:ascii="Arial" w:cs="Arial" w:eastAsia="Arial" w:hAnsi="Arial"/>
          <w:sz w:val="18"/>
          <w:szCs w:val="18"/>
          <w:color w:val="auto"/>
        </w:rPr>
        <w:t>– On April 10, 2020, the Company received the proceeds from the PPP loan from JPMorgan Chase Bank, N.A., as lender, in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$4.9 million pursuant to the PPP of the CARES Act. On July 28, 2021, the Company received notification from the SBA that the full principal amount of the PPP loan was forgiven.</w:t>
      </w:r>
    </w:p>
    <w:p>
      <w:pPr>
        <w:spacing w:after="0" w:line="18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Prior to being forgiven, the PPP loan was evidenced by a promissory note dated April 9, 2020 that matured on April 9, 2022 and bore interest at a rate of 0.98% per annum (which was being deferred). The Company used all proceeds from the PPP loan to retain employees, maintain payroll and make lease, interest and utility payments.</w:t>
      </w:r>
    </w:p>
    <w:p>
      <w:pPr>
        <w:spacing w:after="0" w:line="18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color w:val="auto"/>
        </w:rPr>
        <w:t xml:space="preserve">2024 convertible notes </w:t>
      </w:r>
      <w:r>
        <w:rPr>
          <w:rFonts w:ascii="Arial" w:cs="Arial" w:eastAsia="Arial" w:hAnsi="Arial"/>
          <w:sz w:val="16"/>
          <w:szCs w:val="16"/>
          <w:color w:val="auto"/>
        </w:rPr>
        <w:t>— In August 2019, the Company issued 5.75% convertible senior subordinated exchange notes due November 2024 (the “2024</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notes”) pursuant to an indenture, dated as of August 6, 2019, between the Company and U.S. Bank National Association, as trustee (the “2019 Indenture”). The 2024 convertible notes were the Company’s general, unsecured obligations, and were subordinated in right of payment to the indebtedness incurred pursuant to the MidCap credit facility. The 2024 convertible notes ranked equally in right of payment with the Company’s other unsecured senior debt. The 2024 convertible notes accrued interest at the rate of 5.75% per year on the principal amount, payable semiannually in arrears on February 15 and August 15 of each year, beginning February 15, 2020, with interest accruing from August 6, 2019. Interest on the 2024 convertible notes was payable in cash or, at the option of the Company if certain conditions are met, in shares of the Company’s common stock at a price per share equal to the last reported sale price on the trading day immediately prior to the interest payment date.</w:t>
      </w:r>
    </w:p>
    <w:p>
      <w:pPr>
        <w:spacing w:after="0" w:line="16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2024 convertible notes were convertible, at the option of the holder, at any time on or prior to the close of business on the business day immediately preceding the stated maturity date, into shares of the Company’s common stock at a conversion rate of 333.3333 shares per $1,000 principal amount of 2024 convertible notes, which is equal to a conversion price of approximately $3.00 per share.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 February 2021, the Company converted the $5.0 million 2024 convertible notes with the issuance of 1,666,667 shares of the Company’s common stock.</w:t>
      </w:r>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Amortization of debt discount and debt issuance cost related to all borrowings for the three and six months ended June 30, 2021 and 2020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380" w:type="dxa"/>
            <w:vAlign w:val="bottom"/>
            <w:gridSpan w:val="4"/>
          </w:tcPr>
          <w:p>
            <w:pPr>
              <w:jc w:val="center"/>
              <w:ind w:left="262"/>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3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19"/>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3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discount</w:t>
            </w:r>
          </w:p>
        </w:tc>
        <w:tc>
          <w:tcPr>
            <w:tcW w:w="840" w:type="dxa"/>
            <w:vAlign w:val="bottom"/>
            <w:shd w:val="clear" w:color="auto" w:fill="CFF0FC"/>
          </w:tcPr>
          <w:p>
            <w:pPr>
              <w:jc w:val="right"/>
              <w:ind w:right="66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Amortization of debt issuance cost</w:t>
            </w:r>
          </w:p>
        </w:tc>
        <w:tc>
          <w:tcPr>
            <w:tcW w:w="8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488</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i w:val="1"/>
          <w:iCs w:val="1"/>
          <w:color w:val="auto"/>
        </w:rPr>
        <w:t xml:space="preserve">Milestone Rights </w:t>
      </w:r>
      <w:r>
        <w:rPr>
          <w:rFonts w:ascii="Arial" w:cs="Arial" w:eastAsia="Arial" w:hAnsi="Arial"/>
          <w:sz w:val="17"/>
          <w:szCs w:val="17"/>
          <w:color w:val="auto"/>
        </w:rPr>
        <w:t>— As of June 30, 2021 and December 31, 2020, the remaining Milestone Rights liability balance was $5.9 million and $7.3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which was based on initial fair value estimates calculated using the income approach and reduced by milestone achievement payments made. During the first quarter of 2021, the Company achieved the second Afrezza net sales milestone specified by the Milestone Rights. The milestone carrying value of the Milestone Rights liability related to the $5.0 million payment, which was made in the second quarter of 2021, was approximately $1.3 million, which represented the fair value as determined in 2013 (the most recent measurement date).</w:t>
      </w:r>
    </w:p>
    <w:p>
      <w:pPr>
        <w:spacing w:after="0" w:line="16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agreement with the Milestone Purchasers that provides for the Milestone Rights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7. Collaboration, Licensing and Other Arrangements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Revenue from collaborations and services for the three and six months ended June 30, 2021 and 2020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ind w:right="39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9"/>
                <w:szCs w:val="19"/>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UT License Agreement</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12,163</w:t>
            </w:r>
          </w:p>
        </w:tc>
        <w:tc>
          <w:tcPr>
            <w:tcW w:w="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7,978</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21,163</w:t>
            </w:r>
          </w:p>
        </w:tc>
        <w:tc>
          <w:tcPr>
            <w:tcW w:w="2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Vertice Pharma Co-Promotion Agreement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856</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Receptor CLA</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Cipla License and Distribution Agreement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UT Research Agreement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FF0FC"/>
            </w:tcBorders>
          </w:tcPr>
          <w:p>
            <w:pPr>
              <w:spacing w:after="0"/>
              <w:rPr>
                <w:sz w:val="19"/>
                <w:szCs w:val="19"/>
                <w:color w:val="auto"/>
              </w:rPr>
            </w:pPr>
          </w:p>
        </w:tc>
      </w:tr>
      <w:tr>
        <w:trPr>
          <w:trHeight w:val="223"/>
        </w:trPr>
        <w:tc>
          <w:tcPr>
            <w:tcW w:w="55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 from collaborations and services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13,304</w:t>
            </w: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8,129</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22,641</w:t>
            </w:r>
          </w:p>
        </w:tc>
        <w:tc>
          <w:tcPr>
            <w:tcW w:w="2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i w:val="1"/>
          <w:iCs w:val="1"/>
          <w:color w:val="auto"/>
        </w:rPr>
        <w:t xml:space="preserve">United Therapeutics License Agreement </w:t>
      </w:r>
      <w:r>
        <w:rPr>
          <w:rFonts w:ascii="Arial" w:cs="Arial" w:eastAsia="Arial" w:hAnsi="Arial"/>
          <w:sz w:val="18"/>
          <w:szCs w:val="18"/>
          <w:color w:val="auto"/>
        </w:rPr>
        <w:t>— In September 2018, the Company and United Therapeutics Corporation (“United Therapeutics” or “UT”)</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an exclusive global license and collaboration agreement (the “UT License Agreement”) for the rights to the Company’s dry powder formulation of treprostinil (“Tyvaso DPI”) and associated inhalation delivery devices. Under the UT License Agreement, UT is responsible for global development, regulatory and commercial activities with respect to Tyvaso DPI. The Company is responsible for manufacturing clinical supplies and commercial supplies of Tyvaso DPI.</w:t>
      </w:r>
    </w:p>
    <w:p>
      <w:pPr>
        <w:spacing w:after="0" w:line="18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Under the terms of the UT License Agreement, the Company received an upfront payment of $45.0 million in October 2018 and four $12.5 million milestone payments between April 2019 and November 2020. The Company will also be entitled to receive low double-digit royalties on net sales of Tyvaso DPI as well as a manufacturing margin on commercial supplies of the product. UT, at its option, may expand the scope of the products covered by the UT License Agreement to include products with certain other active ingredients for the treatment of pulmonary arterial hypertension. Each such optioned product would be subject to UT’s payment to the Company of up to $40.0 million in additional option exercise and development milestone payments, as well as a low double-digit royalty on net sales of any such product.</w:t>
      </w:r>
    </w:p>
    <w:p>
      <w:pPr>
        <w:spacing w:after="0" w:line="1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At the inception of the agreement, the Company identified one distinct, performance obligation. The Company determined that the key deliverables include the license, supply of product to be used in clinical development, and certain research services upon achievement of specified development targets. Due to the specialized and unique nature of these services and their direct relationship with the license, the Company has determined that these deliverables represent one distinct bundle and thus, one performance obligation. The Company also determined that UT’s option to expand the scope of the products to include products with other active ingredients is not a material right, and thus, not a performance obligation at the onset of the agreement. The consideration for the option will be accounted for upon exercise of the option.</w:t>
      </w:r>
    </w:p>
    <w:p>
      <w:pPr>
        <w:spacing w:after="0" w:line="178"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The Company expected to complete the activities specified in the initial development plan and to achieve the milestone events (including a $2.7 million increase in total consideration pursuant to the agreement executed in December 2020) by December 31, 2021 for total consideration of approximately $105.8 million, which included an upfront payment, four milestone payments, various pass-through costs and payments for clinical supplies. Through March 2021, the Company recognized revenue ratably over a 13-quarter period ending December 2021, which represented the estimated period to satisfy the performance obligation.</w:t>
      </w:r>
    </w:p>
    <w:p>
      <w:pPr>
        <w:spacing w:after="0" w:line="18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May 2021, UT and the Company updated the development plan under the UT License Agreement to provide for additional process-development and stability-testing activities as well as the expansion of the Company’s commercial manufacturing capacity. The activities and deliverables under the current development plan resulted in four distinct performance obligations which include: (1) the continued development and approval process for a new drug application (“NDA”) (“R&amp;D Services”); (2) certain pre-commercial services in preparation for commercial launch of Tyvaso DPI “(Pre-Commercial Services”); (3) development activities for the next generation of Tyvaso DPI (“Next-gen R&amp;D Services”); and (4) certain design and construction activities in anticipation of expansion of the Company’s commercial manufacturing facility (“Facility Expansion Services”).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total consideration for the updated development plan of $50.2 million was allocated to the four distinct performance obligations based on management’s assessment of the stand-alone selling price of each performance obligation. Consideration of $0.7 million for additional clinical supplies was added in June 2021 for a total of $50.9 million. The R&amp;D Services performance obligation was allocated a total of $18.3 million, which will be recognized on a ratable basis from May 2021 through October 2021; the estimated date when the performance obligation for the initial development services will be substantially completed.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ind w:right="220"/>
        <w:spacing w:after="0" w:line="296" w:lineRule="auto"/>
        <w:rPr>
          <w:sz w:val="20"/>
          <w:szCs w:val="20"/>
          <w:color w:val="auto"/>
        </w:rPr>
      </w:pPr>
      <w:r>
        <w:rPr>
          <w:rFonts w:ascii="Arial" w:cs="Arial" w:eastAsia="Arial" w:hAnsi="Arial"/>
          <w:sz w:val="16"/>
          <w:szCs w:val="16"/>
          <w:color w:val="auto"/>
        </w:rPr>
        <w:t>The Company allocated $4.6 million, $7.2 million, and $20.7 million to the Pre-Commercial Services, Next-gen R&amp;D Services, and Facility Expansion Services performance obligations, respectively. The Company determined that the Pre-Commercial Services and Next-gen R&amp;D Services performance obligations will be satisfied over time using the input method based on the costs incurred to date as a percentage of the total estimated costs to fulfill the contract. Incurred cost represents work performed, which corresponds with, and thereby best depicts, the transfer of control to the customer. The Facility Expansion Services performance obligation would be recognized as control of manufactured products is transferred to the customer.</w:t>
      </w:r>
    </w:p>
    <w:p>
      <w:pPr>
        <w:spacing w:after="0" w:line="16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Company will also be acting as agent for the procurement of equipment for the manufacturing expansion for UT (the “UT Equipment”). The $5.3 million received from UT for the UT Equipment was recognized as deposits from customer on our condensed consolidated balance sheet and will be released as the title is transferred to UT.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2021, deferred revenue consisted of $20.0 million, which was classified as current on the condensed consolidated balance sheet.</w:t>
      </w:r>
    </w:p>
    <w:p>
      <w:pPr>
        <w:spacing w:after="0" w:line="23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i w:val="1"/>
          <w:iCs w:val="1"/>
          <w:color w:val="auto"/>
        </w:rPr>
        <w:t xml:space="preserve">Vertice Pharma Co-Promotion Agreement </w:t>
      </w:r>
      <w:r>
        <w:rPr>
          <w:rFonts w:ascii="Arial" w:cs="Arial" w:eastAsia="Arial" w:hAnsi="Arial"/>
          <w:sz w:val="17"/>
          <w:szCs w:val="17"/>
          <w:color w:val="auto"/>
        </w:rPr>
        <w:t>— In December 2020, the Company entered into a co-promotion agreement with Vertice Pharma where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sales force will promote Thyquidity to adult endocrinologists, pediatric endocrinologists and other healthcare providers who treat hypothyroidism. Following the commercial launch of Thyquidity, in consideration of the sales and promotional activities provided by the Company’s sales force, Vertice is obligated to pay fixed quarterly payments to the Company, as well as variable consideration based on gross profits resulting from all sales of Thyquidity. Vertice Pharma launched Thyquidity in collaboration with the Company in February 2021.</w:t>
      </w:r>
    </w:p>
    <w:p>
      <w:pPr>
        <w:spacing w:after="0" w:line="17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inception of the agreement, the Company identified a single performance obligation that the Company will satisfy over time. The Company estimates the total transaction price is approximately $6.3 million, consisting of fixed consideration and the unconstrained amount of estimated variable consideration, which is based on gross profit applied to defined revenue benchmarks. The amount of variable consideration is constrained to the amount for which it is probable that a significant reversal of cumulative revenue recognized will not occur and the payments will be received.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 The total transaction price will be recognized over a two-year period. the period over which the Company is required to satisfy its performance obligation, using the input method based on the costs incurred to date as a percentage of the total estimated costs to fulfill the contract. Incurred cost represents work performed, which corresponds with, and thereby best depicts, the transfer of control to the customer. As of June 30, 2021, a contract asset of approximately $0.1 million was recognized as other assets in the condensed consolidated balance sheet. Subsequent to June 30, 2021, the Company and Vertice Pharma entered into an amendment to the Vertice Pharma Co-Promotion Agreement that modifies the terms of payment where 50% of the previously fixed consideration will be subject to certain promotional conditions, resulting in variable consideration, for the third quarter of 2021.</w:t>
      </w:r>
    </w:p>
    <w:p>
      <w:pPr>
        <w:spacing w:after="0" w:line="16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i w:val="1"/>
          <w:iCs w:val="1"/>
          <w:color w:val="auto"/>
        </w:rPr>
        <w:t xml:space="preserve">Thirona Collaboration Agreement </w:t>
      </w:r>
      <w:r>
        <w:rPr>
          <w:rFonts w:ascii="Arial" w:cs="Arial" w:eastAsia="Arial" w:hAnsi="Arial"/>
          <w:sz w:val="17"/>
          <w:szCs w:val="17"/>
          <w:color w:val="auto"/>
        </w:rPr>
        <w:t>— In June 2021, the Company and Thirona entered into a collaboration agreement to evaluate the therapeutic potential</w:t>
      </w:r>
      <w:r>
        <w:rPr>
          <w:rFonts w:ascii="Arial" w:cs="Arial" w:eastAsia="Arial" w:hAnsi="Arial"/>
          <w:sz w:val="17"/>
          <w:szCs w:val="17"/>
          <w:i w:val="1"/>
          <w:iCs w:val="1"/>
          <w:color w:val="auto"/>
        </w:rPr>
        <w:t xml:space="preserve"> </w:t>
      </w:r>
      <w:r>
        <w:rPr>
          <w:rFonts w:ascii="Arial" w:cs="Arial" w:eastAsia="Arial" w:hAnsi="Arial"/>
          <w:sz w:val="17"/>
          <w:szCs w:val="17"/>
          <w:color w:val="auto"/>
        </w:rPr>
        <w:t>of Thirona’s compound for the treatment of pulmonary fibrosis. If initial studies are promising, the Company can exercise certain rights to seek a full license to the compound for clinical development and commercialization. The parties will perform their respective obligations and provide reasonable support for research, clinical development and regulatory strategy. The collaboration agreement will be accounted for under ASC 808, Collaborative Agreements; however, no consideration will be exchanged between the parties. The Company will expense the costs incurred as cost of revenue — collaborations and services in the condensed consolidated statements of operations.</w:t>
      </w:r>
    </w:p>
    <w:p>
      <w:pPr>
        <w:spacing w:after="0" w:line="17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i w:val="1"/>
          <w:iCs w:val="1"/>
          <w:color w:val="auto"/>
        </w:rPr>
        <w:t xml:space="preserve">Biomm Supply and Distribution Agreement </w:t>
      </w:r>
      <w:r>
        <w:rPr>
          <w:rFonts w:ascii="Arial" w:cs="Arial" w:eastAsia="Arial" w:hAnsi="Arial"/>
          <w:sz w:val="17"/>
          <w:szCs w:val="17"/>
          <w:color w:val="auto"/>
        </w:rPr>
        <w:t>— In May 2017, the Company and Biomm entered into a supply and distribution agreement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of Afrezza in Brazil. Under this agreement, Biomm was responsible for pursuing regulatory approvals of Afrezza in Brazil, including from the Agência Nacional de Vigilância Sanitária (“ANVISA”) and, with respect to pricing matters, from the Camara de Regulação de Mercado de Medicamentos (“CMED”), both of which have now been received. Biomm commenced product sales in January 2020.</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In September 2019, the Company delivered its first shipment of Afrezza to Biomm and recorded it as net revenue — commercial product sales for $0.7 million, in advance of the planned launch of the product in Brazil by Biomm. During the second quarter of 2020, the Company sold $0.2 million of product to Biomm. No additional shipments were made to Biomm in 2020 or the first six months of 2021.</w:t>
      </w:r>
    </w:p>
    <w:p>
      <w:pPr>
        <w:spacing w:after="0" w:line="169"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i w:val="1"/>
          <w:iCs w:val="1"/>
          <w:color w:val="auto"/>
        </w:rPr>
        <w:t xml:space="preserve">Cipla License and Distribution Agreement </w:t>
      </w:r>
      <w:r>
        <w:rPr>
          <w:rFonts w:ascii="Arial" w:cs="Arial" w:eastAsia="Arial" w:hAnsi="Arial"/>
          <w:sz w:val="16"/>
          <w:szCs w:val="16"/>
          <w:color w:val="auto"/>
        </w:rPr>
        <w:t>— In May 2018, the Company and Cipla Ltd. (“Cipla”) entered into an exclusive agreement for the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distribution of Afrezza in India and the Company received a $2.2 million nonrefundable license fee. Under the terms of the agreement, Cipla will be responsible for obtaining regulatory approvals to distribute Afrezza in India and for all marketing and sales activities of Afrezza in India. The Company is responsible for supplying Afrezza to Cipla. The Company has the potential to receive an additional regulatory milestone payment, minimum purchase commitment revenue and royalties on Afrezza sales in India once cumulative gross sales have reached a specified threshold.</w:t>
      </w:r>
    </w:p>
    <w:p>
      <w:pPr>
        <w:spacing w:after="0" w:line="1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nonrefundable licensing fee was recorded in deferred revenue and is being recognized in net revenue – collaborations over 15 years, representing the estimated period to satisfy the performance obligation. The additional milestone payments represent variable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 w:name="page27"/>
    <w:bookmarkEnd w:id="26"/>
    <w:p>
      <w:pPr>
        <w:ind w:right="60"/>
        <w:spacing w:after="0" w:line="263" w:lineRule="auto"/>
        <w:rPr>
          <w:sz w:val="20"/>
          <w:szCs w:val="20"/>
          <w:color w:val="auto"/>
        </w:rPr>
      </w:pPr>
      <w:r>
        <w:rPr>
          <w:rFonts w:ascii="Arial" w:cs="Arial" w:eastAsia="Arial" w:hAnsi="Arial"/>
          <w:sz w:val="18"/>
          <w:szCs w:val="18"/>
          <w:color w:val="auto"/>
        </w:rPr>
        <w:t>consideration for which the Company has not recognized any revenue because of the uncertainty of obtaining marketing approval. As of June 30, 2021, the deferred revenue balance was $1.7 million, of which $0.1 million is classified as current and $1.6 million is classified as long term in the condensed consolidated balance sheets.</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AMSL Distribution Agreement </w:t>
      </w:r>
      <w:r>
        <w:rPr>
          <w:rFonts w:ascii="Arial" w:cs="Arial" w:eastAsia="Arial" w:hAnsi="Arial"/>
          <w:sz w:val="18"/>
          <w:szCs w:val="18"/>
          <w:color w:val="auto"/>
        </w:rPr>
        <w:t>— In May 2019, the Company entered into an exclusive marketing and distribution agreement with the AMSL Diabetes</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of Australasian Medical &amp; Scientific Ltd. (“AMSL Diabetes”) for the commercialization of Afrezza in Australia. Under the terms of this agreement, AMSL Diabetes is responsible for obtaining regulatory and reimbursement approvals to distribute Afrezza in Australia. Upon regulatory approval, AMSL Diabetes will conduct sales, marketing, and customer support and distribution activities whereas the Company will be responsible for the supply and manufacturing of Afrezza.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w:t>
      </w:r>
    </w:p>
    <w:p>
      <w:pPr>
        <w:spacing w:after="0" w:line="16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carrying amounts reported in the condensed consolidated financial statements for cash, accounts receivable, accounts payable, and accrued expenses and other current liabilities (excluding the Milestone Rights liability) approximate their fair value due to their relatively short maturities. The fair value of the cash equivalents, MidCap credit facility, Mann Group promissory notes, 2024 convertible notes, Senior convertible notes and Milestone Rights liabilities are disclosed below.</w:t>
      </w:r>
    </w:p>
    <w:p>
      <w:pPr>
        <w:spacing w:after="0" w:line="18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Cash Equivalents and Restricted Cash</w:t>
      </w:r>
      <w:r>
        <w:rPr>
          <w:rFonts w:ascii="Arial" w:cs="Arial" w:eastAsia="Arial" w:hAnsi="Arial"/>
          <w:sz w:val="17"/>
          <w:szCs w:val="17"/>
          <w:color w:val="auto"/>
        </w:rPr>
        <w:t>— Cash equivalents consist of highly liquid investments with original or remaining maturities of 90 days or less at</w:t>
      </w:r>
      <w:r>
        <w:rPr>
          <w:rFonts w:ascii="Arial" w:cs="Arial" w:eastAsia="Arial" w:hAnsi="Arial"/>
          <w:sz w:val="17"/>
          <w:szCs w:val="17"/>
          <w:i w:val="1"/>
          <w:iCs w:val="1"/>
          <w:color w:val="auto"/>
        </w:rPr>
        <w:t xml:space="preserve"> </w:t>
      </w:r>
      <w:r>
        <w:rPr>
          <w:rFonts w:ascii="Arial" w:cs="Arial" w:eastAsia="Arial" w:hAnsi="Arial"/>
          <w:sz w:val="17"/>
          <w:szCs w:val="17"/>
          <w:color w:val="auto"/>
        </w:rPr>
        <w:t>the time of purchase that are readily convertible into cash. As of June 30, 2021 and December 31, 2020, the Company held $62.5 million and $67.0 million, respectively, of cash and cash equivalents. The Company held zero and $0.2 million in restricted cash as of June 30, 2021 and December 31, 2020, which are comprised of money market funds. Restricted cash was used to collateralize a letter of credit. The fair value of these money market funds was determined by using quoted prices for identical investments in an active market (Level 1 in the fair value hierarchy).</w:t>
      </w:r>
    </w:p>
    <w:p>
      <w:pPr>
        <w:spacing w:after="0" w:line="176"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i w:val="1"/>
          <w:iCs w:val="1"/>
          <w:color w:val="auto"/>
        </w:rPr>
        <w:t xml:space="preserve">Investments </w:t>
      </w:r>
      <w:r>
        <w:rPr>
          <w:rFonts w:ascii="Arial" w:cs="Arial" w:eastAsia="Arial" w:hAnsi="Arial"/>
          <w:sz w:val="16"/>
          <w:szCs w:val="16"/>
          <w:color w:val="auto"/>
        </w:rPr>
        <w:t>— Investments consist of highly liquid investments that are intended to facilitate liquidity and capital preservation. The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approximates their carrying value. The measurement of which is based on a market approach using quoted market values (Level 1 in the fair value hierarchy). As of June 30, 2021, the Company held $100.0 million of short-term investments and $39.0 million of long-term investments.</w:t>
      </w:r>
    </w:p>
    <w:p>
      <w:pPr>
        <w:spacing w:after="0" w:line="14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 The following tables set forth the fair value of the Company’s financial instruments (Level 3 in the fair value hierarchy)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2"/>
              </w:rPr>
              <w:t>June 30, 2021</w:t>
            </w: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Pr>
          <w:p>
            <w:pPr>
              <w:jc w:val="center"/>
              <w:ind w:right="118"/>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12"/>
                <w:szCs w:val="12"/>
                <w:color w:val="auto"/>
              </w:rPr>
            </w:pPr>
          </w:p>
        </w:tc>
        <w:tc>
          <w:tcPr>
            <w:tcW w:w="14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Inputs (Level 3)</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5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Senior convertible notes</w:t>
            </w:r>
            <w:r>
              <w:rPr>
                <w:rFonts w:ascii="Arial" w:cs="Arial" w:eastAsia="Arial" w:hAnsi="Arial"/>
                <w:sz w:val="15"/>
                <w:szCs w:val="15"/>
                <w:color w:val="auto"/>
              </w:rPr>
              <w:t>(1)</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223.2</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257.0</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MidCap credit facility</w:t>
            </w:r>
            <w:r>
              <w:rPr>
                <w:rFonts w:ascii="Arial" w:cs="Arial" w:eastAsia="Arial" w:hAnsi="Arial"/>
                <w:sz w:val="15"/>
                <w:szCs w:val="15"/>
                <w:color w:val="auto"/>
              </w:rPr>
              <w:t>(2)</w:t>
            </w:r>
          </w:p>
        </w:tc>
        <w:tc>
          <w:tcPr>
            <w:tcW w:w="1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Mann Group convertible notes</w:t>
            </w:r>
            <w:r>
              <w:rPr>
                <w:rFonts w:ascii="Arial" w:cs="Arial" w:eastAsia="Arial" w:hAnsi="Arial"/>
                <w:sz w:val="15"/>
                <w:szCs w:val="15"/>
                <w:color w:val="auto"/>
              </w:rPr>
              <w:t>(3)</w:t>
            </w: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PPP loan</w:t>
            </w:r>
            <w:r>
              <w:rPr>
                <w:rFonts w:ascii="Arial" w:cs="Arial" w:eastAsia="Arial" w:hAnsi="Arial"/>
                <w:sz w:val="15"/>
                <w:szCs w:val="15"/>
                <w:color w:val="auto"/>
              </w:rPr>
              <w:t>(4)</w:t>
            </w:r>
          </w:p>
        </w:tc>
        <w:tc>
          <w:tcPr>
            <w:tcW w:w="1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60"/>
              <w:spacing w:after="0"/>
              <w:rPr>
                <w:sz w:val="20"/>
                <w:szCs w:val="20"/>
                <w:color w:val="auto"/>
              </w:rPr>
            </w:pPr>
            <w:r>
              <w:rPr>
                <w:rFonts w:ascii="Arial" w:cs="Arial" w:eastAsia="Arial" w:hAnsi="Arial"/>
                <w:sz w:val="18"/>
                <w:szCs w:val="18"/>
                <w:color w:val="auto"/>
              </w:rPr>
              <w:t>Milestone rights</w:t>
            </w:r>
            <w:r>
              <w:rPr>
                <w:rFonts w:ascii="Arial" w:cs="Arial" w:eastAsia="Arial" w:hAnsi="Arial"/>
                <w:sz w:val="15"/>
                <w:szCs w:val="15"/>
                <w:color w:val="auto"/>
              </w:rPr>
              <w:t>(5)</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200" w:type="dxa"/>
            <w:vAlign w:val="bottom"/>
          </w:tcPr>
          <w:p>
            <w:pPr>
              <w:spacing w:after="0"/>
              <w:rPr>
                <w:sz w:val="20"/>
                <w:szCs w:val="20"/>
                <w:color w:val="auto"/>
              </w:rPr>
            </w:pPr>
            <w:r>
              <w:rPr>
                <w:rFonts w:ascii="Arial" w:cs="Arial" w:eastAsia="Arial" w:hAnsi="Arial"/>
                <w:sz w:val="18"/>
                <w:szCs w:val="18"/>
                <w:color w:val="auto"/>
              </w:rPr>
              <w:t>____________________</w:t>
            </w: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80" w:right="460" w:hanging="372"/>
        <w:spacing w:after="0" w:line="233" w:lineRule="auto"/>
        <w:tabs>
          <w:tab w:leader="none" w:pos="38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Fair value determined by applying a discounted cash flow analysis to the straight note with a hypothetical yield of 12%, volatility of 96% and a Monte Carlo simulation for the value of the conversion feature. A change in yield of + or – 2% would result in a fair value of $245.4 million and $269.8 million, respectively.</w:t>
      </w:r>
    </w:p>
    <w:p>
      <w:pPr>
        <w:spacing w:after="0" w:line="1" w:lineRule="exact"/>
        <w:rPr>
          <w:rFonts w:ascii="Arial" w:cs="Arial" w:eastAsia="Arial" w:hAnsi="Arial"/>
          <w:sz w:val="22"/>
          <w:szCs w:val="22"/>
          <w:color w:val="auto"/>
          <w:vertAlign w:val="superscript"/>
        </w:rPr>
      </w:pPr>
    </w:p>
    <w:p>
      <w:pPr>
        <w:ind w:left="380" w:right="340" w:hanging="372"/>
        <w:spacing w:after="0" w:line="206" w:lineRule="auto"/>
        <w:tabs>
          <w:tab w:leader="none" w:pos="38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Fair value determined by applying a discounted cash flow analysis with a hypothetical yield of 10%. A change in yield of + or – 2% would result in a fair value of $38.5 million and $42.7 million, respectively.</w:t>
      </w:r>
    </w:p>
    <w:p>
      <w:pPr>
        <w:ind w:left="380" w:hanging="372"/>
        <w:spacing w:after="0" w:line="257" w:lineRule="auto"/>
        <w:tabs>
          <w:tab w:leader="none" w:pos="38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The April 2021 amendment to the Mann Group convertible note resulted in a substantial premium of $22.1 million based on the fair value post modification which was recognized as additional paid-in capital in the condensed consolidated balance sheet as of June 30, 2021. The accounting for the $22.1 million loss on extinguishment did not result in a change in the financial position of the Company. The fair value assessed as of June 30, 2021 was determined by applying a discounted cash flow analysis with a hypothetical yield of 12% and volatility of 96% to the straight note and a binomial option pricing model for the value of the conversion feature. A change in yield of + or – 2% would result in a fair value of $43.9 million and $45.9 million,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ind w:left="380" w:right="300" w:hanging="372"/>
        <w:spacing w:after="0" w:line="234" w:lineRule="auto"/>
        <w:tabs>
          <w:tab w:leader="none" w:pos="38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 xml:space="preserve">Fair value determined by applying a discounted cash flow analysis with a hypothetical yield of </w:t>
      </w:r>
      <w:r>
        <w:rPr>
          <w:rFonts w:ascii="Arial" w:cs="Arial" w:eastAsia="Arial" w:hAnsi="Arial"/>
          <w:sz w:val="21"/>
          <w:szCs w:val="21"/>
          <w:color w:val="auto"/>
        </w:rPr>
        <w:t>12</w:t>
      </w:r>
      <w:r>
        <w:rPr>
          <w:rFonts w:ascii="Arial" w:cs="Arial" w:eastAsia="Arial" w:hAnsi="Arial"/>
          <w:sz w:val="16"/>
          <w:szCs w:val="16"/>
          <w:color w:val="auto"/>
        </w:rPr>
        <w:t>%. A change in yield of + or – 2% would result in a fair value of $4.7 million and $4.8 million, respectively.</w:t>
      </w:r>
    </w:p>
    <w:p>
      <w:pPr>
        <w:spacing w:after="0" w:line="1" w:lineRule="exact"/>
        <w:rPr>
          <w:rFonts w:ascii="Arial" w:cs="Arial" w:eastAsia="Arial" w:hAnsi="Arial"/>
          <w:sz w:val="25"/>
          <w:szCs w:val="25"/>
          <w:color w:val="auto"/>
          <w:vertAlign w:val="superscript"/>
        </w:rPr>
      </w:pPr>
    </w:p>
    <w:p>
      <w:pPr>
        <w:ind w:left="380" w:hanging="372"/>
        <w:spacing w:after="0" w:line="183" w:lineRule="auto"/>
        <w:tabs>
          <w:tab w:leader="none" w:pos="38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Fair value determined by applying a Monte Carlo simulation.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1"/>
              </w:rPr>
              <w:t>December 31, 2020</w:t>
            </w: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Carrying Value</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80" w:type="dxa"/>
            <w:vAlign w:val="bottom"/>
          </w:tcPr>
          <w:p>
            <w:pPr>
              <w:spacing w:after="0"/>
              <w:rPr>
                <w:sz w:val="12"/>
                <w:szCs w:val="12"/>
                <w:color w:val="auto"/>
              </w:rPr>
            </w:pPr>
          </w:p>
        </w:tc>
        <w:tc>
          <w:tcPr>
            <w:tcW w:w="14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Inputs (Level 3)</w:t>
            </w:r>
          </w:p>
        </w:tc>
        <w:tc>
          <w:tcPr>
            <w:tcW w:w="2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r>
              <w:rPr>
                <w:rFonts w:ascii="Arial" w:cs="Arial" w:eastAsia="Arial" w:hAnsi="Arial"/>
                <w:sz w:val="15"/>
                <w:szCs w:val="15"/>
                <w:color w:val="auto"/>
              </w:rPr>
              <w:t>(1)</w:t>
            </w:r>
          </w:p>
        </w:tc>
        <w:tc>
          <w:tcPr>
            <w:tcW w:w="12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60"/>
              <w:spacing w:after="0"/>
              <w:rPr>
                <w:sz w:val="20"/>
                <w:szCs w:val="20"/>
                <w:color w:val="auto"/>
              </w:rPr>
            </w:pPr>
            <w:r>
              <w:rPr>
                <w:rFonts w:ascii="Arial" w:cs="Arial" w:eastAsia="Arial" w:hAnsi="Arial"/>
                <w:sz w:val="18"/>
                <w:szCs w:val="18"/>
                <w:color w:val="auto"/>
              </w:rPr>
              <w:t>MidCap credit facility</w:t>
            </w:r>
          </w:p>
        </w:tc>
        <w:tc>
          <w:tcPr>
            <w:tcW w:w="1280" w:type="dxa"/>
            <w:vAlign w:val="bottom"/>
          </w:tcPr>
          <w:p>
            <w:pPr>
              <w:jc w:val="right"/>
              <w:ind w:right="1127"/>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49.3</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55.4</w:t>
            </w:r>
          </w:p>
        </w:tc>
        <w:tc>
          <w:tcPr>
            <w:tcW w:w="28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Mann Group promissory notes</w:t>
            </w:r>
            <w:r>
              <w:rPr>
                <w:rFonts w:ascii="Arial" w:cs="Arial" w:eastAsia="Arial" w:hAnsi="Arial"/>
                <w:sz w:val="15"/>
                <w:szCs w:val="15"/>
                <w:color w:val="auto"/>
              </w:rPr>
              <w:t>(2)</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63.0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60"/>
              <w:spacing w:after="0"/>
              <w:rPr>
                <w:sz w:val="20"/>
                <w:szCs w:val="20"/>
                <w:color w:val="auto"/>
              </w:rPr>
            </w:pPr>
            <w:r>
              <w:rPr>
                <w:rFonts w:ascii="Arial" w:cs="Arial" w:eastAsia="Arial" w:hAnsi="Arial"/>
                <w:sz w:val="18"/>
                <w:szCs w:val="18"/>
                <w:color w:val="auto"/>
              </w:rPr>
              <w:t>2024 convertible notes</w:t>
            </w:r>
          </w:p>
        </w:tc>
        <w:tc>
          <w:tcPr>
            <w:tcW w:w="12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PPP loan</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760" w:type="dxa"/>
            <w:vAlign w:val="bottom"/>
          </w:tcPr>
          <w:p>
            <w:pPr>
              <w:ind w:left="260"/>
              <w:spacing w:after="0"/>
              <w:rPr>
                <w:sz w:val="20"/>
                <w:szCs w:val="20"/>
                <w:color w:val="auto"/>
              </w:rPr>
            </w:pPr>
            <w:r>
              <w:rPr>
                <w:rFonts w:ascii="Arial" w:cs="Arial" w:eastAsia="Arial" w:hAnsi="Arial"/>
                <w:sz w:val="18"/>
                <w:szCs w:val="18"/>
                <w:color w:val="auto"/>
              </w:rPr>
              <w:t>Milestone rights</w:t>
            </w:r>
          </w:p>
        </w:tc>
        <w:tc>
          <w:tcPr>
            <w:tcW w:w="12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760" w:type="dxa"/>
            <w:vAlign w:val="bottom"/>
          </w:tcPr>
          <w:p>
            <w:pPr>
              <w:spacing w:after="0"/>
              <w:rPr>
                <w:sz w:val="20"/>
                <w:szCs w:val="20"/>
                <w:color w:val="auto"/>
              </w:rPr>
            </w:pPr>
            <w:r>
              <w:rPr>
                <w:rFonts w:ascii="Arial" w:cs="Arial" w:eastAsia="Arial" w:hAnsi="Arial"/>
                <w:sz w:val="18"/>
                <w:szCs w:val="18"/>
                <w:color w:val="auto"/>
              </w:rPr>
              <w:t>____________________</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80" w:hanging="372"/>
        <w:spacing w:after="0" w:line="182" w:lineRule="auto"/>
        <w:tabs>
          <w:tab w:leader="none" w:pos="38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Fair value measurements were based on a discounted cash flow model, except for the Milestone rights for which a Monte Carlo simulation was applied.</w:t>
      </w:r>
    </w:p>
    <w:p>
      <w:pPr>
        <w:spacing w:after="0" w:line="10" w:lineRule="exact"/>
        <w:rPr>
          <w:rFonts w:ascii="Arial" w:cs="Arial" w:eastAsia="Arial" w:hAnsi="Arial"/>
          <w:sz w:val="23"/>
          <w:szCs w:val="23"/>
          <w:color w:val="auto"/>
          <w:vertAlign w:val="superscript"/>
        </w:rPr>
      </w:pPr>
    </w:p>
    <w:p>
      <w:pPr>
        <w:ind w:left="380" w:hanging="372"/>
        <w:spacing w:after="0" w:line="182" w:lineRule="auto"/>
        <w:tabs>
          <w:tab w:leader="none" w:pos="38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Mann Group promissory notes consisted of the following carrying values and fair values:</w:t>
      </w:r>
    </w:p>
    <w:p>
      <w:pPr>
        <w:spacing w:after="0" w:line="1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Mann Group convertible notes carrying value of $28.0 million and fair value of $52.2 million.</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Mann Group non-convertible notes carrying value of $35.1 million and fair value of $26.7 million.</w:t>
      </w:r>
    </w:p>
    <w:p>
      <w:pPr>
        <w:spacing w:after="0" w:line="213"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i w:val="1"/>
          <w:iCs w:val="1"/>
          <w:color w:val="auto"/>
        </w:rPr>
        <w:t xml:space="preserve">Milestone Rights Liability </w:t>
      </w:r>
      <w:r>
        <w:rPr>
          <w:rFonts w:ascii="Arial" w:cs="Arial" w:eastAsia="Arial" w:hAnsi="Arial"/>
          <w:sz w:val="16"/>
          <w:szCs w:val="16"/>
          <w:color w:val="auto"/>
        </w:rPr>
        <w:t>— The fair value measurement of the Milestone Rights liability is sensitive to the discount rate and the timing of achievement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milestones. The Company utilized Monte-Carlo Simulation Method to simulate the Net Sales under a neutral framework to estimate the payment. The Company then discounted the future expected payments at cost of debt with a term equal to the simulated time to payout based on cumulative sales.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and Preferred Stock</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authorized to issue 400,000,000 shares of common stock, par value $0.01 per share, and 10,000,000 shares of undesignated preferred stock, par value $0.01 per share, issuable in one or more series as designated by the Company’s board of directors. No other class of capital stock is authorized. As of June 30, 2021 and December 31, 2020, 249,617,550 and 242,117,089 shares of common stock, respectively, were issued and outstanding and no shares of preferred stock were outstanding.</w:t>
      </w:r>
    </w:p>
    <w:p>
      <w:pPr>
        <w:spacing w:after="0" w:line="18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February 2018, the Company entered into a controlled equity offering sales agreement (the “CF Sales Agreement”) with Cantor Fitzgerald &amp; Co. (“Cantor Fitzgerald”), as sales agent, pursuant to which the Company may offer and sell, from time to time, through Cantor Fitzgerald, shares of the Company’s common stock having an aggregate offering price of up to $50.0 million or such other amount as may be permitted by the Sales Agreement. Under the Sales Agreement, Cantor Fitzgerald may sell shares by any method deemed to be an “at-the-market offering” as defined in Rule 415 under the Securities Act of 1933, as amended. For the six months ended June 30, 2021, the Company sold an aggregate of 578,063 shares of the Company’s common stock at a weighted average purchase price of $3.26 per share for an aggregate gross proceeds of approximately $1.9 million pursuant to the Sales Agreement. For the six months ended June 30, 2020, the Company sold an aggregate of 7,871,461 shares of the Company’s common stock at a weighted average purchase price of $1.64 per share for an aggregate gross proceeds of approximately $12.9 million pursuant to the CF Sales Agreement.</w:t>
      </w:r>
    </w:p>
    <w:p>
      <w:pPr>
        <w:spacing w:after="0" w:line="16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 xml:space="preserve">In the first quarter of 2021, Mann Group converted $0.4 million of interest and $9.6 million of principal into 4,000,000 shares of common stock in accordance with the terms of the Mann Group convertible note. See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In February 2021, the Company converted $5.0 million principal amount of 2024 convertible notes into 1,666,667 shares of the Company’s common stock in accordance with the terms of the 2024 convertible notes. See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8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 xml:space="preserve">For the three and six months ended June 30, 2021, the Company received $0.1 million from the market price stock purchase plan for 25,000 shares. There was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market price stock purchase plan transactions for the three and six months ended June 30, 2020.</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Common Share (“EPS”)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EPS excludes dilution for potentially dilutive securities and is computed by dividing net income (loss) by the weighted average number of common shares outstanding during the period. Diluted EPS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EPS as they would be antidilutive.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tables summarize the components of the basic and diluted EPS computations (in thousands, except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8"/>
              </w:rPr>
              <w:t>Three Months Ended June 30,</w:t>
            </w:r>
          </w:p>
        </w:tc>
        <w:tc>
          <w:tcPr>
            <w:tcW w:w="240" w:type="dxa"/>
            <w:vAlign w:val="bottom"/>
          </w:tcPr>
          <w:p>
            <w:pPr>
              <w:spacing w:after="0"/>
              <w:rPr>
                <w:sz w:val="14"/>
                <w:szCs w:val="14"/>
                <w:color w:val="auto"/>
              </w:rPr>
            </w:pPr>
          </w:p>
        </w:tc>
        <w:tc>
          <w:tcPr>
            <w:tcW w:w="24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480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EPS — basic and diluted:</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800" w:type="dxa"/>
            <w:vAlign w:val="bottom"/>
          </w:tcPr>
          <w:p>
            <w:pPr>
              <w:ind w:left="260"/>
              <w:spacing w:after="0"/>
              <w:rPr>
                <w:sz w:val="20"/>
                <w:szCs w:val="20"/>
                <w:color w:val="auto"/>
              </w:rPr>
            </w:pPr>
            <w:r>
              <w:rPr>
                <w:rFonts w:ascii="Arial" w:cs="Arial" w:eastAsia="Arial" w:hAnsi="Arial"/>
                <w:sz w:val="18"/>
                <w:szCs w:val="18"/>
                <w:color w:val="auto"/>
              </w:rPr>
              <w:t>Net loss (numerator)</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(35,523)</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(10,252)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(48,439)</w:t>
            </w: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(19,574)</w:t>
            </w:r>
          </w:p>
        </w:tc>
      </w:tr>
      <w:tr>
        <w:trPr>
          <w:trHeight w:val="23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(denominator)</w:t>
            </w:r>
          </w:p>
        </w:tc>
        <w:tc>
          <w:tcPr>
            <w:tcW w:w="10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249,295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213,880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247,970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212,943</w:t>
            </w:r>
          </w:p>
        </w:tc>
        <w:tc>
          <w:tcPr>
            <w:tcW w:w="120" w:type="dxa"/>
            <w:vAlign w:val="bottom"/>
            <w:shd w:val="clear" w:color="auto" w:fill="CFF0FC"/>
          </w:tcPr>
          <w:p>
            <w:pPr>
              <w:spacing w:after="0"/>
              <w:rPr>
                <w:sz w:val="19"/>
                <w:szCs w:val="19"/>
                <w:color w:val="auto"/>
              </w:rPr>
            </w:pPr>
          </w:p>
        </w:tc>
      </w:tr>
      <w:tr>
        <w:trPr>
          <w:trHeight w:val="223"/>
        </w:trPr>
        <w:tc>
          <w:tcPr>
            <w:tcW w:w="4800" w:type="dxa"/>
            <w:vAlign w:val="bottom"/>
          </w:tcPr>
          <w:p>
            <w:pPr>
              <w:ind w:left="260"/>
              <w:spacing w:after="0"/>
              <w:rPr>
                <w:sz w:val="20"/>
                <w:szCs w:val="20"/>
                <w:color w:val="auto"/>
              </w:rPr>
            </w:pPr>
            <w:r>
              <w:rPr>
                <w:rFonts w:ascii="Arial" w:cs="Arial" w:eastAsia="Arial" w:hAnsi="Arial"/>
                <w:sz w:val="18"/>
                <w:szCs w:val="18"/>
                <w:color w:val="auto"/>
              </w:rPr>
              <w:t>Net loss per share</w:t>
            </w:r>
          </w:p>
        </w:tc>
        <w:tc>
          <w:tcPr>
            <w:tcW w:w="10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Common shares issuable represents incremental shares of common stock which consist of stock options, restricted stock units, warrants, and shares that could be issued upon conversion of the Senior convertible notes and the Mann Group convertible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Potentially dilutive securities outstanding that are considered antidilutive are summarized as follows (in shares):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gridSpan w:val="4"/>
          </w:tcPr>
          <w:p>
            <w:pPr>
              <w:ind w:left="8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44,120,463</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Mann Group convertible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7,370,000</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Warrants associated with MidCap credit facility</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1,283,467</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1,171,614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Common stock options and PNQs</w:t>
            </w:r>
          </w:p>
        </w:tc>
        <w:tc>
          <w:tcPr>
            <w:tcW w:w="1560" w:type="dxa"/>
            <w:vAlign w:val="bottom"/>
          </w:tcPr>
          <w:p>
            <w:pPr>
              <w:jc w:val="right"/>
              <w:spacing w:after="0"/>
              <w:rPr>
                <w:sz w:val="20"/>
                <w:szCs w:val="20"/>
                <w:color w:val="auto"/>
              </w:rPr>
            </w:pPr>
            <w:r>
              <w:rPr>
                <w:rFonts w:ascii="Arial" w:cs="Arial" w:eastAsia="Arial" w:hAnsi="Arial"/>
                <w:sz w:val="18"/>
                <w:szCs w:val="18"/>
                <w:color w:val="auto"/>
              </w:rPr>
              <w:t>11,092,080</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13,197,927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RSUs and Market RSUs </w:t>
            </w:r>
            <w:r>
              <w:rPr>
                <w:rFonts w:ascii="Arial" w:cs="Arial" w:eastAsia="Arial" w:hAnsi="Arial"/>
                <w:sz w:val="17"/>
                <w:szCs w:val="17"/>
                <w:color w:val="auto"/>
              </w:rPr>
              <w:t>(1)</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7,986,898</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2,501,713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560" w:type="dxa"/>
            <w:vAlign w:val="bottom"/>
          </w:tcPr>
          <w:p>
            <w:pPr>
              <w:jc w:val="right"/>
              <w:spacing w:after="0"/>
              <w:rPr>
                <w:sz w:val="20"/>
                <w:szCs w:val="20"/>
                <w:color w:val="auto"/>
              </w:rPr>
            </w:pPr>
            <w:r>
              <w:rPr>
                <w:rFonts w:ascii="Arial" w:cs="Arial" w:eastAsia="Arial" w:hAnsi="Arial"/>
                <w:sz w:val="18"/>
                <w:szCs w:val="18"/>
                <w:color w:val="auto"/>
              </w:rPr>
              <w:t>250,000</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276,154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2024 convertible notes</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1,666,667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Common stock warrants</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31,851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shares</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72,102,908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32,845,926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80" w:hanging="372"/>
        <w:spacing w:after="0" w:line="182" w:lineRule="auto"/>
        <w:tabs>
          <w:tab w:leader="none" w:pos="38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Market RSUs are included at the maximum share delivery percentage.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2021, the Company granted the following awards: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3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38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Six Months</w:t>
            </w:r>
          </w:p>
        </w:tc>
      </w:tr>
      <w:tr>
        <w:trPr>
          <w:trHeight w:val="162"/>
        </w:trPr>
        <w:tc>
          <w:tcPr>
            <w:tcW w:w="64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Ended</w:t>
            </w:r>
          </w:p>
        </w:tc>
        <w:tc>
          <w:tcPr>
            <w:tcW w:w="3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Ended</w:t>
            </w:r>
          </w:p>
        </w:tc>
      </w:tr>
      <w:tr>
        <w:trPr>
          <w:trHeight w:val="148"/>
        </w:trPr>
        <w:tc>
          <w:tcPr>
            <w:tcW w:w="64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March 31,</w:t>
            </w:r>
          </w:p>
        </w:tc>
        <w:tc>
          <w:tcPr>
            <w:tcW w:w="3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June 30,</w:t>
            </w:r>
          </w:p>
        </w:tc>
        <w:tc>
          <w:tcPr>
            <w:tcW w:w="38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648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36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38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Employee awards:</w:t>
            </w: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RSUs</w:t>
            </w:r>
          </w:p>
        </w:tc>
        <w:tc>
          <w:tcPr>
            <w:tcW w:w="1300" w:type="dxa"/>
            <w:vAlign w:val="bottom"/>
          </w:tcPr>
          <w:p>
            <w:pPr>
              <w:jc w:val="right"/>
              <w:spacing w:after="0"/>
              <w:rPr>
                <w:sz w:val="20"/>
                <w:szCs w:val="20"/>
                <w:color w:val="auto"/>
              </w:rPr>
            </w:pPr>
            <w:r>
              <w:rPr>
                <w:rFonts w:ascii="Arial" w:cs="Arial" w:eastAsia="Arial" w:hAnsi="Arial"/>
                <w:sz w:val="18"/>
                <w:szCs w:val="18"/>
                <w:color w:val="auto"/>
              </w:rPr>
              <w:t>370,137</w:t>
            </w:r>
          </w:p>
        </w:tc>
        <w:tc>
          <w:tcPr>
            <w:tcW w:w="360" w:type="dxa"/>
            <w:vAlign w:val="bottom"/>
          </w:tcPr>
          <w:p>
            <w:pPr>
              <w:jc w:val="right"/>
              <w:spacing w:after="0"/>
              <w:rPr>
                <w:sz w:val="20"/>
                <w:szCs w:val="20"/>
                <w:color w:val="auto"/>
              </w:rPr>
            </w:pPr>
            <w:r>
              <w:rPr>
                <w:rFonts w:ascii="Arial" w:cs="Arial" w:eastAsia="Arial" w:hAnsi="Arial"/>
                <w:sz w:val="15"/>
                <w:szCs w:val="15"/>
                <w:color w:val="auto"/>
              </w:rPr>
              <w:t>(1)</w:t>
            </w:r>
          </w:p>
        </w:tc>
        <w:tc>
          <w:tcPr>
            <w:tcW w:w="1300" w:type="dxa"/>
            <w:vAlign w:val="bottom"/>
          </w:tcPr>
          <w:p>
            <w:pPr>
              <w:jc w:val="right"/>
              <w:spacing w:after="0"/>
              <w:rPr>
                <w:sz w:val="20"/>
                <w:szCs w:val="20"/>
                <w:color w:val="auto"/>
              </w:rPr>
            </w:pPr>
            <w:r>
              <w:rPr>
                <w:rFonts w:ascii="Arial" w:cs="Arial" w:eastAsia="Arial" w:hAnsi="Arial"/>
                <w:sz w:val="18"/>
                <w:szCs w:val="18"/>
                <w:color w:val="auto"/>
              </w:rPr>
              <w:t>1,476,059</w:t>
            </w:r>
          </w:p>
        </w:tc>
        <w:tc>
          <w:tcPr>
            <w:tcW w:w="380" w:type="dxa"/>
            <w:vAlign w:val="bottom"/>
          </w:tcPr>
          <w:p>
            <w:pPr>
              <w:jc w:val="right"/>
              <w:ind w:right="24"/>
              <w:spacing w:after="0"/>
              <w:rPr>
                <w:sz w:val="20"/>
                <w:szCs w:val="20"/>
                <w:color w:val="auto"/>
              </w:rPr>
            </w:pPr>
            <w:r>
              <w:rPr>
                <w:rFonts w:ascii="Arial" w:cs="Arial" w:eastAsia="Arial" w:hAnsi="Arial"/>
                <w:sz w:val="15"/>
                <w:szCs w:val="15"/>
                <w:color w:val="auto"/>
              </w:rPr>
              <w:t>(2)</w:t>
            </w:r>
          </w:p>
        </w:tc>
        <w:tc>
          <w:tcPr>
            <w:tcW w:w="1300" w:type="dxa"/>
            <w:vAlign w:val="bottom"/>
          </w:tcPr>
          <w:p>
            <w:pPr>
              <w:jc w:val="right"/>
              <w:spacing w:after="0"/>
              <w:rPr>
                <w:sz w:val="20"/>
                <w:szCs w:val="20"/>
                <w:color w:val="auto"/>
              </w:rPr>
            </w:pPr>
            <w:r>
              <w:rPr>
                <w:rFonts w:ascii="Arial" w:cs="Arial" w:eastAsia="Arial" w:hAnsi="Arial"/>
                <w:sz w:val="18"/>
                <w:szCs w:val="18"/>
                <w:color w:val="auto"/>
              </w:rPr>
              <w:t>1,846,196</w:t>
            </w:r>
          </w:p>
        </w:tc>
        <w:tc>
          <w:tcPr>
            <w:tcW w:w="120" w:type="dxa"/>
            <w:vAlign w:val="bottom"/>
          </w:tcPr>
          <w:p>
            <w:pPr>
              <w:spacing w:after="0"/>
              <w:rPr>
                <w:sz w:val="19"/>
                <w:szCs w:val="19"/>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 RSUs</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918,775</w:t>
            </w:r>
          </w:p>
        </w:tc>
        <w:tc>
          <w:tcPr>
            <w:tcW w:w="3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(3)</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918,775</w:t>
            </w: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Non-employee director RSUs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316,232</w:t>
            </w:r>
          </w:p>
        </w:tc>
        <w:tc>
          <w:tcPr>
            <w:tcW w:w="380" w:type="dxa"/>
            <w:vAlign w:val="bottom"/>
            <w:tcBorders>
              <w:bottom w:val="single" w:sz="8" w:color="CFF0FC"/>
            </w:tcBorders>
          </w:tcPr>
          <w:p>
            <w:pPr>
              <w:jc w:val="right"/>
              <w:ind w:right="24"/>
              <w:spacing w:after="0"/>
              <w:rPr>
                <w:sz w:val="20"/>
                <w:szCs w:val="20"/>
                <w:color w:val="auto"/>
              </w:rPr>
            </w:pPr>
            <w:r>
              <w:rPr>
                <w:rFonts w:ascii="Arial" w:cs="Arial" w:eastAsia="Arial" w:hAnsi="Arial"/>
                <w:sz w:val="15"/>
                <w:szCs w:val="15"/>
                <w:color w:val="auto"/>
              </w:rPr>
              <w:t>(4)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316,232</w:t>
            </w:r>
          </w:p>
        </w:tc>
        <w:tc>
          <w:tcPr>
            <w:tcW w:w="120" w:type="dxa"/>
            <w:vAlign w:val="bottom"/>
            <w:tcBorders>
              <w:bottom w:val="single" w:sz="8" w:color="CFF0FC"/>
            </w:tcBorders>
          </w:tcPr>
          <w:p>
            <w:pPr>
              <w:spacing w:after="0"/>
              <w:rPr>
                <w:sz w:val="19"/>
                <w:szCs w:val="19"/>
                <w:color w:val="auto"/>
              </w:rPr>
            </w:pPr>
          </w:p>
        </w:tc>
      </w:tr>
      <w:tr>
        <w:trPr>
          <w:trHeight w:val="223"/>
        </w:trPr>
        <w:tc>
          <w:tcPr>
            <w:tcW w:w="64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awards</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370,137</w:t>
            </w:r>
          </w:p>
        </w:tc>
        <w:tc>
          <w:tcPr>
            <w:tcW w:w="36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2,711,066</w:t>
            </w:r>
          </w:p>
        </w:tc>
        <w:tc>
          <w:tcPr>
            <w:tcW w:w="3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3,081,203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w:t>
      </w:r>
    </w:p>
    <w:p>
      <w:pPr>
        <w:spacing w:after="0" w:line="13" w:lineRule="exact"/>
        <w:rPr>
          <w:sz w:val="20"/>
          <w:szCs w:val="20"/>
          <w:color w:val="auto"/>
        </w:rPr>
      </w:pPr>
    </w:p>
    <w:p>
      <w:pPr>
        <w:ind w:left="380" w:right="560" w:hanging="372"/>
        <w:spacing w:after="0" w:line="221" w:lineRule="auto"/>
        <w:tabs>
          <w:tab w:leader="none" w:pos="380" w:val="left"/>
        </w:tabs>
        <w:numPr>
          <w:ilvl w:val="0"/>
          <w:numId w:val="11"/>
        </w:numPr>
        <w:rPr>
          <w:rFonts w:ascii="Arial" w:cs="Arial" w:eastAsia="Arial" w:hAnsi="Arial"/>
          <w:sz w:val="25"/>
          <w:szCs w:val="25"/>
          <w:color w:val="auto"/>
          <w:vertAlign w:val="superscript"/>
        </w:rPr>
      </w:pPr>
      <w:r>
        <w:rPr>
          <w:rFonts w:ascii="Arial" w:cs="Arial" w:eastAsia="Arial" w:hAnsi="Arial"/>
          <w:sz w:val="14"/>
          <w:szCs w:val="14"/>
          <w:color w:val="auto"/>
        </w:rPr>
        <w:t xml:space="preserve">RSUs had a weighted average </w:t>
      </w:r>
      <w:r>
        <w:rPr>
          <w:rFonts w:ascii="Arial" w:cs="Arial" w:eastAsia="Arial" w:hAnsi="Arial"/>
          <w:sz w:val="21"/>
          <w:szCs w:val="21"/>
          <w:color w:val="auto"/>
        </w:rPr>
        <w:t>grant date fair value of $5.53 per share, of which 202,237 RSUs had a vesting period of 1 year and</w:t>
      </w:r>
      <w:r>
        <w:rPr>
          <w:rFonts w:ascii="Arial" w:cs="Arial" w:eastAsia="Arial" w:hAnsi="Arial"/>
          <w:sz w:val="14"/>
          <w:szCs w:val="14"/>
          <w:color w:val="auto"/>
        </w:rPr>
        <w:t xml:space="preserve"> </w:t>
      </w:r>
      <w:r>
        <w:rPr>
          <w:rFonts w:ascii="Arial" w:cs="Arial" w:eastAsia="Arial" w:hAnsi="Arial"/>
          <w:sz w:val="21"/>
          <w:szCs w:val="21"/>
          <w:color w:val="auto"/>
        </w:rPr>
        <w:t>167,900 RSUs had a vesting period of four years.</w:t>
      </w:r>
    </w:p>
    <w:p>
      <w:pPr>
        <w:spacing w:after="0" w:line="1" w:lineRule="exact"/>
        <w:rPr>
          <w:rFonts w:ascii="Arial" w:cs="Arial" w:eastAsia="Arial" w:hAnsi="Arial"/>
          <w:sz w:val="25"/>
          <w:szCs w:val="25"/>
          <w:color w:val="auto"/>
          <w:vertAlign w:val="superscript"/>
        </w:rPr>
      </w:pPr>
    </w:p>
    <w:p>
      <w:pPr>
        <w:ind w:left="380" w:hanging="372"/>
        <w:spacing w:after="0" w:line="202" w:lineRule="auto"/>
        <w:tabs>
          <w:tab w:leader="none" w:pos="380" w:val="left"/>
        </w:tabs>
        <w:numPr>
          <w:ilvl w:val="0"/>
          <w:numId w:val="11"/>
        </w:numPr>
        <w:rPr>
          <w:rFonts w:ascii="Arial" w:cs="Arial" w:eastAsia="Arial" w:hAnsi="Arial"/>
          <w:sz w:val="25"/>
          <w:szCs w:val="25"/>
          <w:color w:val="auto"/>
          <w:vertAlign w:val="superscript"/>
        </w:rPr>
      </w:pPr>
      <w:r>
        <w:rPr>
          <w:rFonts w:ascii="Arial" w:cs="Arial" w:eastAsia="Arial" w:hAnsi="Arial"/>
          <w:sz w:val="14"/>
          <w:szCs w:val="14"/>
          <w:color w:val="auto"/>
        </w:rPr>
        <w:t xml:space="preserve">RSUs had a weighted average grant </w:t>
      </w:r>
      <w:r>
        <w:rPr>
          <w:rFonts w:ascii="Arial" w:cs="Arial" w:eastAsia="Arial" w:hAnsi="Arial"/>
          <w:sz w:val="21"/>
          <w:szCs w:val="21"/>
          <w:color w:val="auto"/>
        </w:rPr>
        <w:t>date fair value of $4.26 per share and a vesting period of 4 years.</w:t>
      </w:r>
    </w:p>
    <w:p>
      <w:pPr>
        <w:spacing w:after="0" w:line="1" w:lineRule="exact"/>
        <w:rPr>
          <w:rFonts w:ascii="Arial" w:cs="Arial" w:eastAsia="Arial" w:hAnsi="Arial"/>
          <w:sz w:val="25"/>
          <w:szCs w:val="25"/>
          <w:color w:val="auto"/>
          <w:vertAlign w:val="superscript"/>
        </w:rPr>
      </w:pPr>
    </w:p>
    <w:p>
      <w:pPr>
        <w:ind w:left="380" w:right="20" w:hanging="372"/>
        <w:spacing w:after="0" w:line="235" w:lineRule="auto"/>
        <w:tabs>
          <w:tab w:leader="none" w:pos="380" w:val="left"/>
        </w:tabs>
        <w:numPr>
          <w:ilvl w:val="0"/>
          <w:numId w:val="11"/>
        </w:numPr>
        <w:rPr>
          <w:rFonts w:ascii="Arial" w:cs="Arial" w:eastAsia="Arial" w:hAnsi="Arial"/>
          <w:sz w:val="25"/>
          <w:szCs w:val="25"/>
          <w:color w:val="auto"/>
          <w:vertAlign w:val="superscript"/>
        </w:rPr>
      </w:pPr>
      <w:r>
        <w:rPr>
          <w:rFonts w:ascii="Arial" w:cs="Arial" w:eastAsia="Arial" w:hAnsi="Arial"/>
          <w:sz w:val="14"/>
          <w:szCs w:val="14"/>
          <w:color w:val="auto"/>
        </w:rPr>
        <w:t xml:space="preserve">Market RSUs had a grant date fair value </w:t>
      </w:r>
      <w:r>
        <w:rPr>
          <w:rFonts w:ascii="Arial" w:cs="Arial" w:eastAsia="Arial" w:hAnsi="Arial"/>
          <w:sz w:val="21"/>
          <w:szCs w:val="21"/>
          <w:color w:val="auto"/>
        </w:rPr>
        <w:t>of $9.30 per share and will vest on May 17, 2024 provided the closing price of the Company’s</w:t>
      </w:r>
      <w:r>
        <w:rPr>
          <w:rFonts w:ascii="Arial" w:cs="Arial" w:eastAsia="Arial" w:hAnsi="Arial"/>
          <w:sz w:val="14"/>
          <w:szCs w:val="14"/>
          <w:color w:val="auto"/>
        </w:rPr>
        <w:t xml:space="preserve"> </w:t>
      </w:r>
      <w:r>
        <w:rPr>
          <w:rFonts w:ascii="Arial" w:cs="Arial" w:eastAsia="Arial" w:hAnsi="Arial"/>
          <w:sz w:val="21"/>
          <w:szCs w:val="21"/>
          <w:color w:val="auto"/>
        </w:rPr>
        <w:t>common stock on such vesting date is not less than the closing price on May 17, 2021. The number of shares delivered on the vesting date is determined by the percentile ranking of MannKind total shareholder return (TSR) over the period from May 18, 2021 until May 17, 2024 relative to the TSR of the Russell 3000 Pharmaceutical &amp; Biotechnology Index over the same three-year period, as follows: less than 25</w:t>
      </w:r>
      <w:r>
        <w:rPr>
          <w:rFonts w:ascii="Arial" w:cs="Arial" w:eastAsia="Arial" w:hAnsi="Arial"/>
          <w:sz w:val="18"/>
          <w:szCs w:val="18"/>
          <w:color w:val="auto"/>
        </w:rPr>
        <w:t>th</w:t>
      </w:r>
      <w:r>
        <w:rPr>
          <w:rFonts w:ascii="Arial" w:cs="Arial" w:eastAsia="Arial" w:hAnsi="Arial"/>
          <w:sz w:val="21"/>
          <w:szCs w:val="21"/>
          <w:color w:val="auto"/>
        </w:rPr>
        <w:t xml:space="preserve"> percentile=0% of target, 25</w:t>
      </w:r>
      <w:r>
        <w:rPr>
          <w:rFonts w:ascii="Arial" w:cs="Arial" w:eastAsia="Arial" w:hAnsi="Arial"/>
          <w:sz w:val="18"/>
          <w:szCs w:val="18"/>
          <w:color w:val="auto"/>
        </w:rPr>
        <w:t>th</w:t>
      </w:r>
      <w:r>
        <w:rPr>
          <w:rFonts w:ascii="Arial" w:cs="Arial" w:eastAsia="Arial" w:hAnsi="Arial"/>
          <w:sz w:val="21"/>
          <w:szCs w:val="21"/>
          <w:color w:val="auto"/>
        </w:rPr>
        <w:t xml:space="preserve"> percentile=50% of target, 50</w:t>
      </w:r>
      <w:r>
        <w:rPr>
          <w:rFonts w:ascii="Arial" w:cs="Arial" w:eastAsia="Arial" w:hAnsi="Arial"/>
          <w:sz w:val="18"/>
          <w:szCs w:val="18"/>
          <w:color w:val="auto"/>
        </w:rPr>
        <w:t>th</w:t>
      </w:r>
      <w:r>
        <w:rPr>
          <w:rFonts w:ascii="Arial" w:cs="Arial" w:eastAsia="Arial" w:hAnsi="Arial"/>
          <w:sz w:val="21"/>
          <w:szCs w:val="21"/>
          <w:color w:val="auto"/>
        </w:rPr>
        <w:t xml:space="preserve"> percentile=100% of target, 75</w:t>
      </w:r>
      <w:r>
        <w:rPr>
          <w:rFonts w:ascii="Arial" w:cs="Arial" w:eastAsia="Arial" w:hAnsi="Arial"/>
          <w:sz w:val="18"/>
          <w:szCs w:val="18"/>
          <w:color w:val="auto"/>
        </w:rPr>
        <w:t>th</w:t>
      </w:r>
      <w:r>
        <w:rPr>
          <w:rFonts w:ascii="Arial" w:cs="Arial" w:eastAsia="Arial" w:hAnsi="Arial"/>
          <w:sz w:val="21"/>
          <w:szCs w:val="21"/>
          <w:color w:val="auto"/>
        </w:rPr>
        <w:t xml:space="preserve"> percentile=200% of target, 90</w:t>
      </w:r>
      <w:r>
        <w:rPr>
          <w:rFonts w:ascii="Arial" w:cs="Arial" w:eastAsia="Arial" w:hAnsi="Arial"/>
          <w:sz w:val="18"/>
          <w:szCs w:val="18"/>
          <w:color w:val="auto"/>
        </w:rPr>
        <w:t>th</w:t>
      </w:r>
      <w:r>
        <w:rPr>
          <w:rFonts w:ascii="Arial" w:cs="Arial" w:eastAsia="Arial" w:hAnsi="Arial"/>
          <w:sz w:val="21"/>
          <w:szCs w:val="21"/>
          <w:color w:val="auto"/>
        </w:rPr>
        <w:t xml:space="preserve"> percentile or higher=300% maximum. Payout values will be interpolated between the percentile rankings above.</w:t>
      </w:r>
    </w:p>
    <w:p>
      <w:pPr>
        <w:ind w:left="380" w:right="720" w:hanging="372"/>
        <w:spacing w:after="0" w:line="258" w:lineRule="auto"/>
        <w:tabs>
          <w:tab w:leader="none" w:pos="380" w:val="left"/>
        </w:tabs>
        <w:numPr>
          <w:ilvl w:val="0"/>
          <w:numId w:val="11"/>
        </w:numPr>
        <w:rPr>
          <w:rFonts w:ascii="Arial" w:cs="Arial" w:eastAsia="Arial" w:hAnsi="Arial"/>
          <w:sz w:val="23"/>
          <w:szCs w:val="23"/>
          <w:color w:val="auto"/>
          <w:vertAlign w:val="superscript"/>
        </w:rPr>
      </w:pPr>
      <w:r>
        <w:rPr>
          <w:rFonts w:ascii="Arial" w:cs="Arial" w:eastAsia="Arial" w:hAnsi="Arial"/>
          <w:sz w:val="13"/>
          <w:szCs w:val="13"/>
          <w:color w:val="auto"/>
        </w:rPr>
        <w:t xml:space="preserve">RSUs had a weighted average grant date fair value </w:t>
      </w:r>
      <w:r>
        <w:rPr>
          <w:rFonts w:ascii="Arial" w:cs="Arial" w:eastAsia="Arial" w:hAnsi="Arial"/>
          <w:sz w:val="19"/>
          <w:szCs w:val="19"/>
          <w:color w:val="auto"/>
        </w:rPr>
        <w:t>of $4.31 per share and vested immediately upon grant, but the underlying shares of</w:t>
      </w:r>
      <w:r>
        <w:rPr>
          <w:rFonts w:ascii="Arial" w:cs="Arial" w:eastAsia="Arial" w:hAnsi="Arial"/>
          <w:sz w:val="13"/>
          <w:szCs w:val="13"/>
          <w:color w:val="auto"/>
        </w:rPr>
        <w:t xml:space="preserve"> </w:t>
      </w:r>
      <w:r>
        <w:rPr>
          <w:rFonts w:ascii="Arial" w:cs="Arial" w:eastAsia="Arial" w:hAnsi="Arial"/>
          <w:sz w:val="19"/>
          <w:szCs w:val="19"/>
          <w:color w:val="auto"/>
        </w:rPr>
        <w:t>common stock will not be delivered until there is a separation of service, such as resignation, retirement or death.</w:t>
      </w:r>
    </w:p>
    <w:p>
      <w:pPr>
        <w:spacing w:after="0" w:line="17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June 30, 2021, there was $3.4 million of unrecognized stock-based compensation expense related to options and PNQs, which is expected to be recognized over a weighted average period of approximately 1.6 years, and $12.6 million and $12.5 million of unrecognized stock-based compensation expense related to RSUs and Market RSUs, respectively, which is expected to be recognized over a weighted average period of approximately 3.4 and 2.6 years, respectively.</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9" w:name="page30"/>
    <w:bookmarkEnd w:id="29"/>
    <w:p>
      <w:pPr>
        <w:ind w:right="140"/>
        <w:spacing w:after="0" w:line="277" w:lineRule="auto"/>
        <w:rPr>
          <w:sz w:val="20"/>
          <w:szCs w:val="20"/>
          <w:color w:val="auto"/>
        </w:rPr>
      </w:pPr>
      <w:r>
        <w:rPr>
          <w:rFonts w:ascii="Arial" w:cs="Arial" w:eastAsia="Arial" w:hAnsi="Arial"/>
          <w:sz w:val="18"/>
          <w:szCs w:val="18"/>
          <w:color w:val="auto"/>
        </w:rPr>
        <w:t>Total stock-based compensation expense recognized in the condensed consolidated statements of operations for the three months ended June 30, 2021 and 2020 was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14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9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RSUs and options</w:t>
            </w: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3,819</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2,122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3,188</w:t>
            </w:r>
          </w:p>
        </w:tc>
        <w:tc>
          <w:tcPr>
            <w:tcW w:w="120" w:type="dxa"/>
            <w:vAlign w:val="bottom"/>
            <w:shd w:val="clear" w:color="auto" w:fill="CFF0FC"/>
          </w:tcPr>
          <w:p>
            <w:pPr>
              <w:spacing w:after="0"/>
              <w:rPr>
                <w:sz w:val="19"/>
                <w:szCs w:val="19"/>
                <w:color w:val="auto"/>
              </w:rPr>
            </w:pPr>
          </w:p>
        </w:tc>
      </w:tr>
      <w:tr>
        <w:trPr>
          <w:trHeight w:val="229"/>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Employee stock purchase plan</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FF0FC"/>
            </w:tcBorders>
          </w:tcPr>
          <w:p>
            <w:pPr>
              <w:spacing w:after="0"/>
              <w:rPr>
                <w:sz w:val="19"/>
                <w:szCs w:val="19"/>
                <w:color w:val="auto"/>
              </w:rPr>
            </w:pPr>
          </w:p>
        </w:tc>
      </w:tr>
      <w:tr>
        <w:trPr>
          <w:trHeight w:val="223"/>
        </w:trPr>
        <w:tc>
          <w:tcPr>
            <w:tcW w:w="59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 compensation expense</w:t>
            </w: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3,926</w:t>
            </w:r>
          </w:p>
        </w:tc>
        <w:tc>
          <w:tcPr>
            <w:tcW w:w="2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2,185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provides all employees, including executive officers, the ability to purchase our common stock at a discount under our 2004 employee stock purchase plan (the “ESPP”). The ESPP is designed to comply with Section 423 of the Internal Revenue Code and provides all employees with the opportunity to purchase up to $25,000 worth of our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ESPP are identical to those of all other employees.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Company issued 292,981 and 333,727 shares of common stock pursuant to the ESPP for the six months ended June 30, 2021 and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1.3 million shares of common stock available for issuance under the ESPP as of June 30, 2021.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Guarantees and Indemnifications </w:t>
      </w:r>
      <w:r>
        <w:rPr>
          <w:rFonts w:ascii="Arial" w:cs="Arial" w:eastAsia="Arial" w:hAnsi="Arial"/>
          <w:sz w:val="17"/>
          <w:szCs w:val="17"/>
          <w:color w:val="auto"/>
        </w:rPr>
        <w:t>— In the ordinary course of its business, the Company makes certain indemnities, commitments and guarantees under</w:t>
      </w:r>
      <w:r>
        <w:rPr>
          <w:rFonts w:ascii="Arial" w:cs="Arial" w:eastAsia="Arial" w:hAnsi="Arial"/>
          <w:sz w:val="17"/>
          <w:szCs w:val="17"/>
          <w:i w:val="1"/>
          <w:iCs w:val="1"/>
          <w:color w:val="auto"/>
        </w:rPr>
        <w:t xml:space="preserve"> </w:t>
      </w:r>
      <w:r>
        <w:rPr>
          <w:rFonts w:ascii="Arial" w:cs="Arial" w:eastAsia="Arial" w:hAnsi="Arial"/>
          <w:sz w:val="17"/>
          <w:szCs w:val="17"/>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 The Company is subject to legal proceedings and claims which arise in the ordinary course of its business. As of June 30, 2021,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Following the public announcement in January 2016 of the election by sanofi-aventis U.S. LLC (“Sanofi”) to terminate a license and collaboration agreement (the “Sanofi License Agreement”) between the Company and Sanofi and the subsequent decline in the Company’s stock price, two motions were submitted to the district court at Tel Aviv, Economic Department for the certification of a class action against the Company and certain of its officers and directors. In general, the complaints allege that the Company and certain of its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the Company filed a motion to dismiss the certification motion. In September 2019, the plaintiff brought a motion to amend his claim, which the court denied in January 2020. The plaintiff appealed this denial to the Supreme Court of Israel, which issued a decision in July 2021 upholding the lower court decision. Subsequently, the plaintiff withdrew his complaint and the district court dismissed the motion to certify, bringing the litigation to an end.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ind w:right="100"/>
        <w:spacing w:after="0" w:line="313" w:lineRule="auto"/>
        <w:rPr>
          <w:sz w:val="20"/>
          <w:szCs w:val="20"/>
          <w:color w:val="auto"/>
        </w:rPr>
      </w:pP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 In July 2013, the Company entered into an agreement with the Milestone Purchasers, pursuant to which the Company granted the</w:t>
      </w:r>
      <w:r>
        <w:rPr>
          <w:rFonts w:ascii="Arial" w:cs="Arial" w:eastAsia="Arial" w:hAnsi="Arial"/>
          <w:sz w:val="16"/>
          <w:szCs w:val="16"/>
          <w:i w:val="1"/>
          <w:iCs w:val="1"/>
          <w:color w:val="auto"/>
        </w:rPr>
        <w:t xml:space="preserve"> </w:t>
      </w:r>
      <w:r>
        <w:rPr>
          <w:rFonts w:ascii="Arial" w:cs="Arial" w:eastAsia="Arial" w:hAnsi="Arial"/>
          <w:sz w:val="16"/>
          <w:szCs w:val="16"/>
          <w:color w:val="auto"/>
        </w:rPr>
        <w:t>Milestone Rights to receive payments up to $90.0 million upon the occurrence of specified strategic and sales milestones, $</w:t>
      </w:r>
      <w:r>
        <w:rPr>
          <w:rFonts w:ascii="Arial" w:cs="Arial" w:eastAsia="Arial" w:hAnsi="Arial"/>
          <w:sz w:val="16"/>
          <w:szCs w:val="16"/>
          <w:i w:val="1"/>
          <w:iCs w:val="1"/>
          <w:color w:val="auto"/>
        </w:rPr>
        <w:t>65.0</w:t>
      </w:r>
      <w:r>
        <w:rPr>
          <w:rFonts w:ascii="Arial" w:cs="Arial" w:eastAsia="Arial" w:hAnsi="Arial"/>
          <w:sz w:val="16"/>
          <w:szCs w:val="16"/>
          <w:color w:val="auto"/>
        </w:rPr>
        <w:t xml:space="preserve"> million of which remains payable upon achievement of such milestones (see Note 6 – </w:t>
      </w:r>
      <w:r>
        <w:rPr>
          <w:rFonts w:ascii="Arial" w:cs="Arial" w:eastAsia="Arial" w:hAnsi="Arial"/>
          <w:sz w:val="16"/>
          <w:szCs w:val="16"/>
          <w:i w:val="1"/>
          <w:iCs w:val="1"/>
          <w:color w:val="auto"/>
        </w:rPr>
        <w:t>Borrowings</w:t>
      </w:r>
      <w:r>
        <w:rPr>
          <w:rFonts w:ascii="Arial" w:cs="Arial" w:eastAsia="Arial" w:hAnsi="Arial"/>
          <w:sz w:val="16"/>
          <w:szCs w:val="16"/>
          <w:color w:val="auto"/>
        </w:rPr>
        <w:t>). The fair value of the Milestone Rights is recorded in the condensed consolidated balance sheet, including $</w:t>
      </w:r>
      <w:r>
        <w:rPr>
          <w:rFonts w:ascii="Arial" w:cs="Arial" w:eastAsia="Arial" w:hAnsi="Arial"/>
          <w:sz w:val="16"/>
          <w:szCs w:val="16"/>
          <w:i w:val="1"/>
          <w:iCs w:val="1"/>
          <w:color w:val="auto"/>
        </w:rPr>
        <w:t>1.1</w:t>
      </w:r>
      <w:r>
        <w:rPr>
          <w:rFonts w:ascii="Arial" w:cs="Arial" w:eastAsia="Arial" w:hAnsi="Arial"/>
          <w:sz w:val="16"/>
          <w:szCs w:val="16"/>
          <w:color w:val="auto"/>
        </w:rPr>
        <w:t xml:space="preserve"> million in accrued expenses and other current liabilities and $</w:t>
      </w:r>
      <w:r>
        <w:rPr>
          <w:rFonts w:ascii="Arial" w:cs="Arial" w:eastAsia="Arial" w:hAnsi="Arial"/>
          <w:sz w:val="16"/>
          <w:szCs w:val="16"/>
          <w:i w:val="1"/>
          <w:iCs w:val="1"/>
          <w:color w:val="auto"/>
        </w:rPr>
        <w:t>4.8</w:t>
      </w:r>
      <w:r>
        <w:rPr>
          <w:rFonts w:ascii="Arial" w:cs="Arial" w:eastAsia="Arial" w:hAnsi="Arial"/>
          <w:sz w:val="16"/>
          <w:szCs w:val="16"/>
          <w:color w:val="auto"/>
        </w:rPr>
        <w:t xml:space="preserve"> million in milestone rights liability.</w:t>
      </w:r>
    </w:p>
    <w:p>
      <w:pPr>
        <w:spacing w:after="0" w:line="147"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i w:val="1"/>
          <w:iCs w:val="1"/>
          <w:color w:val="auto"/>
        </w:rPr>
        <w:t xml:space="preserve">Commitments </w:t>
      </w:r>
      <w:r>
        <w:rPr>
          <w:rFonts w:ascii="Arial" w:cs="Arial" w:eastAsia="Arial" w:hAnsi="Arial"/>
          <w:sz w:val="16"/>
          <w:szCs w:val="16"/>
          <w:color w:val="auto"/>
        </w:rPr>
        <w:t>— In July 2014, the Company entered into the Insulin Supply Agreement with Amphastar pursuant to which Amphastar manufactures for</w:t>
      </w:r>
      <w:r>
        <w:rPr>
          <w:rFonts w:ascii="Arial" w:cs="Arial" w:eastAsia="Arial" w:hAnsi="Arial"/>
          <w:sz w:val="16"/>
          <w:szCs w:val="16"/>
          <w:i w:val="1"/>
          <w:iCs w:val="1"/>
          <w:color w:val="auto"/>
        </w:rPr>
        <w:t xml:space="preserve"> </w:t>
      </w:r>
      <w:r>
        <w:rPr>
          <w:rFonts w:ascii="Arial" w:cs="Arial" w:eastAsia="Arial" w:hAnsi="Arial"/>
          <w:sz w:val="16"/>
          <w:szCs w:val="16"/>
          <w:color w:val="auto"/>
        </w:rPr>
        <w:t>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189"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In May 2021, the Company and Amphastar amended the Insulin Supply Agreement to extend the term and restructure the annual purchase commitments. In connection with the amendment, the Company agreed to pay $2.0 million of amendment fees, which were recognized in cost of goods sold for the three and six months ended June 30, 2021. The remaining purchase commitments as of June 30, 2021 and March 31, 2021 (pre-amendment)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ind w:right="412"/>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7300" w:type="dxa"/>
            <w:vAlign w:val="bottom"/>
            <w:tcBorders>
              <w:top w:val="single" w:sz="8" w:color="CFF0FC"/>
            </w:tcBorders>
            <w:shd w:val="clear" w:color="auto" w:fill="CFF0FC"/>
          </w:tcPr>
          <w:p>
            <w:pPr>
              <w:jc w:val="right"/>
              <w:ind w:right="6850"/>
              <w:spacing w:after="0"/>
              <w:rPr>
                <w:sz w:val="20"/>
                <w:szCs w:val="20"/>
                <w:color w:val="auto"/>
              </w:rPr>
            </w:pPr>
            <w:r>
              <w:rPr>
                <w:rFonts w:ascii="Arial" w:cs="Arial" w:eastAsia="Arial" w:hAnsi="Arial"/>
                <w:sz w:val="18"/>
                <w:szCs w:val="18"/>
                <w:color w:val="auto"/>
                <w:w w:val="84"/>
              </w:rPr>
              <w:t>2021</w:t>
            </w: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 million</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 million</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300" w:type="dxa"/>
            <w:vAlign w:val="bottom"/>
          </w:tcPr>
          <w:p>
            <w:pPr>
              <w:jc w:val="right"/>
              <w:ind w:right="6850"/>
              <w:spacing w:after="0"/>
              <w:rPr>
                <w:sz w:val="20"/>
                <w:szCs w:val="20"/>
                <w:color w:val="auto"/>
              </w:rPr>
            </w:pPr>
            <w:r>
              <w:rPr>
                <w:rFonts w:ascii="Arial" w:cs="Arial" w:eastAsia="Arial" w:hAnsi="Arial"/>
                <w:sz w:val="18"/>
                <w:szCs w:val="18"/>
                <w:color w:val="auto"/>
                <w:w w:val="84"/>
              </w:rPr>
              <w:t>2022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5.4 million</w:t>
            </w:r>
          </w:p>
        </w:tc>
        <w:tc>
          <w:tcPr>
            <w:tcW w:w="5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8.5 million</w:t>
            </w:r>
          </w:p>
        </w:tc>
      </w:tr>
      <w:tr>
        <w:trPr>
          <w:trHeight w:val="229"/>
        </w:trPr>
        <w:tc>
          <w:tcPr>
            <w:tcW w:w="7300" w:type="dxa"/>
            <w:vAlign w:val="bottom"/>
            <w:shd w:val="clear" w:color="auto" w:fill="CFF0FC"/>
          </w:tcPr>
          <w:p>
            <w:pPr>
              <w:jc w:val="right"/>
              <w:ind w:right="6850"/>
              <w:spacing w:after="0"/>
              <w:rPr>
                <w:sz w:val="20"/>
                <w:szCs w:val="20"/>
                <w:color w:val="auto"/>
              </w:rPr>
            </w:pPr>
            <w:r>
              <w:rPr>
                <w:rFonts w:ascii="Arial" w:cs="Arial" w:eastAsia="Arial" w:hAnsi="Arial"/>
                <w:sz w:val="18"/>
                <w:szCs w:val="18"/>
                <w:color w:val="auto"/>
                <w:w w:val="84"/>
              </w:rPr>
              <w:t>2023</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 million</w:t>
            </w:r>
          </w:p>
        </w:tc>
        <w:tc>
          <w:tcPr>
            <w:tcW w:w="5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10.9 million</w:t>
            </w:r>
          </w:p>
        </w:tc>
      </w:tr>
      <w:tr>
        <w:trPr>
          <w:trHeight w:val="230"/>
        </w:trPr>
        <w:tc>
          <w:tcPr>
            <w:tcW w:w="7300" w:type="dxa"/>
            <w:vAlign w:val="bottom"/>
          </w:tcPr>
          <w:p>
            <w:pPr>
              <w:jc w:val="right"/>
              <w:ind w:right="6850"/>
              <w:spacing w:after="0"/>
              <w:rPr>
                <w:sz w:val="20"/>
                <w:szCs w:val="20"/>
                <w:color w:val="auto"/>
              </w:rPr>
            </w:pPr>
            <w:r>
              <w:rPr>
                <w:rFonts w:ascii="Arial" w:cs="Arial" w:eastAsia="Arial" w:hAnsi="Arial"/>
                <w:sz w:val="18"/>
                <w:szCs w:val="18"/>
                <w:color w:val="auto"/>
                <w:w w:val="84"/>
              </w:rPr>
              <w:t>2024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14.6 million</w:t>
            </w:r>
          </w:p>
        </w:tc>
        <w:tc>
          <w:tcPr>
            <w:tcW w:w="5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14.6 million</w:t>
            </w:r>
          </w:p>
        </w:tc>
      </w:tr>
      <w:tr>
        <w:trPr>
          <w:trHeight w:val="229"/>
        </w:trPr>
        <w:tc>
          <w:tcPr>
            <w:tcW w:w="7300" w:type="dxa"/>
            <w:vAlign w:val="bottom"/>
            <w:shd w:val="clear" w:color="auto" w:fill="CFF0FC"/>
          </w:tcPr>
          <w:p>
            <w:pPr>
              <w:jc w:val="right"/>
              <w:ind w:right="6850"/>
              <w:spacing w:after="0"/>
              <w:rPr>
                <w:sz w:val="20"/>
                <w:szCs w:val="20"/>
                <w:color w:val="auto"/>
              </w:rPr>
            </w:pPr>
            <w:r>
              <w:rPr>
                <w:rFonts w:ascii="Arial" w:cs="Arial" w:eastAsia="Arial" w:hAnsi="Arial"/>
                <w:sz w:val="18"/>
                <w:szCs w:val="18"/>
                <w:color w:val="auto"/>
                <w:w w:val="84"/>
              </w:rPr>
              <w:t>2025</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 million</w:t>
            </w:r>
          </w:p>
        </w:tc>
        <w:tc>
          <w:tcPr>
            <w:tcW w:w="5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15.5 million</w:t>
            </w:r>
          </w:p>
        </w:tc>
      </w:tr>
      <w:tr>
        <w:trPr>
          <w:trHeight w:val="229"/>
        </w:trPr>
        <w:tc>
          <w:tcPr>
            <w:tcW w:w="7300" w:type="dxa"/>
            <w:vAlign w:val="bottom"/>
          </w:tcPr>
          <w:p>
            <w:pPr>
              <w:jc w:val="right"/>
              <w:ind w:right="6850"/>
              <w:spacing w:after="0"/>
              <w:rPr>
                <w:sz w:val="20"/>
                <w:szCs w:val="20"/>
                <w:color w:val="auto"/>
              </w:rPr>
            </w:pPr>
            <w:r>
              <w:rPr>
                <w:rFonts w:ascii="Arial" w:cs="Arial" w:eastAsia="Arial" w:hAnsi="Arial"/>
                <w:sz w:val="18"/>
                <w:szCs w:val="18"/>
                <w:color w:val="auto"/>
                <w:w w:val="84"/>
              </w:rPr>
              <w:t>2026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19.4 million</w:t>
            </w:r>
          </w:p>
        </w:tc>
        <w:tc>
          <w:tcPr>
            <w:tcW w:w="5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19.4 million</w:t>
            </w:r>
          </w:p>
        </w:tc>
      </w:tr>
      <w:tr>
        <w:trPr>
          <w:trHeight w:val="230"/>
        </w:trPr>
        <w:tc>
          <w:tcPr>
            <w:tcW w:w="7300" w:type="dxa"/>
            <w:vAlign w:val="bottom"/>
            <w:shd w:val="clear" w:color="auto" w:fill="CFF0FC"/>
          </w:tcPr>
          <w:p>
            <w:pPr>
              <w:jc w:val="right"/>
              <w:ind w:right="6850"/>
              <w:spacing w:after="0"/>
              <w:rPr>
                <w:sz w:val="20"/>
                <w:szCs w:val="20"/>
                <w:color w:val="auto"/>
              </w:rPr>
            </w:pPr>
            <w:r>
              <w:rPr>
                <w:rFonts w:ascii="Arial" w:cs="Arial" w:eastAsia="Arial" w:hAnsi="Arial"/>
                <w:sz w:val="18"/>
                <w:szCs w:val="18"/>
                <w:color w:val="auto"/>
                <w:w w:val="84"/>
              </w:rPr>
              <w:t>2027</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 million</w:t>
            </w:r>
          </w:p>
        </w:tc>
        <w:tc>
          <w:tcPr>
            <w:tcW w:w="5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Pursuant to the amendment, the term of the Insulin Supply Agreement expires on December 31, 2027, unless terminated earlier, and can be renewed for additional, successive two-year terms upon 12 months’ written notice given prior to the end of the initial term or any additional two-year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Warrants – </w:t>
      </w:r>
      <w:r>
        <w:rPr>
          <w:rFonts w:ascii="Arial" w:cs="Arial" w:eastAsia="Arial" w:hAnsi="Arial"/>
          <w:sz w:val="18"/>
          <w:szCs w:val="18"/>
          <w:color w:val="auto"/>
        </w:rPr>
        <w:t>In August 2019, in connection with the MidCap credit facility, the Company issued warrants to purchase an aggregate of 1,171,614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Company’s common stock, at an exercise price equal to $1.11 per share, to the lenders. On November 30, 2020, in connection with the third amendment to the MidCap credit facility, the Company issued warrants to purchase an aggregate of 111,853 shares of the Company’s common stock, at an exercise price of $2.91 per share. (see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21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 xml:space="preserve">Vehicle Leases – </w:t>
      </w:r>
      <w:r>
        <w:rPr>
          <w:rFonts w:ascii="Arial" w:cs="Arial" w:eastAsia="Arial" w:hAnsi="Arial"/>
          <w:sz w:val="18"/>
          <w:szCs w:val="18"/>
          <w:color w:val="auto"/>
        </w:rPr>
        <w:t>During the second quarter of 2018, the Company entered into a lease agreement with Enterprise Fleet Management Inc. During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2021, 10 vehicles were removed from the fleet, resulting in a fleet size of 78 vehicles. No gain or loss was recorded. The revised monthly payment inclusive of maintenance fees, insurance and taxes is approximately $69,000. The lease expense is included in selling, general and administrative expenses in the condensed consolidated statements of operations.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Office Leases </w:t>
      </w:r>
      <w:r>
        <w:rPr>
          <w:rFonts w:ascii="Arial" w:cs="Arial" w:eastAsia="Arial" w:hAnsi="Arial"/>
          <w:sz w:val="18"/>
          <w:szCs w:val="18"/>
          <w:color w:val="auto"/>
        </w:rPr>
        <w:t>— In May 2017, the Company executed an office lease with Russell Ranch Road II LLC for the Company’s corporate headquarters in</w:t>
      </w:r>
      <w:r>
        <w:rPr>
          <w:rFonts w:ascii="Arial" w:cs="Arial" w:eastAsia="Arial" w:hAnsi="Arial"/>
          <w:sz w:val="18"/>
          <w:szCs w:val="18"/>
          <w:i w:val="1"/>
          <w:iCs w:val="1"/>
          <w:color w:val="auto"/>
        </w:rPr>
        <w:t xml:space="preserve"> </w:t>
      </w:r>
      <w:r>
        <w:rPr>
          <w:rFonts w:ascii="Arial" w:cs="Arial" w:eastAsia="Arial" w:hAnsi="Arial"/>
          <w:sz w:val="18"/>
          <w:szCs w:val="18"/>
          <w:color w:val="auto"/>
        </w:rPr>
        <w:t>Westlake Village, California. The office lease commenced in August 2017. The Company agreed to pay initial monthly lease payments of $40,951, subject to 3% annual increases, plus the estimated cost of maintaining the property and common areas by the landlord, with a five-month concession from October 2017 through February 2018. The lease also provides for allowances for tenant alterations and maintenance. The lease expires in January 2023 and provides the Company with a five-year renewal option. The lease expense is included in selling, general and administrative expenses in the condensed consolidated statements of operations.</w:t>
      </w:r>
    </w:p>
    <w:p>
      <w:pPr>
        <w:spacing w:after="0" w:line="19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November 2017, the Company executed an office lease with Russell Ranch Road II LLC to expand the office space for the Company’s corporate headquarters in Westlake Village, California. The office lease commenced in October 2018. The Company agreed to pay initial monthly lease payments of $35,969, subject to a 3% annual increase, plus the estimated operating cost of maintaining the property by the landlord, which are allocable based an annual assessment made by the landlord. In addition, the Company received reimbursement from the landlord of $56,325 for tenant improvements and was not required to pay a first-year common area maintenance fee. The lease expires in January 2023 and provides the Company with a five-year renewal option.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Lease information is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0" w:type="dxa"/>
            <w:vAlign w:val="bottom"/>
            <w:gridSpan w:val="5"/>
          </w:tcPr>
          <w:p>
            <w:pPr>
              <w:jc w:val="center"/>
              <w:ind w:left="339"/>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gridSpan w:val="7"/>
          </w:tcPr>
          <w:p>
            <w:pPr>
              <w:jc w:val="center"/>
              <w:ind w:left="68"/>
              <w:spacing w:after="0"/>
              <w:rPr>
                <w:sz w:val="20"/>
                <w:szCs w:val="20"/>
                <w:color w:val="auto"/>
              </w:rPr>
            </w:pPr>
            <w:r>
              <w:rPr>
                <w:rFonts w:ascii="Arial" w:cs="Arial" w:eastAsia="Arial" w:hAnsi="Arial"/>
                <w:sz w:val="14"/>
                <w:szCs w:val="14"/>
                <w:b w:val="1"/>
                <w:bCs w:val="1"/>
                <w:color w:val="auto"/>
                <w:w w:val="93"/>
              </w:rPr>
              <w:t>Six Months Ended</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center"/>
              <w:ind w:right="127"/>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454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ind w:right="312"/>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9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3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34"/>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Variable lease costs</w:t>
            </w: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Cash paid</w:t>
            </w:r>
          </w:p>
        </w:tc>
        <w:tc>
          <w:tcPr>
            <w:tcW w:w="9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FF0FC"/>
          </w:tcPr>
          <w:p>
            <w:pPr>
              <w:spacing w:after="0"/>
              <w:rPr>
                <w:sz w:val="19"/>
                <w:szCs w:val="19"/>
                <w:color w:val="auto"/>
              </w:rPr>
            </w:pPr>
          </w:p>
        </w:tc>
      </w:tr>
      <w:tr>
        <w:trPr>
          <w:trHeight w:val="594"/>
        </w:trPr>
        <w:tc>
          <w:tcPr>
            <w:tcW w:w="4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w w:val="96"/>
              </w:rPr>
              <w:t>June 30, 2021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6"/>
          </w:tcPr>
          <w:p>
            <w:pPr>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remaining lease term (in years)</w:t>
            </w:r>
          </w:p>
        </w:tc>
        <w:tc>
          <w:tcPr>
            <w:tcW w:w="9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87"/>
              </w:rPr>
              <w:t>1.5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87"/>
              </w:rPr>
              <w:t>1.9</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gridSpan w:val="3"/>
          </w:tcPr>
          <w:p>
            <w:pPr>
              <w:ind w:left="460"/>
              <w:spacing w:after="0"/>
              <w:rPr>
                <w:sz w:val="20"/>
                <w:szCs w:val="20"/>
                <w:color w:val="auto"/>
              </w:rPr>
            </w:pPr>
            <w:r>
              <w:rPr>
                <w:rFonts w:ascii="Arial" w:cs="Arial" w:eastAsia="Arial" w:hAnsi="Arial"/>
                <w:sz w:val="18"/>
                <w:szCs w:val="18"/>
                <w:color w:val="auto"/>
                <w:w w:val="97"/>
              </w:rPr>
              <w:t>7.5%</w:t>
            </w:r>
          </w:p>
        </w:tc>
      </w:tr>
      <w:tr>
        <w:trPr>
          <w:trHeight w:val="431"/>
        </w:trPr>
        <w:tc>
          <w:tcPr>
            <w:tcW w:w="9260" w:type="dxa"/>
            <w:vAlign w:val="bottom"/>
            <w:gridSpan w:val="12"/>
          </w:tcPr>
          <w:p>
            <w:pPr>
              <w:spacing w:after="0"/>
              <w:rPr>
                <w:sz w:val="20"/>
                <w:szCs w:val="20"/>
                <w:color w:val="auto"/>
              </w:rPr>
            </w:pPr>
            <w:r>
              <w:rPr>
                <w:rFonts w:ascii="Arial" w:cs="Arial" w:eastAsia="Arial" w:hAnsi="Arial"/>
                <w:sz w:val="18"/>
                <w:szCs w:val="18"/>
                <w:color w:val="auto"/>
                <w:w w:val="91"/>
              </w:rPr>
              <w:t>Future minimum office and vehicle lease payments as of June 30, 2021 and December 31, 2020, are as follows (in thousands):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4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June 30, 2021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9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30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1,494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540" w:type="dxa"/>
            <w:vAlign w:val="bottom"/>
          </w:tcPr>
          <w:p>
            <w:pPr>
              <w:spacing w:after="0"/>
              <w:rPr>
                <w:sz w:val="20"/>
                <w:szCs w:val="20"/>
                <w:color w:val="auto"/>
              </w:rPr>
            </w:pPr>
            <w:r>
              <w:rPr>
                <w:rFonts w:ascii="Arial" w:cs="Arial" w:eastAsia="Arial" w:hAnsi="Arial"/>
                <w:sz w:val="18"/>
                <w:szCs w:val="18"/>
                <w:color w:val="auto"/>
              </w:rPr>
              <w:t>2022</w:t>
            </w: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9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9"/>
                <w:szCs w:val="19"/>
                <w:color w:val="auto"/>
              </w:rPr>
            </w:pPr>
          </w:p>
        </w:tc>
      </w:tr>
      <w:tr>
        <w:trPr>
          <w:trHeight w:val="223"/>
        </w:trPr>
        <w:tc>
          <w:tcPr>
            <w:tcW w:w="4540" w:type="dxa"/>
            <w:vAlign w:val="bottom"/>
          </w:tcPr>
          <w:p>
            <w:pPr>
              <w:ind w:left="26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2,023</w:t>
            </w:r>
          </w:p>
        </w:tc>
        <w:tc>
          <w:tcPr>
            <w:tcW w:w="300" w:type="dxa"/>
            <w:vAlign w:val="bottom"/>
            <w:gridSpan w:val="2"/>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assessed its position with regards to uncertainty in tax positions and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The Company’s tax years since 2016 remain subject to examination by federal, state and foreign tax authorities.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2020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a biopharmaceutical company focused on the development and commercialization of inhaled therapeutic products for endocrine and orphan lung diseases. Our lead product is Afrezza (insulin human) Inhalation Powder, an ultra rapid-acting inhaled insulin indicated to improve glycemic control in adults with diabetes, which was approved by the FDA in June 2014. Since September 2018, we have been collaborating with United Therapeutics to develop an inhaled formulation of treprostinil known as Tyvaso DPI. In April 2021, United Therapeutics submitted an NDA for Tyvaso DPI to the FDA. United Therapeutics has applied a priority review voucher to the NDA. The FDA has accepted the application for review and is expected to complete their review in October 2021.</w:t>
      </w:r>
    </w:p>
    <w:p>
      <w:pPr>
        <w:spacing w:after="0" w:line="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business is subject to significant risks, including but not limited to our ability to commercialize Afrezza successfully, our ability to manufacture sufficient quantities of Afrezza and Tyvaso DPI and our potential need to raise additional capital to fund our operations. Other significant risks also include the risks inherent in drug development, clinical trials and the regulatory approval process for our product candidates, which in some cases depends upon the efforts of our partners.</w:t>
      </w:r>
    </w:p>
    <w:p>
      <w:pPr>
        <w:spacing w:after="0" w:line="7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We continue to manage the risk to our business posed by the global COVID-19 pandemic. Our sales representatives have resumed in-person sales calls to the extent permitted by state and local public health authorities and by the policies of individual healthcare providers on their call lists. Our offices in California and Connecticut have remained open for essential personnel and, as public health orders allow, have reopened to non-essential personnel. Although our productivity has been impacted by the global pandemic, we have suitably adapted to the changed business environment that now exists.</w:t>
      </w:r>
    </w:p>
    <w:p>
      <w:pPr>
        <w:spacing w:after="0" w:line="4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impact of the COVID-19 pandemic continues to be uncertain. We do not yet know the full extent of potential delays or impacts on our business, our collaboration arrangements, commercialization efforts, healthcare systems or to the global economy as a whole. The COVID-19 pandemic has the potential to have additional adverse impacts on our operations. We will continue to monitor the COVID-19 situation closely.</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June 30, 2021, we had an accumulated deficit of $3.1 billion and a stockholders’ deficit of $183.6 million. We had net loss of $35.5 million and $48.4 million for the three and six months ended June 30, 2021, respectively. To date, we have funded our operations through the sale of convertible debt securities and equity, from the receipt of upfront and milestone payments from certain collaborations, from borrowings under certain loan arrangements and from sales of Afrezza.</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 xml:space="preserve">Our critical accounting policies can be found in Item 7. Management’s Discussion and Analysis of Financial Condition and Results of Operations in our Form 10-K for the year ended December 31, 2020. See Note 1 – </w:t>
      </w:r>
      <w:r>
        <w:rPr>
          <w:rFonts w:ascii="Arial" w:cs="Arial" w:eastAsia="Arial" w:hAnsi="Arial"/>
          <w:sz w:val="16"/>
          <w:szCs w:val="16"/>
          <w:i w:val="1"/>
          <w:iCs w:val="1"/>
          <w:color w:val="auto"/>
        </w:rPr>
        <w:t>Description of Business and Significant Accounting Policies</w:t>
      </w:r>
      <w:r>
        <w:rPr>
          <w:rFonts w:ascii="Arial" w:cs="Arial" w:eastAsia="Arial" w:hAnsi="Arial"/>
          <w:sz w:val="16"/>
          <w:szCs w:val="16"/>
          <w:color w:val="auto"/>
        </w:rPr>
        <w:t xml:space="preserve"> in the condensed consolidated financial statements included in Part I – Financial Statements (Unaudited) for descriptions of the new accounting policies and impact of adoption.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 comparison of the revenue categories for the three and six months ended June 30, 2021 and 2020 (dollars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9"/>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5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6"/>
        </w:trPr>
        <w:tc>
          <w:tcPr>
            <w:tcW w:w="5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13"/>
                <w:szCs w:val="13"/>
                <w:color w:val="auto"/>
              </w:rPr>
            </w:pPr>
          </w:p>
        </w:tc>
        <w:tc>
          <w:tcPr>
            <w:tcW w:w="112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 commercial product sales:</w:t>
            </w:r>
          </w:p>
        </w:tc>
        <w:tc>
          <w:tcPr>
            <w:tcW w:w="6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Gross revenue from commercial product sales</w:t>
            </w:r>
          </w:p>
        </w:tc>
        <w:tc>
          <w:tcPr>
            <w:tcW w:w="94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16,575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4"/>
          </w:tcPr>
          <w:p>
            <w:pPr>
              <w:jc w:val="right"/>
              <w:ind w:right="129"/>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11,900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4,675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39%</w:t>
            </w:r>
          </w:p>
        </w:tc>
      </w:tr>
      <w:tr>
        <w:trPr>
          <w:trHeight w:val="215"/>
        </w:trPr>
        <w:tc>
          <w:tcPr>
            <w:tcW w:w="5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Wholesaler distribution fees, rebates and chargebacks,</w:t>
            </w:r>
          </w:p>
        </w:tc>
        <w:tc>
          <w:tcPr>
            <w:tcW w:w="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30"/>
        </w:trPr>
        <w:tc>
          <w:tcPr>
            <w:tcW w:w="51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product returns and other discounts</w:t>
            </w:r>
          </w:p>
        </w:tc>
        <w:tc>
          <w:tcPr>
            <w:tcW w:w="6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(6,599)</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(4,915)</w:t>
            </w:r>
          </w:p>
        </w:tc>
        <w:tc>
          <w:tcPr>
            <w:tcW w:w="2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Net revenue — commercial product sales</w:t>
            </w:r>
          </w:p>
        </w:tc>
        <w:tc>
          <w:tcPr>
            <w:tcW w:w="6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2,991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43%</w:t>
            </w: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Revenue — collaborations and services</w:t>
            </w:r>
          </w:p>
        </w:tc>
        <w:tc>
          <w:tcPr>
            <w:tcW w:w="6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13,304</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8,129</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64%</w:t>
            </w:r>
          </w:p>
        </w:tc>
      </w:tr>
      <w:tr>
        <w:trPr>
          <w:trHeight w:val="223"/>
        </w:trPr>
        <w:tc>
          <w:tcPr>
            <w:tcW w:w="510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6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8,166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54%</w:t>
            </w:r>
          </w:p>
        </w:tc>
      </w:tr>
      <w:tr>
        <w:trPr>
          <w:trHeight w:val="20"/>
        </w:trPr>
        <w:tc>
          <w:tcPr>
            <w:tcW w:w="5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5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9"/>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56"/>
        </w:trPr>
        <w:tc>
          <w:tcPr>
            <w:tcW w:w="5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13"/>
                <w:szCs w:val="13"/>
                <w:color w:val="auto"/>
              </w:rPr>
            </w:pPr>
          </w:p>
        </w:tc>
        <w:tc>
          <w:tcPr>
            <w:tcW w:w="114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3"/>
                <w:szCs w:val="13"/>
                <w:color w:val="auto"/>
              </w:rPr>
            </w:pPr>
          </w:p>
        </w:tc>
      </w:t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 commercial product sales:</w:t>
            </w:r>
          </w:p>
        </w:tc>
        <w:tc>
          <w:tcPr>
            <w:tcW w:w="6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r>
      <w:tr>
        <w:trPr>
          <w:trHeight w:val="229"/>
        </w:trPr>
        <w:tc>
          <w:tcPr>
            <w:tcW w:w="5100" w:type="dxa"/>
            <w:vAlign w:val="bottom"/>
          </w:tcPr>
          <w:p>
            <w:pPr>
              <w:ind w:left="260"/>
              <w:spacing w:after="0"/>
              <w:rPr>
                <w:sz w:val="20"/>
                <w:szCs w:val="20"/>
                <w:color w:val="auto"/>
              </w:rPr>
            </w:pPr>
            <w:r>
              <w:rPr>
                <w:rFonts w:ascii="Arial" w:cs="Arial" w:eastAsia="Arial" w:hAnsi="Arial"/>
                <w:sz w:val="18"/>
                <w:szCs w:val="18"/>
                <w:color w:val="auto"/>
              </w:rPr>
              <w:t>Gross revenue from commercial product sales</w:t>
            </w:r>
          </w:p>
        </w:tc>
        <w:tc>
          <w:tcPr>
            <w:tcW w:w="94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30,185</w:t>
            </w:r>
          </w:p>
        </w:tc>
        <w:tc>
          <w:tcPr>
            <w:tcW w:w="140" w:type="dxa"/>
            <w:vAlign w:val="bottom"/>
          </w:tcPr>
          <w:p>
            <w:pPr>
              <w:spacing w:after="0"/>
              <w:rPr>
                <w:sz w:val="19"/>
                <w:szCs w:val="19"/>
                <w:color w:val="auto"/>
              </w:rPr>
            </w:pPr>
          </w:p>
        </w:tc>
        <w:tc>
          <w:tcPr>
            <w:tcW w:w="340" w:type="dxa"/>
            <w:vAlign w:val="bottom"/>
            <w:gridSpan w:val="4"/>
          </w:tcPr>
          <w:p>
            <w:pPr>
              <w:jc w:val="right"/>
              <w:ind w:right="109"/>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25,832</w:t>
            </w:r>
          </w:p>
        </w:tc>
        <w:tc>
          <w:tcPr>
            <w:tcW w:w="120" w:type="dxa"/>
            <w:vAlign w:val="bottom"/>
          </w:tcPr>
          <w:p>
            <w:pPr>
              <w:spacing w:after="0"/>
              <w:rPr>
                <w:sz w:val="19"/>
                <w:szCs w:val="19"/>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4,353</w:t>
            </w:r>
          </w:p>
        </w:tc>
        <w:tc>
          <w:tcPr>
            <w:tcW w:w="220" w:type="dxa"/>
            <w:vAlign w:val="bottom"/>
          </w:tcPr>
          <w:p>
            <w:pPr>
              <w:spacing w:after="0"/>
              <w:rPr>
                <w:sz w:val="19"/>
                <w:szCs w:val="19"/>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r>
      <w:tr>
        <w:trPr>
          <w:trHeight w:val="215"/>
        </w:trPr>
        <w:tc>
          <w:tcPr>
            <w:tcW w:w="5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Wholesaler distribution fees, rebates and chargebacks,</w:t>
            </w:r>
          </w:p>
        </w:tc>
        <w:tc>
          <w:tcPr>
            <w:tcW w:w="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30"/>
        </w:trPr>
        <w:tc>
          <w:tcPr>
            <w:tcW w:w="51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product returns and other discounts</w:t>
            </w:r>
          </w:p>
        </w:tc>
        <w:tc>
          <w:tcPr>
            <w:tcW w:w="6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(12,110)</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(10,847)</w:t>
            </w:r>
          </w:p>
        </w:tc>
        <w:tc>
          <w:tcPr>
            <w:tcW w:w="2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220" w:type="dxa"/>
            <w:vAlign w:val="bottom"/>
            <w:shd w:val="clear" w:color="auto" w:fill="CFF0FC"/>
          </w:tcPr>
          <w:p>
            <w:pPr>
              <w:spacing w:after="0"/>
              <w:rPr>
                <w:sz w:val="20"/>
                <w:szCs w:val="20"/>
                <w:color w:val="auto"/>
              </w:rPr>
            </w:pPr>
          </w:p>
        </w:tc>
        <w:tc>
          <w:tcPr>
            <w:tcW w:w="13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Net revenue — commercial product sales</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18,075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14,985</w:t>
            </w:r>
          </w:p>
        </w:tc>
        <w:tc>
          <w:tcPr>
            <w:tcW w:w="120" w:type="dxa"/>
            <w:vAlign w:val="bottom"/>
          </w:tcPr>
          <w:p>
            <w:pPr>
              <w:spacing w:after="0"/>
              <w:rPr>
                <w:sz w:val="19"/>
                <w:szCs w:val="19"/>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3,090</w:t>
            </w:r>
          </w:p>
        </w:tc>
        <w:tc>
          <w:tcPr>
            <w:tcW w:w="220" w:type="dxa"/>
            <w:vAlign w:val="bottom"/>
          </w:tcPr>
          <w:p>
            <w:pPr>
              <w:spacing w:after="0"/>
              <w:rPr>
                <w:sz w:val="19"/>
                <w:szCs w:val="19"/>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21%</w:t>
            </w: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Revenue — collaborations and services</w:t>
            </w: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22,641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16,364</w:t>
            </w:r>
          </w:p>
        </w:tc>
        <w:tc>
          <w:tcPr>
            <w:tcW w:w="120" w:type="dxa"/>
            <w:vAlign w:val="bottom"/>
            <w:shd w:val="clear" w:color="auto" w:fill="CFF0FC"/>
          </w:tcPr>
          <w:p>
            <w:pPr>
              <w:spacing w:after="0"/>
              <w:rPr>
                <w:sz w:val="19"/>
                <w:szCs w:val="19"/>
                <w:color w:val="auto"/>
              </w:rPr>
            </w:pPr>
          </w:p>
        </w:tc>
        <w:tc>
          <w:tcPr>
            <w:tcW w:w="2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6,277</w:t>
            </w:r>
          </w:p>
        </w:tc>
        <w:tc>
          <w:tcPr>
            <w:tcW w:w="220" w:type="dxa"/>
            <w:vAlign w:val="bottom"/>
            <w:shd w:val="clear" w:color="auto" w:fill="CFF0FC"/>
          </w:tcPr>
          <w:p>
            <w:pPr>
              <w:spacing w:after="0"/>
              <w:rPr>
                <w:sz w:val="19"/>
                <w:szCs w:val="19"/>
                <w:color w:val="auto"/>
              </w:rPr>
            </w:pPr>
          </w:p>
        </w:tc>
        <w:tc>
          <w:tcPr>
            <w:tcW w:w="13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r>
      <w:tr>
        <w:trPr>
          <w:trHeight w:val="223"/>
        </w:trPr>
        <w:tc>
          <w:tcPr>
            <w:tcW w:w="510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700" w:type="dxa"/>
            <w:vAlign w:val="bottom"/>
            <w:gridSpan w:val="2"/>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40,716</w:t>
            </w:r>
          </w:p>
        </w:tc>
        <w:tc>
          <w:tcPr>
            <w:tcW w:w="14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31,349</w:t>
            </w:r>
          </w:p>
        </w:tc>
        <w:tc>
          <w:tcPr>
            <w:tcW w:w="120" w:type="dxa"/>
            <w:vAlign w:val="bottom"/>
          </w:tcPr>
          <w:p>
            <w:pPr>
              <w:spacing w:after="0"/>
              <w:rPr>
                <w:sz w:val="19"/>
                <w:szCs w:val="19"/>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9,367</w:t>
            </w:r>
          </w:p>
        </w:tc>
        <w:tc>
          <w:tcPr>
            <w:tcW w:w="220" w:type="dxa"/>
            <w:vAlign w:val="bottom"/>
          </w:tcPr>
          <w:p>
            <w:pPr>
              <w:spacing w:after="0"/>
              <w:rPr>
                <w:sz w:val="19"/>
                <w:szCs w:val="19"/>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30%</w:t>
            </w:r>
          </w:p>
        </w:tc>
      </w:tr>
      <w:tr>
        <w:trPr>
          <w:trHeight w:val="20"/>
        </w:trPr>
        <w:tc>
          <w:tcPr>
            <w:tcW w:w="5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Gross revenue from sales of Afrezza increased by $4.7 million, or 39%, for the three months ended June 30, 2021 compared to the same period in the prior year. The increase reflects higher prescription demand, the negative effects of the COVID-19 pandemic on Afrezza sales volumes during the second quarter of 2020 when our sales force had limited access to physicians as a result of the stay-at-home orders implemented around the country, a more favorable mix of Afrezza cartridges, and price. The gross-to-net adjustment was 39.8% of gross revenue, or $6.6 million, for the three months ended June 30, 2021, compared to 41.3% of gross revenue, or $4.9 million, for the same period in the prior year. The decrease in the gross-to-net percentage was primarily driven by a decrease in accounting estimates for wholesaler distribution fees, prompt pay discounts and government rebates as a result of the termination of our free goods program on December 31, 2020, partially offset by an increase in co-pay discounts. As a result, net revenue from sales of Afrezza increased by $3.0 million, or 43%, for the three months ended June 30, 2021 compared to the prior year period.</w:t>
      </w:r>
    </w:p>
    <w:p>
      <w:pPr>
        <w:spacing w:after="0" w:line="16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Net revenue from collaborations and services increased by $5.2 million, or 64%, for the three months ended June 30, 2021 compared to the same period in the prior year. The increase in collaborations and services revenue was primarily attributed to our collaboration with UT. See Note 7 – </w:t>
      </w:r>
      <w:r>
        <w:rPr>
          <w:rFonts w:ascii="Arial" w:cs="Arial" w:eastAsia="Arial" w:hAnsi="Arial"/>
          <w:sz w:val="18"/>
          <w:szCs w:val="18"/>
          <w:i w:val="1"/>
          <w:iCs w:val="1"/>
          <w:color w:val="auto"/>
        </w:rPr>
        <w:t>Collaboration,</w:t>
      </w:r>
      <w:r>
        <w:rPr>
          <w:rFonts w:ascii="Arial" w:cs="Arial" w:eastAsia="Arial" w:hAnsi="Arial"/>
          <w:sz w:val="18"/>
          <w:szCs w:val="18"/>
          <w:color w:val="auto"/>
        </w:rPr>
        <w:t xml:space="preserve"> </w:t>
      </w:r>
      <w:r>
        <w:rPr>
          <w:rFonts w:ascii="Arial" w:cs="Arial" w:eastAsia="Arial" w:hAnsi="Arial"/>
          <w:sz w:val="18"/>
          <w:szCs w:val="18"/>
          <w:i w:val="1"/>
          <w:iCs w:val="1"/>
          <w:color w:val="auto"/>
        </w:rPr>
        <w:t>Licensing and Other Arrangements</w:t>
      </w:r>
      <w:r>
        <w:rPr>
          <w:rFonts w:ascii="Arial" w:cs="Arial" w:eastAsia="Arial" w:hAnsi="Arial"/>
          <w:sz w:val="18"/>
          <w:szCs w:val="18"/>
          <w:color w:val="auto"/>
        </w:rPr>
        <w:t>.</w:t>
      </w:r>
    </w:p>
    <w:p>
      <w:pPr>
        <w:spacing w:after="0" w:line="25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Gross revenue from sales of Afrezza increased by $4.4 million, or 17%, for the six months ended June 30, 2021 compared to the same period in the prior year. The increase reflects higher product demand in the first half of 2021 as a result of increased promotional activity in addition to the negative impact that the COVID-19 pandemic had on the demand of Afrezza prescriptions in 2020. The gross-to-net adjustment was 40.1% of gross revenue, or $12.1 million, for the six months ended June 30, 2021, compared to 42.0% of gross revenue, or $10.8 million, for the same period in the prior year. The decrease in the gross-to-net percentage was primarily driven by a decrease in accounting estimates for wholesaler distribution fees and government rebates as a result of the termination of our free goods program on December 31, 2020, partially offset by an increase in co-pay discounts. As a result, net revenue from sales of Afrezza increased by $3.1 million, or 21%, for the six months ended June 30, 2021 compared to the prior year period.</w:t>
      </w:r>
    </w:p>
    <w:p>
      <w:pPr>
        <w:spacing w:after="0" w:line="16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Net revenue from collaborations and services increased by $6.3 million, or 38%, for the six months ended June 30, 2021 compared to the same period in the prior year. The increase in collaborations and services revenue was primarily attributed to our collaboration with UT. See Note 7 – </w:t>
      </w:r>
      <w:r>
        <w:rPr>
          <w:rFonts w:ascii="Arial" w:cs="Arial" w:eastAsia="Arial" w:hAnsi="Arial"/>
          <w:sz w:val="18"/>
          <w:szCs w:val="18"/>
          <w:i w:val="1"/>
          <w:iCs w:val="1"/>
          <w:color w:val="auto"/>
        </w:rPr>
        <w:t>Collaboration,</w:t>
      </w:r>
      <w:r>
        <w:rPr>
          <w:rFonts w:ascii="Arial" w:cs="Arial" w:eastAsia="Arial" w:hAnsi="Arial"/>
          <w:sz w:val="18"/>
          <w:szCs w:val="18"/>
          <w:color w:val="auto"/>
        </w:rPr>
        <w:t xml:space="preserve"> </w:t>
      </w:r>
      <w:r>
        <w:rPr>
          <w:rFonts w:ascii="Arial" w:cs="Arial" w:eastAsia="Arial" w:hAnsi="Arial"/>
          <w:sz w:val="18"/>
          <w:szCs w:val="18"/>
          <w:i w:val="1"/>
          <w:iCs w:val="1"/>
          <w:color w:val="auto"/>
        </w:rPr>
        <w:t>Licensing and Other Arrangements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Commercial product gross profit</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tables provide a comparison of the commercial product gross profit categories for the three and six months ended June 30, 2021 and 2020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w w:val="95"/>
              </w:rPr>
              <w:t>Three Months Ended</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4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536"/>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 Change</w:t>
            </w:r>
          </w:p>
        </w:tc>
        <w:tc>
          <w:tcPr>
            <w:tcW w:w="112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product gross profit:</w:t>
            </w:r>
          </w:p>
        </w:tc>
        <w:tc>
          <w:tcPr>
            <w:tcW w:w="1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9,976</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6,985</w:t>
            </w:r>
          </w:p>
        </w:tc>
        <w:tc>
          <w:tcPr>
            <w:tcW w:w="24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2,991</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29"/>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cost of goods sold</w:t>
            </w:r>
          </w:p>
        </w:tc>
        <w:tc>
          <w:tcPr>
            <w:tcW w:w="1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4,411</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3,677</w:t>
            </w:r>
          </w:p>
        </w:tc>
        <w:tc>
          <w:tcPr>
            <w:tcW w:w="2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r>
      <w:tr>
        <w:trPr>
          <w:trHeight w:val="263"/>
        </w:trPr>
        <w:tc>
          <w:tcPr>
            <w:tcW w:w="4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Commercial product gross profit</w:t>
            </w:r>
          </w:p>
        </w:tc>
        <w:tc>
          <w:tcPr>
            <w:tcW w:w="12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5,565</w:t>
            </w:r>
          </w:p>
        </w:tc>
        <w:tc>
          <w:tcPr>
            <w:tcW w:w="3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2,257</w:t>
            </w:r>
          </w:p>
        </w:tc>
        <w:tc>
          <w:tcPr>
            <w:tcW w:w="260" w:type="dxa"/>
            <w:vAlign w:val="bottom"/>
            <w:tcBorders>
              <w:bottom w:val="single" w:sz="8" w:color="CFF0FC"/>
            </w:tcBorders>
          </w:tcPr>
          <w:p>
            <w:pPr>
              <w:spacing w:after="0"/>
              <w:rPr>
                <w:sz w:val="22"/>
                <w:szCs w:val="22"/>
                <w:color w:val="auto"/>
              </w:rPr>
            </w:pPr>
          </w:p>
        </w:tc>
        <w:tc>
          <w:tcPr>
            <w:tcW w:w="13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68%</w:t>
            </w:r>
          </w:p>
        </w:tc>
      </w:tr>
      <w:tr>
        <w:trPr>
          <w:trHeight w:val="210"/>
        </w:trPr>
        <w:tc>
          <w:tcPr>
            <w:tcW w:w="4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margin</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460" w:type="dxa"/>
            <w:vAlign w:val="bottom"/>
          </w:tcPr>
          <w:p>
            <w:pPr>
              <w:ind w:left="500"/>
              <w:spacing w:after="0"/>
              <w:rPr>
                <w:sz w:val="20"/>
                <w:szCs w:val="20"/>
                <w:color w:val="auto"/>
              </w:rPr>
            </w:pPr>
            <w:r>
              <w:rPr>
                <w:rFonts w:ascii="Arial" w:cs="Arial" w:eastAsia="Arial" w:hAnsi="Arial"/>
                <w:sz w:val="18"/>
                <w:szCs w:val="18"/>
                <w:color w:val="auto"/>
              </w:rPr>
              <w:t>Non-GAAP gross margin</w:t>
            </w:r>
            <w:r>
              <w:rPr>
                <w:rFonts w:ascii="Arial" w:cs="Arial" w:eastAsia="Arial" w:hAnsi="Arial"/>
                <w:sz w:val="15"/>
                <w:szCs w:val="15"/>
                <w:color w:val="auto"/>
              </w:rPr>
              <w:t>(1)</w:t>
            </w: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5"/>
        </w:trPr>
        <w:tc>
          <w:tcPr>
            <w:tcW w:w="4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w w:val="92"/>
              </w:rPr>
              <w:t>Six Months Ended June 30,</w:t>
            </w:r>
          </w:p>
        </w:tc>
        <w:tc>
          <w:tcPr>
            <w:tcW w:w="1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56"/>
        </w:trPr>
        <w:tc>
          <w:tcPr>
            <w:tcW w:w="4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 Change</w:t>
            </w:r>
          </w:p>
        </w:tc>
        <w:tc>
          <w:tcPr>
            <w:tcW w:w="112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product gross profit:</w:t>
            </w:r>
          </w:p>
        </w:tc>
        <w:tc>
          <w:tcPr>
            <w:tcW w:w="1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46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18,075</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14,985</w:t>
            </w:r>
          </w:p>
        </w:tc>
        <w:tc>
          <w:tcPr>
            <w:tcW w:w="24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3,090</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29"/>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cost of goods sold</w:t>
            </w:r>
          </w:p>
        </w:tc>
        <w:tc>
          <w:tcPr>
            <w:tcW w:w="1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8,726</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7,841</w:t>
            </w:r>
          </w:p>
        </w:tc>
        <w:tc>
          <w:tcPr>
            <w:tcW w:w="2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r>
      <w:tr>
        <w:trPr>
          <w:trHeight w:val="263"/>
        </w:trPr>
        <w:tc>
          <w:tcPr>
            <w:tcW w:w="4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Commercial product gross profit</w:t>
            </w:r>
          </w:p>
        </w:tc>
        <w:tc>
          <w:tcPr>
            <w:tcW w:w="12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9,349</w:t>
            </w:r>
          </w:p>
        </w:tc>
        <w:tc>
          <w:tcPr>
            <w:tcW w:w="3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7,144</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2,205</w:t>
            </w:r>
          </w:p>
        </w:tc>
        <w:tc>
          <w:tcPr>
            <w:tcW w:w="260" w:type="dxa"/>
            <w:vAlign w:val="bottom"/>
            <w:tcBorders>
              <w:bottom w:val="single" w:sz="8" w:color="CFF0FC"/>
            </w:tcBorders>
          </w:tcPr>
          <w:p>
            <w:pPr>
              <w:spacing w:after="0"/>
              <w:rPr>
                <w:sz w:val="22"/>
                <w:szCs w:val="22"/>
                <w:color w:val="auto"/>
              </w:rPr>
            </w:pPr>
          </w:p>
        </w:tc>
        <w:tc>
          <w:tcPr>
            <w:tcW w:w="13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10"/>
        </w:trPr>
        <w:tc>
          <w:tcPr>
            <w:tcW w:w="4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margin</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1"/>
        </w:trPr>
        <w:tc>
          <w:tcPr>
            <w:tcW w:w="4460" w:type="dxa"/>
            <w:vAlign w:val="bottom"/>
          </w:tcPr>
          <w:p>
            <w:pPr>
              <w:ind w:left="500"/>
              <w:spacing w:after="0"/>
              <w:rPr>
                <w:sz w:val="20"/>
                <w:szCs w:val="20"/>
                <w:color w:val="auto"/>
              </w:rPr>
            </w:pPr>
            <w:r>
              <w:rPr>
                <w:rFonts w:ascii="Arial" w:cs="Arial" w:eastAsia="Arial" w:hAnsi="Arial"/>
                <w:sz w:val="18"/>
                <w:szCs w:val="18"/>
                <w:color w:val="auto"/>
              </w:rPr>
              <w:t>Non-GAAP gross margin</w:t>
            </w:r>
            <w:r>
              <w:rPr>
                <w:rFonts w:ascii="Arial" w:cs="Arial" w:eastAsia="Arial" w:hAnsi="Arial"/>
                <w:sz w:val="15"/>
                <w:szCs w:val="15"/>
                <w:color w:val="auto"/>
              </w:rPr>
              <w:t>(1)</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0"/>
        </w:trPr>
        <w:tc>
          <w:tcPr>
            <w:tcW w:w="4460" w:type="dxa"/>
            <w:vAlign w:val="bottom"/>
          </w:tcPr>
          <w:p>
            <w:pPr>
              <w:spacing w:after="0"/>
              <w:rPr>
                <w:sz w:val="20"/>
                <w:szCs w:val="20"/>
                <w:color w:val="auto"/>
              </w:rPr>
            </w:pPr>
            <w:r>
              <w:rPr>
                <w:rFonts w:ascii="Arial" w:cs="Arial" w:eastAsia="Arial" w:hAnsi="Arial"/>
                <w:sz w:val="14"/>
                <w:szCs w:val="14"/>
                <w:color w:val="auto"/>
              </w:rPr>
              <w:t>____________________</w:t>
            </w: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r>
    </w:tbl>
    <w:p>
      <w:pPr>
        <w:ind w:left="380" w:hanging="372"/>
        <w:spacing w:after="0" w:line="184" w:lineRule="auto"/>
        <w:tabs>
          <w:tab w:leader="none" w:pos="380" w:val="left"/>
        </w:tabs>
        <w:numPr>
          <w:ilvl w:val="0"/>
          <w:numId w:val="12"/>
        </w:numPr>
        <w:rPr>
          <w:rFonts w:ascii="Arial" w:cs="Arial" w:eastAsia="Arial" w:hAnsi="Arial"/>
          <w:sz w:val="23"/>
          <w:szCs w:val="23"/>
          <w:color w:val="auto"/>
          <w:vertAlign w:val="superscript"/>
        </w:rPr>
      </w:pPr>
      <w:r>
        <w:rPr>
          <w:rFonts w:ascii="Arial" w:cs="Arial" w:eastAsia="Arial" w:hAnsi="Arial"/>
          <w:sz w:val="13"/>
          <w:szCs w:val="13"/>
          <w:color w:val="auto"/>
        </w:rPr>
        <w:t>See the reconciliation of gross margin to non-GAAP gross margin under Non-GAAP Measures below.</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Commercial product gross profit for the three months ended June 30, 2021 increased by $2.3 million, or 68%, compared to the same period in the prior year. Gross margin for the three months ended June 30, 2021 was 56% compared to 47% for the same period in the prior year. The increase in gross profit and gross margin was attributable to an increase in Afrezza sales partially offset by an increase in cost of goods sold. Cost of goods sold increased by $0.7 million, or 20%, for the three months ended June 30, 2021 compared to the same period in the prior year, primarily due to a $2.0 million fee for the amendment of the Insulin Supply Agreement, partially offset by $1.1 million of increased manufacturing activities, which resulted in a higher amount of costs capitalized to inventory. On a non-GAAP basis, which excludes the $2.0 million insulin supply amendment fee, gross margin was 76% for the second quarter of 2021 compared to 47% for the same period in 2020. See the reconciliation to non-GAAP net loss and EPS under Non-GAAP Measures below.</w:t>
      </w:r>
    </w:p>
    <w:p>
      <w:pPr>
        <w:spacing w:after="0" w:line="16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Commercial product gross profit for the six months ended June 30, 2021 increased by $2.2 million, or 31%, compared to the same period in the prior year. Gross margin for the six months ended June 30, 2021 was 52% compared to 48% for the same period in the prior year. The increase in gross profit and gross margin was attributable to an increase in Afrezza sales, partially offset by an increase in cost of goods sold. Cost of goods sold increased by $0.9 million, or 11%, for the six months ended June 30, 2021 compared to the same period in the prior year, primarily due to a $2.0 million fee for the amendment of the Insulin Supply Agreement, partially offset by $0.8 million of costs associated with lower cost per unit and the termination of the free goods program in December 31, 2020, in addition to $0.5 million of inventory write-offs in 2020. On a non-GAAP basis, which excludes the $2.0 million insulin supply amendment fee, gross margin was 63% for the six months ended June 30, 2021 compared to 48% for the same period in 2020. See the reconciliation to non-GAAP net loss and EPS under Non-GAAP Measures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 comparison of the expense categories for the three and six months ended June 30, 2021 and 2020 (dollars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3"/>
          </w:tcPr>
          <w:p>
            <w:pPr>
              <w:jc w:val="right"/>
              <w:ind w:right="540"/>
              <w:spacing w:after="0" w:line="155" w:lineRule="exact"/>
              <w:rPr>
                <w:sz w:val="20"/>
                <w:szCs w:val="20"/>
                <w:color w:val="auto"/>
              </w:rPr>
            </w:pPr>
            <w:r>
              <w:rPr>
                <w:rFonts w:ascii="Arial" w:cs="Arial" w:eastAsia="Arial" w:hAnsi="Arial"/>
                <w:sz w:val="14"/>
                <w:szCs w:val="14"/>
                <w:b w:val="1"/>
                <w:bCs w:val="1"/>
                <w:color w:val="auto"/>
                <w:w w:val="95"/>
              </w:rPr>
              <w:t>$ Change</w:t>
            </w:r>
          </w:p>
        </w:tc>
        <w:tc>
          <w:tcPr>
            <w:tcW w:w="20" w:type="dxa"/>
            <w:vAlign w:val="bottom"/>
          </w:tcPr>
          <w:p>
            <w:pPr>
              <w:spacing w:after="0"/>
              <w:rPr>
                <w:sz w:val="13"/>
                <w:szCs w:val="13"/>
                <w:color w:val="auto"/>
              </w:rPr>
            </w:pPr>
          </w:p>
        </w:tc>
        <w:tc>
          <w:tcPr>
            <w:tcW w:w="1120" w:type="dxa"/>
            <w:vAlign w:val="bottom"/>
          </w:tcPr>
          <w:p>
            <w:pPr>
              <w:jc w:val="right"/>
              <w:ind w:right="188"/>
              <w:spacing w:after="0" w:line="155" w:lineRule="exact"/>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10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134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4,411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3,677</w:t>
            </w:r>
          </w:p>
        </w:tc>
        <w:tc>
          <w:tcPr>
            <w:tcW w:w="20" w:type="dxa"/>
            <w:vAlign w:val="bottom"/>
          </w:tcPr>
          <w:p>
            <w:pPr>
              <w:spacing w:after="0"/>
              <w:rPr>
                <w:sz w:val="19"/>
                <w:szCs w:val="19"/>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4"/>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 collaborations and services</w:t>
            </w:r>
          </w:p>
        </w:tc>
        <w:tc>
          <w:tcPr>
            <w:tcW w:w="10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5,515</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w:t>
            </w:r>
          </w:p>
        </w:tc>
        <w:tc>
          <w:tcPr>
            <w:tcW w:w="2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1,464</w:t>
            </w:r>
          </w:p>
        </w:tc>
        <w:tc>
          <w:tcPr>
            <w:tcW w:w="20" w:type="dxa"/>
            <w:vAlign w:val="bottom"/>
          </w:tcPr>
          <w:p>
            <w:pPr>
              <w:spacing w:after="0"/>
              <w:rPr>
                <w:sz w:val="19"/>
                <w:szCs w:val="19"/>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4"/>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w:t>
            </w:r>
          </w:p>
        </w:tc>
        <w:tc>
          <w:tcPr>
            <w:tcW w:w="10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11,534</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7,271</w:t>
            </w:r>
          </w:p>
        </w:tc>
        <w:tc>
          <w:tcPr>
            <w:tcW w:w="2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6,399</w:t>
            </w:r>
          </w:p>
        </w:tc>
        <w:tc>
          <w:tcPr>
            <w:tcW w:w="20" w:type="dxa"/>
            <w:vAlign w:val="bottom"/>
          </w:tcPr>
          <w:p>
            <w:pPr>
              <w:spacing w:after="0"/>
              <w:rPr>
                <w:sz w:val="19"/>
                <w:szCs w:val="19"/>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2,123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4"/>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impairment</w:t>
            </w:r>
          </w:p>
        </w:tc>
        <w:tc>
          <w:tcPr>
            <w:tcW w:w="10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(368)</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Loss on foreign currency translation</w:t>
            </w: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1,867</w:t>
            </w:r>
          </w:p>
        </w:tc>
        <w:tc>
          <w:tcPr>
            <w:tcW w:w="20" w:type="dxa"/>
            <w:vAlign w:val="bottom"/>
          </w:tcPr>
          <w:p>
            <w:pPr>
              <w:spacing w:after="0"/>
              <w:rPr>
                <w:sz w:val="19"/>
                <w:szCs w:val="19"/>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(964)</w:t>
            </w: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purchase commitments</w:t>
            </w:r>
          </w:p>
        </w:tc>
        <w:tc>
          <w:tcPr>
            <w:tcW w:w="10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500"/>
              <w:spacing w:after="0"/>
              <w:rPr>
                <w:sz w:val="20"/>
                <w:szCs w:val="20"/>
                <w:color w:val="auto"/>
              </w:rPr>
            </w:pPr>
            <w:r>
              <w:rPr>
                <w:rFonts w:ascii="Arial" w:cs="Arial" w:eastAsia="Arial" w:hAnsi="Arial"/>
                <w:sz w:val="18"/>
                <w:szCs w:val="18"/>
                <w:color w:val="auto"/>
              </w:rPr>
              <w:t>Total expenses</w:t>
            </w:r>
          </w:p>
        </w:tc>
        <w:tc>
          <w:tcPr>
            <w:tcW w:w="106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33,553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23,029</w:t>
            </w:r>
          </w:p>
        </w:tc>
        <w:tc>
          <w:tcPr>
            <w:tcW w:w="20" w:type="dxa"/>
            <w:vAlign w:val="bottom"/>
          </w:tcPr>
          <w:p>
            <w:pPr>
              <w:spacing w:after="0"/>
              <w:rPr>
                <w:sz w:val="19"/>
                <w:szCs w:val="19"/>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10,524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4"/>
          </w:tcPr>
          <w:p>
            <w:pPr>
              <w:jc w:val="right"/>
              <w:ind w:right="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line="151" w:lineRule="exact"/>
              <w:rPr>
                <w:sz w:val="20"/>
                <w:szCs w:val="20"/>
                <w:color w:val="auto"/>
              </w:rPr>
            </w:pPr>
            <w:r>
              <w:rPr>
                <w:rFonts w:ascii="Arial" w:cs="Arial" w:eastAsia="Arial" w:hAnsi="Arial"/>
                <w:sz w:val="14"/>
                <w:szCs w:val="14"/>
                <w:color w:val="auto"/>
              </w:rPr>
              <w:t>____________________</w:t>
            </w:r>
          </w:p>
        </w:tc>
        <w:tc>
          <w:tcPr>
            <w:tcW w:w="1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46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680" w:type="dxa"/>
            <w:vAlign w:val="bottom"/>
          </w:tcPr>
          <w:p>
            <w:pPr>
              <w:spacing w:after="0"/>
              <w:rPr>
                <w:sz w:val="20"/>
                <w:szCs w:val="20"/>
                <w:color w:val="auto"/>
              </w:rPr>
            </w:pPr>
            <w:r>
              <w:rPr>
                <w:rFonts w:ascii="Arial" w:cs="Arial" w:eastAsia="Arial" w:hAnsi="Arial"/>
                <w:sz w:val="14"/>
                <w:szCs w:val="14"/>
                <w:color w:val="auto"/>
              </w:rPr>
              <w:t>* Not meaningful</w:t>
            </w: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4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8"/>
          </w:tcPr>
          <w:p>
            <w:pPr>
              <w:jc w:val="right"/>
              <w:ind w:right="90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3"/>
          </w:tcPr>
          <w:p>
            <w:pPr>
              <w:jc w:val="right"/>
              <w:ind w:right="500"/>
              <w:spacing w:after="0" w:line="155" w:lineRule="exact"/>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3"/>
                <w:szCs w:val="13"/>
                <w:color w:val="auto"/>
              </w:rPr>
            </w:pPr>
          </w:p>
        </w:tc>
        <w:tc>
          <w:tcPr>
            <w:tcW w:w="116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10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134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8,726</w:t>
            </w:r>
          </w:p>
        </w:tc>
        <w:tc>
          <w:tcPr>
            <w:tcW w:w="140" w:type="dxa"/>
            <w:vAlign w:val="bottom"/>
          </w:tcPr>
          <w:p>
            <w:pPr>
              <w:spacing w:after="0"/>
              <w:rPr>
                <w:sz w:val="19"/>
                <w:szCs w:val="19"/>
                <w:color w:val="auto"/>
              </w:rPr>
            </w:pPr>
          </w:p>
        </w:tc>
        <w:tc>
          <w:tcPr>
            <w:tcW w:w="3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7,841</w:t>
            </w: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885</w:t>
            </w:r>
          </w:p>
        </w:tc>
        <w:tc>
          <w:tcPr>
            <w:tcW w:w="220" w:type="dxa"/>
            <w:vAlign w:val="bottom"/>
          </w:tcPr>
          <w:p>
            <w:pPr>
              <w:spacing w:after="0"/>
              <w:rPr>
                <w:sz w:val="19"/>
                <w:szCs w:val="19"/>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 collaborations and services</w:t>
            </w:r>
          </w:p>
        </w:tc>
        <w:tc>
          <w:tcPr>
            <w:tcW w:w="10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5,345</w:t>
            </w:r>
          </w:p>
        </w:tc>
        <w:tc>
          <w:tcPr>
            <w:tcW w:w="4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3,465</w:t>
            </w:r>
          </w:p>
        </w:tc>
        <w:tc>
          <w:tcPr>
            <w:tcW w:w="220" w:type="dxa"/>
            <w:vAlign w:val="bottom"/>
            <w:shd w:val="clear" w:color="auto" w:fill="CFF0FC"/>
          </w:tcPr>
          <w:p>
            <w:pPr>
              <w:spacing w:after="0"/>
              <w:rPr>
                <w:sz w:val="19"/>
                <w:szCs w:val="19"/>
                <w:color w:val="auto"/>
              </w:rPr>
            </w:pPr>
          </w:p>
        </w:tc>
        <w:tc>
          <w:tcPr>
            <w:tcW w:w="13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3,219</w:t>
            </w: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1,552</w:t>
            </w:r>
          </w:p>
        </w:tc>
        <w:tc>
          <w:tcPr>
            <w:tcW w:w="220" w:type="dxa"/>
            <w:vAlign w:val="bottom"/>
          </w:tcPr>
          <w:p>
            <w:pPr>
              <w:spacing w:after="0"/>
              <w:rPr>
                <w:sz w:val="19"/>
                <w:szCs w:val="19"/>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w:t>
            </w:r>
          </w:p>
        </w:tc>
        <w:tc>
          <w:tcPr>
            <w:tcW w:w="10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21,153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15,417</w:t>
            </w:r>
          </w:p>
        </w:tc>
        <w:tc>
          <w:tcPr>
            <w:tcW w:w="4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5,736</w:t>
            </w:r>
          </w:p>
        </w:tc>
        <w:tc>
          <w:tcPr>
            <w:tcW w:w="220" w:type="dxa"/>
            <w:vAlign w:val="bottom"/>
            <w:shd w:val="clear" w:color="auto" w:fill="CFF0FC"/>
          </w:tcPr>
          <w:p>
            <w:pPr>
              <w:spacing w:after="0"/>
              <w:rPr>
                <w:sz w:val="19"/>
                <w:szCs w:val="19"/>
                <w:color w:val="auto"/>
              </w:rPr>
            </w:pPr>
          </w:p>
        </w:tc>
        <w:tc>
          <w:tcPr>
            <w:tcW w:w="13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16,316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12,603</w:t>
            </w: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3,713</w:t>
            </w:r>
          </w:p>
        </w:tc>
        <w:tc>
          <w:tcPr>
            <w:tcW w:w="220" w:type="dxa"/>
            <w:vAlign w:val="bottom"/>
          </w:tcPr>
          <w:p>
            <w:pPr>
              <w:spacing w:after="0"/>
              <w:rPr>
                <w:sz w:val="19"/>
                <w:szCs w:val="19"/>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impairment</w:t>
            </w:r>
          </w:p>
        </w:tc>
        <w:tc>
          <w:tcPr>
            <w:tcW w:w="10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4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(1,889)</w:t>
            </w: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(Gain) loss on foreign currency translation</w:t>
            </w: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(2,935)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(3,006)</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purchase commitments</w:t>
            </w:r>
          </w:p>
        </w:tc>
        <w:tc>
          <w:tcPr>
            <w:tcW w:w="10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339</w:t>
            </w:r>
          </w:p>
        </w:tc>
        <w:tc>
          <w:tcPr>
            <w:tcW w:w="22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500"/>
              <w:spacing w:after="0"/>
              <w:rPr>
                <w:sz w:val="20"/>
                <w:szCs w:val="20"/>
                <w:color w:val="auto"/>
              </w:rPr>
            </w:pPr>
            <w:r>
              <w:rPr>
                <w:rFonts w:ascii="Arial" w:cs="Arial" w:eastAsia="Arial" w:hAnsi="Arial"/>
                <w:sz w:val="18"/>
                <w:szCs w:val="18"/>
                <w:color w:val="auto"/>
              </w:rPr>
              <w:t>Total expenses</w:t>
            </w:r>
          </w:p>
        </w:tc>
        <w:tc>
          <w:tcPr>
            <w:tcW w:w="110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57,180</w:t>
            </w:r>
          </w:p>
        </w:tc>
        <w:tc>
          <w:tcPr>
            <w:tcW w:w="14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46,385</w:t>
            </w: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10,795</w:t>
            </w:r>
          </w:p>
        </w:tc>
        <w:tc>
          <w:tcPr>
            <w:tcW w:w="220" w:type="dxa"/>
            <w:vAlign w:val="bottom"/>
          </w:tcPr>
          <w:p>
            <w:pPr>
              <w:spacing w:after="0"/>
              <w:rPr>
                <w:sz w:val="19"/>
                <w:szCs w:val="19"/>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line="137" w:lineRule="exact"/>
              <w:rPr>
                <w:sz w:val="20"/>
                <w:szCs w:val="20"/>
                <w:color w:val="auto"/>
              </w:rPr>
            </w:pPr>
            <w:r>
              <w:rPr>
                <w:rFonts w:ascii="Arial" w:cs="Arial" w:eastAsia="Arial" w:hAnsi="Arial"/>
                <w:sz w:val="13"/>
                <w:szCs w:val="13"/>
                <w:color w:val="auto"/>
              </w:rPr>
              <w:t>____________________</w:t>
            </w: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6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4680" w:type="dxa"/>
            <w:vAlign w:val="bottom"/>
          </w:tcPr>
          <w:p>
            <w:pPr>
              <w:spacing w:after="0"/>
              <w:rPr>
                <w:sz w:val="20"/>
                <w:szCs w:val="20"/>
                <w:color w:val="auto"/>
              </w:rPr>
            </w:pPr>
            <w:r>
              <w:rPr>
                <w:rFonts w:ascii="Arial" w:cs="Arial" w:eastAsia="Arial" w:hAnsi="Arial"/>
                <w:sz w:val="14"/>
                <w:szCs w:val="14"/>
                <w:color w:val="auto"/>
              </w:rPr>
              <w:t>* Not meaningful</w:t>
            </w: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Cost of revenue — collaborations and services increased by $3.5 million, or 178%, for the three months ended June 30, 2021 and $3.5 million, or 65%, for the six months ended June 30, 2021 compared to the respective periods in the prior year. The increases were attributable to an increase in costs for the UT License agreement and pre-commercial activities and the allocation of selling expenses related to the Vertice Pharma Co-Promotion Agreement.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6" w:name="page37"/>
    <w:bookmarkEnd w:id="36"/>
    <w:p>
      <w:pPr>
        <w:jc w:val="both"/>
        <w:ind w:right="240"/>
        <w:spacing w:after="0" w:line="311" w:lineRule="auto"/>
        <w:rPr>
          <w:sz w:val="20"/>
          <w:szCs w:val="20"/>
          <w:color w:val="auto"/>
        </w:rPr>
      </w:pPr>
      <w:r>
        <w:rPr>
          <w:rFonts w:ascii="Arial" w:cs="Arial" w:eastAsia="Arial" w:hAnsi="Arial"/>
          <w:sz w:val="16"/>
          <w:szCs w:val="16"/>
          <w:color w:val="auto"/>
        </w:rPr>
        <w:t>Research and development expenses increased by $0.9 million, or 59%, for the three months ended June 30, 2021 and $1.6 million, or 48%, for the six months ended June 30, 2021 compared to the respective periods in the prior year. The increases were attributable to personnel costs primarily related to increased headcount for research and development, regulatory and medical affairs in addition to costs incurred for clinical studies and pipeline research.</w:t>
      </w:r>
    </w:p>
    <w:p>
      <w:pPr>
        <w:spacing w:after="0" w:line="14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Selling expenses increased by $4.3 million, or 59%, for the three months ended June 30, 2021 compared to the same period in the prior year as we expanded our investment behind Afrezza and lowered expenses in the prior year period when we voluntarily reduced compensation and field force activities in response to the onset of the COVID-19 pandemic. As we continued to re-engage our selling activities behind Afrezza, we increased promotional and marketing expenses by $1.8 million and patient support services by $0.6 million during the three months ended June 30, 2021. Personnel expenses increased $3.1 million due to the favorable impact of lower spending during the COVID-19 pandemic as well as increased headcount and stock compensation to support Afrezza growth. The increases in selling expenses were partially offset by a reduction related to the co-promotional cost for Thyquidity which was recognized as cost of revenue — collaboration and services.</w:t>
      </w:r>
    </w:p>
    <w:p>
      <w:pPr>
        <w:spacing w:after="0" w:line="17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Selling expenses increased by $5.7 million, or 37%, for the six months ended June 30, 2021 compared to the same period in the prior year as we expanded our investment behind Afrezza and lowered expenses in the prior year period when we voluntarily reduced compensation and field force activities in response to the onset of the COVID-19 pandemic. As we continued to re-engage our selling activities behind Afrezza, we increased promotional and marketing expenses by $2.4 million and patient support services by $0.9 million during the six months ended June 30, 2021. Personnel expenses increased $3.8 million due to the favorable impact of lower spending during the COVID-19 pandemic as well as increased headcount and stock compensation to support Afrezza growth. The increases in selling expenses were partially offset by a reduction related to the co-promotional cost for Thyquidity which was recognized as cost of revenue — collaboration and services.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and administrative expenses increased by $2.1 million, or 33%, for the three months ended June 30, 2021 compared to the same period in the prior year. This increase was primarily attributable to personnel-related costs, including higher stock-based compensation and bonus, as well as lower salaries in the prior year period related to the onset of the COVID-19 pandemic. Additional increases in general and administrative expenses consisted of UT pre-commercial preparations and professional fees.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 and administrative expenses increased by $3.7 million, or 29%, for the six months ended June 30, 2021 compared to the same period in the prior year. This increase was primarily attributable to personnel-related costs, including higher stock-based compensation and bonus, as well as lower salaries in the prior year period related to the onset of the COVID-19 pandemic. Additional increases in general and administrative expenses consisted of UT pre-commercial preparations, professional fees and business development expenses.</w:t>
      </w:r>
    </w:p>
    <w:p>
      <w:pPr>
        <w:spacing w:after="0" w:line="18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An impairment of $0.4 million and $1.9 million was recognized for the three and six months ended June 30, 2020 for a commitment asset related to the future funding commitments of the MidCap credit facility. There were no asset impairments for the three and six months ended June 30, 2021.</w:t>
      </w:r>
    </w:p>
    <w:p>
      <w:pPr>
        <w:spacing w:after="0" w:line="124"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Under the Insulin Supply Agreement with Amphastar, payment obligations are denominated in Euros. We are required to record the foreign currency translation impact of the U.S. dollar to Euro exchange rate associated with the recognized gain or loss on purchase commitments. The foreign currency translation loss decreased $1.0 million for the three months ended June 30, 2021 compared to the same period in the prior year. The foreign currency translation gain was $2.9 million for the six months ended June 30, 2021 compared to a $0.1 million loss for the same period in the prior year.</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tables provide a comparison of the other income (expense) categories for the three and six months ended June 30, 2021 and 2020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3"/>
              </w:rPr>
              <w:t>Three Months Ended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left="576"/>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w w:val="98"/>
              </w:rPr>
              <w:t>$ 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Interest expense on notes</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(1,084)</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1,728</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Mann Group promissory notes</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(1,281)</w:t>
            </w:r>
          </w:p>
        </w:tc>
        <w:tc>
          <w:tcPr>
            <w:tcW w:w="3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(913)</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(22,130)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22,130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0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4700" w:type="dxa"/>
            <w:vAlign w:val="bottom"/>
          </w:tcPr>
          <w:p>
            <w:pPr>
              <w:ind w:left="260"/>
              <w:spacing w:after="0"/>
              <w:rPr>
                <w:sz w:val="20"/>
                <w:szCs w:val="20"/>
                <w:color w:val="auto"/>
              </w:rPr>
            </w:pPr>
            <w:r>
              <w:rPr>
                <w:rFonts w:ascii="Arial" w:cs="Arial" w:eastAsia="Arial" w:hAnsi="Arial"/>
                <w:sz w:val="18"/>
                <w:szCs w:val="18"/>
                <w:color w:val="auto"/>
              </w:rPr>
              <w:t>Total other expense</w:t>
            </w:r>
          </w:p>
        </w:tc>
        <w:tc>
          <w:tcPr>
            <w:tcW w:w="10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w:t>
            </w:r>
          </w:p>
        </w:tc>
        <w:tc>
          <w:tcPr>
            <w:tcW w:w="140" w:type="dxa"/>
            <w:vAlign w:val="bottom"/>
          </w:tcPr>
          <w:p>
            <w:pPr>
              <w:spacing w:after="0"/>
              <w:rPr>
                <w:sz w:val="19"/>
                <w:szCs w:val="19"/>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22,913</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3"/>
              </w:rPr>
              <w:t>Six Months Ended</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left="576"/>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w w:val="98"/>
              </w:rPr>
              <w:t>$ 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Interest expense on notes</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(8,234)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(2,155)</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6,079</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Mann Group promissory notes</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(1,398)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(2,540)</w:t>
            </w:r>
          </w:p>
        </w:tc>
        <w:tc>
          <w:tcPr>
            <w:tcW w:w="3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(1,142)</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(22,130)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22,130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60"/>
              <w:spacing w:after="0"/>
              <w:rPr>
                <w:sz w:val="20"/>
                <w:szCs w:val="20"/>
                <w:color w:val="auto"/>
              </w:rPr>
            </w:pPr>
            <w:r>
              <w:rPr>
                <w:rFonts w:ascii="Arial" w:cs="Arial" w:eastAsia="Arial" w:hAnsi="Arial"/>
                <w:sz w:val="18"/>
                <w:szCs w:val="18"/>
                <w:color w:val="auto"/>
              </w:rPr>
              <w:t>Total other expense</w:t>
            </w:r>
          </w:p>
        </w:tc>
        <w:tc>
          <w:tcPr>
            <w:tcW w:w="10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(4,538)</w:t>
            </w:r>
          </w:p>
        </w:tc>
        <w:tc>
          <w:tcPr>
            <w:tcW w:w="140" w:type="dxa"/>
            <w:vAlign w:val="bottom"/>
          </w:tcPr>
          <w:p>
            <w:pPr>
              <w:spacing w:after="0"/>
              <w:rPr>
                <w:sz w:val="19"/>
                <w:szCs w:val="19"/>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27,437</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line="137" w:lineRule="exact"/>
              <w:rPr>
                <w:sz w:val="20"/>
                <w:szCs w:val="20"/>
                <w:color w:val="auto"/>
              </w:rPr>
            </w:pPr>
            <w:r>
              <w:rPr>
                <w:rFonts w:ascii="Arial" w:cs="Arial" w:eastAsia="Arial" w:hAnsi="Arial"/>
                <w:sz w:val="13"/>
                <w:szCs w:val="13"/>
                <w:color w:val="auto"/>
              </w:rPr>
              <w:t>____________________</w:t>
            </w: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7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4700" w:type="dxa"/>
            <w:vAlign w:val="bottom"/>
          </w:tcPr>
          <w:p>
            <w:pPr>
              <w:spacing w:after="0"/>
              <w:rPr>
                <w:sz w:val="20"/>
                <w:szCs w:val="20"/>
                <w:color w:val="auto"/>
              </w:rPr>
            </w:pPr>
            <w:r>
              <w:rPr>
                <w:rFonts w:ascii="Arial" w:cs="Arial" w:eastAsia="Arial" w:hAnsi="Arial"/>
                <w:sz w:val="14"/>
                <w:szCs w:val="14"/>
                <w:color w:val="auto"/>
              </w:rPr>
              <w:t>* Not meaningful</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Interest expense increased by $1.7 million, or 159%, for the three months ended June 30, 2021 compared to the same period in the prior year. The increase was primarily due to the interest expense from the Senior convertible notes. Interest expense increased by $6.1 million, or 282%, for the six months ended June 30, 2021 compared to the same period in the prior year. The increase was primarily due to a $3.7 million milestone obligation that was achieved during the first quarter of 2021 and interest expense on the Senior convertible notes issued in the first quarter of 2021.</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Interest expense on Mann Group promissory notes decreased by $0.9 million, or 71%, for the three months ended June 30, 2021 and $1.1 million, or 45%, for the six months ended June 30, 2021 compared to the same periods in the prior year. The decrease was primarily due to the repayment of $35.1 million of outstanding principal under the Mann Group non-convertible note and the reduction of the interest rate from 7.00% to 2.50% pursuant to the first amendment. See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Loss on extinguishment of debt for the three and six months ended June 30, 2021 was $22.1 million as a result of the amendment to the Mann Group convertible note. See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7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Other income or expense consists primarily of the gain or loss associated with a foreign currency hedging transaction for the three and six months ended June 30, 2021 which is entered into to mitigate our exposure to foreign currency exchange risks associated with our insulin purchase obligation under the Insulin Supply Agreement. There was no hedging transaction for the same periods in the prior year.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and Earnings Per Share (“EPS”)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loss for the three months ended June 30, 2021 was $35.5 million, or $0.14 per share, compared to a $10.3 million net loss in the prior year period, or $0.05 per share. The increased net loss of $25.3 million was primarily due to a non-cash loss on extinguishment of the Mann Group convertible note of $22.1 million as well as an increase in SG&amp;A expenses and cost of revenue from collaboration and services, partially offset by an increase in Afrezza net revenues and revenues from collaboration and services.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net loss for the six months ended June 30, 2021 was $48.4 million, or $0.20 per share, compared to a $19.6 million net loss in the six months ended June 30, 2020, or $0.09 per share. The increased net loss of $28.9 million was primarily due to the non-cash loss on extinguishment of the Mann Group convertible note of $22.1 million as well as an increase in SG&amp;A expenses, cost of revenue from collaboration and services, and loss on purchase commitments, partially offset by an increase in Afrezza net revenues and revenues from collaboration and services.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Non-GAAP net loss, adjusted to exclude the $22.1 million non-cash loss on extinguishment of the Mann Group convertible note was $13.4 million, or $0.05 per share, for the three months ended June 30, 2021 compared to $10.3 million, or $0.05 per share, for the prior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8" w:name="page39"/>
    <w:bookmarkEnd w:id="38"/>
    <w:p>
      <w:pPr>
        <w:spacing w:after="0" w:line="277" w:lineRule="auto"/>
        <w:rPr>
          <w:sz w:val="20"/>
          <w:szCs w:val="20"/>
          <w:color w:val="auto"/>
        </w:rPr>
      </w:pPr>
      <w:r>
        <w:rPr>
          <w:rFonts w:ascii="Arial" w:cs="Arial" w:eastAsia="Arial" w:hAnsi="Arial"/>
          <w:sz w:val="18"/>
          <w:szCs w:val="18"/>
          <w:color w:val="auto"/>
        </w:rPr>
        <w:t>year period and $26.3 million, or $0.11 per share, for the six months ended June 30, 2021 compared to $19.6 million, or $0.09 per share, for the same period in the prior year. See the reconciliation to non-GAAP net loss and EPS under Non-GAAP Measures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 supplement our unaudited condensed consolidated financial statements presented under GAAP, we are presenting certain non-GAAP financial measures. We are providing these non-GAAP financial measures to disclose additional information to facilitate the comparison of past and present operations, and they are among the indicators management uses as a basis for evaluating the Company’s financial performance. We believe that these non-GAAP financial measures, when considered together with our GAAP financial results, provide management and investors with an additional understanding of our business operating results, including underlying trends.</w:t>
      </w:r>
    </w:p>
    <w:p>
      <w:pPr>
        <w:spacing w:after="0" w:line="8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following tables reconcile our financial measure for net loss and EPS as reported in our condensed consolidated statement of operations to a non-GAAP presentation as adjusted for the $22.1 million non-cash loss on extinguishment of the Mann Group convertible note, which did not result in a change in our financial position.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10"/>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2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4"/>
          </w:tcPr>
          <w:p>
            <w:pPr>
              <w:ind w:left="80"/>
              <w:spacing w:after="0" w:line="155" w:lineRule="exact"/>
              <w:rPr>
                <w:sz w:val="20"/>
                <w:szCs w:val="20"/>
                <w:color w:val="auto"/>
              </w:rPr>
            </w:pPr>
            <w:r>
              <w:rPr>
                <w:rFonts w:ascii="Arial" w:cs="Arial" w:eastAsia="Arial" w:hAnsi="Arial"/>
                <w:sz w:val="14"/>
                <w:szCs w:val="14"/>
                <w:b w:val="1"/>
                <w:bCs w:val="1"/>
                <w:color w:val="auto"/>
              </w:rPr>
              <w:t>$ Change</w:t>
            </w:r>
          </w:p>
        </w:tc>
        <w:tc>
          <w:tcPr>
            <w:tcW w:w="116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GAAP to Non-GAAP Net Loss and EPS</w:t>
            </w:r>
          </w:p>
        </w:tc>
        <w:tc>
          <w:tcPr>
            <w:tcW w:w="8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0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(35,523)</w:t>
            </w:r>
          </w:p>
        </w:tc>
        <w:tc>
          <w:tcPr>
            <w:tcW w:w="3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(10,252)</w:t>
            </w: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25,271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loss per share - basic and diluted</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Less non-cash loss on extinguishment of debt</w:t>
            </w:r>
            <w:r>
              <w:rPr>
                <w:rFonts w:ascii="Arial" w:cs="Arial" w:eastAsia="Arial" w:hAnsi="Arial"/>
                <w:sz w:val="15"/>
                <w:szCs w:val="15"/>
                <w:color w:val="auto"/>
              </w:rPr>
              <w:t>(1)</w:t>
            </w:r>
          </w:p>
        </w:tc>
        <w:tc>
          <w:tcPr>
            <w:tcW w:w="8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22,130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22,130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Non-GAAP net loss</w:t>
            </w:r>
          </w:p>
        </w:tc>
        <w:tc>
          <w:tcPr>
            <w:tcW w:w="8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(13,393)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(10,252)</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3,141</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gridSpan w:val="3"/>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Non-GAAP net loss per share - basic and diluted</w:t>
            </w:r>
          </w:p>
        </w:tc>
        <w:tc>
          <w:tcPr>
            <w:tcW w:w="8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gridSpan w:val="4"/>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260"/>
              <w:spacing w:after="0"/>
              <w:rPr>
                <w:sz w:val="20"/>
                <w:szCs w:val="20"/>
                <w:color w:val="auto"/>
              </w:rPr>
            </w:pPr>
            <w:r>
              <w:rPr>
                <w:rFonts w:ascii="Arial" w:cs="Arial" w:eastAsia="Arial" w:hAnsi="Arial"/>
                <w:sz w:val="18"/>
                <w:szCs w:val="18"/>
                <w:color w:val="auto"/>
              </w:rPr>
              <w:t>Shares used to compute non-GAAP basic and diluted</w:t>
            </w: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80"/>
              <w:spacing w:after="0"/>
              <w:rPr>
                <w:sz w:val="20"/>
                <w:szCs w:val="20"/>
                <w:color w:val="auto"/>
              </w:rPr>
            </w:pPr>
            <w:r>
              <w:rPr>
                <w:rFonts w:ascii="Arial" w:cs="Arial" w:eastAsia="Arial" w:hAnsi="Arial"/>
                <w:sz w:val="18"/>
                <w:szCs w:val="18"/>
                <w:color w:val="auto"/>
              </w:rPr>
              <w:t>net loss per share</w:t>
            </w: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249,295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213,880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35,415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10"/>
          </w:tcPr>
          <w:p>
            <w:pPr>
              <w:ind w:left="420"/>
              <w:spacing w:after="0"/>
              <w:rPr>
                <w:sz w:val="20"/>
                <w:szCs w:val="20"/>
                <w:color w:val="auto"/>
              </w:rPr>
            </w:pPr>
            <w:r>
              <w:rPr>
                <w:rFonts w:ascii="Arial" w:cs="Arial" w:eastAsia="Arial" w:hAnsi="Arial"/>
                <w:sz w:val="14"/>
                <w:szCs w:val="14"/>
                <w:b w:val="1"/>
                <w:bCs w:val="1"/>
                <w:color w:val="auto"/>
              </w:rPr>
              <w:t>Six Months Ended</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 Change</w:t>
            </w:r>
          </w:p>
        </w:tc>
        <w:tc>
          <w:tcPr>
            <w:tcW w:w="112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GAAP to Non-GAAP Net Loss and EPS</w:t>
            </w:r>
          </w:p>
        </w:tc>
        <w:tc>
          <w:tcPr>
            <w:tcW w:w="8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0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(48,439)</w:t>
            </w:r>
          </w:p>
        </w:tc>
        <w:tc>
          <w:tcPr>
            <w:tcW w:w="3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(19,574)</w:t>
            </w:r>
          </w:p>
        </w:tc>
        <w:tc>
          <w:tcPr>
            <w:tcW w:w="3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28,865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loss per share - basic and diluted</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300" w:type="dxa"/>
            <w:vAlign w:val="bottom"/>
            <w:tcBorders>
              <w:top w:val="single" w:sz="8" w:color="CFF0FC"/>
              <w:bottom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Less non-cash loss on extinguishment of debt</w:t>
            </w:r>
            <w:r>
              <w:rPr>
                <w:rFonts w:ascii="Arial" w:cs="Arial" w:eastAsia="Arial" w:hAnsi="Arial"/>
                <w:sz w:val="15"/>
                <w:szCs w:val="15"/>
                <w:color w:val="auto"/>
              </w:rPr>
              <w:t>(1)</w:t>
            </w:r>
          </w:p>
        </w:tc>
        <w:tc>
          <w:tcPr>
            <w:tcW w:w="8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22,130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22,130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Non-GAAP net loss</w:t>
            </w:r>
          </w:p>
        </w:tc>
        <w:tc>
          <w:tcPr>
            <w:tcW w:w="8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(26,309)</w:t>
            </w:r>
          </w:p>
        </w:tc>
        <w:tc>
          <w:tcPr>
            <w:tcW w:w="160" w:type="dxa"/>
            <w:vAlign w:val="bottom"/>
            <w:tcBorders>
              <w:bottom w:val="single" w:sz="8" w:color="CFF0FC"/>
            </w:tcBorders>
            <w:gridSpan w:val="2"/>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(19,574)</w:t>
            </w:r>
          </w:p>
        </w:tc>
        <w:tc>
          <w:tcPr>
            <w:tcW w:w="160" w:type="dxa"/>
            <w:vAlign w:val="bottom"/>
            <w:tcBorders>
              <w:bottom w:val="single" w:sz="8" w:color="CFF0FC"/>
            </w:tcBorders>
            <w:gridSpan w:val="2"/>
          </w:tcPr>
          <w:p>
            <w:pPr>
              <w:spacing w:after="0"/>
              <w:rPr>
                <w:sz w:val="19"/>
                <w:szCs w:val="19"/>
                <w:color w:val="auto"/>
              </w:rPr>
            </w:pPr>
          </w:p>
        </w:tc>
        <w:tc>
          <w:tcPr>
            <w:tcW w:w="300" w:type="dxa"/>
            <w:vAlign w:val="bottom"/>
            <w:tcBorders>
              <w:bottom w:val="single" w:sz="8" w:color="CFF0FC"/>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6,735</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gridSpan w:val="3"/>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Non-GAAP net loss per share - basic and diluted</w:t>
            </w:r>
          </w:p>
        </w:tc>
        <w:tc>
          <w:tcPr>
            <w:tcW w:w="8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3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260"/>
              <w:spacing w:after="0"/>
              <w:rPr>
                <w:sz w:val="20"/>
                <w:szCs w:val="20"/>
                <w:color w:val="auto"/>
              </w:rPr>
            </w:pPr>
            <w:r>
              <w:rPr>
                <w:rFonts w:ascii="Arial" w:cs="Arial" w:eastAsia="Arial" w:hAnsi="Arial"/>
                <w:sz w:val="18"/>
                <w:szCs w:val="18"/>
                <w:color w:val="auto"/>
              </w:rPr>
              <w:t>Shares used to compute non-GAAP basic and diluted</w:t>
            </w:r>
          </w:p>
        </w:tc>
        <w:tc>
          <w:tcPr>
            <w:tcW w:w="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80"/>
              <w:spacing w:after="0"/>
              <w:rPr>
                <w:sz w:val="20"/>
                <w:szCs w:val="20"/>
                <w:color w:val="auto"/>
              </w:rPr>
            </w:pPr>
            <w:r>
              <w:rPr>
                <w:rFonts w:ascii="Arial" w:cs="Arial" w:eastAsia="Arial" w:hAnsi="Arial"/>
                <w:sz w:val="18"/>
                <w:szCs w:val="18"/>
                <w:color w:val="auto"/>
              </w:rPr>
              <w:t>net loss per share</w:t>
            </w: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247,970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212,943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35,027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0</wp:posOffset>
            </wp:positionV>
            <wp:extent cx="15944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-89535</wp:posOffset>
            </wp:positionV>
            <wp:extent cx="15944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 Not meaningful</w:t>
      </w:r>
    </w:p>
    <w:p>
      <w:pPr>
        <w:spacing w:after="0"/>
        <w:rPr>
          <w:sz w:val="20"/>
          <w:szCs w:val="20"/>
          <w:color w:val="auto"/>
        </w:rPr>
      </w:pPr>
      <w:r>
        <w:rPr>
          <w:rFonts w:ascii="Arial" w:cs="Arial" w:eastAsia="Arial" w:hAnsi="Arial"/>
          <w:sz w:val="14"/>
          <w:szCs w:val="14"/>
          <w:color w:val="auto"/>
        </w:rPr>
        <w:t>(1)  There is no provision for income taxes associated with the non-cash loss on extinguishment of debt as a result of our full valuation allowance.</w:t>
      </w:r>
    </w:p>
    <w:p>
      <w:pPr>
        <w:spacing w:after="0" w:line="304"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The following tables reconcile our gross margin financial measure as reported in Management’s Discussion and Analysis of Financial Condition and Results of Operations to a non-GAAP presentation as adjusted for the nonrecurring amendment fee related to an amendment to our Insulin Supply Agreement.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00" w:type="dxa"/>
            <w:vAlign w:val="bottom"/>
            <w:tcBorders>
              <w:bottom w:val="single" w:sz="8" w:color="CFF0FC"/>
            </w:tcBorders>
            <w:vMerge w:val="continue"/>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 Change</w:t>
            </w:r>
          </w:p>
        </w:tc>
        <w:tc>
          <w:tcPr>
            <w:tcW w:w="26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revenue — Afrezza</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Less cost of goods sold</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(4,411)</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(3,677)</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(734)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GAAP gross profit — Afrezza</w:t>
            </w:r>
          </w:p>
        </w:tc>
        <w:tc>
          <w:tcPr>
            <w:tcW w:w="14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5,565</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3,308</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2,257</w:t>
            </w:r>
          </w:p>
        </w:tc>
        <w:tc>
          <w:tcPr>
            <w:tcW w:w="26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Exclude Amphastar amendment fee</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Non-GAAP gross profit — Afrezza</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4,257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60"/>
              <w:spacing w:after="0"/>
              <w:rPr>
                <w:sz w:val="20"/>
                <w:szCs w:val="20"/>
                <w:color w:val="auto"/>
              </w:rPr>
            </w:pPr>
            <w:r>
              <w:rPr>
                <w:rFonts w:ascii="Arial" w:cs="Arial" w:eastAsia="Arial" w:hAnsi="Arial"/>
                <w:sz w:val="18"/>
                <w:szCs w:val="18"/>
                <w:color w:val="auto"/>
              </w:rPr>
              <w:t>Non-GAAP gross margin</w:t>
            </w: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0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200" w:type="dxa"/>
            <w:vAlign w:val="bottom"/>
          </w:tcPr>
          <w:p>
            <w:pPr>
              <w:spacing w:after="0"/>
              <w:rPr>
                <w:sz w:val="24"/>
                <w:szCs w:val="24"/>
                <w:color w:val="auto"/>
              </w:rPr>
            </w:pPr>
          </w:p>
        </w:tc>
        <w:tc>
          <w:tcPr>
            <w:tcW w:w="1720" w:type="dxa"/>
            <w:vAlign w:val="bottom"/>
            <w:gridSpan w:val="2"/>
          </w:tcPr>
          <w:p>
            <w:pPr>
              <w:jc w:val="right"/>
              <w:ind w:right="110"/>
              <w:spacing w:after="0"/>
              <w:rPr>
                <w:sz w:val="20"/>
                <w:szCs w:val="20"/>
                <w:color w:val="auto"/>
              </w:rPr>
            </w:pPr>
            <w:r>
              <w:rPr>
                <w:rFonts w:ascii="Arial" w:cs="Arial" w:eastAsia="Arial" w:hAnsi="Arial"/>
                <w:sz w:val="18"/>
                <w:szCs w:val="18"/>
                <w:color w:val="auto"/>
              </w:rPr>
              <w:t>37</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23"/>
        </w:trPr>
        <w:tc>
          <w:tcPr>
            <w:tcW w:w="57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9"/>
                <w:szCs w:val="19"/>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revenue — Afrezza</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Less cost of goods sold</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(8,726)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(7,841)</w:t>
            </w:r>
          </w:p>
        </w:tc>
        <w:tc>
          <w:tcPr>
            <w:tcW w:w="360" w:type="dxa"/>
            <w:vAlign w:val="bottom"/>
          </w:tcPr>
          <w:p>
            <w:pPr>
              <w:jc w:val="right"/>
              <w:ind w:right="173"/>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885</w:t>
            </w:r>
          </w:p>
        </w:tc>
        <w:tc>
          <w:tcPr>
            <w:tcW w:w="2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23"/>
        </w:trPr>
        <w:tc>
          <w:tcPr>
            <w:tcW w:w="57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GAAP gross profit — Afrezza</w:t>
            </w: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9,349</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7,144</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jc w:val="right"/>
              <w:ind w:right="173"/>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2,205</w:t>
            </w: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Exclude Amphastar amendment fee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3"/>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23"/>
        </w:trPr>
        <w:tc>
          <w:tcPr>
            <w:tcW w:w="57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Non-GAAP gross profit — Afrezza</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jc w:val="right"/>
              <w:ind w:right="173"/>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4,205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r>
      <w:tr>
        <w:trPr>
          <w:trHeight w:val="20"/>
        </w:trPr>
        <w:tc>
          <w:tcPr>
            <w:tcW w:w="5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25"/>
        </w:trPr>
        <w:tc>
          <w:tcPr>
            <w:tcW w:w="4120" w:type="dxa"/>
            <w:vAlign w:val="bottom"/>
          </w:tcPr>
          <w:p>
            <w:pPr>
              <w:spacing w:after="0"/>
              <w:rPr>
                <w:sz w:val="20"/>
                <w:szCs w:val="20"/>
                <w:color w:val="auto"/>
              </w:rPr>
            </w:pPr>
            <w:r>
              <w:rPr>
                <w:rFonts w:ascii="Arial" w:cs="Arial" w:eastAsia="Arial" w:hAnsi="Arial"/>
                <w:sz w:val="18"/>
                <w:szCs w:val="18"/>
                <w:color w:val="auto"/>
              </w:rPr>
              <w:t>Non-GAAP gross margin</w:t>
            </w:r>
          </w:p>
        </w:tc>
        <w:tc>
          <w:tcPr>
            <w:tcW w:w="3180" w:type="dxa"/>
            <w:vAlign w:val="bottom"/>
          </w:tcPr>
          <w:p>
            <w:pPr>
              <w:jc w:val="right"/>
              <w:ind w:right="450"/>
              <w:spacing w:after="0"/>
              <w:rPr>
                <w:sz w:val="20"/>
                <w:szCs w:val="20"/>
                <w:color w:val="auto"/>
              </w:rPr>
            </w:pPr>
            <w:r>
              <w:rPr>
                <w:rFonts w:ascii="Arial" w:cs="Arial" w:eastAsia="Arial" w:hAnsi="Arial"/>
                <w:sz w:val="18"/>
                <w:szCs w:val="18"/>
                <w:color w:val="auto"/>
              </w:rPr>
              <w:t>63%</w:t>
            </w: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212" w:lineRule="auto"/>
        <w:rPr>
          <w:sz w:val="20"/>
          <w:szCs w:val="20"/>
          <w:color w:val="auto"/>
        </w:rPr>
      </w:pPr>
      <w:r>
        <w:rPr>
          <w:rFonts w:ascii="Arial" w:cs="Arial" w:eastAsia="Arial" w:hAnsi="Arial"/>
          <w:sz w:val="13"/>
          <w:szCs w:val="13"/>
          <w:color w:val="auto"/>
        </w:rPr>
        <w:t>____________________</w:t>
      </w:r>
    </w:p>
    <w:p>
      <w:pPr>
        <w:spacing w:after="0"/>
        <w:rPr>
          <w:sz w:val="20"/>
          <w:szCs w:val="20"/>
          <w:color w:val="auto"/>
        </w:rPr>
      </w:pPr>
      <w:r>
        <w:rPr>
          <w:rFonts w:ascii="Arial" w:cs="Arial" w:eastAsia="Arial" w:hAnsi="Arial"/>
          <w:sz w:val="14"/>
          <w:szCs w:val="14"/>
          <w:color w:val="auto"/>
        </w:rPr>
        <w:t>* Not meaningful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date, we have funded our operations through the sale of equity and convertible debt securities, from the receipt of upfront and milestone payments from certain collaborations, from borrowings under certain loan arrangements and from sales of Afrezza.</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2021, we had $293.3 million principal amount of outstanding debt, consisting of:</w:t>
      </w:r>
    </w:p>
    <w:p>
      <w:pPr>
        <w:spacing w:after="0" w:line="117" w:lineRule="exact"/>
        <w:rPr>
          <w:sz w:val="20"/>
          <w:szCs w:val="20"/>
          <w:color w:val="auto"/>
        </w:rPr>
      </w:pPr>
    </w:p>
    <w:p>
      <w:pPr>
        <w:ind w:left="1000" w:right="60" w:hanging="493"/>
        <w:spacing w:after="0" w:line="301"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$230.0 million aggregate principal amount of Senior convertible notes bearing interest at 2.50% payable semi-annually in arrears on March 1 and September 1 of each year, beginning on September 1, 2021 and will mature on March 1, 2026, unless earlier converted, redeemed or repurchased. The Senior convertible notes are convertible at an initial conversion price of approximately $5.21 per share of Common Stock. The conversion rate is subject to adjustment under certain circumstances in accordance with the terms of the Indenture.</w:t>
      </w:r>
    </w:p>
    <w:p>
      <w:pPr>
        <w:spacing w:after="0" w:line="49" w:lineRule="exact"/>
        <w:rPr>
          <w:rFonts w:ascii="Arial" w:cs="Arial" w:eastAsia="Arial" w:hAnsi="Arial"/>
          <w:sz w:val="16"/>
          <w:szCs w:val="16"/>
          <w:color w:val="auto"/>
        </w:rPr>
      </w:pPr>
    </w:p>
    <w:p>
      <w:pPr>
        <w:ind w:left="1000" w:right="28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$40.0 million principal amount under the MidCap credit facility, bearing interest at an annual rate equal to one-month LIBOR plus 6.25%, subject to a one-month LIBOR floor of 1.00%, payable in equal monthly installments beginning in September 2023 through maturity in August 2025.</w:t>
      </w:r>
    </w:p>
    <w:p>
      <w:pPr>
        <w:spacing w:after="0" w:line="75" w:lineRule="exact"/>
        <w:rPr>
          <w:rFonts w:ascii="Arial" w:cs="Arial" w:eastAsia="Arial" w:hAnsi="Arial"/>
          <w:sz w:val="18"/>
          <w:szCs w:val="18"/>
          <w:color w:val="auto"/>
        </w:rPr>
      </w:pPr>
    </w:p>
    <w:p>
      <w:pPr>
        <w:ind w:left="1000" w:hanging="493"/>
        <w:spacing w:after="0" w:line="259"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$18.4 million principal amount of indebtedness under the Mann Group convertible note bearing interest at a fixed rate of 2.50% per annum compounded quarterly and maturing in December 2025, which is convertible into shares of our common stock at the option of Mann Group at a conversion price of $2.50 per share. Interest is paid-in-kind from August 2019 until the end of 2020, after which we have the option to either pay interest in-kind in cash or in shares.</w:t>
      </w:r>
    </w:p>
    <w:p>
      <w:pPr>
        <w:spacing w:after="0" w:line="78"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$4.9 million principal amount under a PPP loan, all of which was forgiven by the SBA subsequent to June 30, 2021.</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February 2021, we elected to convert the $5.0 million principal amount of 2024 convertible notes into 1,666,667 shares of our common stock in accordance with the terms of the 2024 convertible notes. There can be no assurance that we will have sufficient resources to make any required repayments of principal under the Senior convertible notes, the MidCap credit facility or the Mann Group convertible note. The Senior convertible notes and Mann Group convertible note are fully convertible prior to maturity as further disclosed in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 date, we have been able to timely make our required interest payments, but we cannot guarantee that we will be able to do so in the future. If we fail to repurchase the Mann Group promissory notes,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p>
    <w:p>
      <w:pPr>
        <w:spacing w:after="0" w:line="18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 xml:space="preserve">In July 2013, we issued Milestone Rights to the Milestone Purchasers. The Milestone Rights provide the Milestone Purchasers certain rights to receive payments of up to $90.0 million upon the occurrence of specified strategic and sales milestones, $65.0 million of which remains payable upon achievement of such milestones. See Note 12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and Note 6 – </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for further information related to the Milestone Rights.</w:t>
      </w:r>
    </w:p>
    <w:p>
      <w:pPr>
        <w:spacing w:after="0" w:line="14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During the six months ended June 30, 2021, we used $34.2 million of cash for our operating activities as a result of our net loss of $48.4 million, partially offset by non-cash charges of $32.5 million of which $22.1 million was a loss on extinguishment of debt related to the first amendment of the Mann Group convertible note. The net change in operating asset and liabilities was primarily a result of the amortization of deferred revenue of $21.2 million and the payment of the Mann Group promissory note interest of $4.9 million, partially offset by the receipt of $5.3 million in customer deposits from UT for expansion equipment as well as other pass through payments, and an increase in operating payables and accrued expenses.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0" w:name="page41"/>
    <w:bookmarkEnd w:id="40"/>
    <w:p>
      <w:pPr>
        <w:spacing w:after="0" w:line="259" w:lineRule="auto"/>
        <w:rPr>
          <w:sz w:val="20"/>
          <w:szCs w:val="20"/>
          <w:color w:val="auto"/>
        </w:rPr>
      </w:pPr>
      <w:r>
        <w:rPr>
          <w:rFonts w:ascii="Arial" w:cs="Arial" w:eastAsia="Arial" w:hAnsi="Arial"/>
          <w:sz w:val="18"/>
          <w:szCs w:val="18"/>
          <w:color w:val="auto"/>
        </w:rPr>
        <w:t>During the six months ended June 30, 2020, we used $14.9 million of cash for our operating activities as a result of our net loss of $19.6 million, in addition to a net cash outflow from changes in balances of operating assets and liabilities of $5.3 million, partially offset by non-cash charges of $10.0 million. The change in operating asset and liabilities was primarily a result of deferred revenue amortization of $16.4 million, partially offset by a milestone payment from UT of $12.5 million.</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Cash used in investing activities of $144.0 million for the six months ended June 30, 2021 was primarily due to the purchase of $138.9 million of debt securities and $3.0 million of Thirona convertible notes that was recognized as an available-for-sale investment.</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provided by investing activities of $19.7 million for the six months ended June 30, 2020 was primarily due to the proceeds from the sale of treasury bills.</w:t>
      </w:r>
    </w:p>
    <w:p>
      <w:pPr>
        <w:spacing w:after="0" w:line="170"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Cash provided by financing activities of $173.5 million for the six months ended June 30, 2021 was primarily due to net proceeds from the offering of Senior convertible notes of $222.7 million, partially offset by the repayment of $35.1 million of Mann Group non-convertible notes and related unpaid accrued interest and the repayment of $10.0 million of principal and $1.0 million prepayment penalty for the MidCap credit facility.</w:t>
      </w:r>
    </w:p>
    <w:p>
      <w:pPr>
        <w:spacing w:after="0" w:line="16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Cash provided by financing activities of $28.5 million for the six months ended June 30, 2020 was primarily due to the receipt of $12.6 million in gross proceeds from at-the-market offerings for an aggregate of 7,871,461 shares of our common stock under the CF Sales Agreement, the exercise of outstanding warrants to purchase shares of our common stock of $11.6 million, and proceeds from the PPP Loan of $4.9 million.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not currently profitable and have rarely generated positive net cash flow from operations. In addition, we expect to continue to incur significant expenditures for the foreseeable future in support of our manufacturing operations, sales and marketing costs for Afrezza, and development costs for other product candidates in our pipeline. As of June 30, 2021, we had capital resources of $62.5 million in cash and cash equivalents, $100.0 million in short-term investments and $39.0 million in long-term investments, and we had an accumulated deficit of $3.1 billion and total principal amount of outstanding borrowings of $293.3 million.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March 2021, we issued $230.0 million of Senior convertible notes. In April 2021, we made a $10.0 million principal prepayment against outstanding term loans under the MidCap credit facility and repaid the entire principal amount of $35.1 million outstanding under the Mann Group non-convertible note (together with all accrued and unpaid interest thereon) as further disclosed in Note 6 – </w:t>
      </w:r>
      <w:r>
        <w:rPr>
          <w:rFonts w:ascii="Arial" w:cs="Arial" w:eastAsia="Arial" w:hAnsi="Arial"/>
          <w:sz w:val="18"/>
          <w:szCs w:val="18"/>
          <w:i w:val="1"/>
          <w:iCs w:val="1"/>
          <w:color w:val="auto"/>
        </w:rPr>
        <w:t>Borrowings</w:t>
      </w:r>
      <w:r>
        <w:rPr>
          <w:rFonts w:ascii="Arial" w:cs="Arial" w:eastAsia="Arial" w:hAnsi="Arial"/>
          <w:sz w:val="18"/>
          <w:szCs w:val="18"/>
          <w:color w:val="auto"/>
        </w:rPr>
        <w:t>. As amended, the MidCap credit facility provides a secured term loan facility with an aggregate principal amount of up to $100.0 million, of which $60.0 million remains available for borrowing if the conditions for Tranche 3 are met.</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believe our resources will be sufficient to fund our operations for the next twelve months from the date of issuance of our condensed consolidated financial statements included in Part I – Financial Statements (Unaudited).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and December 31, 2020, we did not have any off-balance sheet arrangements.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See Note 6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and Note 12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 discussion of material changes outside of the ordinary course of business in our contractual obligations from those disclosed within “Management’s Discussion and Analysis of Financial Condition and Results of Operations,” as contained in the Annual Report.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ind w:right="4080"/>
        <w:spacing w:after="0" w:line="377"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Interest on borrowings under the MidCap credit facility accrues interest at an annual rate equal to the lesser of (i) 8.25% and (ii) the one-month LIBOR (subject to a one-month LIBOR floor of 1.00%) plus 6.25%. Accordingly, our interest expense under the MidCap credit facility is subject to changes in the one-month LIBOR rate. All other debt has fixed interest rates, so the interest expense associated with such debt is not exposed to changes in market interest rates. Specifically, the interest rate on amounts borrowed under the Mann Group promissory notes is fixed at 2.50%, the interest rate under the PPP loan was fixed at 0.98%, and the interest rate under the Senior convertible notes is fixed at 2.50%. See Note 6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for information about the principal amount of outstanding debt.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In April 2021, we entered into 90-day foreign currency hedging transactions to mitigate our exposure to foreign currency exchange risks associated with our insulin purchase obligation under the Insulin Supply Agreement. The hedging transaction hedges against short-term currency fluctuations for the remaining current year purchase obligation under the Insulin Supply Agreement of €2.0 million. We realized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currency gain during the three months ended June 30, 2021. This amount is recorded in other income and expense.</w:t>
      </w:r>
    </w:p>
    <w:p>
      <w:pPr>
        <w:spacing w:after="0" w:line="18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incur and will continue to incur significant expenditures for insulin supply obligations under our Insulin Supply Agreement with Amphastar.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w:t>
      </w:r>
    </w:p>
    <w:p>
      <w:pPr>
        <w:spacing w:after="0" w:line="2" w:lineRule="exact"/>
        <w:rPr>
          <w:sz w:val="20"/>
          <w:szCs w:val="20"/>
          <w:color w:val="auto"/>
        </w:rPr>
      </w:pPr>
    </w:p>
    <w:p>
      <w:pPr>
        <w:ind w:right="300"/>
        <w:spacing w:after="0" w:line="295" w:lineRule="auto"/>
        <w:rPr>
          <w:sz w:val="20"/>
          <w:szCs w:val="20"/>
          <w:color w:val="auto"/>
        </w:rPr>
      </w:pPr>
      <w:r>
        <w:rPr>
          <w:rFonts w:ascii="Arial" w:cs="Arial" w:eastAsia="Arial" w:hAnsi="Arial"/>
          <w:sz w:val="16"/>
          <w:szCs w:val="16"/>
          <w:color w:val="auto"/>
        </w:rPr>
        <w:t>Euro. For the three months ended June 30, 2021, we realized a $0.9 million currency loss, which was included in loss (gain) on foreign currency translation in the condensed consolidated statements of operations. Exchange rate fluctuations may adversely affect our expenses, results of operations, financial position and cash flows. If a change in the U.S. dollar to Euro exchange rate equal to 10% of the U.S. dollar to Euro exchange rate on June 30, 2021 were to have occurred, this change would have resulted in a foreign currency impact to our pre-tax loss of approximately $8.9 million.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defined in Rules 13a-15(e) and 15d-15(e) under the Securities Exchange Act of 1934, as amended (the “Exchange Act”), as of June 30,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Based on the evaluation of our disclosure controls and procedures as of June 30, 2021, our Chief Executive Officer and our Chief Financial Officer have concluded, as of such date, that our disclosure controls and procedures were effective.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we filed a motion to dismiss the certification motion. In September 2019, the plaintiff brought a motion to amend his claim, which the court denied in January 2020. The plaintiff has appealed this denial to the Supreme Court of Israel, which issued a decision in July 2021 upholding the lower court decision. Subsequently, the plaintiff withdrew his complaint and the district court dismissed the motion to certify, bringing the litigation to an end.</w:t>
      </w:r>
    </w:p>
    <w:p>
      <w:pPr>
        <w:spacing w:after="0" w:line="18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are subject to legal proceedings and claims that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before making investment decisions regarding our common stock.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face risks and uncertainties related to our business, many of which are beyond our control. In particular, risks associated with our business include: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940" w:right="620" w:hanging="365"/>
        <w:spacing w:after="0" w:line="258"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only approved product, Afrezza, may only achieve a limited degree of commercial success. The continued commercialization and development of Afrezza will require substantial capital that we may not be able to obtain.</w:t>
      </w:r>
    </w:p>
    <w:p>
      <w:pPr>
        <w:spacing w:after="0" w:line="1" w:lineRule="exact"/>
        <w:rPr>
          <w:rFonts w:ascii="Arial" w:cs="Arial" w:eastAsia="Arial" w:hAnsi="Arial"/>
          <w:sz w:val="18"/>
          <w:szCs w:val="18"/>
          <w:color w:val="auto"/>
        </w:rPr>
      </w:pPr>
    </w:p>
    <w:p>
      <w:pPr>
        <w:ind w:left="940" w:hanging="365"/>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as an effective manufacturing organization, we may be unable to support commercialization of Afrezza or Tyvaso DPI.</w:t>
      </w:r>
    </w:p>
    <w:p>
      <w:pPr>
        <w:spacing w:after="0" w:line="21" w:lineRule="exact"/>
        <w:rPr>
          <w:rFonts w:ascii="Arial" w:cs="Arial" w:eastAsia="Arial" w:hAnsi="Arial"/>
          <w:sz w:val="18"/>
          <w:szCs w:val="18"/>
          <w:color w:val="auto"/>
        </w:rPr>
      </w:pPr>
    </w:p>
    <w:p>
      <w:pPr>
        <w:ind w:left="940" w:hanging="365"/>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operations.</w:t>
      </w:r>
    </w:p>
    <w:p>
      <w:pPr>
        <w:spacing w:after="0" w:line="36" w:lineRule="exact"/>
        <w:rPr>
          <w:rFonts w:ascii="Arial" w:cs="Arial" w:eastAsia="Arial" w:hAnsi="Arial"/>
          <w:sz w:val="18"/>
          <w:szCs w:val="18"/>
          <w:color w:val="auto"/>
        </w:rPr>
      </w:pPr>
    </w:p>
    <w:p>
      <w:pPr>
        <w:ind w:left="940" w:right="40" w:hanging="365"/>
        <w:spacing w:after="0" w:line="258"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expect that our results of operations will fluctuate for the foreseeable future, which may make it difficult to predict our future performance from period to period.</w:t>
      </w:r>
    </w:p>
    <w:p>
      <w:pPr>
        <w:spacing w:after="0" w:line="1" w:lineRule="exact"/>
        <w:rPr>
          <w:rFonts w:ascii="Arial" w:cs="Arial" w:eastAsia="Arial" w:hAnsi="Arial"/>
          <w:sz w:val="18"/>
          <w:szCs w:val="18"/>
          <w:color w:val="auto"/>
        </w:rPr>
      </w:pPr>
    </w:p>
    <w:p>
      <w:pPr>
        <w:ind w:left="940" w:right="20" w:hanging="365"/>
        <w:spacing w:after="0" w:line="281" w:lineRule="auto"/>
        <w:tabs>
          <w:tab w:leader="none" w:pos="9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business, product sales, results of operations and ability to access capital could be adversely affected by the effects of health pandemics or epidemics, including the ongoing COVID-19 pandemic, in regions where we or third parties distribute our products or where we or third parties on which we rely have significant manufacturing facilities, concentrations of clinical trial sites or other business operations.</w:t>
      </w:r>
    </w:p>
    <w:p>
      <w:pPr>
        <w:spacing w:after="0" w:line="1" w:lineRule="exact"/>
        <w:rPr>
          <w:rFonts w:ascii="Arial" w:cs="Arial" w:eastAsia="Arial" w:hAnsi="Arial"/>
          <w:sz w:val="16"/>
          <w:szCs w:val="16"/>
          <w:color w:val="auto"/>
        </w:rPr>
      </w:pPr>
    </w:p>
    <w:p>
      <w:pPr>
        <w:ind w:left="940" w:right="40" w:hanging="365"/>
        <w:spacing w:after="0" w:line="250"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do not obtain regulatory approval of Afrezza in foreign jurisdictions, we will not be able to market Afrezza in such jurisdictions, which could limit our commercial revenues. We may not be able to establish additional regional partnerships or other arrangements with third parties for the commercialization of Afrezza outside of the United States.</w:t>
      </w:r>
    </w:p>
    <w:p>
      <w:pPr>
        <w:spacing w:after="0" w:line="1" w:lineRule="exact"/>
        <w:rPr>
          <w:rFonts w:ascii="Arial" w:cs="Arial" w:eastAsia="Arial" w:hAnsi="Arial"/>
          <w:sz w:val="18"/>
          <w:szCs w:val="18"/>
          <w:color w:val="auto"/>
        </w:rPr>
      </w:pPr>
    </w:p>
    <w:p>
      <w:pPr>
        <w:ind w:left="940" w:hanging="365"/>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successful in our efforts to develop and commercialize our product candidates.</w:t>
      </w:r>
    </w:p>
    <w:p>
      <w:pPr>
        <w:spacing w:after="0" w:line="21" w:lineRule="exact"/>
        <w:rPr>
          <w:rFonts w:ascii="Arial" w:cs="Arial" w:eastAsia="Arial" w:hAnsi="Arial"/>
          <w:sz w:val="18"/>
          <w:szCs w:val="18"/>
          <w:color w:val="auto"/>
        </w:rPr>
      </w:pPr>
    </w:p>
    <w:p>
      <w:pPr>
        <w:ind w:left="940" w:right="220" w:hanging="365"/>
        <w:spacing w:after="0" w:line="258"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history of operating losses, we expect to incur losses in the future and we may not generate positive cash flow from operations in the future.</w:t>
      </w:r>
    </w:p>
    <w:p>
      <w:pPr>
        <w:spacing w:after="0" w:line="1" w:lineRule="exact"/>
        <w:rPr>
          <w:rFonts w:ascii="Arial" w:cs="Arial" w:eastAsia="Arial" w:hAnsi="Arial"/>
          <w:sz w:val="18"/>
          <w:szCs w:val="18"/>
          <w:color w:val="auto"/>
        </w:rPr>
      </w:pPr>
    </w:p>
    <w:p>
      <w:pPr>
        <w:ind w:left="940" w:hanging="365"/>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a substantial amount of debt, and we may be unable to make required payments of interest and principal as they become due.</w:t>
      </w:r>
    </w:p>
    <w:p>
      <w:pPr>
        <w:spacing w:after="0" w:line="33" w:lineRule="exact"/>
        <w:rPr>
          <w:rFonts w:ascii="Arial" w:cs="Arial" w:eastAsia="Arial" w:hAnsi="Arial"/>
          <w:sz w:val="17"/>
          <w:szCs w:val="17"/>
          <w:color w:val="auto"/>
        </w:rPr>
      </w:pPr>
    </w:p>
    <w:p>
      <w:pPr>
        <w:ind w:left="940" w:right="100" w:hanging="365"/>
        <w:spacing w:after="0" w:line="258"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1" w:lineRule="exact"/>
        <w:rPr>
          <w:rFonts w:ascii="Arial" w:cs="Arial" w:eastAsia="Arial" w:hAnsi="Arial"/>
          <w:sz w:val="18"/>
          <w:szCs w:val="18"/>
          <w:color w:val="auto"/>
        </w:rPr>
      </w:pPr>
    </w:p>
    <w:p>
      <w:pPr>
        <w:ind w:left="940" w:hanging="365"/>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Afrezza or our product candidates may be rendered obsolete by rapid technological change.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ind w:left="940" w:right="700" w:hanging="365"/>
        <w:spacing w:after="0" w:line="258"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testing of Afrezza or our product candidates may not yield successful results, and even if it does, we may still be unable to commercialize our product candidates.</w:t>
      </w:r>
    </w:p>
    <w:p>
      <w:pPr>
        <w:spacing w:after="0" w:line="1" w:lineRule="exact"/>
        <w:rPr>
          <w:rFonts w:ascii="Arial" w:cs="Arial" w:eastAsia="Arial" w:hAnsi="Arial"/>
          <w:sz w:val="18"/>
          <w:szCs w:val="18"/>
          <w:color w:val="auto"/>
        </w:rPr>
      </w:pPr>
    </w:p>
    <w:p>
      <w:pPr>
        <w:ind w:left="940" w:right="80" w:hanging="365"/>
        <w:spacing w:after="0" w:line="265" w:lineRule="auto"/>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ind w:left="940" w:hanging="365"/>
        <w:spacing w:after="0" w:line="250"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Afrezza or any other product that we develop does not become widely accepted by physicians, patients, third-party payers and the healthcare community, we may be unable to generate significant revenue, if any.</w:t>
      </w:r>
    </w:p>
    <w:p>
      <w:pPr>
        <w:ind w:left="940" w:right="80" w:hanging="365"/>
        <w:spacing w:after="0" w:line="250"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third-party payers do not cover Afrezza or any of our product candidates for which we receive regulatory approval, Afrezza or such product candidates might not be prescribed, used or purchased, which would adversely affect our revenues.</w:t>
      </w:r>
    </w:p>
    <w:p>
      <w:pPr>
        <w:ind w:left="940" w:hanging="365"/>
        <w:spacing w:after="0" w:line="250"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undertake internal restructuring activities in the future that could result in disruptions to our business or otherwise materially harm our results of operations or financial condition.</w:t>
      </w:r>
    </w:p>
    <w:p>
      <w:pPr>
        <w:ind w:left="940" w:right="540" w:hanging="365"/>
        <w:spacing w:after="0" w:line="260"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increasingly dependent on information technology systems, and infrastructure, which are vulnerable to service interruptions and attacks.</w:t>
      </w:r>
    </w:p>
    <w:p>
      <w:pPr>
        <w:spacing w:after="0" w:line="28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940" w:right="100" w:hanging="365"/>
        <w:spacing w:after="0" w:line="271" w:lineRule="auto"/>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ind w:left="940" w:right="120" w:hanging="365"/>
        <w:spacing w:after="0" w:line="250"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1" w:lineRule="exact"/>
        <w:rPr>
          <w:rFonts w:ascii="Arial" w:cs="Arial" w:eastAsia="Arial" w:hAnsi="Arial"/>
          <w:sz w:val="18"/>
          <w:szCs w:val="18"/>
          <w:color w:val="auto"/>
        </w:rPr>
      </w:pPr>
    </w:p>
    <w:p>
      <w:pPr>
        <w:ind w:left="940" w:hanging="365"/>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subject to stringent, ongoing government regulation.</w:t>
      </w:r>
    </w:p>
    <w:p>
      <w:pPr>
        <w:spacing w:after="0" w:line="21" w:lineRule="exact"/>
        <w:rPr>
          <w:rFonts w:ascii="Arial" w:cs="Arial" w:eastAsia="Arial" w:hAnsi="Arial"/>
          <w:sz w:val="18"/>
          <w:szCs w:val="18"/>
          <w:color w:val="auto"/>
        </w:rPr>
      </w:pPr>
    </w:p>
    <w:p>
      <w:pPr>
        <w:jc w:val="both"/>
        <w:ind w:left="940" w:right="120" w:hanging="365"/>
        <w:spacing w:after="0" w:line="263"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28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940" w:right="640" w:hanging="365"/>
        <w:spacing w:after="0" w:line="258"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generate sufficient cash to service all of our indebtedness. We may be forced to take other actions to satisfy our obligations under our indebtedness or we may experience a financial failure.</w:t>
      </w:r>
    </w:p>
    <w:p>
      <w:pPr>
        <w:spacing w:after="0" w:line="1" w:lineRule="exact"/>
        <w:rPr>
          <w:rFonts w:ascii="Arial" w:cs="Arial" w:eastAsia="Arial" w:hAnsi="Arial"/>
          <w:sz w:val="18"/>
          <w:szCs w:val="18"/>
          <w:color w:val="auto"/>
        </w:rPr>
      </w:pPr>
    </w:p>
    <w:p>
      <w:pPr>
        <w:ind w:left="940" w:hanging="365"/>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stock price is volatile and may affect the market price of our common stock and other securities.</w:t>
      </w:r>
    </w:p>
    <w:p>
      <w:pPr>
        <w:spacing w:after="0" w:line="21" w:lineRule="exact"/>
        <w:rPr>
          <w:rFonts w:ascii="Arial" w:cs="Arial" w:eastAsia="Arial" w:hAnsi="Arial"/>
          <w:sz w:val="18"/>
          <w:szCs w:val="18"/>
          <w:color w:val="auto"/>
        </w:rPr>
      </w:pPr>
    </w:p>
    <w:p>
      <w:pPr>
        <w:ind w:left="940" w:right="220" w:hanging="365"/>
        <w:spacing w:after="0" w:line="277"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future sale of our common stock or the exchange or conversion of our convertible debt into, or exercise of our outstanding warrants for, common stock could negatively affect the market price of our common stock and other securities.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940" w:right="80" w:hanging="365"/>
        <w:spacing w:after="0" w:line="277"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sales of shares of our common stock in the public market, or the perception that such sales may occur, may depress our stock price and adversely impact the market price of our common stock and other securities.</w:t>
      </w:r>
    </w:p>
    <w:p>
      <w:pPr>
        <w:spacing w:after="0" w:line="2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contains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3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only approved product, Afrezza, may only achieve a limited degree of commercial success. The continued commercialization and development of Afrezza will require substantial capital that we may not be able to obtain.*</w:t>
      </w:r>
    </w:p>
    <w:p>
      <w:pPr>
        <w:spacing w:after="0" w:line="6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expended significant time, money and effort in the commercialization and development of Afrezza, which has been on the market since February 2015. To date, Afrezza sales have been modest by comparison to other mealtime insulins. If we remain on the existing growth curve, we may never generate significant revenues from Afrezza in the United States.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Successful commercialization of Afrezza is subject to many risks, including some that are outside our control. There are numerous examples of failures to fully exploit the market potential of drug products, including by pharmaceutical companies with more experience and resources than us. We ultimately may be unable to gain widespread market acceptance of Afrezza for a variety of reasons, including the treatment and dosage regimen, potential adverse effects, pricing and availability relative to alternative products and lack of coverage or adequate reimbursement by payers. We may need to enhance our commercialization capabilities in order to successfully commercialize Afrezza in the United States, and we may not have sufficient resources to do so. The market for skilled commercial personnel is highly competitive, and we may not be able to hire all of the personnel we need on a timely basis or retain them for a sufficient period. In addition, Afrezza is a novel insulin therapy with a distinct time-action profile and non-injectable administration, and we are therefore required to expend significant time and resources to train our sales force to be credible, persuasive and compliant with applicable laws in marketing Afrezza to physicians and to ensure that a consistent and appropriate message about Afrezza is being delivered to our potential customers. If we are unable to effectively train our sales force and equip them with effective materials, including medical and sales literature to help them inform and educate potential customers about the benefits of Afrezza and its proper administration, our efforts to successfully commercialize Afrezza could be put in jeopardy, which would negatively impact our ability to generate product revenues.</w:t>
      </w:r>
    </w:p>
    <w:p>
      <w:pPr>
        <w:spacing w:after="0" w:line="16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If we are unable to maintain payer coverage of, and adequate reimbursement for, Afrezza, physicians may limit how much or under what circumstances they will prescribe or administer Afrezza. As a result, patients may decline to purchase Afrezza, which would have an adverse effect on our ability to generate revenues.</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part of the approval of Afrezza, the FDA required us to conduct certain additional clinical studies of Afrezza. These studies will require significant capital resources, some of which may not be available to us. We expect to initiate one of these studies, a Phase 3 clinical trial to evaluate the safety and efficacy of Afrezza in 4-17 year-old children and adolescents, in the second half of 2021. We have engaged a clinical research organization to assist us with conducting this study and have budgeted the projected costs of the study in our operating plans. The FDA has also required that we conduct a five-year, randomized, controlled trial in patients with type 2 diabetes, the primary objective of which is to compare the incidence of pulmonary malignancy observed with Afrezza to that observed in a standard of care control group. We have an ongoing dialogue with the FDA regarding the endpoints and goals for this study. To date, we have not commenced a long-term safety study or budgeted any amount for it, but such a study would be anticipated to require substantial capital resources that we may not be able to obtain.</w:t>
      </w:r>
    </w:p>
    <w:p>
      <w:pPr>
        <w:spacing w:after="0" w:line="178"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We are responsible for the NDA for Afrezza and its maintenance. We may fail to comply with maintenance requirements, including timely submitting required reports. Furthermore, we are responsible for the conduct of the remaining required post-approval trials of Afrezza. Our financial and other resource constraints may result in delays or adversely impact the reliability and completion of these trials.</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we fail to achieve better commercial success with Afrezza in the United States, our prospects for generating significant revenues from this product will be materially and adversely affected.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as an effective manufacturing organization, we may be unable to support commercialization of Afrezza or Tyvaso DPI.*</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use our Danbury, Connecticut facility to formulate both the Afrezza and Tyvaso DPI inhalation powders, fill plastic cartridges with the powders, package the cartridges in blister packs, and place the blister packs into foil pouches. A contract packager assembles the foil-pouched blister packs along with inhalers and package inserts into the final kits for commercial sale.</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production to commercial batch sizes, which is the stage of production that we have now reached with Tyvaso DPI. These problems include difficulties with production costs and yields and quality control and assurance. We may also experience shortages of qualified personnel, particularly at this time when we are seeking to fill a large number of open positions in our Danbury facility. There is also a need to comply with strictly enforced federal, state and foreign regulations, including</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5" w:name="page46"/>
    <w:bookmarkEnd w:id="45"/>
    <w:p>
      <w:pPr>
        <w:ind w:right="140"/>
        <w:spacing w:after="0" w:line="279" w:lineRule="auto"/>
        <w:rPr>
          <w:sz w:val="20"/>
          <w:szCs w:val="20"/>
          <w:color w:val="auto"/>
        </w:rPr>
      </w:pPr>
      <w:r>
        <w:rPr>
          <w:rFonts w:ascii="Arial" w:cs="Arial" w:eastAsia="Arial" w:hAnsi="Arial"/>
          <w:sz w:val="17"/>
          <w:szCs w:val="17"/>
          <w:color w:val="auto"/>
        </w:rPr>
        <w:t>inspections. Our facility is inspected on a regular basis by the FDA, most recently in late July 2021 when the FDA conducted a pre-approval inspection related to Tyvaso DPI and a GMP inspection related to Afrezza. The onsite portion of these inspections concluded in early August. We expect the FDA to deliver a formal establishment inspection report in September. If the FDA makes any major observations related to such inspections or in its review of information submitted as part of the NDA, the approval and launch of Tyvaso DPI may be delayed.</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Any of these factors could cause us to delay or suspend production, could entail higher costs and may result in our being unable to obtain sufficient quantities for the commercialization of drug products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such drug products and we would lose potential revenues.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to fund our operations.*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June 30, 2021, we had cash and cash equivalents of $62.5 million, short-term investments of $100.0 million and long-term investments of $39.0 million, and we had $293.3 million principal amount of outstanding debt. 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our product candidates. It may be difficult for us to raise additional funds on favorable terms, or at all. The extent of our additional funding requirements will depend on a number of factors, including:</w:t>
      </w:r>
    </w:p>
    <w:p>
      <w:pPr>
        <w:spacing w:after="0" w:line="84" w:lineRule="exact"/>
        <w:rPr>
          <w:sz w:val="20"/>
          <w:szCs w:val="20"/>
          <w:color w:val="auto"/>
        </w:rPr>
      </w:pPr>
    </w:p>
    <w:p>
      <w:pPr>
        <w:ind w:left="1000" w:right="22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degree to which revenue from Afrezza exceeds or does not exceed the minimum revenue covenants under the MidCap credit facility, if applicable;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degree to which we are able to generate revenue from our Technosphere drug delivery platform, including through our collaborations;</w:t>
      </w:r>
    </w:p>
    <w:p>
      <w:pPr>
        <w:spacing w:after="0" w:line="167" w:lineRule="exact"/>
        <w:rPr>
          <w:rFonts w:ascii="Arial" w:cs="Arial" w:eastAsia="Arial" w:hAnsi="Arial"/>
          <w:sz w:val="16"/>
          <w:szCs w:val="16"/>
          <w:color w:val="auto"/>
        </w:rPr>
      </w:pPr>
    </w:p>
    <w:p>
      <w:pPr>
        <w:ind w:left="1000" w:right="132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developing and commercializing Afrezza on our own in the United States, including the costs of expanding our commercialization capabilities;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demand by any or all of the holders of our debt instruments to require us to repay or repurchase such debt securities if and when required;</w:t>
      </w:r>
    </w:p>
    <w:p>
      <w:pPr>
        <w:spacing w:after="0" w:line="167" w:lineRule="exact"/>
        <w:rPr>
          <w:rFonts w:ascii="Arial" w:cs="Arial" w:eastAsia="Arial" w:hAnsi="Arial"/>
          <w:sz w:val="16"/>
          <w:szCs w:val="16"/>
          <w:color w:val="auto"/>
        </w:rPr>
      </w:pPr>
    </w:p>
    <w:p>
      <w:pPr>
        <w:ind w:left="1000" w:right="3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and the extent to which our notes with conversion options or any other convertible debt securities we may issue are converted into or exchanged for shares of our common stock;</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obligation to make milestone payments;</w:t>
      </w:r>
    </w:p>
    <w:p>
      <w:pPr>
        <w:spacing w:after="0" w:line="144"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success in establishing additional strategic business collaborations or other sales or licensing of assets, and the timing and amount of any payments we might receive from any such transactions;</w:t>
      </w:r>
    </w:p>
    <w:p>
      <w:pPr>
        <w:spacing w:after="0" w:line="62" w:lineRule="exact"/>
        <w:rPr>
          <w:rFonts w:ascii="Arial" w:cs="Arial" w:eastAsia="Arial" w:hAnsi="Arial"/>
          <w:sz w:val="18"/>
          <w:szCs w:val="18"/>
          <w:color w:val="auto"/>
        </w:rPr>
      </w:pPr>
    </w:p>
    <w:p>
      <w:pPr>
        <w:ind w:left="1000" w:right="62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Afrezza, Tyvaso DPI and our product candidates and competitive products;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44"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costs of discontinuing projects and technologies, and/or decommissioning existing facilities, if we undertake any such activities.</w:t>
      </w:r>
    </w:p>
    <w:p>
      <w:pPr>
        <w:spacing w:after="0" w:line="264" w:lineRule="exact"/>
        <w:rPr>
          <w:sz w:val="20"/>
          <w:szCs w:val="20"/>
          <w:color w:val="auto"/>
        </w:rPr>
      </w:pPr>
    </w:p>
    <w:p>
      <w:pPr>
        <w:jc w:val="both"/>
        <w:ind w:right="200"/>
        <w:spacing w:after="0" w:line="301" w:lineRule="auto"/>
        <w:rPr>
          <w:sz w:val="20"/>
          <w:szCs w:val="20"/>
          <w:color w:val="auto"/>
        </w:rPr>
      </w:pPr>
      <w:r>
        <w:rPr>
          <w:rFonts w:ascii="Arial" w:cs="Arial" w:eastAsia="Arial" w:hAnsi="Arial"/>
          <w:sz w:val="16"/>
          <w:szCs w:val="16"/>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In addition, the COVID-19 pandemic continues to have the potential for disruption of global financial markets. This disruption, if sustained or recurrent, could prevent us or make it more difficult for us to access capital.</w:t>
      </w:r>
    </w:p>
    <w:p>
      <w:pPr>
        <w:spacing w:after="0" w:line="15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Issuances of additional debt or equity securities or the issuance of common stock upon conversion of outstanding convertible debt securities or upon the exercise of our currently outstanding warrants for shares of our common stock could impact the rights of the holders of our common stock and will dilute their ownership percentage. Moreover, the establishment of other funding facilities may</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6" w:name="page47"/>
    <w:bookmarkEnd w:id="46"/>
    <w:p>
      <w:pPr>
        <w:ind w:right="20"/>
        <w:spacing w:after="0" w:line="273" w:lineRule="auto"/>
        <w:rPr>
          <w:sz w:val="20"/>
          <w:szCs w:val="20"/>
          <w:color w:val="auto"/>
        </w:rPr>
      </w:pPr>
      <w:r>
        <w:rPr>
          <w:rFonts w:ascii="Arial" w:cs="Arial" w:eastAsia="Arial" w:hAnsi="Arial"/>
          <w:sz w:val="17"/>
          <w:szCs w:val="17"/>
          <w:color w:val="auto"/>
        </w:rPr>
        <w:t>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7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 Moreover, if we do not obtain such additional funds, there may be substantial doubt about our ability to continue as a going concern and increased risk of insolvency and up to total loss of investment to our stockholders and other security holders. If we are or become insolvent, holders of our common stock or other securities may lose the entire value of their investment.</w:t>
      </w:r>
    </w:p>
    <w:p>
      <w:pPr>
        <w:spacing w:after="0" w:line="16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spacing w:after="0" w:line="2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6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believe that comparisons from period to period of our financial results are not necessarily meaningful and should not be relied upon as indications of our future performance.</w:t>
      </w:r>
    </w:p>
    <w:p>
      <w:pPr>
        <w:spacing w:after="0" w:line="278"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b w:val="1"/>
          <w:bCs w:val="1"/>
          <w:i w:val="1"/>
          <w:iCs w:val="1"/>
          <w:color w:val="auto"/>
        </w:rPr>
        <w:t>Our business, product sales, results of operations and ability to access capital could be adversely affected by the effects of health pandemics or epidemics, including the ongoing COVID-19 pandemic, in regions where we or third parties distribute our products or where we or third parties on which we rely have significant manufacturing facilities, concentrations of clinical trial sites or other business operations.*</w:t>
      </w:r>
    </w:p>
    <w:p>
      <w:pPr>
        <w:spacing w:after="0" w:line="4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business could be adversely affected by the effects of health pandemics or epidemics in regions where we have business operations, and could cause significant disruption in the operations of third-party manufacturers and distributors upon whom we rely. In particular, the ongoing COVID-19 pandemic could materially affect our operations, including at our headquarters in California and at our manufacturing facility in Connecticut and with respect to our sales force and their ability to interact with health care professionals, as well as the business or operations of our suppliers, distributors or other third parties with whom we conduct business.</w:t>
      </w:r>
    </w:p>
    <w:p>
      <w:pPr>
        <w:spacing w:after="0" w:line="18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ongoing COVID-19 pandemic has resulted in a number of restrictions to reduce the spread of the disease, including executive orders in California and Connecticut, and several other state and local orders across the country, which, among other things, directed individuals to shelter at their places of residence, directed schools, businesses and governmental agencies to cease non-essential operations at physical locations, prohibited certain non-essential gatherings, and ordered cessation of non-essential travel. In some places, these orders have been lifted whereas other locations, including Los Angeles County where our headquarters is located, continue to be subject to restrictions. The emergence of new variants of the SARS-CoV-2 virus raises the possibility that recurring cycles of restrictions will be imposed in the future, notwithstanding vaccination efforts. The effects of state and local stay-at-home orders and our own work-from-home policies may negatively impact productivity, disrupt our business and delay our development programs, regulatory and commercialization timelines, the magnitude of which will depend, in part, on the length and severity of the restrictions and other limitations on our ability to conduct our business in the ordinary course. These and similar, and perhaps more severe, disruptions in our operations due to the COVID-19 pandemic could negatively impact our business, operating results and financial condition.</w:t>
      </w:r>
    </w:p>
    <w:p>
      <w:pPr>
        <w:spacing w:after="0" w:line="10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 Although we believe we have sufficient quantities of raw materials for planned manufacturing operations in 2021, a prolonged supply interruption of certain components could adversely affect our ability to conduct commercialization activities and planned clinical trials. In addition, we believe that the severity of the COVID-19 pandemic in Brazil has the potential to negatively impact the distribution of Afrezza by our partner in that country.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ind w:right="40"/>
        <w:spacing w:after="0" w:line="286" w:lineRule="auto"/>
        <w:rPr>
          <w:sz w:val="20"/>
          <w:szCs w:val="20"/>
          <w:color w:val="auto"/>
        </w:rPr>
      </w:pPr>
      <w:r>
        <w:rPr>
          <w:rFonts w:ascii="Arial" w:cs="Arial" w:eastAsia="Arial" w:hAnsi="Arial"/>
          <w:sz w:val="17"/>
          <w:szCs w:val="17"/>
          <w:color w:val="auto"/>
        </w:rPr>
        <w:t>Sales and demand for Afrezza have been adversely affected by the global COVID-19 pandemic, and we expect that the COVID-19 pandemic will continue to negatively impact near-term revenues from Afrezza. Our sales representatives have not fully returned to conducting in-person office visits with healthcare providers, which impacts their productivity. Disruptions in the prescription volume of Afrezza could also occur:</w:t>
      </w:r>
    </w:p>
    <w:p>
      <w:pPr>
        <w:spacing w:after="0" w:line="57"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patients are physically quarantined or are unable or unwilling to visit healthcare providers,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physicians restrict access to their facilities for a material period of time,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healthcare providers prioritize treatment of acute or communicable illnesses over diabetes management,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pharmacies are closed or suffering supply chain disruptions,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patients lose access to employer-sponsored health insurance due to period of high unemployment, or</w:t>
      </w:r>
    </w:p>
    <w:p>
      <w:pPr>
        <w:spacing w:after="0" w:line="144"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a result of general disruptions in the operations of payers, distributors, logistics providers and other third parties that are necessary for Afrezza to be prescribed and reimbursed.</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our planned clinical trials of Afrezza and those of our partner for Tyvaso DPI may be affected by the COVID-19 pandemic. Clinical site initiation and patient enrollment may be delayed due to prioritization of hospital resources toward the COVID-19 pandemic. Some patients may not be able or willing to comply with clinical trial protocols if quarantines impede patient movement or interrupt healthcare services. Similarly, our ability to recruit and retain patients and principal investigators and site staff who, as healthcare providers, may have heightened exposure to COVID-19 would adversely impact our clinical trial operations.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spread of COVID-19, which has caused a broad impact globally, may materially affect us economically. While the potential economic impact brought by, and the duration of, the COVID-19 pandemic may be difficult to assess or predict, the pandemic continues to have the potential for disruption of global financial markets. This disruption, if sustained or recurrent, could make it more difficult for us to access capital, which could negatively affect our liquidity. In addition, a recession or market correction resulting from the spread of COVID-19 could materially affect our business and the value of our common stock.</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still in the midst of the COVID-19 pandemic. The ultimate impact of the COVID-19 pandemic or a similar health pandemic or epidemic is highly uncertain and subject to change. We do not yet know the full extent of potential delays or impacts on our business, our clinical trials, commercialization efforts, healthcare systems or to the global economy as a whole. These effects could have a material impact on our operations. We will continue to monitor the COVID-19 situation closely.</w:t>
      </w:r>
    </w:p>
    <w:p>
      <w:pPr>
        <w:spacing w:after="0" w:line="29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do not obtain regulatory approval of Afrezza in foreign jurisdictions, we will not be able to market Afrezza in such jurisdictions, which could limit our commercial revenues. We may not be able to establish additional regional partnerships or other arrangements with third parties for the commercialization of Afrezza outside of the United States.*</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Although Afrezza has been approved in the United States by the FDA and in Brazil by ANVISA, we have not yet obtained approval in any other jurisdiction. In order to market Afrezza in a foreign jurisdiction, we must obtain regulatory approval in each such foreign jurisdiction, and we may never be able to obtain such approvals. The research, testing, manufacturing, labeling, sale, import, export, marketing, and distribution of pharmaceutical products outside the United States are subject to extensive regulation by foreign regulatory authorities, whose regulations differ from country to country. We will be required to comply with the different regulations and policies of the jurisdictions where we seek approval for Afrezza, and we have not yet identified all of the requirements that we will need to satisfy to submit Afrezza for approval for other jurisdictions. This will require additional time, expertise and expense, including the potential need to conduct additional studies or development work for other jurisdictions beyond the work that we have conducted to support the approval of Afrezza in the United States.</w:t>
      </w:r>
    </w:p>
    <w:p>
      <w:pPr>
        <w:spacing w:after="0" w:line="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current strategy for the future commercialization of Afrezza outside of the United States, subject to receipt of the necessary regulatory approvals, is to seek and establish regional partnerships in foreign jurisdictions where there are commercial opportunities. It may be difficult to find or maintain collaboration partners that are able and willing to devote the time and resources necessary to successfully commercialize Afrezza.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Afrezza in foreign jurisdictions and could have a material and adverse impact on our business, financial condition and results of operations and the market price of our common stock and other securities could decline.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develop and commercialize our product candidates.*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have sought to develop our product candidates through our internal research programs. Other than Tyvaso DPI, which UT submitted for regulatory approval in April 2021, all of our product candidates will require additional research and development and, in some cases, significant preclinical, clinical and other testing prior to seeking regulatory approval to market them. Accordingly, these</w:t>
      </w:r>
    </w:p>
    <w:p>
      <w:pPr>
        <w:sectPr>
          <w:pgSz w:w="11900" w:h="16838" w:orient="portrait"/>
          <w:cols w:equalWidth="0" w:num="1">
            <w:col w:w="11220"/>
          </w:cols>
          <w:pgMar w:left="320" w:top="341" w:right="359" w:bottom="1440" w:gutter="0" w:footer="0" w:header="0"/>
        </w:sectPr>
      </w:pP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48" w:name="page49"/>
    <w:bookmarkEnd w:id="48"/>
    <w:p>
      <w:pPr>
        <w:ind w:right="60"/>
        <w:spacing w:after="0" w:line="279" w:lineRule="auto"/>
        <w:rPr>
          <w:sz w:val="20"/>
          <w:szCs w:val="20"/>
          <w:color w:val="auto"/>
        </w:rPr>
      </w:pPr>
      <w:r>
        <w:rPr>
          <w:rFonts w:ascii="Arial" w:cs="Arial" w:eastAsia="Arial" w:hAnsi="Arial"/>
          <w:sz w:val="17"/>
          <w:szCs w:val="17"/>
          <w:color w:val="auto"/>
        </w:rPr>
        <w:t>product candidates will not be commercially available for a number of years, if at all. Further research and development on these programs will require significant financial resources. Given our limited financial resources, our need to support the regulatory submission and launch preparations of Tyvaso DPI and our ongoing attention on the development and commercialization of Afrezza, we may not be able to advance these programs into clinical development unless we are able to obtain specific funding for these programs or enter into collaborations with third parties.</w:t>
      </w:r>
    </w:p>
    <w:p>
      <w:pPr>
        <w:spacing w:after="0" w:line="6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1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not currently profitable and have rarely generated positive net cash flow from operations. As of June 30, 2021, we had an accumulated deficit of $3.1 billion. The accumulated deficit has resulted principally from costs incurred in our research and development programs, the write-off of assets (including goodwill, inventory and property, plant and equipment) and general operating expenses. We expect to make substantial expenditures and to incur increasing operating losses in the future in order to continue the commercialization of Afrezza and advance product candidates in our pipeline. In addition, under our Insulin Supply Agreement with Amphastar, we agreed to purchase certain annual minimum quantities of insulin through 2027. As of June 30, 2021, there was €74.8 million remaining in aggregate purchase commitments under this agreement. We may not have the necessary capital resources to service this contractual commitment.</w:t>
      </w:r>
    </w:p>
    <w:p>
      <w:pPr>
        <w:spacing w:after="0" w:line="8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positive cash flow from operations and profitability depends heavily upon successfully commercializing Afrezza, and we cannot be sure when, if ever, we will generate positive cash flow from operations or become profitable.</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substantial amount of debt, and we may be unable to make required payments of interest and principal as they become due.*</w:t>
      </w:r>
    </w:p>
    <w:p>
      <w:pPr>
        <w:spacing w:after="0" w:line="1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notes to our condensed consolidated financial statements in this Quarterly Report on Form 10-Q provide details about our various debt obligations. As of June 30, 2021, we had $293.3 million principal amount of outstanding debt, consisting of:</w:t>
      </w:r>
    </w:p>
    <w:p>
      <w:pPr>
        <w:spacing w:after="0" w:line="62" w:lineRule="exact"/>
        <w:rPr>
          <w:sz w:val="20"/>
          <w:szCs w:val="20"/>
          <w:color w:val="auto"/>
        </w:rPr>
      </w:pPr>
    </w:p>
    <w:p>
      <w:pPr>
        <w:ind w:left="1000" w:right="60" w:hanging="493"/>
        <w:spacing w:after="0" w:line="301"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$230.0 million aggregate principal amount of Senior convertible notes bearing interest at 2.50% payable semi-annually in arrears on March 1 and September 1 of each year, beginning on September 1, 2021 and will mature on March 1, 2026, unless earlier converted, redeemed or repurchased. The Senior convertible notes are convertible at an initial conversion price of approximately $5.21 per share of Common Stock. The conversion rate is subject to adjustment under certain circumstances in accordance with the terms of the Indenture.</w:t>
      </w:r>
    </w:p>
    <w:p>
      <w:pPr>
        <w:spacing w:after="0" w:line="49" w:lineRule="exact"/>
        <w:rPr>
          <w:rFonts w:ascii="Arial" w:cs="Arial" w:eastAsia="Arial" w:hAnsi="Arial"/>
          <w:sz w:val="16"/>
          <w:szCs w:val="16"/>
          <w:color w:val="auto"/>
        </w:rPr>
      </w:pPr>
    </w:p>
    <w:p>
      <w:pPr>
        <w:ind w:left="1000" w:right="280" w:hanging="493"/>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$40.0 million principal amount under the MidCap credit facility, bearing interest at an annual rate equal to one-month LIBOR plus 6.25%, subject to a one-month LIBOR floor of 1.00%, payable in equal monthly installments beginning in September 2023 through maturity in August 2025.</w:t>
      </w:r>
    </w:p>
    <w:p>
      <w:pPr>
        <w:spacing w:after="0" w:line="75" w:lineRule="exact"/>
        <w:rPr>
          <w:rFonts w:ascii="Arial" w:cs="Arial" w:eastAsia="Arial" w:hAnsi="Arial"/>
          <w:sz w:val="18"/>
          <w:szCs w:val="18"/>
          <w:color w:val="auto"/>
        </w:rPr>
      </w:pPr>
    </w:p>
    <w:p>
      <w:pPr>
        <w:ind w:left="1000" w:hanging="493"/>
        <w:spacing w:after="0" w:line="259"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$18.4 million principal amount of indebtedness under the Mann Group convertible note bearing interest at a fixed rate of 2.50% per annum compounded quarterly and maturing in December 2025, which is convertible into shares of our common stock at the option of Mann Group at a conversion price of $2.50 per share. Interest is paid-in-kind from August 2019 until the end of 2020, after which we have the option to either pay interest in-kind in cash or in shares.</w:t>
      </w:r>
    </w:p>
    <w:p>
      <w:pPr>
        <w:spacing w:after="0" w:line="78"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$4.9 million principal amount under a PPP loan, all of which was forgiven by the SBA subsequent to June 30, 2021.</w:t>
      </w:r>
    </w:p>
    <w:p>
      <w:pPr>
        <w:spacing w:after="0" w:line="2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Under the MidCap credit facility, our interest rate on borrowed amounts is dependent on one-month LIBOR, which is the basic rate of interest used in lending between banks on the London interbank market. LIBOR is widely used as a reference for setting the interest rate on loans globally and is currently scheduled to be phased out in 2023. Before one-month LIBOR is phased out, we may need to renegotiate the MidCap credit facility to replace one-month LIBOR with a new standard, which has not yet been agreed upon. The consequences of these developments cannot entirely be predicted, but could result in higher interest rates on our loans under the MidCap credit facility. We cannot provide assurance that future interest rate changes will not have a material negative impact on our business, financial position, or operating results.</w:t>
      </w:r>
    </w:p>
    <w:p>
      <w:pPr>
        <w:spacing w:after="0" w:line="1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Under the MidCap credit facility, we must comply with a minimum cash covenant of $10.0 million at all times and may be required to comply with additional covenants in the future under certain circumstances. Further, the MidCap credit facility requires us, and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t>debt arrangements we may enter into in the future may require us, to comply with various covenants that limit our ability to, among other things:</w:t>
      </w:r>
    </w:p>
    <w:p>
      <w:pPr>
        <w:spacing w:after="0" w:line="129"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complete mergers or acquisitions;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indebtedness or modify existing debt agreements;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 in additional lines of business;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encumber assets;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 or make other distributions to holders of our capital stock;</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specified investments;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certain key management personnel or organizational documents;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 in transactions with our affiliates.</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restrictive covenants in the MidCap credit facility could prevent us from pursuing business opportunities that we or our stockholders may consider beneficial.</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expect that the COVID-19 pandemic will continue to negatively impact near-term revenues from Afrezza, which could also affect our compliance with a covenant relating to trailing twelve-month minimum Afrezza net revenue, tested on a monthly basis, which is set forth in the MidCap credit facility Agreement, as amended. If we fail to meet this covenant or the minimum cash covenant, any outstanding borrowings, together with accrued interest, under the MidCap credit facility could be declared immediately due and payable.</w:t>
      </w:r>
    </w:p>
    <w:p>
      <w:pPr>
        <w:spacing w:after="0" w:line="18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 breach of any of these covenants could result in an event of default under the MidCap credit facility. If we default under our obligations under the MidCap credit facility, the lender could proceed against the collateral granted to them to secure our indebtedness or declare all obligations under the MidCap credit facility to be due and payable. In certain circumstances, procedures by the lender could result in a loss by us of all of our equipment and inventory, which are included in the collateral granted to the lender. In addition, upon any distribution of assets pursuant to any liquidation, insolvency, dissolution, reorganization or similar proceeding, the holders of secured indebtedness will be entitled to receive payment in full from the proceeds of the collateral securing our secured indebtedness before the holders of other indebtedness or our common stock will be entitled to receive any distribution with respect thereto.</w:t>
      </w:r>
    </w:p>
    <w:p>
      <w:pPr>
        <w:spacing w:after="0" w:line="19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There can be no assurance that we will have sufficient resources to make any required repayments of principal under the terms of our indebtedness when required. While we have been able to timely make our required interest payments to date, we cannot guarantee that we will be able to do so in the future. If we fail to pay interest on, or repay, our outstanding term loan under the MidCap credit facility or borrowings under the Mann Group promissory notes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27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6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anticipate that revenues from our existing or future licensing arrangements for our Technosphere platform technology that involve license, milestone, royalty or other payments to us will depend on our ability to achieve the performance obligations specified in such arrangements. 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69"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access sufficient, reliable and affordable supplies of components used in the manufacture of our product candidates;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w:t>
      </w:r>
    </w:p>
    <w:p>
      <w:pPr>
        <w:spacing w:after="0" w:line="180" w:lineRule="exact"/>
        <w:rPr>
          <w:rFonts w:ascii="Arial" w:cs="Arial" w:eastAsia="Arial" w:hAnsi="Arial"/>
          <w:sz w:val="16"/>
          <w:szCs w:val="16"/>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actions by regulators; and</w:t>
      </w:r>
    </w:p>
    <w:p>
      <w:pPr>
        <w:spacing w:after="0" w:line="157"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170"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Afrezza or our product candidates may be rendered obsolete by rapid technological change.</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Our future success may depend not only on our ability to develop our product candidates, but also our ability to improve them and to improve Afrezza in order to keep pace with emerging industry developments. We cannot assure you that we will be able to do so.</w:t>
      </w:r>
    </w:p>
    <w:p>
      <w:pPr>
        <w:spacing w:after="0" w:line="171"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Forecasts about the effects of the use of drugs, including Afrezza, over terms longer than the clinical studies or in much larger populations may not be consistent with the earlier clinical results.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76" w:lineRule="exact"/>
        <w:rPr>
          <w:sz w:val="20"/>
          <w:szCs w:val="20"/>
          <w:color w:val="auto"/>
        </w:rPr>
      </w:pPr>
    </w:p>
    <w:p>
      <w:pPr>
        <w:ind w:left="1000" w:right="220" w:hanging="493"/>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89"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w:t>
      </w:r>
    </w:p>
    <w:p>
      <w:pPr>
        <w:spacing w:after="0" w:line="157"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 and</w:t>
      </w:r>
    </w:p>
    <w:p>
      <w:pPr>
        <w:spacing w:after="0" w:line="75"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1" w:name="page52"/>
    <w:bookmarkEnd w:id="51"/>
    <w:p>
      <w:pPr>
        <w:jc w:val="both"/>
        <w:ind w:right="300"/>
        <w:spacing w:after="0" w:line="286" w:lineRule="auto"/>
        <w:rPr>
          <w:sz w:val="20"/>
          <w:szCs w:val="20"/>
          <w:color w:val="auto"/>
        </w:rPr>
      </w:pPr>
      <w:r>
        <w:rPr>
          <w:rFonts w:ascii="Arial" w:cs="Arial" w:eastAsia="Arial" w:hAnsi="Arial"/>
          <w:sz w:val="17"/>
          <w:szCs w:val="17"/>
          <w:b w:val="1"/>
          <w:bCs w:val="1"/>
          <w:i w:val="1"/>
          <w:iCs w:val="1"/>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the commercial manufacture of inhaled drug products, we need access to sufficient, reliable and affordable supplies of FDKP, the inhaler, the related cartridges and other materials. For Afrezza, we also require a supply of insulin. Currently, the only source of insulin that we have qualified for Afrezza is manufactured by Amphastar. We must rely on all of our suppliers to comply with relevant regulatory and other legal requirements, including the production of insulin and FDKP in accordance with the FDA’s cGMP for drug products, and the production of the Afrezza inhaler and related cartridges in accordance with QSRs. Although we conduct our own inspections and review and/or approve investigations of each supplier, there can be no assurance that the FDA, upon inspection, would find that the supplier substantially complies with the QSR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the production of Afrezza.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8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Afrezza or any other product that we develop does not become widely accepted by physicians, patients, third-party payers and the healthcare community, we may be unable to generate significant revenue, if any.</w:t>
      </w:r>
    </w:p>
    <w:p>
      <w:pPr>
        <w:spacing w:after="0" w:line="62"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Afrezza, and other products that we may develop in the future, may not gain market acceptance among physicians, patients, third-party payers and the healthcare community. Failure to achieve market acceptance would limit our ability to generate revenue and would adversely affect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degree of market acceptance of Afrezza and other products that we may develop in the future depends on many factors, including the following:</w:t>
      </w:r>
    </w:p>
    <w:p>
      <w:pPr>
        <w:spacing w:after="0" w:line="129"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5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Effectiveness of efforts by us or any future marketing partner to support and educate physicians about the benefits and advantages of Afrezza or our other products, and the perceived advantages and disadvantages of competitive products;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5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payers, regarding the safety, efficacy and benefits compared to competing products or therapies;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Coverage and reimbursement, as well as pricing relative to other treatment therapeutics and methods; and</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Because of these and other factors, Afrezza and any other product that we develop may not gain market acceptance, which would materially harm our business, financial condition and results of operations.</w:t>
      </w:r>
    </w:p>
    <w:p>
      <w:pPr>
        <w:spacing w:after="0" w:line="278"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If third-party payers do not cover Afrezza or any of our product candidates for which we receive regulatory approval, Afrezza or such product candidates might not be prescribed, used or purchased, which would adversely affect our revenues.*</w:t>
      </w:r>
    </w:p>
    <w:p>
      <w:pPr>
        <w:spacing w:after="0" w:line="14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the United States and elsewhere, sales of prescription pharmaceuticals still depend in large part on the availability of coverage and adequate reimbursement to the consumer from third-party payers, such as government health administration authorities and private insurance plans. Third-party payers are increasingly challenging the prices charged for medical products and services. The market for Afrezza and our product candidates for which we may receive regulatory approval will depend significantly on access to third-party payers’ drug formularies, which are the lists of medications for which third-party payers provide coverage and reimbursement. The industry competition to be included in such formularies often leads to downward pricing pressures on pharmaceutical companies. Also, third-party payers may refuse to include a particular branded drug in their formularies or otherwise restrict patient access to a branded drug when a less costly generic equivalent or other alternative is available. Even if favorable coverage and reimbursement status is attained for Afrezza or our product candidates for which we or our collaborators receive regulatory approval, less favorable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ind w:right="20"/>
        <w:spacing w:after="0" w:line="272" w:lineRule="auto"/>
        <w:rPr>
          <w:sz w:val="20"/>
          <w:szCs w:val="20"/>
          <w:color w:val="auto"/>
        </w:rPr>
      </w:pPr>
      <w:r>
        <w:rPr>
          <w:rFonts w:ascii="Arial" w:cs="Arial" w:eastAsia="Arial" w:hAnsi="Arial"/>
          <w:sz w:val="17"/>
          <w:szCs w:val="17"/>
          <w:color w:val="auto"/>
        </w:rPr>
        <w:t>coverage policies and reimbursement rates may be implemented in the future. In addition, because each third-party payer individually approves coverage and reimbursement levels, obtaining coverage and adequate reimbursement is a time-consuming and costly process. We may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7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requirements governing drug pricing vary widely from country to country. In some non-U.S. jurisdictions, the proposed pricing for a drug must be approved before it may be lawfully marketed.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we or any future marketing partner is unable to obtain and maintain coverage of, and adequate payment levels reimbursement for, Afrezza or any of our other product candidates that receive marketing approval from third-party payers, physicians may limit how much or 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188"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Our future revenues and ability to generate positive cash flow from operations may be affected by the continuing efforts of government and other third-party payers to contain or reduce the costs of healthcare through various means. In certain foreign markets the pricing of prescription pharmaceuticals is subject to direct governmental control.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testing, manufacturing, marketing and sales of Afrezza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as well as an errors and omissions policy in the amount of $10.0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we may be required to expand our workforce, particularly in the areas of manufacturing and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 Replacing key employees may be difficult and time-consuming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ind w:right="900"/>
        <w:spacing w:after="0" w:line="277" w:lineRule="auto"/>
        <w:rPr>
          <w:sz w:val="20"/>
          <w:szCs w:val="20"/>
          <w:color w:val="auto"/>
        </w:rPr>
      </w:pPr>
      <w:r>
        <w:rPr>
          <w:rFonts w:ascii="Arial" w:cs="Arial" w:eastAsia="Arial" w:hAnsi="Arial"/>
          <w:sz w:val="18"/>
          <w:szCs w:val="18"/>
          <w:color w:val="auto"/>
        </w:rPr>
        <w:t>because of the limited number of individuals in our industry with the skills and experience required to develop, gain regulatory approval of and commercialize products successfully.</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3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6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or modifications in financial accounting standards may harm our results of operations.</w:t>
      </w:r>
    </w:p>
    <w:p>
      <w:pPr>
        <w:spacing w:after="0" w:line="33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27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In addition, it is uncertain if and to what extent various states will conform to the Tax Act, the CARES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 tax assets and could increase our future U.S. tax expense.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17"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As of December 31, 2020, we had federal and state net operating loss carryforwards of $2.4 billion and $1.3 billion, respectively, which we assess annually. A portion of our federal and state net operating loss carryforwards have begun to expire. Net operating loss carryforwards that expire unused will be unavailable to offset future income tax liabilities. Under the Tax Act as modified by the CARES Act, federal net operating losses incurred in tax years beginning after December 31, 2017, may be carried forward indefinitely, but the deductibility of such federal net operating losses in tax years beginning after December 31, 2020, is limited to 80% of taxable income. It is uncertain if and to what extent various states will conform to the Tax Act or the CARES Act. In addition, under Sections 382 and 383 of the Internal Revenue Code of 1986, as amended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As a result of our initial public offering, an ownership change within the meaning of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December 31, 2020, to determine whether additional limitations may be placed on our net operating loss carryforwards and other tax attributes, and no additional changes in ownership that met the Section 382 ownership change threshold were identified through December 31, 2020. There is a risk that changes in ownership may occur in tax years after December 31, 2020. If a change in ownership were to occur, our net operating loss carryforwards and other tax attributes could be further limited or restricted. If an ownership change were to occur and our ability to use our net operating loss carryforwards is materially limited, it would harm our future operating results by effectively increasing our future tax obligations. In addition, at the state level, there may be periods during which the use of net operating loss carryforwards is suspended or otherwise limited, which could accelerate or permanently increase state taxes owed. For example, California imposed limits on the usability of California state net operating losses to offset taxable income in tax years beginning after 2019 and before</w:t>
      </w:r>
    </w:p>
    <w:p>
      <w:pPr>
        <w:spacing w:after="0" w:line="11"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color w:val="auto"/>
        </w:rPr>
        <w:t>2023. As a result, if we earn net taxable income, we may be unable to use all or a material portion of our net operating loss carryforwards and other tax attributes, which could potentially result in increased future tax liability to us and adversely affect our future cash flows.</w:t>
      </w:r>
    </w:p>
    <w:p>
      <w:pPr>
        <w:spacing w:after="0" w:line="26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8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6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least for the foreseeable future, we expect that our manufacturing facility in Danbury, Connecticut will be the sole location for the manufacturing of Afrezza and Tyvaso DPI.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public health pandemics or epidemics (including, for example, the ongoing COVID-19 pandemic),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insured against a terrorist attack. Any natural disaster or catastrophic event could have a significant negative impact on our operations and financial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Moreover, any such event could delay our research and development programs or cause interruptions in our commercialization of Afrezza.</w:t>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which is not completed. The responsible party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increasingly dependent on information technology systems and infrastructure, which are vulnerable to service interruptions and attacks.*</w:t>
      </w:r>
    </w:p>
    <w:p>
      <w:pPr>
        <w:spacing w:after="0" w:line="14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are increasingly dependent upon information technology systems, infrastructure and data security. Our business requires manipulating, analyzing and storing large amounts of data. In addition, we rely on an enterprise software system to operate and manage our business. Our business therefore depends on the continuous, effective, reliable and secure operation of our computer hardware, software, networks, Internet servers and related infrastructure. The multitude and complexity of our computer systems and the potential value of our data make them inherently vulnerable to service interruption or destruction, malicious intrusion and random attack. Likewise, data privacy or security breaches by employees or others may pose a risk that sensitive data including intellectual property, trade secrets or personal information belonging to us or our customers or other business partners may be exposed to unauthorized persons or to the public. Our systems are also potentially subject to cyber-attacks, which can be highly sophisticated and may be difficult to detect. Such attacks are often carried out by motivated, well-resourced, skilled and persistent actors including nation states, organized crime groups and “hacktivists.” Cyber-attacks could include the deployment of harmful malware and key loggers, a denial-of-service attack, a malicious website, the use of social engineering and other means to affect the confidentiality, integrity and availability of our information technology systems, infrastructure and data. Our key business partners face similar risks and any security breach of their systems could adversely affect our security status. Additionally, natural disasters, public health pandemics or epidemics (including, for example, the COVID-19 pandemic), terrorism, war and telecommunication and electrical failures may result in damage to or the interruption or impairment of key business processes, or the loss or corruption of confidential information, including intellectual property, proprietary business information and personal information. While we continue to invest in the protection of our critical or sensitive data and information technology, there can be no assurance that our efforts will prevent or detect service interruptions or breaches in our systems that could adversely affect our business and operations and/or result in the loss of critical or sensitive information, which could result in financial, legal, business or reputational harm to us.</w:t>
      </w:r>
    </w:p>
    <w:p>
      <w:pPr>
        <w:spacing w:after="0" w:line="299"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4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6" w:name="page57"/>
    <w:bookmarkEnd w:id="56"/>
    <w:p>
      <w:pPr>
        <w:ind w:right="100"/>
        <w:spacing w:after="0" w:line="301" w:lineRule="auto"/>
        <w:rPr>
          <w:sz w:val="20"/>
          <w:szCs w:val="20"/>
          <w:color w:val="auto"/>
        </w:rPr>
      </w:pPr>
      <w:r>
        <w:rPr>
          <w:rFonts w:ascii="Arial" w:cs="Arial" w:eastAsia="Arial" w:hAnsi="Arial"/>
          <w:sz w:val="16"/>
          <w:szCs w:val="16"/>
          <w:color w:val="auto"/>
        </w:rPr>
        <w:t>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The withdrawal of the United Kingdom from the European Union, commonly referred to as “Brexit,” may adversely impact our ability to obtain regulatory approvals of our product candidates in the European Union, result in restrictions or imposition of taxes and duties for importing our product candidates into the European Union, and may require us to incur additional expenses in order to develop, manufacture and commercialize our product candidates in the European Union.</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between the United Kingdom and the European Union, the United Kingdom was subject to a transition period that ended December 31, 2020, or the Transition Period, during which EU rules continued to apply. A trade and cooperation agreement, or the Trade and Cooperation Agreement, that outlines the future trading relationship between the United Kingdom and the European Union was agreed in December 2020.</w:t>
      </w:r>
    </w:p>
    <w:p>
      <w:pPr>
        <w:spacing w:after="0" w:line="13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Since a significant proportion of the regulatory framework in the United Kingdom applicable to our business and our product candidates is derived from EU directives and regulations, Brexit has had, and may continue to have, a material impact upon the regulatory regime with respect to the development, manufacture, importation, approval and commercialization of our product candidates in the United Kingdom or the European Union. For example, Great Britain is no longer covered by the centralized procedures for obtaining EU-wide marketing authorization from the EMA and, and a separate marketing authorization will be required to market our product candidates in Great Britain. It is currently unclear whether the Medicines &amp; Healthcare products Regulatory Agency, or MHRA, in the U.K. is sufficiently prepared to handle the increased volume of marketing authorization applications that it is likely to receive. Any delay in obtaining, or an inability to obtain, any marketing approvals, as a result of Brexit or otherwise, would prevent us from commercializing our product candidates in the United Kingdom or the European Union and restrict our ability to generate revenue and achieve and sustain profitability.</w:t>
      </w:r>
    </w:p>
    <w:p>
      <w:pPr>
        <w:spacing w:after="0" w:line="14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While the Trade and Cooperation Agreement provides for the tariff-free trade of medicinal products between the UK and the EU there may be additional non-tariff costs to such trade which did not exist prior to the end of the Transition Period. Further, should the UK diverge from the EU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 These developments, or the perception that any of them could occur, may significantly reduce global trade and, in particular, trade between the impacted nations and the United Kingdom.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4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57"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5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7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Even if we comply with regulatory requirements, we may not be able to obtain the labeling claims necessary or desirable for product promotion. We may also be required to undertake post-marketing studies.</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manufacture, marketing and sale of Afrezza are subject to stringent and ongoing government regulation. The FDA may also withdraw product approvals if problems concerning the safety or efficacy of a product appear following approval. We cannot be sure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8" w:name="page59"/>
    <w:bookmarkEnd w:id="58"/>
    <w:p>
      <w:pPr>
        <w:ind w:right="220"/>
        <w:spacing w:after="0" w:line="277" w:lineRule="auto"/>
        <w:rPr>
          <w:sz w:val="20"/>
          <w:szCs w:val="20"/>
          <w:color w:val="auto"/>
        </w:rPr>
      </w:pPr>
      <w:r>
        <w:rPr>
          <w:rFonts w:ascii="Arial" w:cs="Arial" w:eastAsia="Arial" w:hAnsi="Arial"/>
          <w:sz w:val="18"/>
          <w:szCs w:val="18"/>
          <w:color w:val="auto"/>
        </w:rPr>
        <w:t>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spacing w:after="0" w:line="172"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FDA and comparable foreign regulatory authorities subject Afrezza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70" w:lineRule="exact"/>
        <w:rPr>
          <w:sz w:val="20"/>
          <w:szCs w:val="20"/>
          <w:color w:val="auto"/>
        </w:rPr>
      </w:pPr>
    </w:p>
    <w:p>
      <w:pPr>
        <w:ind w:left="1000" w:right="66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56"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revisions to the approved labeling to add new safety information;</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57"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FDA and other regulatory authorities impose significant restrictions on approved products through regulations on advertising, promotional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distribution activities. This oversight encompasses, but is not limited to, direct-to-consumer advertising, healthcare provider-directed advertising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promotion, sales representative communications to healthcare professionals, promotional programming and promotional activities involving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Internet. Regulatory authorities may also review industry-sponsored scientific and educational activities that make representations regarding product safety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efficacy in a promotional context. Prescription drugs may be promoted only for the approved indications in accordance with the approved label.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FDA and other regulatory authorities may take enforcement action against a company for promoting unapproved uses of a product or for other violations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advertising and labeling laws and regulations. However, physicians may, in their independent medical judgment, prescribe legally available products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off-label uses. The FDA does not regulate the behavior of physicians in their choice of treatments but the FDA does restrict manufacturer’s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communications on the subject of off-label use of their products. Enforcement action may include product seizures, injunctions, significant civil or criminal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penalties or regulatory letters, which may require corrective advertising or other corrective communications to healthcare professionals. Failure to comply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such regulations also can result in adverse publicity or increased scrutiny of company activities by the U.S. Congress or other legislators.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states have also adopted regulations and reporting requirements surrounding the promotion of pharmaceuticals. Failure to comply with state requirements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affect our ability to promote or sell our products in certain states.</w:t>
      </w:r>
    </w:p>
    <w:p>
      <w:pPr>
        <w:spacing w:after="0" w:line="21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are required to comply with FDA regulations concerning the advertising and promotion of Afrezza. Failure to comply with these regulations can result in the receipt of warning letters and further liability if off-label promotion is involved. For example, in October 2018, we received a warning letter from the FDA’s Office of Prescription Drug Promotion (“OPDP”) related to a particular post on our Afrezza Facebook page. The warning letter stated that the post in question failed to adequately disclose the risks associated with the use of Afrezza. As a result, we temporarily inactivated all Afrezza social media accounts (including Facebook, Instagram and Twitter) then, after consultation with OPDP, placed a corrective post on Facebook and Instagram.</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9" w:name="page60"/>
    <w:bookmarkEnd w:id="59"/>
    <w:p>
      <w:pPr>
        <w:spacing w:after="0" w:line="273"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delay the submission or review of an application or require additional expenditures by us. In addition, interested parties (such as individuals, advocacy groups and competing pharmaceutical companies) can file a citizen petition with the FDA to request policy change or some form of administrative action on the FDA’s part, including with respect to an NDA. For example, a third party has submitted a citizen petition to the FDA requesting that the FDA refuse to approve Tyvaso DPI, and/or impose additional requirements in order to approve the product. If successful, a citizen petition can significantly delay, or even prevent, the approval of a drug product.</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denied marketing approval or lose any marketing approval that we have already obtained.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the Patient Protection and Affordable Care Act of 2010, as amended by the Health Care and Education Reconciliation Act of 2010 (collectively, “PPACA”) became law in the United States. PPACA substantially changed the way healthcare is financed by both governmental and private insurers and significantly affects the healthcare industry.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PPACA of importance to us are the following:</w:t>
      </w:r>
    </w:p>
    <w:p>
      <w:pPr>
        <w:spacing w:after="0" w:line="103" w:lineRule="exact"/>
        <w:rPr>
          <w:sz w:val="20"/>
          <w:szCs w:val="20"/>
          <w:color w:val="auto"/>
        </w:rPr>
      </w:pPr>
    </w:p>
    <w:p>
      <w:pPr>
        <w:ind w:left="1000" w:right="10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licensure framework for follow-on biological products;</w:t>
      </w:r>
    </w:p>
    <w:p>
      <w:pPr>
        <w:spacing w:after="0" w:line="144"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000" w:right="260" w:hanging="493"/>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now offer 75% point-of-sale discounts off negotiated prices of applicable brand drugs to eligible beneficiaries during their coverage gap period, as a condition for the manufacturer’s outpatient drugs to be covered under Medicare Part D;</w:t>
      </w:r>
    </w:p>
    <w:p>
      <w:pPr>
        <w:spacing w:after="0" w:line="75"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jc w:val="both"/>
        <w:ind w:left="1000" w:right="480" w:hanging="493"/>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44"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Requirements to report annually to CMS certain financial arrangements with physicians, certain other healthcare professionals, and teaching hospitals, and reporting any ownership and investment interests held by physicians and their immediate family members and applicable group purchasing organizations during the preceding calendar year, as described in more detail below;</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certain manufacturers and authorized distributors provide to physicians; and</w:t>
      </w:r>
    </w:p>
    <w:p>
      <w:pPr>
        <w:spacing w:after="0" w:line="144"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There have been executive, judicial and congressional challenges to certain provisions of the PPACA. For example, the Tax Act included a provision that repealed, effective January 1, 2019, the tax-based shared responsibility payment imposed by the PPACA on certain individuals who fail to maintain qualifying health coverage for all or part of a year that is commonly referred to as the “individual mandate”. On June 17, 2021, the U.S. Supreme Court dismissed a challenge on procedural grounds that argued the PPACA is unconstitutional in its entirety because the “individual mandate” was repealed by Congress. Thus, the PPACA will remain in effect in its current form. Moreover, prior to the U.S. Supreme Court ruling, on January 28, 2021, President Biden issued an executive order that initiated a special enrollment period for purposes of obtaining health insurance coverage through the PPACA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ind w:right="40"/>
        <w:spacing w:after="0" w:line="296" w:lineRule="auto"/>
        <w:rPr>
          <w:sz w:val="20"/>
          <w:szCs w:val="20"/>
          <w:color w:val="auto"/>
        </w:rPr>
      </w:pPr>
      <w:r>
        <w:rPr>
          <w:rFonts w:ascii="Arial" w:cs="Arial" w:eastAsia="Arial" w:hAnsi="Arial"/>
          <w:sz w:val="16"/>
          <w:szCs w:val="16"/>
          <w:color w:val="auto"/>
        </w:rPr>
        <w:t>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PPACA. It is possible that the PPACA will be subject to judicial or Congressional challenges in the future. It is unclear how any such challenges, other litigation, and the healthcare reform measures of the Biden administration will impact the PPACA.</w:t>
      </w:r>
    </w:p>
    <w:p>
      <w:pPr>
        <w:spacing w:after="0" w:line="16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2% per fiscal year, starting in 2013, and, following passage of the BBA, will stay in effect through 2030 unless additional Congressional action is taken. However, COVID-19 relief legislation suspended the 2% Medicare sequester from May 1, 2020 through December 31, 2021.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In addition, recently there has been heightened governmental scrutiny over the manner in which manufacturers set prices for their marketed products. Specifically, there have been several recent U.S.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7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also released a final rule, effective November 30, 2020, implementing a portion of the importation executive order providing guidance for states to build and submit importation plans for drugs from Canada. Further, on November 20, 2020, the U.S. Department of Health and Human Services (“HHS”), finalized a regulation removing safe harbor protection for price reductions from pharmaceutical manufacturers to plan sponsors under Part D, either directly or through pharmacy benefit managers, unless the price reduction is required by law. The implementation of this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2023. On November 20, 2020, the Centers for Medicare &amp; Medicaid Services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for the Northern District of California issued a nationwide preliminary injunction against implementation of the interim final rule. On January 13, 2021, in a separate lawsuit brought by industry groups in the United States District Court of Maryland, the government defendants entered a joint motion to stay litigation on the condition that the government would not appeal the preliminary injunction granted in the United States District Court for the Northern District of California and that performance for any final regulation stemming from the Most Favored Nation Model interim final rule shall not commence earlier than sixty (60) days after publication of that regulation in the Federal Register. Additionally, based on a recent executive order, the Biden administration expressed its intent to pursue certain policy initiatives to reduce drug prices.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 proposals will be adopted or what actions federal, state or private third-party payers may take in response to any drug pricing and reimbursement reform proposals or legislation. For example, it is possible that additional governmental action is taken in response to the COVID-19 pandemic.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ind w:right="80"/>
        <w:spacing w:after="0" w:line="275" w:lineRule="auto"/>
        <w:rPr>
          <w:sz w:val="20"/>
          <w:szCs w:val="20"/>
          <w:color w:val="auto"/>
        </w:rPr>
      </w:pPr>
      <w:r>
        <w:rPr>
          <w:rFonts w:ascii="Arial" w:cs="Arial" w:eastAsia="Arial" w:hAnsi="Arial"/>
          <w:sz w:val="17"/>
          <w:szCs w:val="17"/>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It is also possible that additional governmental action is taken in response to the COVID-19 pandemic. Any reduction in reimbursement from Medicare or other government programs may result in a similar reduction in payments from private third-party payers. The implementation of cost containment measures or other healthcare reforms may prevent us from being able to generate revenue, attain profitability, or commercialize our products.</w:t>
      </w:r>
    </w:p>
    <w:p>
      <w:pPr>
        <w:spacing w:after="0" w:line="2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7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a biopharmaceutical company, even though we do not and will not control referrals of healthcare services or bill directly to Medicare, Medicaid or other third-party payers,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63" w:lineRule="exact"/>
        <w:rPr>
          <w:sz w:val="20"/>
          <w:szCs w:val="20"/>
          <w:color w:val="auto"/>
        </w:rPr>
      </w:pPr>
    </w:p>
    <w:p>
      <w:pPr>
        <w:ind w:left="1000" w:right="180" w:hanging="493"/>
        <w:spacing w:after="0" w:line="293"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56" w:lineRule="exact"/>
        <w:rPr>
          <w:rFonts w:ascii="Arial" w:cs="Arial" w:eastAsia="Arial" w:hAnsi="Arial"/>
          <w:sz w:val="16"/>
          <w:szCs w:val="16"/>
          <w:color w:val="auto"/>
        </w:rPr>
      </w:pPr>
    </w:p>
    <w:p>
      <w:pPr>
        <w:ind w:left="1000" w:hanging="493"/>
        <w:spacing w:after="0" w:line="273"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69" w:lineRule="exact"/>
        <w:rPr>
          <w:rFonts w:ascii="Arial" w:cs="Arial" w:eastAsia="Arial" w:hAnsi="Arial"/>
          <w:sz w:val="17"/>
          <w:szCs w:val="17"/>
          <w:color w:val="auto"/>
        </w:rPr>
      </w:pPr>
    </w:p>
    <w:p>
      <w:pPr>
        <w:jc w:val="both"/>
        <w:ind w:left="1000" w:right="40" w:hanging="493"/>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75" w:lineRule="exact"/>
        <w:rPr>
          <w:rFonts w:ascii="Arial" w:cs="Arial" w:eastAsia="Arial" w:hAnsi="Arial"/>
          <w:sz w:val="18"/>
          <w:szCs w:val="18"/>
          <w:color w:val="auto"/>
        </w:rPr>
      </w:pPr>
    </w:p>
    <w:p>
      <w:pPr>
        <w:ind w:left="1040" w:right="160" w:hanging="519"/>
        <w:spacing w:after="0" w:line="285" w:lineRule="auto"/>
        <w:tabs>
          <w:tab w:leader="none" w:pos="10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(“HITECH”), and their respective implementing regulations, which imposes certain requirements relating to the privacy, security and 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as well as their covered subcontractors. In addition, in May 2018, the European Union, or EU,</w:t>
      </w:r>
    </w:p>
    <w:p>
      <w:pPr>
        <w:spacing w:after="0" w:line="1" w:lineRule="exact"/>
        <w:rPr>
          <w:rFonts w:ascii="Arial" w:cs="Arial" w:eastAsia="Arial" w:hAnsi="Arial"/>
          <w:sz w:val="16"/>
          <w:szCs w:val="16"/>
          <w:color w:val="auto"/>
        </w:rPr>
      </w:pPr>
    </w:p>
    <w:p>
      <w:pPr>
        <w:ind w:left="1040" w:right="80"/>
        <w:spacing w:after="0" w:line="253" w:lineRule="auto"/>
        <w:rPr>
          <w:rFonts w:ascii="Arial" w:cs="Arial" w:eastAsia="Arial" w:hAnsi="Arial"/>
          <w:sz w:val="16"/>
          <w:szCs w:val="16"/>
          <w:color w:val="auto"/>
        </w:rPr>
      </w:pPr>
      <w:r>
        <w:rPr>
          <w:rFonts w:ascii="Arial" w:cs="Arial" w:eastAsia="Arial" w:hAnsi="Arial"/>
          <w:sz w:val="18"/>
          <w:szCs w:val="18"/>
          <w:color w:val="auto"/>
        </w:rPr>
        <w:t>adopted European General Data Protection Regulation, or GDPR,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the GDPR;</w:t>
      </w:r>
    </w:p>
    <w:p>
      <w:pPr>
        <w:spacing w:after="0" w:line="82" w:lineRule="exact"/>
        <w:rPr>
          <w:rFonts w:ascii="Arial" w:cs="Arial" w:eastAsia="Arial" w:hAnsi="Arial"/>
          <w:sz w:val="16"/>
          <w:szCs w:val="16"/>
          <w:color w:val="auto"/>
        </w:rPr>
      </w:pPr>
    </w:p>
    <w:p>
      <w:pPr>
        <w:ind w:left="1040" w:right="60" w:hanging="519"/>
        <w:spacing w:after="0" w:line="273" w:lineRule="auto"/>
        <w:tabs>
          <w:tab w:leader="none" w:pos="1040" w:val="left"/>
        </w:tabs>
        <w:numPr>
          <w:ilvl w:val="1"/>
          <w:numId w:val="30"/>
        </w:numPr>
        <w:rPr>
          <w:rFonts w:ascii="Arial" w:cs="Arial" w:eastAsia="Arial" w:hAnsi="Arial"/>
          <w:sz w:val="17"/>
          <w:szCs w:val="17"/>
          <w:color w:val="auto"/>
        </w:rPr>
      </w:pPr>
      <w:r>
        <w:rPr>
          <w:rFonts w:ascii="Arial" w:cs="Arial" w:eastAsia="Arial" w:hAnsi="Arial"/>
          <w:sz w:val="17"/>
          <w:szCs w:val="17"/>
          <w:color w:val="auto"/>
        </w:rPr>
        <w:t>The California Consumer Privacy Act (“CCPA”), which created individual privacy rights for California consumers (as that word is broadly defined in the law) and placed increased privacy and security obligations on entities handling personal data of consumers or households. The CCPA requires covered companies to provide new disclosures to California consumers, provide such consumers new ways to opt-out of certain sales of personal information, and allows for a new cause of action for data breaches. The CCPA will likely impact (possibly significantly) our business activities and exemplifies the vulnerability of our business to not only cyber threats but also the evolving regulatory environment related to personal data and protected health information;</w:t>
      </w:r>
    </w:p>
    <w:p>
      <w:pPr>
        <w:spacing w:after="0" w:line="69" w:lineRule="exact"/>
        <w:rPr>
          <w:rFonts w:ascii="Arial" w:cs="Arial" w:eastAsia="Arial" w:hAnsi="Arial"/>
          <w:sz w:val="17"/>
          <w:szCs w:val="17"/>
          <w:color w:val="auto"/>
        </w:rPr>
      </w:pPr>
    </w:p>
    <w:p>
      <w:pPr>
        <w:ind w:left="1040" w:right="80" w:hanging="519"/>
        <w:spacing w:after="0" w:line="259"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federal Physician Payments Sunshine Act under PPACA, which requires certain manufacturers of drugs, devices, biologics, and medical supplies to report annually to CMS information related to payments and other transfers of value to physicians (defined to include defined to include doctors, dentists, optometrists, podiatrists and chiropractors), and teaching hospitals, and ownership and investment interests held by physicians and other healthcare providers and their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ind w:left="1040" w:right="140"/>
        <w:spacing w:after="0" w:line="263" w:lineRule="auto"/>
        <w:rPr>
          <w:sz w:val="20"/>
          <w:szCs w:val="20"/>
          <w:color w:val="auto"/>
        </w:rPr>
      </w:pPr>
      <w:r>
        <w:rPr>
          <w:rFonts w:ascii="Arial" w:cs="Arial" w:eastAsia="Arial" w:hAnsi="Arial"/>
          <w:sz w:val="18"/>
          <w:szCs w:val="18"/>
          <w:color w:val="auto"/>
        </w:rPr>
        <w:t>immediate family members. Beginning in 2022, applicable manufacturers also will be required to report information regarding its payments and other transfers of value to physician assistants, nurse practitioners, clinical nurse specialists, anesthesiologist assistants, certified registered nurse anesthetists and certified nurse midwives during the previous year; and</w:t>
      </w:r>
    </w:p>
    <w:p>
      <w:pPr>
        <w:spacing w:after="0" w:line="76" w:lineRule="exact"/>
        <w:rPr>
          <w:sz w:val="20"/>
          <w:szCs w:val="20"/>
          <w:color w:val="auto"/>
        </w:rPr>
      </w:pPr>
    </w:p>
    <w:p>
      <w:pPr>
        <w:ind w:left="1000" w:hanging="493"/>
        <w:spacing w:after="0" w:line="271"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such as anti-kickback and false claims laws which may apply to items or services reimbursed by any third-party payer,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Because of the breadth of these laws and the narrowness of available statutory exceptions and regulatory safe harbors, it is possible that some of our business activities could be subject to challenge under one or more of such laws. With Afrezza now available in Brazil and as we pursue additional international approvals, we will be subject to similar foreign laws and regulations. If we or our operations are found to be in violation of any of the laws described above or any other governmental regulations that apply to us, we may be subject to penalties, including significant civil, criminal and administrative penalties, damages, fines, imprisonment, disgorgement, exclusion from U.S. federal or state healthcare programs, additional reporting requirements and/or oversight if we become subject to a corporate integrity agreement or similar agreement to resolve allegations of non-compliance with these laws,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9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5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payers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For example, on March 11, 2021, President Biden signed the American Rescue Plan Act of 2021 into law, which eliminates the statutory Medicaid drug rebate cap, currently set at 100% of a drug’s average manufacturer price (“AMP”), for single source and innovator multiple source drugs, beginning January 1, 2024.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ind w:right="40"/>
        <w:spacing w:after="0" w:line="277" w:lineRule="auto"/>
        <w:rPr>
          <w:sz w:val="20"/>
          <w:szCs w:val="20"/>
          <w:color w:val="auto"/>
        </w:rPr>
      </w:pPr>
      <w:r>
        <w:rPr>
          <w:rFonts w:ascii="Arial" w:cs="Arial" w:eastAsia="Arial" w:hAnsi="Arial"/>
          <w:sz w:val="18"/>
          <w:szCs w:val="18"/>
          <w:color w:val="auto"/>
        </w:rPr>
        <w:t>In addition, in the event that the CMS were to terminate our rebate agreement, no federal payments would be available under Medicaid or Medicare for our covered outpatient drugs.</w:t>
      </w:r>
    </w:p>
    <w:p>
      <w:pPr>
        <w:spacing w:after="0" w:line="278" w:lineRule="exact"/>
        <w:rPr>
          <w:sz w:val="20"/>
          <w:szCs w:val="20"/>
          <w:color w:val="auto"/>
        </w:rPr>
      </w:pPr>
    </w:p>
    <w:p>
      <w:pPr>
        <w:ind w:right="200"/>
        <w:spacing w:after="0" w:line="375"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9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Furthermore, patents already issued to us or our pending applications may become subject to disputes that could be resolved against us. In the United States and certain other countries, applications are generally published 18 months after the application’s priority date.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the United States moved to a first inventor to file system. In general,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9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various patents providing protection for the powder component of Afrezza have terms extending into 2026, 2028, 2029 or 2030. In addition, patents providing protection for our inhaler and cartridges have terms extending into 2023, 2031 or 2032. Our method of treatment claims extends into 2026, 2029, 2030 or 2031. As and when these different patents expire, Afrezza could become subject to increased competition. As a consequence, we may not be able to recover our development costs.</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may be challenged in court where they could be held invalid, unenforceable, or have their breadth narrowed to an extent that would destroy their value.</w:t>
      </w:r>
    </w:p>
    <w:p>
      <w:pPr>
        <w:spacing w:after="0" w:line="24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Thus,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9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Interference proceedings brought by the USPTO, may be necessary to determine the priority of inventions with respect to our pre-AIA patent applications or those of our collaborators or licensors. Additionally, the AIA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7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5" w:name="page66"/>
    <w:bookmarkEnd w:id="65"/>
    <w:p>
      <w:pPr>
        <w:spacing w:after="0" w:line="277" w:lineRule="auto"/>
        <w:rPr>
          <w:sz w:val="20"/>
          <w:szCs w:val="20"/>
          <w:color w:val="auto"/>
        </w:rPr>
      </w:pPr>
      <w:r>
        <w:rPr>
          <w:rFonts w:ascii="Arial" w:cs="Arial" w:eastAsia="Arial" w:hAnsi="Arial"/>
          <w:sz w:val="18"/>
          <w:szCs w:val="18"/>
          <w:color w:val="auto"/>
        </w:rPr>
        <w:t>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7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Although we do not believe that Afrezza infringes any third-party patents, if a plaintiff was to allege that Afrezza infringed their patent rights, we would have to establish with the court that their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76"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8"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ability to make scheduled payments on or to refinance our debt obligations will depend on our financial and operating performance, which is subject to the commercial success of Afrezza,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spacing w:after="0" w:line="257" w:lineRule="auto"/>
        <w:rPr>
          <w:sz w:val="20"/>
          <w:szCs w:val="20"/>
          <w:color w:val="auto"/>
        </w:rPr>
      </w:pPr>
      <w:r>
        <w:rPr>
          <w:rFonts w:ascii="Arial" w:cs="Arial" w:eastAsia="Arial" w:hAnsi="Arial"/>
          <w:sz w:val="18"/>
          <w:szCs w:val="18"/>
          <w:color w:val="auto"/>
        </w:rPr>
        <w:t>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may affect the market price of our common stock and other securities.*</w:t>
      </w:r>
    </w:p>
    <w:p>
      <w:pPr>
        <w:spacing w:after="0" w:line="117"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The trading price of our common stock has been and is likely to continue to be volatile. The stock market, particularly in recent years, has experienced significant volatility particularly with respect to pharmaceutical and biotechnology stocks, and this trend may continue. The COVID-19 pandemic, for example, has negatively affected the stock market and investor sentiment and has resulted in significant volatility.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volatility of pharmaceutical and biotechnology stocks often does not relate to the operating performance of the companies represented by the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business and the market price of our common stock may be influenced by a large variety of factors, including:</w:t>
      </w:r>
    </w:p>
    <w:p>
      <w:pPr>
        <w:spacing w:after="0" w:line="103" w:lineRule="exact"/>
        <w:rPr>
          <w:sz w:val="20"/>
          <w:szCs w:val="20"/>
          <w:color w:val="auto"/>
        </w:rPr>
      </w:pPr>
    </w:p>
    <w:p>
      <w:pPr>
        <w:ind w:left="1000" w:right="2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obtain marketing approval for Afrezza outside of the United States and to find collaboration partners for the commercialization of Afrezza in foreign jurisdictions;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estimates of Afrezza sales, Tyvaso DPI royalties, prescriptions or other operating metrics;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successfully commercialize other products (in addition to Afrezza) based on our Technosphere drug delivery platform;</w:t>
      </w:r>
    </w:p>
    <w:p>
      <w:pPr>
        <w:spacing w:after="0" w:line="169" w:lineRule="exact"/>
        <w:rPr>
          <w:rFonts w:ascii="Arial" w:cs="Arial" w:eastAsia="Arial" w:hAnsi="Arial"/>
          <w:sz w:val="17"/>
          <w:szCs w:val="17"/>
          <w:color w:val="auto"/>
        </w:rPr>
      </w:pPr>
    </w:p>
    <w:p>
      <w:pPr>
        <w:ind w:left="1000" w:hanging="493"/>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progress of preclinical and clinical studies of our product candidates and of post-approval studies of Afrezza required by the FDA;</w:t>
      </w:r>
    </w:p>
    <w:p>
      <w:pPr>
        <w:spacing w:after="0" w:line="169" w:lineRule="exact"/>
        <w:rPr>
          <w:rFonts w:ascii="Arial" w:cs="Arial" w:eastAsia="Arial" w:hAnsi="Arial"/>
          <w:sz w:val="17"/>
          <w:szCs w:val="17"/>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results of preclinical and clinical studies of our product candidates;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 especially for emerging growth and pharmaceutical market sectors;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5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structure of the healthcare payment systems;</w:t>
      </w:r>
    </w:p>
    <w:p>
      <w:pPr>
        <w:spacing w:after="0" w:line="15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Tyvaso DPI or other product candidates;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developments or disputes concerning our relationship with any of our current or future collaborators or third party manufacturers;</w:t>
      </w:r>
    </w:p>
    <w:p>
      <w:pPr>
        <w:spacing w:after="0" w:line="169" w:lineRule="exact"/>
        <w:rPr>
          <w:rFonts w:ascii="Arial" w:cs="Arial" w:eastAsia="Arial" w:hAnsi="Arial"/>
          <w:sz w:val="17"/>
          <w:szCs w:val="17"/>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trades of short sellers;</w:t>
      </w:r>
    </w:p>
    <w:p>
      <w:pPr>
        <w:spacing w:after="0" w:line="15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or the perception of investors of our ability, to continue to meet all applicable requirements for continued listing of our common stock on The Nasdaq Global Market, and the possible delisting of our common stock if we are unable to do so;</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sectPr>
      </w:pPr>
    </w:p>
    <w:bookmarkStart w:id="67" w:name="page68"/>
    <w:bookmarkEnd w:id="67"/>
    <w:p>
      <w:pPr>
        <w:ind w:left="1000" w:hanging="493"/>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status of any legal proceedings or regulatory matters against or involving us or any of our executive officers and directors; and</w:t>
      </w:r>
    </w:p>
    <w:p>
      <w:pPr>
        <w:spacing w:after="0" w:line="169" w:lineRule="exact"/>
        <w:rPr>
          <w:rFonts w:ascii="Arial" w:cs="Arial" w:eastAsia="Arial" w:hAnsi="Arial"/>
          <w:sz w:val="17"/>
          <w:szCs w:val="17"/>
          <w:color w:val="auto"/>
        </w:rPr>
      </w:pPr>
    </w:p>
    <w:p>
      <w:pPr>
        <w:ind w:left="1000" w:right="280" w:hanging="493"/>
        <w:spacing w:after="0" w:line="279"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discussion of Afrezza, Tyvaso DPI,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Statements attributed to company officials may, in fact, have originated elsewhere.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3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6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In 2016, we received a notice of non-compliance from the Listing Qualifications Department of the Nasdaq Stock Market with respect to the $1.00 minimum closing bid price requirement. Although we regained compliance with the minimum closing bid price requirement after effecting a reverse stock split in March 2017, there can be no assurance that we will be able to meet the minimum closing bid price requirement or other listing requirements in the future.</w:t>
      </w:r>
    </w:p>
    <w:p>
      <w:pPr>
        <w:spacing w:after="0" w:line="2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or the exchange or conversion of our convertible debt into, or exercise of our outstanding warrants for, common stock could negatively affect the market price of our common stock and other securities.*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July 30, 2021, we had 249,660,178 shares of common stock outstanding. Substantially all of these shares are available for public sale, subject in some cases to volume and other limitations.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the Mann Group promissory notes, or upon issuance of our outstanding warrants, could adversely affect the market price of our common stock and other securities. In addition, the existence of these notes may encourage short selling of our common stock by market participants, which could adversely affect the market price of our common stock and other securities.</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we may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278"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8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5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spacing w:after="0" w:line="76" w:lineRule="exact"/>
        <w:rPr>
          <w:sz w:val="20"/>
          <w:szCs w:val="20"/>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action or proceeding asserting a breach of fiduciary duty owed by any of our current or former directors, officers or other employees to us or our stockholders;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jc w:val="both"/>
        <w:ind w:left="1000" w:right="200" w:hanging="493"/>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spacing w:after="0" w:line="75"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or proceeding to interpret, apply, enforce or determine the validity of our amended and restated certificate of incorporation or our amended and restated bylaws;</w:t>
      </w:r>
    </w:p>
    <w:p>
      <w:pPr>
        <w:spacing w:after="0" w:line="62"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or proceeding as to which the Delaware General Corporation Law confers jurisdiction to the Court of Chancery of the State of Delaware;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action asserting a claim against us or any of our directors, officers or other employees that is governed by the internal affairs doctrine.</w:t>
      </w:r>
    </w:p>
    <w:p>
      <w:pPr>
        <w:spacing w:after="0" w:line="2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provision does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234"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spacing w:after="0" w:line="2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In addition, pursuant to the MidCap credit facility, we are subject to contractual restrictions on the payment of dividends. There is no guarantee that our common stock will appreciate or maintain its current price. You could lose the entire value of any investment in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33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future, we may sell additional shares of our common stock to raise capital. In addition, a substantial number of shares of our common stock is reserved for issuance upon the exercise of stock options, the vesting of restricted stock unit awards and purchases under our employee stock purchase program.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ind w:right="32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20" w:type="dxa"/>
            <w:vAlign w:val="bottom"/>
            <w:gridSpan w:val="21"/>
            <w:vMerge w:val="restart"/>
          </w:tcPr>
          <w:p>
            <w:pPr>
              <w:ind w:left="2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20" w:type="dxa"/>
            <w:vAlign w:val="bottom"/>
            <w:tcBorders>
              <w:bottom w:val="single" w:sz="8" w:color="auto"/>
            </w:tcBorders>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9980" w:type="dxa"/>
            <w:vAlign w:val="bottom"/>
            <w:gridSpan w:val="37"/>
          </w:tcPr>
          <w:p>
            <w:pPr>
              <w:spacing w:after="0"/>
              <w:rPr>
                <w:rFonts w:ascii="Arial" w:cs="Arial" w:eastAsia="Arial" w:hAnsi="Arial"/>
                <w:sz w:val="18"/>
                <w:szCs w:val="18"/>
                <w:color w:val="0000EE"/>
                <w:w w:val="98"/>
              </w:rPr>
            </w:pPr>
            <w:hyperlink r:id="rId92">
              <w:r>
                <w:rPr>
                  <w:rFonts w:ascii="Arial" w:cs="Arial" w:eastAsia="Arial" w:hAnsi="Arial"/>
                  <w:sz w:val="18"/>
                  <w:szCs w:val="18"/>
                  <w:color w:val="0000EE"/>
                  <w:w w:val="98"/>
                </w:rPr>
                <w:t>Amended and Restated Certificate of Incorporation (incorporated by reference to Exhibit 3.1 to MannKind’s Quarterly Report on</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Form 10-Q (File No. 000-50865), filed with the SEC on August 9, 2016).</w:t>
              </w:r>
            </w:hyperlink>
          </w:p>
        </w:tc>
        <w:tc>
          <w:tcPr>
            <w:tcW w:w="4000" w:type="dxa"/>
            <w:vAlign w:val="bottom"/>
            <w:tcBorders>
              <w:top w:val="single" w:sz="8" w:color="0000EE"/>
            </w:tcBorders>
            <w:gridSpan w:val="8"/>
          </w:tcPr>
          <w:p>
            <w:pPr>
              <w:spacing w:after="0"/>
              <w:rPr>
                <w:sz w:val="17"/>
                <w:szCs w:val="17"/>
                <w:color w:val="auto"/>
              </w:rPr>
            </w:pPr>
          </w:p>
        </w:tc>
        <w:tc>
          <w:tcPr>
            <w:tcW w:w="6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9900" w:type="dxa"/>
            <w:vAlign w:val="bottom"/>
            <w:tcBorders>
              <w:bottom w:val="single" w:sz="8" w:color="0000EE"/>
            </w:tcBorders>
            <w:gridSpan w:val="36"/>
          </w:tcPr>
          <w:p>
            <w:pP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8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Exhibit 3.1 to MannKind’s Current Report on Form 8-K (File No. 000-50865), filed with the SEC on March 2, 2017).</w:t>
              </w:r>
            </w:hyperlink>
          </w:p>
        </w:tc>
        <w:tc>
          <w:tcPr>
            <w:tcW w:w="15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9900" w:type="dxa"/>
            <w:vAlign w:val="bottom"/>
            <w:tcBorders>
              <w:bottom w:val="single" w:sz="8" w:color="0000EE"/>
            </w:tcBorders>
            <w:gridSpan w:val="36"/>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4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Exhibit 3.1 to MannKind’s Current Report on Form 8-K (File No. 000-50865), filed with the SEC on December 13, 2017).</w:t>
              </w:r>
            </w:hyperlink>
          </w:p>
        </w:tc>
        <w:tc>
          <w:tcPr>
            <w:tcW w:w="11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9900" w:type="dxa"/>
            <w:vAlign w:val="bottom"/>
            <w:tcBorders>
              <w:bottom w:val="single" w:sz="8" w:color="0000EE"/>
            </w:tcBorders>
            <w:gridSpan w:val="36"/>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37"/>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Exhibit 3.1 to MannKind’s Current Report on Form 8-K (File No. 000-50865), filed with the SEC on May 27, 2020).</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4"/>
                <w:szCs w:val="24"/>
                <w:color w:val="auto"/>
              </w:rPr>
            </w:pPr>
          </w:p>
        </w:tc>
        <w:tc>
          <w:tcPr>
            <w:tcW w:w="9560" w:type="dxa"/>
            <w:vAlign w:val="bottom"/>
            <w:tcBorders>
              <w:bottom w:val="single" w:sz="8" w:color="0000EE"/>
            </w:tcBorders>
            <w:gridSpan w:val="30"/>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Amended and Restated Bylaws (incorporated by reference to Exhibit 3.2 to MannKind’s Current Report on Form 8-K (File No. 000-</w:t>
              </w:r>
            </w:hyperlink>
          </w:p>
        </w:tc>
        <w:tc>
          <w:tcPr>
            <w:tcW w:w="4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50865)</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 xml:space="preserve"> filed with the SEC on May 27, 2020).</w:t>
              </w:r>
            </w:hyperlink>
          </w:p>
        </w:tc>
        <w:tc>
          <w:tcPr>
            <w:tcW w:w="66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9980" w:type="dxa"/>
            <w:vAlign w:val="bottom"/>
            <w:gridSpan w:val="37"/>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92">
              <w:r>
                <w:rPr>
                  <w:rFonts w:ascii="Arial" w:cs="Arial" w:eastAsia="Arial" w:hAnsi="Arial"/>
                  <w:sz w:val="18"/>
                  <w:szCs w:val="18"/>
                  <w:color w:val="0000EE"/>
                </w:rPr>
                <w:t>3.1</w:t>
              </w:r>
            </w:hyperlink>
            <w:r>
              <w:rPr>
                <w:rFonts w:ascii="Arial" w:cs="Arial" w:eastAsia="Arial" w:hAnsi="Arial"/>
                <w:sz w:val="18"/>
                <w:szCs w:val="18"/>
                <w:color w:val="auto"/>
              </w:rPr>
              <w:t xml:space="preserve">, </w:t>
            </w:r>
            <w:hyperlink r:id="rId93">
              <w:r>
                <w:rPr>
                  <w:rFonts w:ascii="Arial" w:cs="Arial" w:eastAsia="Arial" w:hAnsi="Arial"/>
                  <w:sz w:val="18"/>
                  <w:szCs w:val="18"/>
                  <w:color w:val="0000EE"/>
                </w:rPr>
                <w:t>3.2</w:t>
              </w:r>
            </w:hyperlink>
            <w:r>
              <w:rPr>
                <w:rFonts w:ascii="Arial" w:cs="Arial" w:eastAsia="Arial" w:hAnsi="Arial"/>
                <w:sz w:val="18"/>
                <w:szCs w:val="18"/>
                <w:color w:val="auto"/>
              </w:rPr>
              <w:t xml:space="preserve">, </w:t>
            </w:r>
            <w:hyperlink r:id="rId94">
              <w:r>
                <w:rPr>
                  <w:rFonts w:ascii="Arial" w:cs="Arial" w:eastAsia="Arial" w:hAnsi="Arial"/>
                  <w:sz w:val="18"/>
                  <w:szCs w:val="18"/>
                  <w:color w:val="0000EE"/>
                </w:rPr>
                <w:t>3.3</w:t>
              </w:r>
            </w:hyperlink>
            <w:r>
              <w:rPr>
                <w:rFonts w:ascii="Arial" w:cs="Arial" w:eastAsia="Arial" w:hAnsi="Arial"/>
                <w:sz w:val="18"/>
                <w:szCs w:val="18"/>
                <w:color w:val="auto"/>
              </w:rPr>
              <w:t xml:space="preserve">, </w:t>
            </w:r>
            <w:hyperlink r:id="rId95">
              <w:r>
                <w:rPr>
                  <w:rFonts w:ascii="Arial" w:cs="Arial" w:eastAsia="Arial" w:hAnsi="Arial"/>
                  <w:sz w:val="18"/>
                  <w:szCs w:val="18"/>
                  <w:color w:val="0000EE"/>
                </w:rPr>
                <w:t>3.4</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96">
              <w:r>
                <w:rPr>
                  <w:rFonts w:ascii="Arial" w:cs="Arial" w:eastAsia="Arial" w:hAnsi="Arial"/>
                  <w:sz w:val="18"/>
                  <w:szCs w:val="18"/>
                  <w:color w:val="0000EE"/>
                </w:rPr>
                <w:t>3.5</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9820" w:type="dxa"/>
            <w:vAlign w:val="bottom"/>
            <w:tcBorders>
              <w:bottom w:val="single" w:sz="8" w:color="0000EE"/>
            </w:tcBorders>
            <w:gridSpan w:val="34"/>
          </w:tcPr>
          <w:p>
            <w:pPr>
              <w:spacing w:after="0"/>
              <w:rPr>
                <w:rFonts w:ascii="Arial" w:cs="Arial" w:eastAsia="Arial" w:hAnsi="Arial"/>
                <w:sz w:val="18"/>
                <w:szCs w:val="18"/>
                <w:color w:val="0000EE"/>
                <w:w w:val="92"/>
              </w:rPr>
            </w:pPr>
            <w:hyperlink r:id="rId97">
              <w:r>
                <w:rPr>
                  <w:rFonts w:ascii="Arial" w:cs="Arial" w:eastAsia="Arial" w:hAnsi="Arial"/>
                  <w:sz w:val="18"/>
                  <w:szCs w:val="18"/>
                  <w:color w:val="0000EE"/>
                  <w:w w:val="92"/>
                </w:rPr>
                <w:t>Form of common stock certificate (incorporated by reference to Exhibit 4.2 to MannKind’s Annual Report on Form 10-K (File No. 000-</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50865)</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 xml:space="preserve"> filed with the SEC on March 16, 2017).</w:t>
              </w:r>
            </w:hyperlink>
          </w:p>
        </w:tc>
        <w:tc>
          <w:tcPr>
            <w:tcW w:w="65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9980" w:type="dxa"/>
            <w:vAlign w:val="bottom"/>
            <w:gridSpan w:val="37"/>
          </w:tcPr>
          <w:p>
            <w:pPr>
              <w:spacing w:after="0"/>
              <w:rPr>
                <w:rFonts w:ascii="Arial" w:cs="Arial" w:eastAsia="Arial" w:hAnsi="Arial"/>
                <w:sz w:val="18"/>
                <w:szCs w:val="18"/>
                <w:color w:val="0000EE"/>
                <w:w w:val="93"/>
              </w:rPr>
            </w:pPr>
            <w:hyperlink r:id="rId98">
              <w:r>
                <w:rPr>
                  <w:rFonts w:ascii="Arial" w:cs="Arial" w:eastAsia="Arial" w:hAnsi="Arial"/>
                  <w:sz w:val="18"/>
                  <w:szCs w:val="18"/>
                  <w:color w:val="0000EE"/>
                  <w:w w:val="93"/>
                </w:rPr>
                <w:t>Milestone Rights Purchase Agreement, dated as of July 1, 2013, by and among MannKind, Deerfield Private Design Fund II, L.P. and</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3"/>
              </w:rPr>
            </w:pPr>
            <w:hyperlink r:id="rId98">
              <w:r>
                <w:rPr>
                  <w:rFonts w:ascii="Arial" w:cs="Arial" w:eastAsia="Arial" w:hAnsi="Arial"/>
                  <w:sz w:val="18"/>
                  <w:szCs w:val="18"/>
                  <w:color w:val="0000EE"/>
                  <w:w w:val="93"/>
                </w:rPr>
                <w:t>Horizon Santé FLML SÁRL (incorporated by reference to Exhibit 99.3 to MannKind’s Current Report on Form 8-K (File No. 000-</w:t>
              </w:r>
            </w:hyperlink>
          </w:p>
        </w:tc>
        <w:tc>
          <w:tcPr>
            <w:tcW w:w="180" w:type="dxa"/>
            <w:vAlign w:val="bottom"/>
            <w:tcBorders>
              <w:top w:val="single" w:sz="8" w:color="0000EE"/>
            </w:tcBorders>
            <w:gridSpan w:val="5"/>
          </w:tcPr>
          <w:p>
            <w:pPr>
              <w:spacing w:after="0"/>
              <w:rPr>
                <w:sz w:val="17"/>
                <w:szCs w:val="17"/>
                <w:color w:val="auto"/>
              </w:rPr>
            </w:pPr>
          </w:p>
        </w:tc>
        <w:tc>
          <w:tcPr>
            <w:tcW w:w="3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50865)</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with the SEC on July 1, 2013).</w:t>
              </w:r>
            </w:hyperlink>
          </w:p>
        </w:tc>
        <w:tc>
          <w:tcPr>
            <w:tcW w:w="678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9540" w:type="dxa"/>
            <w:vAlign w:val="bottom"/>
            <w:tcBorders>
              <w:bottom w:val="single" w:sz="8" w:color="0000EE"/>
            </w:tcBorders>
            <w:gridSpan w:val="29"/>
          </w:tcPr>
          <w:p>
            <w:pPr>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Form of Warrant to Purchase Stock issued to MidCap Financial Trust on August 6, 2019 (incorporated by reference to Exhibit 4.1 to</w:t>
              </w:r>
            </w:hyperlink>
          </w:p>
        </w:tc>
        <w:tc>
          <w:tcPr>
            <w:tcW w:w="4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37"/>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MannKind’s Current Report on Form 8-K (File No. 000-50865), filed with the SEC on August 7, 2019).</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gridSpan w:val="9"/>
            <w:shd w:val="clear" w:color="auto" w:fill="0000EE"/>
          </w:tcPr>
          <w:p>
            <w:pPr>
              <w:spacing w:after="0" w:line="20" w:lineRule="exact"/>
              <w:rPr>
                <w:sz w:val="1"/>
                <w:szCs w:val="1"/>
                <w:color w:val="auto"/>
              </w:rPr>
            </w:pPr>
          </w:p>
        </w:tc>
        <w:tc>
          <w:tcPr>
            <w:tcW w:w="3140" w:type="dxa"/>
            <w:vAlign w:val="bottom"/>
            <w:gridSpan w:val="5"/>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9600" w:type="dxa"/>
            <w:vAlign w:val="bottom"/>
            <w:tcBorders>
              <w:bottom w:val="single" w:sz="8" w:color="0000EE"/>
            </w:tcBorders>
            <w:gridSpan w:val="31"/>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Form of 5.75% Convertible Senior Subordinated Exchange Notes Due 2024 (incorporated by reference to Exhibit 4.2 to MannKind’s</w:t>
              </w:r>
            </w:hyperlink>
          </w:p>
        </w:tc>
        <w:tc>
          <w:tcPr>
            <w:tcW w:w="3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37"/>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Current Report on Form 8-K (File No. 000-50865), filed with the SEC on August 7, 2019).</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gridSpan w:val="9"/>
            <w:shd w:val="clear" w:color="auto" w:fill="0000EE"/>
          </w:tcPr>
          <w:p>
            <w:pPr>
              <w:spacing w:after="0" w:line="20" w:lineRule="exact"/>
              <w:rPr>
                <w:sz w:val="1"/>
                <w:szCs w:val="1"/>
                <w:color w:val="auto"/>
              </w:rPr>
            </w:pPr>
          </w:p>
        </w:tc>
        <w:tc>
          <w:tcPr>
            <w:tcW w:w="3140" w:type="dxa"/>
            <w:vAlign w:val="bottom"/>
            <w:gridSpan w:val="5"/>
            <w:shd w:val="clear" w:color="auto" w:fill="0000EE"/>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4"/>
                <w:szCs w:val="24"/>
                <w:color w:val="auto"/>
              </w:rPr>
            </w:pPr>
          </w:p>
        </w:tc>
        <w:tc>
          <w:tcPr>
            <w:tcW w:w="9980" w:type="dxa"/>
            <w:vAlign w:val="bottom"/>
            <w:gridSpan w:val="37"/>
          </w:tcPr>
          <w:p>
            <w:pPr>
              <w:spacing w:after="0"/>
              <w:rPr>
                <w:rFonts w:ascii="Arial" w:cs="Arial" w:eastAsia="Arial" w:hAnsi="Arial"/>
                <w:sz w:val="18"/>
                <w:szCs w:val="18"/>
                <w:color w:val="0000EE"/>
                <w:w w:val="95"/>
              </w:rPr>
            </w:pPr>
            <w:hyperlink r:id="rId100">
              <w:r>
                <w:rPr>
                  <w:rFonts w:ascii="Arial" w:cs="Arial" w:eastAsia="Arial" w:hAnsi="Arial"/>
                  <w:sz w:val="18"/>
                  <w:szCs w:val="18"/>
                  <w:color w:val="0000EE"/>
                  <w:w w:val="95"/>
                </w:rPr>
                <w:t>Indenture, dated as of August 6, 2019, by and between MannKind Corporation and U.S. Bank National Association (incorporated by</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reference to Exhibit 4.3 to MannKind’s Current Report on Form 8-K (File No. 000-50865), filed with the SEC on August 7, 2019).</w:t>
              </w:r>
            </w:hyperlink>
          </w:p>
        </w:tc>
        <w:tc>
          <w:tcPr>
            <w:tcW w:w="80" w:type="dxa"/>
            <w:vAlign w:val="bottom"/>
            <w:tcBorders>
              <w:top w:val="single" w:sz="8" w:color="0000EE"/>
            </w:tcBorders>
            <w:gridSpan w:val="2"/>
          </w:tcPr>
          <w:p>
            <w:pPr>
              <w:spacing w:after="0"/>
              <w:rPr>
                <w:sz w:val="17"/>
                <w:szCs w:val="17"/>
                <w:color w:val="auto"/>
              </w:rPr>
            </w:pPr>
          </w:p>
        </w:tc>
        <w:tc>
          <w:tcPr>
            <w:tcW w:w="4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9980" w:type="dxa"/>
            <w:vAlign w:val="bottom"/>
            <w:gridSpan w:val="37"/>
          </w:tcPr>
          <w:p>
            <w:pPr>
              <w:spacing w:after="0"/>
              <w:rPr>
                <w:rFonts w:ascii="Arial" w:cs="Arial" w:eastAsia="Arial" w:hAnsi="Arial"/>
                <w:sz w:val="18"/>
                <w:szCs w:val="18"/>
                <w:color w:val="0000EE"/>
                <w:w w:val="93"/>
              </w:rPr>
            </w:pPr>
            <w:hyperlink r:id="rId101">
              <w:r>
                <w:rPr>
                  <w:rFonts w:ascii="Arial" w:cs="Arial" w:eastAsia="Arial" w:hAnsi="Arial"/>
                  <w:sz w:val="18"/>
                  <w:szCs w:val="18"/>
                  <w:color w:val="0000EE"/>
                  <w:w w:val="93"/>
                </w:rPr>
                <w:t>Convertible Promissory Note made by MannKind Corporation in favor of The Mann Group LLC, dated August 6, 2019 (incorporated by</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reference to Exhibit 4.6 to MannKind’s Current Report on Form 8-K (File No. 000-50865), filed with the SEC on August 7, 2019).</w:t>
              </w:r>
            </w:hyperlink>
          </w:p>
        </w:tc>
        <w:tc>
          <w:tcPr>
            <w:tcW w:w="380" w:type="dxa"/>
            <w:vAlign w:val="bottom"/>
            <w:tcBorders>
              <w:top w:val="single" w:sz="8" w:color="0000EE"/>
            </w:tcBorders>
            <w:gridSpan w:val="7"/>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9980" w:type="dxa"/>
            <w:vAlign w:val="bottom"/>
            <w:gridSpan w:val="37"/>
          </w:tcPr>
          <w:p>
            <w:pPr>
              <w:spacing w:after="0"/>
              <w:rPr>
                <w:rFonts w:ascii="Arial" w:cs="Arial" w:eastAsia="Arial" w:hAnsi="Arial"/>
                <w:sz w:val="18"/>
                <w:szCs w:val="18"/>
                <w:color w:val="0000EE"/>
                <w:w w:val="92"/>
              </w:rPr>
            </w:pPr>
            <w:hyperlink r:id="rId102">
              <w:r>
                <w:rPr>
                  <w:rFonts w:ascii="Arial" w:cs="Arial" w:eastAsia="Arial" w:hAnsi="Arial"/>
                  <w:sz w:val="18"/>
                  <w:szCs w:val="18"/>
                  <w:color w:val="0000EE"/>
                  <w:w w:val="92"/>
                </w:rPr>
                <w:t>Promissory Note made by MannKind Corporation in favor of The Mann Group LLC, dated August 6, 2019 (incorporated by reference to</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8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3"/>
              </w:rPr>
            </w:pPr>
            <w:hyperlink r:id="rId102">
              <w:r>
                <w:rPr>
                  <w:rFonts w:ascii="Arial" w:cs="Arial" w:eastAsia="Arial" w:hAnsi="Arial"/>
                  <w:sz w:val="18"/>
                  <w:szCs w:val="18"/>
                  <w:color w:val="0000EE"/>
                  <w:w w:val="93"/>
                </w:rPr>
                <w:t>Exhibit 4.7 to MannKind’s Current Report on Form 8-K (File No. 000-50865), filed with the SEC on August 7, 2019).</w:t>
              </w:r>
            </w:hyperlink>
          </w:p>
        </w:tc>
        <w:tc>
          <w:tcPr>
            <w:tcW w:w="1280" w:type="dxa"/>
            <w:vAlign w:val="bottom"/>
            <w:tcBorders>
              <w:top w:val="single" w:sz="8" w:color="0000EE"/>
            </w:tcBorders>
            <w:gridSpan w:val="13"/>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4"/>
                <w:szCs w:val="24"/>
                <w:color w:val="auto"/>
              </w:rPr>
            </w:pPr>
          </w:p>
        </w:tc>
        <w:tc>
          <w:tcPr>
            <w:tcW w:w="9340" w:type="dxa"/>
            <w:vAlign w:val="bottom"/>
            <w:tcBorders>
              <w:bottom w:val="single" w:sz="8" w:color="0000EE"/>
            </w:tcBorders>
            <w:gridSpan w:val="26"/>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Promissory Note, dated April 9, 2020, by and between MannKind Corporation and JPMorgan Chase Bank, N.A. (incorporated by</w:t>
              </w:r>
            </w:hyperlink>
          </w:p>
        </w:tc>
        <w:tc>
          <w:tcPr>
            <w:tcW w:w="6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37"/>
          </w:tcPr>
          <w:p>
            <w:pPr>
              <w:spacing w:after="0" w:line="196" w:lineRule="exact"/>
              <w:rPr>
                <w:rFonts w:ascii="Arial" w:cs="Arial" w:eastAsia="Arial" w:hAnsi="Arial"/>
                <w:sz w:val="18"/>
                <w:szCs w:val="18"/>
                <w:color w:val="0000EE"/>
                <w:w w:val="97"/>
              </w:rPr>
            </w:pPr>
            <w:hyperlink r:id="rId103">
              <w:r>
                <w:rPr>
                  <w:rFonts w:ascii="Arial" w:cs="Arial" w:eastAsia="Arial" w:hAnsi="Arial"/>
                  <w:sz w:val="18"/>
                  <w:szCs w:val="18"/>
                  <w:color w:val="0000EE"/>
                  <w:w w:val="97"/>
                </w:rPr>
                <w:t>reference to Exhibit 99.1 to MannKind’s Current Report on Form 8-K (File No. 000-50865), filed with the SEC on April 15, 2020)</w:t>
              </w:r>
            </w:hyperlink>
            <w:r>
              <w:rPr>
                <w:rFonts w:ascii="Arial" w:cs="Arial" w:eastAsia="Arial" w:hAnsi="Arial"/>
                <w:sz w:val="18"/>
                <w:szCs w:val="18"/>
                <w:color w:val="000000"/>
                <w:w w:val="97"/>
              </w:rPr>
              <w:t>.</w:t>
            </w:r>
          </w:p>
        </w:tc>
        <w:tc>
          <w:tcPr>
            <w:tcW w:w="0" w:type="dxa"/>
            <w:vAlign w:val="bottom"/>
          </w:tcPr>
          <w:p>
            <w:pPr>
              <w:spacing w:after="0"/>
              <w:rPr>
                <w:sz w:val="1"/>
                <w:szCs w:val="1"/>
                <w:color w:val="auto"/>
              </w:rPr>
            </w:pPr>
          </w:p>
        </w:tc>
      </w:tr>
      <w:tr>
        <w:trPr>
          <w:trHeight w:val="318"/>
        </w:trPr>
        <w:tc>
          <w:tcPr>
            <w:tcW w:w="1120" w:type="dxa"/>
            <w:vAlign w:val="bottom"/>
          </w:tcPr>
          <w:p>
            <w:pPr>
              <w:jc w:val="right"/>
              <w:ind w:right="532"/>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24"/>
                <w:szCs w:val="24"/>
                <w:color w:val="auto"/>
              </w:rPr>
            </w:pPr>
          </w:p>
        </w:tc>
        <w:tc>
          <w:tcPr>
            <w:tcW w:w="9100" w:type="dxa"/>
            <w:vAlign w:val="bottom"/>
            <w:tcBorders>
              <w:top w:val="single" w:sz="8" w:color="0000EE"/>
              <w:bottom w:val="single" w:sz="8" w:color="0000EE"/>
            </w:tcBorders>
            <w:gridSpan w:val="24"/>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Indenture, dated as of March 4, 2021, by and between MannKind Corporation and U.S. Bank National Association, as Trustee</w:t>
              </w:r>
            </w:hyperlink>
          </w:p>
        </w:tc>
        <w:tc>
          <w:tcPr>
            <w:tcW w:w="360" w:type="dxa"/>
            <w:vAlign w:val="bottom"/>
            <w:tcBorders>
              <w:top w:val="single" w:sz="8" w:color="0000EE"/>
            </w:tcBorders>
            <w:gridSpan w:val="3"/>
          </w:tcPr>
          <w:p>
            <w:pPr>
              <w:spacing w:after="0"/>
              <w:rPr>
                <w:sz w:val="24"/>
                <w:szCs w:val="24"/>
                <w:color w:val="auto"/>
              </w:rPr>
            </w:pPr>
          </w:p>
        </w:tc>
        <w:tc>
          <w:tcPr>
            <w:tcW w:w="5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980" w:type="dxa"/>
            <w:vAlign w:val="bottom"/>
            <w:gridSpan w:val="37"/>
          </w:tcPr>
          <w:p>
            <w:pPr>
              <w:spacing w:after="0"/>
              <w:rPr>
                <w:sz w:val="20"/>
                <w:szCs w:val="20"/>
                <w:color w:val="auto"/>
              </w:rPr>
            </w:pPr>
            <w:r>
              <w:rPr>
                <w:rFonts w:ascii="Arial" w:cs="Arial" w:eastAsia="Arial" w:hAnsi="Arial"/>
                <w:sz w:val="18"/>
                <w:szCs w:val="18"/>
                <w:color w:val="auto"/>
                <w:w w:val="93"/>
              </w:rPr>
              <w:t>(incorporated by reference to Exhibit 4.1 to MannKind’s Current Report on Form 8-K (File No. 000-50865), filed with the SEC on March</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260" w:type="dxa"/>
            <w:vAlign w:val="bottom"/>
            <w:gridSpan w:val="4"/>
          </w:tcPr>
          <w:p>
            <w:pPr>
              <w:ind w:left="140"/>
              <w:spacing w:after="0"/>
              <w:rPr>
                <w:sz w:val="20"/>
                <w:szCs w:val="20"/>
                <w:color w:val="auto"/>
              </w:rPr>
            </w:pPr>
            <w:r>
              <w:rPr>
                <w:rFonts w:ascii="Arial" w:cs="Arial" w:eastAsia="Arial" w:hAnsi="Arial"/>
                <w:sz w:val="18"/>
                <w:szCs w:val="18"/>
                <w:color w:val="auto"/>
              </w:rPr>
              <w:t>5, 2021).</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20" w:type="dxa"/>
            <w:vAlign w:val="bottom"/>
          </w:tcPr>
          <w:p>
            <w:pPr>
              <w:jc w:val="right"/>
              <w:ind w:right="532"/>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24"/>
                <w:szCs w:val="24"/>
                <w:color w:val="auto"/>
              </w:rPr>
            </w:pPr>
          </w:p>
        </w:tc>
        <w:tc>
          <w:tcPr>
            <w:tcW w:w="9980" w:type="dxa"/>
            <w:vAlign w:val="bottom"/>
            <w:gridSpan w:val="37"/>
          </w:tcPr>
          <w:p>
            <w:pPr>
              <w:spacing w:after="0"/>
              <w:rPr>
                <w:rFonts w:ascii="Arial" w:cs="Arial" w:eastAsia="Arial" w:hAnsi="Arial"/>
                <w:sz w:val="18"/>
                <w:szCs w:val="18"/>
                <w:color w:val="0000EE"/>
                <w:w w:val="95"/>
              </w:rPr>
            </w:pPr>
            <w:hyperlink r:id="rId105">
              <w:r>
                <w:rPr>
                  <w:rFonts w:ascii="Arial" w:cs="Arial" w:eastAsia="Arial" w:hAnsi="Arial"/>
                  <w:sz w:val="18"/>
                  <w:szCs w:val="18"/>
                  <w:color w:val="0000EE"/>
                  <w:w w:val="95"/>
                </w:rPr>
                <w:t>Form of Global Note, representing MannKind Corporation’s 2.50% Convertible Senior Notes due 2026 (included as Exhibit A to the</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tcBorders>
              <w:top w:val="single" w:sz="8" w:color="0000EE"/>
            </w:tcBorders>
            <w:gridSpan w:val="30"/>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 xml:space="preserve">Indenture filed as Exhibit 4.15) </w:t>
              </w:r>
              <w:r>
                <w:rPr>
                  <w:rFonts w:ascii="Arial" w:cs="Arial" w:eastAsia="Arial" w:hAnsi="Arial"/>
                  <w:sz w:val="18"/>
                  <w:szCs w:val="18"/>
                  <w:color w:val="000000"/>
                  <w:w w:val="92"/>
                </w:rPr>
                <w:t>(incorporated by reference to Exhibit 4.2 to MannKind’s Current Report on Form 8-K (File No. 000-</w:t>
              </w:r>
            </w:hyperlink>
          </w:p>
        </w:tc>
        <w:tc>
          <w:tcPr>
            <w:tcW w:w="4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6080" w:type="dxa"/>
            <w:vAlign w:val="bottom"/>
            <w:gridSpan w:val="1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80" w:type="dxa"/>
            <w:vAlign w:val="bottom"/>
            <w:gridSpan w:val="37"/>
          </w:tcPr>
          <w:p>
            <w:pPr>
              <w:spacing w:after="0"/>
              <w:rPr>
                <w:sz w:val="20"/>
                <w:szCs w:val="20"/>
                <w:color w:val="auto"/>
              </w:rPr>
            </w:pPr>
            <w:r>
              <w:rPr>
                <w:rFonts w:ascii="Arial" w:cs="Arial" w:eastAsia="Arial" w:hAnsi="Arial"/>
                <w:sz w:val="18"/>
                <w:szCs w:val="18"/>
                <w:color w:val="auto"/>
              </w:rPr>
              <w:t>50865), filed with the SEC on March 5, 2021).</w:t>
            </w:r>
          </w:p>
        </w:tc>
        <w:tc>
          <w:tcPr>
            <w:tcW w:w="0" w:type="dxa"/>
            <w:vAlign w:val="bottom"/>
          </w:tcPr>
          <w:p>
            <w:pPr>
              <w:spacing w:after="0"/>
              <w:rPr>
                <w:sz w:val="1"/>
                <w:szCs w:val="1"/>
                <w:color w:val="auto"/>
              </w:rPr>
            </w:pPr>
          </w:p>
        </w:tc>
      </w:tr>
      <w:tr>
        <w:trPr>
          <w:trHeight w:val="297"/>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9540" w:type="dxa"/>
            <w:vAlign w:val="bottom"/>
            <w:tcBorders>
              <w:bottom w:val="single" w:sz="8" w:color="0000EE"/>
            </w:tcBorders>
            <w:gridSpan w:val="29"/>
          </w:tcPr>
          <w:p>
            <w:pPr>
              <w:spacing w:after="0"/>
              <w:rPr>
                <w:rFonts w:ascii="Arial" w:cs="Arial" w:eastAsia="Arial" w:hAnsi="Arial"/>
                <w:sz w:val="18"/>
                <w:szCs w:val="18"/>
                <w:color w:val="0000EE"/>
                <w:w w:val="92"/>
              </w:rPr>
            </w:pPr>
            <w:hyperlink r:id="rId106">
              <w:r>
                <w:rPr>
                  <w:rFonts w:ascii="Arial" w:cs="Arial" w:eastAsia="Arial" w:hAnsi="Arial"/>
                  <w:sz w:val="18"/>
                  <w:szCs w:val="18"/>
                  <w:color w:val="0000EE"/>
                  <w:w w:val="92"/>
                </w:rPr>
                <w:t>Amendment No. 7 to Credit and Security Agreement, dated April 22, 2021, by and among MannKind Corporation, MannKind LLC,</w:t>
              </w:r>
            </w:hyperlink>
          </w:p>
        </w:tc>
        <w:tc>
          <w:tcPr>
            <w:tcW w:w="4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37"/>
          </w:tcPr>
          <w:p>
            <w:pPr>
              <w:spacing w:after="0" w:line="196" w:lineRule="exact"/>
              <w:rPr>
                <w:rFonts w:ascii="Arial" w:cs="Arial" w:eastAsia="Arial" w:hAnsi="Arial"/>
                <w:sz w:val="18"/>
                <w:szCs w:val="18"/>
                <w:color w:val="0000EE"/>
                <w:w w:val="93"/>
              </w:rPr>
            </w:pPr>
            <w:hyperlink r:id="rId106">
              <w:r>
                <w:rPr>
                  <w:rFonts w:ascii="Arial" w:cs="Arial" w:eastAsia="Arial" w:hAnsi="Arial"/>
                  <w:sz w:val="18"/>
                  <w:szCs w:val="18"/>
                  <w:color w:val="0000EE"/>
                  <w:w w:val="93"/>
                </w:rPr>
                <w:t xml:space="preserve">QrumPharma, Inc., and MidCap Financial Trust </w:t>
              </w:r>
              <w:r>
                <w:rPr>
                  <w:rFonts w:ascii="Arial" w:cs="Arial" w:eastAsia="Arial" w:hAnsi="Arial"/>
                  <w:sz w:val="18"/>
                  <w:szCs w:val="18"/>
                  <w:color w:val="000000"/>
                  <w:w w:val="93"/>
                </w:rPr>
                <w:t xml:space="preserve">(incorporated by reference to Exhibit 99.1 to MannKind’s Current Report on Form </w:t>
              </w:r>
            </w:hyperlink>
            <w:r>
              <w:rPr>
                <w:rFonts w:ascii="Arial" w:cs="Arial" w:eastAsia="Arial" w:hAnsi="Arial"/>
                <w:sz w:val="18"/>
                <w:szCs w:val="18"/>
                <w:color w:val="0000EE"/>
                <w:w w:val="93"/>
              </w:rPr>
              <w:t>8</w:t>
            </w:r>
            <w:r>
              <w:rPr>
                <w:rFonts w:ascii="Arial" w:cs="Arial" w:eastAsia="Arial" w:hAnsi="Arial"/>
                <w:sz w:val="18"/>
                <w:szCs w:val="18"/>
                <w:color w:val="000000"/>
                <w:w w:val="93"/>
              </w:rPr>
              <w:t>-K</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340" w:type="dxa"/>
            <w:vAlign w:val="bottom"/>
            <w:gridSpan w:val="10"/>
            <w:shd w:val="clear" w:color="auto" w:fill="0000EE"/>
          </w:tcPr>
          <w:p>
            <w:pPr>
              <w:spacing w:after="0" w:line="20" w:lineRule="exact"/>
              <w:rPr>
                <w:sz w:val="1"/>
                <w:szCs w:val="1"/>
                <w:color w:val="auto"/>
              </w:rPr>
            </w:pPr>
          </w:p>
        </w:tc>
        <w:tc>
          <w:tcPr>
            <w:tcW w:w="6340" w:type="dxa"/>
            <w:vAlign w:val="bottom"/>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80" w:type="dxa"/>
            <w:vAlign w:val="bottom"/>
            <w:gridSpan w:val="37"/>
          </w:tcPr>
          <w:p>
            <w:pPr>
              <w:spacing w:after="0"/>
              <w:rPr>
                <w:sz w:val="20"/>
                <w:szCs w:val="20"/>
                <w:color w:val="auto"/>
              </w:rPr>
            </w:pPr>
            <w:r>
              <w:rPr>
                <w:rFonts w:ascii="Arial" w:cs="Arial" w:eastAsia="Arial" w:hAnsi="Arial"/>
                <w:sz w:val="18"/>
                <w:szCs w:val="18"/>
                <w:color w:val="auto"/>
              </w:rPr>
              <w:t>(File No. 000-50865), filed with the SEC on April 26, 2021).</w:t>
            </w:r>
          </w:p>
        </w:tc>
        <w:tc>
          <w:tcPr>
            <w:tcW w:w="0" w:type="dxa"/>
            <w:vAlign w:val="bottom"/>
          </w:tcPr>
          <w:p>
            <w:pPr>
              <w:spacing w:after="0"/>
              <w:rPr>
                <w:sz w:val="1"/>
                <w:szCs w:val="1"/>
                <w:color w:val="auto"/>
              </w:rPr>
            </w:pPr>
          </w:p>
        </w:tc>
      </w:tr>
      <w:tr>
        <w:trPr>
          <w:trHeight w:val="297"/>
        </w:trPr>
        <w:tc>
          <w:tcPr>
            <w:tcW w:w="1120" w:type="dxa"/>
            <w:vAlign w:val="bottom"/>
          </w:tcPr>
          <w:p>
            <w:pPr>
              <w:jc w:val="right"/>
              <w:ind w:right="612"/>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9820" w:type="dxa"/>
            <w:vAlign w:val="bottom"/>
            <w:tcBorders>
              <w:bottom w:val="single" w:sz="8" w:color="0000EE"/>
            </w:tcBorders>
            <w:gridSpan w:val="34"/>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Amendment No. 1 to Convertible Promissory Note, dated April 22, 2021, by and between MannKind Corporation and The Mann Group</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37"/>
          </w:tcPr>
          <w:p>
            <w:pPr>
              <w:spacing w:after="0" w:line="196" w:lineRule="exact"/>
              <w:rPr>
                <w:rFonts w:ascii="Arial" w:cs="Arial" w:eastAsia="Arial" w:hAnsi="Arial"/>
                <w:sz w:val="18"/>
                <w:szCs w:val="18"/>
                <w:color w:val="0000EE"/>
                <w:w w:val="93"/>
              </w:rPr>
            </w:pPr>
            <w:hyperlink r:id="rId107">
              <w:r>
                <w:rPr>
                  <w:rFonts w:ascii="Arial" w:cs="Arial" w:eastAsia="Arial" w:hAnsi="Arial"/>
                  <w:sz w:val="18"/>
                  <w:szCs w:val="18"/>
                  <w:color w:val="0000EE"/>
                  <w:w w:val="93"/>
                </w:rPr>
                <w:t xml:space="preserve">LLC </w:t>
              </w:r>
              <w:r>
                <w:rPr>
                  <w:rFonts w:ascii="Arial" w:cs="Arial" w:eastAsia="Arial" w:hAnsi="Arial"/>
                  <w:sz w:val="18"/>
                  <w:szCs w:val="18"/>
                  <w:color w:val="000000"/>
                  <w:w w:val="93"/>
                </w:rPr>
                <w:t>(incorporated by reference to Exhibit 99.2 to MannKind’s Current Report on Form 8-K (File No. 000-50865), filed with the SEC on</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80" w:type="dxa"/>
            <w:vAlign w:val="bottom"/>
            <w:gridSpan w:val="3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80" w:type="dxa"/>
            <w:vAlign w:val="bottom"/>
            <w:gridSpan w:val="37"/>
          </w:tcPr>
          <w:p>
            <w:pPr>
              <w:spacing w:after="0"/>
              <w:rPr>
                <w:sz w:val="20"/>
                <w:szCs w:val="20"/>
                <w:color w:val="auto"/>
              </w:rPr>
            </w:pPr>
            <w:r>
              <w:rPr>
                <w:rFonts w:ascii="Arial" w:cs="Arial" w:eastAsia="Arial" w:hAnsi="Arial"/>
                <w:sz w:val="18"/>
                <w:szCs w:val="18"/>
                <w:color w:val="auto"/>
              </w:rPr>
              <w:t>April 26, 2021).</w:t>
            </w:r>
          </w:p>
        </w:tc>
        <w:tc>
          <w:tcPr>
            <w:tcW w:w="0" w:type="dxa"/>
            <w:vAlign w:val="bottom"/>
          </w:tcPr>
          <w:p>
            <w:pPr>
              <w:spacing w:after="0"/>
              <w:rPr>
                <w:sz w:val="1"/>
                <w:szCs w:val="1"/>
                <w:color w:val="auto"/>
              </w:rPr>
            </w:pPr>
          </w:p>
        </w:tc>
      </w:tr>
      <w:tr>
        <w:trPr>
          <w:trHeight w:val="297"/>
        </w:trPr>
        <w:tc>
          <w:tcPr>
            <w:tcW w:w="1120" w:type="dxa"/>
            <w:vAlign w:val="bottom"/>
          </w:tcPr>
          <w:p>
            <w:pPr>
              <w:jc w:val="right"/>
              <w:ind w:right="532"/>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9800" w:type="dxa"/>
            <w:vAlign w:val="bottom"/>
            <w:tcBorders>
              <w:bottom w:val="single" w:sz="8" w:color="0000EE"/>
            </w:tcBorders>
            <w:gridSpan w:val="33"/>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Sixth Amendment to Supply Agreement, dated May 24, 2021, by and between MannKind Corporation and Amphastar Pharmaceuticals,</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37"/>
          </w:tcPr>
          <w:p>
            <w:pPr>
              <w:spacing w:after="0" w:line="196" w:lineRule="exact"/>
              <w:rPr>
                <w:rFonts w:ascii="Arial" w:cs="Arial" w:eastAsia="Arial" w:hAnsi="Arial"/>
                <w:sz w:val="18"/>
                <w:szCs w:val="18"/>
                <w:color w:val="0000EE"/>
                <w:w w:val="94"/>
              </w:rPr>
            </w:pPr>
            <w:hyperlink r:id="rId108">
              <w:r>
                <w:rPr>
                  <w:rFonts w:ascii="Arial" w:cs="Arial" w:eastAsia="Arial" w:hAnsi="Arial"/>
                  <w:sz w:val="18"/>
                  <w:szCs w:val="18"/>
                  <w:color w:val="0000EE"/>
                  <w:w w:val="94"/>
                </w:rPr>
                <w:t>Inc. (incorporated by reference to Exhibit 99.1 to MannKind’s Current Report on Form 8-K (File No. 000-50865), filed with the SEC on</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May 25, 2021).</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12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4180" w:type="dxa"/>
            <w:vAlign w:val="bottom"/>
            <w:gridSpan w:val="14"/>
          </w:tcPr>
          <w:p>
            <w:pPr>
              <w:jc w:val="right"/>
              <w:ind w:right="768"/>
              <w:spacing w:after="0"/>
              <w:rPr>
                <w:sz w:val="20"/>
                <w:szCs w:val="20"/>
                <w:color w:val="auto"/>
              </w:rPr>
            </w:pPr>
            <w:r>
              <w:rPr>
                <w:rFonts w:ascii="Arial" w:cs="Arial" w:eastAsia="Arial" w:hAnsi="Arial"/>
                <w:sz w:val="18"/>
                <w:szCs w:val="18"/>
                <w:color w:val="auto"/>
              </w:rPr>
              <w:t>69</w:t>
            </w: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1280" w:type="dxa"/>
            <w:vAlign w:val="bottom"/>
          </w:tcPr>
          <w:p>
            <w:pPr>
              <w:jc w:val="center"/>
              <w:ind w:right="735"/>
              <w:spacing w:after="0"/>
              <w:rPr>
                <w:sz w:val="20"/>
                <w:szCs w:val="20"/>
                <w:color w:val="auto"/>
              </w:rPr>
            </w:pPr>
            <w:r>
              <w:rPr>
                <w:rFonts w:ascii="Arial" w:cs="Arial" w:eastAsia="Arial" w:hAnsi="Arial"/>
                <w:sz w:val="14"/>
                <w:szCs w:val="14"/>
                <w:b w:val="1"/>
                <w:bCs w:val="1"/>
                <w:color w:val="auto"/>
                <w:w w:val="98"/>
              </w:rPr>
              <w:t>Exhibit</w:t>
            </w:r>
          </w:p>
        </w:tc>
        <w:tc>
          <w:tcPr>
            <w:tcW w:w="700" w:type="dxa"/>
            <w:vAlign w:val="bottom"/>
          </w:tcPr>
          <w:p>
            <w:pPr>
              <w:spacing w:after="0"/>
              <w:rPr>
                <w:sz w:val="14"/>
                <w:szCs w:val="14"/>
                <w:color w:val="auto"/>
              </w:rPr>
            </w:pPr>
          </w:p>
        </w:tc>
        <w:tc>
          <w:tcPr>
            <w:tcW w:w="9260" w:type="dxa"/>
            <w:vAlign w:val="bottom"/>
            <w:gridSpan w:val="7"/>
            <w:vMerge w:val="restart"/>
          </w:tcPr>
          <w:p>
            <w:pPr>
              <w:ind w:left="35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2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w w:val="94"/>
              </w:rPr>
              <w:t>Number</w:t>
            </w:r>
          </w:p>
        </w:tc>
        <w:tc>
          <w:tcPr>
            <w:tcW w:w="700" w:type="dxa"/>
            <w:vAlign w:val="bottom"/>
            <w:tcBorders>
              <w:bottom w:val="single" w:sz="8" w:color="auto"/>
            </w:tcBorders>
          </w:tcPr>
          <w:p>
            <w:pPr>
              <w:spacing w:after="0"/>
              <w:rPr>
                <w:sz w:val="14"/>
                <w:szCs w:val="14"/>
                <w:color w:val="auto"/>
              </w:rPr>
            </w:pPr>
          </w:p>
        </w:tc>
        <w:tc>
          <w:tcPr>
            <w:tcW w:w="926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jc w:val="center"/>
              <w:ind w:right="675"/>
              <w:spacing w:after="0" w:line="169" w:lineRule="exact"/>
              <w:rPr>
                <w:sz w:val="20"/>
                <w:szCs w:val="20"/>
                <w:color w:val="auto"/>
              </w:rPr>
            </w:pPr>
            <w:r>
              <w:rPr>
                <w:rFonts w:ascii="Arial" w:cs="Arial" w:eastAsia="Arial" w:hAnsi="Arial"/>
                <w:sz w:val="18"/>
                <w:szCs w:val="18"/>
                <w:color w:val="auto"/>
                <w:w w:val="91"/>
              </w:rPr>
              <w:t>31.1</w:t>
            </w:r>
          </w:p>
        </w:tc>
        <w:tc>
          <w:tcPr>
            <w:tcW w:w="9360" w:type="dxa"/>
            <w:vAlign w:val="bottom"/>
            <w:tcBorders>
              <w:bottom w:val="single" w:sz="8" w:color="0000EE"/>
            </w:tcBorders>
            <w:gridSpan w:val="6"/>
          </w:tcPr>
          <w:p>
            <w:pPr>
              <w:spacing w:after="0" w:line="169" w:lineRule="exact"/>
              <w:rPr>
                <w:rFonts w:ascii="Arial" w:cs="Arial" w:eastAsia="Arial" w:hAnsi="Arial"/>
                <w:sz w:val="18"/>
                <w:szCs w:val="18"/>
                <w:color w:val="0000EE"/>
                <w:w w:val="91"/>
              </w:rPr>
            </w:pPr>
            <w:hyperlink w:anchor="page74">
              <w:r>
                <w:rPr>
                  <w:rFonts w:ascii="Arial" w:cs="Arial" w:eastAsia="Arial" w:hAnsi="Arial"/>
                  <w:sz w:val="18"/>
                  <w:szCs w:val="18"/>
                  <w:color w:val="0000EE"/>
                  <w:w w:val="91"/>
                </w:rPr>
                <w:t>Certification of the Chief Executive Officer pursuant to Rules 13a-14(a) and 15d-14(a) of the Securities Exchange Act of 1934, as</w:t>
              </w:r>
            </w:hyperlink>
          </w:p>
        </w:tc>
        <w:tc>
          <w:tcPr>
            <w:tcW w:w="6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74">
              <w:r>
                <w:rPr>
                  <w:rFonts w:ascii="Arial" w:cs="Arial" w:eastAsia="Arial" w:hAnsi="Arial"/>
                  <w:sz w:val="18"/>
                  <w:szCs w:val="18"/>
                  <w:color w:val="0000EE"/>
                  <w:w w:val="84"/>
                </w:rPr>
                <w:t>amended.</w:t>
              </w:r>
            </w:hyperlink>
          </w:p>
        </w:tc>
        <w:tc>
          <w:tcPr>
            <w:tcW w:w="9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80" w:type="dxa"/>
            <w:vAlign w:val="bottom"/>
          </w:tcPr>
          <w:p>
            <w:pPr>
              <w:jc w:val="center"/>
              <w:ind w:right="675"/>
              <w:spacing w:after="0"/>
              <w:rPr>
                <w:sz w:val="20"/>
                <w:szCs w:val="20"/>
                <w:color w:val="auto"/>
              </w:rPr>
            </w:pPr>
            <w:r>
              <w:rPr>
                <w:rFonts w:ascii="Arial" w:cs="Arial" w:eastAsia="Arial" w:hAnsi="Arial"/>
                <w:sz w:val="18"/>
                <w:szCs w:val="18"/>
                <w:color w:val="auto"/>
                <w:w w:val="91"/>
              </w:rPr>
              <w:t>31.2</w:t>
            </w:r>
          </w:p>
        </w:tc>
        <w:tc>
          <w:tcPr>
            <w:tcW w:w="9960" w:type="dxa"/>
            <w:vAlign w:val="bottom"/>
            <w:gridSpan w:val="8"/>
          </w:tcPr>
          <w:p>
            <w:pPr>
              <w:spacing w:after="0"/>
              <w:rPr>
                <w:rFonts w:ascii="Arial" w:cs="Arial" w:eastAsia="Arial" w:hAnsi="Arial"/>
                <w:sz w:val="18"/>
                <w:szCs w:val="18"/>
                <w:color w:val="0000EE"/>
                <w:w w:val="97"/>
              </w:rPr>
            </w:pPr>
            <w:hyperlink w:anchor="page75">
              <w:r>
                <w:rPr>
                  <w:rFonts w:ascii="Arial" w:cs="Arial" w:eastAsia="Arial" w:hAnsi="Arial"/>
                  <w:sz w:val="18"/>
                  <w:szCs w:val="18"/>
                  <w:color w:val="0000EE"/>
                  <w:w w:val="97"/>
                </w:rPr>
                <w:t>Certification of the Chief Financial Officer pursuant to Rules 13a-14(a) and 15d-14(a) of the Securities Exchange Act of 1934, as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5">
              <w:r>
                <w:rPr>
                  <w:rFonts w:ascii="Arial" w:cs="Arial" w:eastAsia="Arial" w:hAnsi="Arial"/>
                  <w:sz w:val="18"/>
                  <w:szCs w:val="18"/>
                  <w:color w:val="0000EE"/>
                  <w:w w:val="84"/>
                </w:rPr>
                <w:t>amended.</w:t>
              </w:r>
            </w:hyperlink>
          </w:p>
        </w:tc>
        <w:tc>
          <w:tcPr>
            <w:tcW w:w="8600" w:type="dxa"/>
            <w:vAlign w:val="bottom"/>
            <w:tcBorders>
              <w:top w:val="single" w:sz="8" w:color="0000EE"/>
            </w:tcBorders>
            <w:gridSpan w:val="3"/>
          </w:tcPr>
          <w:p>
            <w:pPr>
              <w:spacing w:after="0"/>
              <w:rPr>
                <w:sz w:val="17"/>
                <w:szCs w:val="17"/>
                <w:color w:val="auto"/>
              </w:rPr>
            </w:pPr>
          </w:p>
        </w:tc>
        <w:tc>
          <w:tcPr>
            <w:tcW w:w="6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80" w:type="dxa"/>
            <w:vAlign w:val="bottom"/>
          </w:tcPr>
          <w:p>
            <w:pPr>
              <w:jc w:val="center"/>
              <w:ind w:right="675"/>
              <w:spacing w:after="0"/>
              <w:rPr>
                <w:sz w:val="20"/>
                <w:szCs w:val="20"/>
                <w:color w:val="auto"/>
              </w:rPr>
            </w:pPr>
            <w:r>
              <w:rPr>
                <w:rFonts w:ascii="Arial" w:cs="Arial" w:eastAsia="Arial" w:hAnsi="Arial"/>
                <w:sz w:val="18"/>
                <w:szCs w:val="18"/>
                <w:color w:val="auto"/>
                <w:w w:val="91"/>
              </w:rPr>
              <w:t>32.1</w:t>
            </w:r>
          </w:p>
        </w:tc>
        <w:tc>
          <w:tcPr>
            <w:tcW w:w="93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Certification of the Chief Executive Officer pursuant to Rules 13a-14(b) and 15d-14(b) of the Securities Exchange Act of 1934, as</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1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amended and Section 1350 of Chapter 63 of Title 18 of the United States Code (18 U.S.C. §1350).</w:t>
              </w:r>
            </w:hyperlink>
          </w:p>
        </w:tc>
        <w:tc>
          <w:tcPr>
            <w:tcW w:w="28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80" w:type="dxa"/>
            <w:vAlign w:val="bottom"/>
          </w:tcPr>
          <w:p>
            <w:pPr>
              <w:jc w:val="center"/>
              <w:ind w:right="675"/>
              <w:spacing w:after="0"/>
              <w:rPr>
                <w:sz w:val="20"/>
                <w:szCs w:val="20"/>
                <w:color w:val="auto"/>
              </w:rPr>
            </w:pPr>
            <w:r>
              <w:rPr>
                <w:rFonts w:ascii="Arial" w:cs="Arial" w:eastAsia="Arial" w:hAnsi="Arial"/>
                <w:sz w:val="18"/>
                <w:szCs w:val="18"/>
                <w:color w:val="auto"/>
                <w:w w:val="91"/>
              </w:rPr>
              <w:t>32.2</w:t>
            </w:r>
          </w:p>
        </w:tc>
        <w:tc>
          <w:tcPr>
            <w:tcW w:w="9960" w:type="dxa"/>
            <w:vAlign w:val="bottom"/>
            <w:gridSpan w:val="8"/>
          </w:tcPr>
          <w:p>
            <w:pPr>
              <w:spacing w:after="0"/>
              <w:rPr>
                <w:rFonts w:ascii="Arial" w:cs="Arial" w:eastAsia="Arial" w:hAnsi="Arial"/>
                <w:sz w:val="18"/>
                <w:szCs w:val="18"/>
                <w:color w:val="0000EE"/>
                <w:w w:val="97"/>
              </w:rPr>
            </w:pPr>
            <w:hyperlink w:anchor="page77">
              <w:r>
                <w:rPr>
                  <w:rFonts w:ascii="Arial" w:cs="Arial" w:eastAsia="Arial" w:hAnsi="Arial"/>
                  <w:sz w:val="18"/>
                  <w:szCs w:val="18"/>
                  <w:color w:val="0000EE"/>
                  <w:w w:val="97"/>
                </w:rPr>
                <w:t>Certification of the Chief Financial Officer pursuant to Rules 13a-14(b) and 15d-14(b) of the Securities Exchange Act of 1934, as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3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amended and Section 1350 of Chapter 63 of Title 18 of the United States Code (18 U.S.C. §1350).</w:t>
              </w:r>
            </w:hyperlink>
          </w:p>
        </w:tc>
        <w:tc>
          <w:tcPr>
            <w:tcW w:w="6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280" w:type="dxa"/>
            <w:vAlign w:val="bottom"/>
          </w:tcPr>
          <w:p>
            <w:pPr>
              <w:jc w:val="right"/>
              <w:ind w:right="875"/>
              <w:spacing w:after="0"/>
              <w:rPr>
                <w:sz w:val="20"/>
                <w:szCs w:val="20"/>
                <w:color w:val="auto"/>
              </w:rPr>
            </w:pPr>
            <w:r>
              <w:rPr>
                <w:rFonts w:ascii="Arial" w:cs="Arial" w:eastAsia="Arial" w:hAnsi="Arial"/>
                <w:sz w:val="18"/>
                <w:szCs w:val="18"/>
                <w:color w:val="auto"/>
                <w:w w:val="99"/>
              </w:rPr>
              <w:t>101</w:t>
            </w:r>
          </w:p>
        </w:tc>
        <w:tc>
          <w:tcPr>
            <w:tcW w:w="70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Inline Interactive Data Files pursuant to Rule 405 of Regulation S-T.</w:t>
            </w:r>
          </w:p>
        </w:tc>
        <w:tc>
          <w:tcPr>
            <w:tcW w:w="28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1280" w:type="dxa"/>
            <w:vAlign w:val="bottom"/>
          </w:tcPr>
          <w:p>
            <w:pPr>
              <w:jc w:val="right"/>
              <w:ind w:right="875"/>
              <w:spacing w:after="0"/>
              <w:rPr>
                <w:sz w:val="20"/>
                <w:szCs w:val="20"/>
                <w:color w:val="auto"/>
              </w:rPr>
            </w:pPr>
            <w:r>
              <w:rPr>
                <w:rFonts w:ascii="Arial" w:cs="Arial" w:eastAsia="Arial" w:hAnsi="Arial"/>
                <w:sz w:val="18"/>
                <w:szCs w:val="18"/>
                <w:color w:val="auto"/>
                <w:w w:val="99"/>
              </w:rPr>
              <w:t>104</w:t>
            </w:r>
          </w:p>
        </w:tc>
        <w:tc>
          <w:tcPr>
            <w:tcW w:w="9960" w:type="dxa"/>
            <w:vAlign w:val="bottom"/>
            <w:gridSpan w:val="8"/>
          </w:tcPr>
          <w:p>
            <w:pPr>
              <w:spacing w:after="0"/>
              <w:rPr>
                <w:sz w:val="20"/>
                <w:szCs w:val="20"/>
                <w:color w:val="auto"/>
              </w:rPr>
            </w:pPr>
            <w:r>
              <w:rPr>
                <w:rFonts w:ascii="Arial" w:cs="Arial" w:eastAsia="Arial" w:hAnsi="Arial"/>
                <w:sz w:val="18"/>
                <w:szCs w:val="18"/>
                <w:color w:val="auto"/>
              </w:rPr>
              <w:t>The cover page has been formatted in Inline XBRL.</w:t>
            </w:r>
          </w:p>
        </w:tc>
        <w:tc>
          <w:tcPr>
            <w:tcW w:w="0" w:type="dxa"/>
            <w:vAlign w:val="bottom"/>
          </w:tcPr>
          <w:p>
            <w:pPr>
              <w:spacing w:after="0"/>
              <w:rPr>
                <w:sz w:val="1"/>
                <w:szCs w:val="1"/>
                <w:color w:val="auto"/>
              </w:rPr>
            </w:pPr>
          </w:p>
        </w:tc>
      </w:tr>
    </w:tbl>
    <w:p>
      <w:pPr>
        <w:spacing w:after="0" w:line="235" w:lineRule="auto"/>
        <w:rPr>
          <w:sz w:val="20"/>
          <w:szCs w:val="20"/>
          <w:color w:val="auto"/>
        </w:rPr>
      </w:pPr>
      <w:r>
        <w:rPr>
          <w:rFonts w:ascii="Arial" w:cs="Arial" w:eastAsia="Arial" w:hAnsi="Arial"/>
          <w:sz w:val="22"/>
          <w:szCs w:val="22"/>
          <w:color w:val="auto"/>
        </w:rPr>
        <w:t>________________</w:t>
      </w:r>
    </w:p>
    <w:p>
      <w:pPr>
        <w:ind w:left="140" w:hanging="132"/>
        <w:spacing w:after="0"/>
        <w:tabs>
          <w:tab w:leader="none" w:pos="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Item 601(b)(10)(iv) of Regulation S-K.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Dated: August 11, 2021</w:t>
      </w:r>
      <w:r>
        <w:rPr>
          <w:sz w:val="20"/>
          <w:szCs w:val="20"/>
          <w:color w:val="auto"/>
        </w:rPr>
        <w:tab/>
      </w:r>
      <w:r>
        <w:rPr>
          <w:rFonts w:ascii="Arial" w:cs="Arial" w:eastAsia="Arial" w:hAnsi="Arial"/>
          <w:sz w:val="17"/>
          <w:szCs w:val="17"/>
          <w:color w:val="auto"/>
        </w:rPr>
        <w:t>MANNKIND CORPORATION</w:t>
      </w:r>
    </w:p>
    <w:p>
      <w:pPr>
        <w:spacing w:after="0" w:line="252"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8"/>
          <w:szCs w:val="18"/>
          <w:color w:val="auto"/>
        </w:rPr>
        <w:t>By:</w:t>
        <w:tab/>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E. Castagna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(on behalf of the registrant and as the registrant’s Principal</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Officer)</w:t>
      </w:r>
    </w:p>
    <w:p>
      <w:pPr>
        <w:spacing w:after="0" w:line="238"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8"/>
          <w:szCs w:val="18"/>
          <w:color w:val="auto"/>
        </w:rPr>
        <w:t>By:</w:t>
        <w:tab/>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B. Binder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337" w:right="35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E. Castagna, certify that:</w:t>
      </w:r>
    </w:p>
    <w:p>
      <w:pPr>
        <w:spacing w:after="0" w:line="225"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2021 of MannKind Corporation;</w:t>
      </w:r>
    </w:p>
    <w:p>
      <w:pPr>
        <w:spacing w:after="0" w:line="225"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40" w:hanging="493"/>
        <w:spacing w:after="0" w:line="308"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000" w:right="140" w:hanging="493"/>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00" w:right="160" w:hanging="507"/>
        <w:spacing w:after="0" w:line="286" w:lineRule="auto"/>
        <w:tabs>
          <w:tab w:leader="none" w:pos="15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00" w:right="220" w:hanging="507"/>
        <w:spacing w:after="0" w:line="263" w:lineRule="auto"/>
        <w:tabs>
          <w:tab w:leader="none" w:pos="15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00" w:right="20" w:hanging="507"/>
        <w:spacing w:after="0" w:line="342" w:lineRule="auto"/>
        <w:tabs>
          <w:tab w:leader="none" w:pos="15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00" w:right="400" w:hanging="507"/>
        <w:spacing w:after="0" w:line="286" w:lineRule="auto"/>
        <w:tabs>
          <w:tab w:leader="none" w:pos="15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100" w:hanging="493"/>
        <w:spacing w:after="0" w:line="342"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00" w:right="260" w:hanging="507"/>
        <w:spacing w:after="0" w:line="342" w:lineRule="auto"/>
        <w:tabs>
          <w:tab w:leader="none" w:pos="15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00" w:right="540" w:hanging="507"/>
        <w:spacing w:after="0" w:line="277" w:lineRule="auto"/>
        <w:tabs>
          <w:tab w:leader="none" w:pos="15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Michael E. Castagna</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-130175</wp:posOffset>
            </wp:positionV>
            <wp:extent cx="31546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 and Director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2021</w:t>
      </w:r>
    </w:p>
    <w:p>
      <w:pPr>
        <w:sectPr>
          <w:pgSz w:w="11900" w:h="16838" w:orient="portrait"/>
          <w:cols w:equalWidth="0" w:num="1">
            <w:col w:w="11240"/>
          </w:cols>
          <w:pgMar w:left="320" w:top="337"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Steven B. Binder, certify that:</w:t>
      </w:r>
    </w:p>
    <w:p>
      <w:pPr>
        <w:spacing w:after="0" w:line="225"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2021 of MannKind Corporation;</w:t>
      </w:r>
    </w:p>
    <w:p>
      <w:pPr>
        <w:spacing w:after="0" w:line="225"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40" w:hanging="493"/>
        <w:spacing w:after="0" w:line="308"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000" w:right="140" w:hanging="493"/>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00" w:right="160" w:hanging="507"/>
        <w:spacing w:after="0" w:line="286" w:lineRule="auto"/>
        <w:tabs>
          <w:tab w:leader="none" w:pos="15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00" w:right="220" w:hanging="507"/>
        <w:spacing w:after="0" w:line="263" w:lineRule="auto"/>
        <w:tabs>
          <w:tab w:leader="none" w:pos="15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00" w:right="20" w:hanging="507"/>
        <w:spacing w:after="0" w:line="342" w:lineRule="auto"/>
        <w:tabs>
          <w:tab w:leader="none" w:pos="15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00" w:right="400" w:hanging="507"/>
        <w:spacing w:after="0" w:line="286" w:lineRule="auto"/>
        <w:tabs>
          <w:tab w:leader="none" w:pos="15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100" w:hanging="493"/>
        <w:spacing w:after="0" w:line="342"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00" w:right="260" w:hanging="507"/>
        <w:spacing w:after="0" w:line="342" w:lineRule="auto"/>
        <w:tabs>
          <w:tab w:leader="none" w:pos="15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00" w:right="540" w:hanging="507"/>
        <w:spacing w:after="0" w:line="277" w:lineRule="auto"/>
        <w:tabs>
          <w:tab w:leader="none" w:pos="15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Steven B. Binder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-130175</wp:posOffset>
            </wp:positionV>
            <wp:extent cx="31546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2021</w:t>
      </w:r>
    </w:p>
    <w:p>
      <w:pPr>
        <w:sectPr>
          <w:pgSz w:w="11900" w:h="16838" w:orient="portrait"/>
          <w:cols w:equalWidth="0" w:num="1">
            <w:col w:w="11240"/>
          </w:cols>
          <w:pgMar w:left="320" w:top="337"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CHAPTER 63 OF TITLE 18 OF THE UNITED STATES CODE (18 U.S.C. § 1350)</w:t>
      </w:r>
      <w:r>
        <w:rPr>
          <w:rFonts w:ascii="Arial" w:cs="Arial" w:eastAsia="Arial" w:hAnsi="Arial"/>
          <w:sz w:val="15"/>
          <w:szCs w:val="15"/>
          <w:b w:val="1"/>
          <w:bCs w:val="1"/>
          <w:color w:val="auto"/>
        </w:rPr>
        <w:t>1</w:t>
      </w:r>
    </w:p>
    <w:p>
      <w:pPr>
        <w:spacing w:after="0" w:line="22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June 30, 2021, as filed with the Securities and Exchange Commission on or about the date hereof, to which this certification is attached as Exhibit 32.1 (the “Report”) and 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80"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11th day of August,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E. Castagna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24" w:lineRule="exact"/>
        <w:rPr>
          <w:sz w:val="20"/>
          <w:szCs w:val="20"/>
          <w:color w:val="auto"/>
        </w:rPr>
      </w:pPr>
    </w:p>
    <w:p>
      <w:pPr>
        <w:ind w:left="260" w:right="180" w:hanging="252"/>
        <w:spacing w:after="0" w:line="311" w:lineRule="auto"/>
        <w:tabs>
          <w:tab w:leader="none" w:pos="260" w:val="left"/>
        </w:tabs>
        <w:numPr>
          <w:ilvl w:val="0"/>
          <w:numId w:val="40"/>
        </w:numPr>
        <w:rPr>
          <w:rFonts w:ascii="Arial" w:cs="Arial" w:eastAsia="Arial" w:hAnsi="Arial"/>
          <w:sz w:val="13"/>
          <w:szCs w:val="13"/>
          <w:color w:val="auto"/>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CHAPTER 63 OF TITLE 18 OF THE UNITED STATES CODE (18 U.S.C. § 1350)</w:t>
      </w:r>
      <w:r>
        <w:rPr>
          <w:rFonts w:ascii="Arial" w:cs="Arial" w:eastAsia="Arial" w:hAnsi="Arial"/>
          <w:sz w:val="15"/>
          <w:szCs w:val="15"/>
          <w:b w:val="1"/>
          <w:bCs w:val="1"/>
          <w:color w:val="auto"/>
        </w:rPr>
        <w:t>1</w:t>
      </w:r>
    </w:p>
    <w:p>
      <w:pPr>
        <w:spacing w:after="0" w:line="228"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June 30, 2021, as filed with the Securities and Exchange Commission on or about the date hereof, to which this certification is attached as Exhibit 32.2 (the “Report”) and pursuant to the requirement set forth in Rule 13a-14(b) or Rule 15d-14(b) of the Securities Exchange Act of 1934, as amended (the “Exchange Act”), and Section 1350 of Chapter 63 of Title 18 of the United States Code (18 U.S.C. §1350), Steven B. Binder, Chief Financial Officer of MannKind Corporation (the “Company”), hereby certifies that, to the best of his knowledge:</w:t>
      </w:r>
    </w:p>
    <w:p>
      <w:pPr>
        <w:spacing w:after="0" w:line="80"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11th day of August,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B. Binder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260" w:right="180" w:hanging="252"/>
        <w:spacing w:after="0" w:line="311" w:lineRule="auto"/>
        <w:tabs>
          <w:tab w:leader="none" w:pos="260" w:val="left"/>
        </w:tabs>
        <w:numPr>
          <w:ilvl w:val="0"/>
          <w:numId w:val="42"/>
        </w:numPr>
        <w:rPr>
          <w:rFonts w:ascii="Arial" w:cs="Arial" w:eastAsia="Arial" w:hAnsi="Arial"/>
          <w:sz w:val="13"/>
          <w:szCs w:val="13"/>
          <w:color w:val="auto"/>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upperLetter"/>
      <w:start w:val="68"/>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upperLetter"/>
      <w:start w:val="68"/>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4"/>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lvl w:ilvl="1">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lvl w:ilvl="1">
      <w:lvlJc w:val="left"/>
      <w:lvlText w:val="(%2)"/>
      <w:numFmt w:val="lowerLetter"/>
      <w:start w:val="1"/>
    </w:lvl>
  </w:abstractNum>
  <w:abstractNum w:abstractNumId="37">
    <w:nsid w:val="2D517796"/>
    <w:multiLevelType w:val="hybridMultilevel"/>
    <w:lvl w:ilvl="0">
      <w:lvlJc w:val="left"/>
      <w:lvlText w:val="%1."/>
      <w:numFmt w:val="decimal"/>
      <w:start w:val="1"/>
    </w:lvl>
    <w:lvl w:ilvl="1">
      <w:lvlJc w:val="left"/>
      <w:lvlText w:val="(%2)"/>
      <w:numFmt w:val="lowerLetter"/>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bullet"/>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92" Type="http://schemas.openxmlformats.org/officeDocument/2006/relationships/hyperlink" Target="http://www.sec.gov/Archives/edgar/data/899460/000119312516676980/d225552dex31.htm" TargetMode="External"/><Relationship Id="rId93" Type="http://schemas.openxmlformats.org/officeDocument/2006/relationships/hyperlink" Target="http://www.sec.gov/Archives/edgar/data/899460/000119312517066630/d313758dex31.htm" TargetMode="External"/><Relationship Id="rId94" Type="http://schemas.openxmlformats.org/officeDocument/2006/relationships/hyperlink" Target="http://www.sec.gov/Archives/edgar/data/899460/000119312517368329/d511527dex31.htm" TargetMode="External"/><Relationship Id="rId95" Type="http://schemas.openxmlformats.org/officeDocument/2006/relationships/hyperlink" Target="http://www.sec.gov/Archives/edgar/data/899460/000119312520153051/d936164dex31.htm" TargetMode="External"/><Relationship Id="rId96" Type="http://schemas.openxmlformats.org/officeDocument/2006/relationships/hyperlink" Target="http://www.sec.gov/Archives/edgar/data/899460/000119312520153051/d936164dex32.htm" TargetMode="External"/><Relationship Id="rId97" Type="http://schemas.openxmlformats.org/officeDocument/2006/relationships/hyperlink" Target="http://www.sec.gov/Archives/edgar/data/899460/000119312517085519/d305327dex42.htm" TargetMode="External"/><Relationship Id="rId98" Type="http://schemas.openxmlformats.org/officeDocument/2006/relationships/hyperlink" Target="http://www.sec.gov/Archives/edgar/data/899460/000119312513279522/d562665dex993.htm" TargetMode="External"/><Relationship Id="rId99" Type="http://schemas.openxmlformats.org/officeDocument/2006/relationships/hyperlink" Target="http://www.sec.gov/Archives/edgar/data/899460/000119312519215305/d757696dex41.htm" TargetMode="External"/><Relationship Id="rId100" Type="http://schemas.openxmlformats.org/officeDocument/2006/relationships/hyperlink" Target="http://www.sec.gov/Archives/edgar/data/899460/000119312519215305/d757696dex43.htm" TargetMode="External"/><Relationship Id="rId101" Type="http://schemas.openxmlformats.org/officeDocument/2006/relationships/hyperlink" Target="http://www.sec.gov/Archives/edgar/data/899460/000119312519215305/d757696dex46.htm" TargetMode="External"/><Relationship Id="rId102" Type="http://schemas.openxmlformats.org/officeDocument/2006/relationships/hyperlink" Target="http://www.sec.gov/Archives/edgar/data/899460/000119312519215305/d757696dex47.htm" TargetMode="External"/><Relationship Id="rId103" Type="http://schemas.openxmlformats.org/officeDocument/2006/relationships/hyperlink" Target="http://www.sec.gov/Archives/edgar/data/899460/000119312520107670/d895756dex991.htm" TargetMode="External"/><Relationship Id="rId104" Type="http://schemas.openxmlformats.org/officeDocument/2006/relationships/hyperlink" Target="http://www.sec.gov/Archives/edgar/data/899460/000119312521070265/d45565dex41.htm" TargetMode="External"/><Relationship Id="rId105" Type="http://schemas.openxmlformats.org/officeDocument/2006/relationships/hyperlink" Target="http://www.sec.gov/Archives/edgar/data/899460/000119312521070265/d45565dex41.htm#exa" TargetMode="External"/><Relationship Id="rId106" Type="http://schemas.openxmlformats.org/officeDocument/2006/relationships/hyperlink" Target="http://www.sec.gov/Archives/edgar/data/899460/000119312521130221/d174090dex991.htm" TargetMode="External"/><Relationship Id="rId107" Type="http://schemas.openxmlformats.org/officeDocument/2006/relationships/hyperlink" Target="http://www.sec.gov/Archives/edgar/data/899460/000119312521130221/d174090dex992.htm" TargetMode="External"/><Relationship Id="rId108" Type="http://schemas.openxmlformats.org/officeDocument/2006/relationships/hyperlink" Target="http://www.sec.gov/Archives/edgar/data/0000899460/000119312521171623/d153193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2021-08-11T15:35:19Z</dcterms:created>
  <dcterms:modified xsi:type="dcterms:W3CDTF">2021-08-11T15:35:19Z</dcterms:modified>
</cp:coreProperties>
</file>