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9391d424b7.htm"/>
        <w:bookmarkStart w:id="1" w:name="ksd109391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333-285286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26, 2025) </w:t>
      </w:r>
    </w:p>
    <w:p>
      <w:pPr>
        <w:pStyle w:val="TextBody"/>
        <w:bidi w:val="0"/>
        <w:spacing w:before="240" w:after="0"/>
        <w:jc w:val="center"/>
        <w:rPr>
          <w:rFonts w:ascii="Times New Roman" w:hAnsi="Times New Roman"/>
          <w:b/>
          <w:sz w:val="36"/>
        </w:rPr>
      </w:pPr>
      <w:r>
        <w:rPr>
          <w:rFonts w:ascii="Times New Roman" w:hAnsi="Times New Roman"/>
          <w:b/>
          <w:sz w:val="36"/>
        </w:rPr>
        <w:t xml:space="preserve">Up to 12,853,470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1270" cy="6832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1270" cy="6832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offer and resale by the selling stockholders (the “selling stockholders”) identified in this prospectus supplement of up to an aggregate of 12,853,470 shares of our common stock, par value $0.01 per share (the “common stock”), which includes 2,412,632 shares issuable upon the exercise of the pre-funded warrants. The 10,440,838 shares of our common stock and pre-funded warrants to purchase up to 2,412,632 shares of our common stock were sold to the selling stockholders in a private placement that closed on July 24, 2026. </w:t>
      </w:r>
    </w:p>
    <w:p>
      <w:pPr>
        <w:pStyle w:val="TextBody"/>
        <w:bidi w:val="0"/>
        <w:spacing w:before="240" w:after="0"/>
        <w:jc w:val="left"/>
        <w:rPr>
          <w:rFonts w:ascii="Times New Roman" w:hAnsi="Times New Roman"/>
          <w:sz w:val="20"/>
        </w:rPr>
      </w:pPr>
      <w:r>
        <w:rPr>
          <w:rFonts w:ascii="Times New Roman" w:hAnsi="Times New Roman"/>
          <w:sz w:val="20"/>
        </w:rPr>
        <w:t xml:space="preserve">We are not selling any shares of common stock under this prospectus supplement and will not receive any proceeds from the sale by the selling stockholders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Sales of the shares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 </w:t>
      </w:r>
    </w:p>
    <w:p>
      <w:pPr>
        <w:pStyle w:val="TextBody"/>
        <w:bidi w:val="0"/>
        <w:spacing w:before="240" w:after="0"/>
        <w:jc w:val="left"/>
        <w:rPr>
          <w:rFonts w:ascii="Times New Roman" w:hAnsi="Times New Roman"/>
          <w:sz w:val="20"/>
        </w:rPr>
      </w:pPr>
      <w:r>
        <w:rPr>
          <w:rFonts w:ascii="Times New Roman" w:hAnsi="Times New Roman"/>
          <w:sz w:val="20"/>
        </w:rPr>
        <w:t xml:space="preserve">We are paying the cost of registering the shares of common stock covered by this prospectus supplement as well as various related expenses. The selling stockholders are responsible for all selling commissions, transfer taxes and other costs related to the offer and sale of their shares. See “Plan of Distribution” for more information about how the selling stockholders may sell or dispose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“MNKD.” On August 20, 2026, the last reported sale price of our common stock was $4.26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common stock involves a high degree of risk. You should review carefully the risks and uncertainties described under the heading “</w:t>
      </w:r>
      <w:hyperlink w:anchor="supptoc109391_4">
        <w:r>
          <w:rPr>
            <w:rStyle w:val="InternetLink"/>
            <w:rFonts w:ascii="Times New Roman" w:hAnsi="Times New Roman"/>
            <w:b/>
            <w:i/>
            <w:sz w:val="24"/>
          </w:rPr>
          <w:t>Risk Factors</w:t>
        </w:r>
      </w:hyperlink>
      <w:r>
        <w:rPr>
          <w:rFonts w:ascii="Times New Roman" w:hAnsi="Times New Roman"/>
          <w:b/>
          <w:i/>
          <w:sz w:val="24"/>
        </w:rPr>
        <w:t xml:space="preserve">” on page S-4 of this prospectus supplement and under similar headings in the other documents that are incorporated by reference into this prospectus supplement and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21,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2">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6">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7">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8">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10">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09391_11">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0939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0939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utilizing a “shelf” registration process. 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the caption “Where You Can Find Additional Information” in this prospectus supplement. These documents contain information that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any information or to make any representation other than those contained or incorporated by reference in this prospectus supplement, the accompanying prospectus and in any free writing prospectus we have authorized for use in connection with the offering described herein, and your reliance on any unauthorized information or representation is at your own risk. This prospectus supplement does not constitute an offer to sell or the solicitation of an offer to buy any shares other than the shares to which this prospectus supplement relates, nor does this prospectus supplement constitute an offer to sell or the solicitation of an offer to buy shares in any jurisdiction to any person to whom it is unlawful to make such offer or solicitation in such jurisdiction.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carefully this prospectus supplement and the accompanying prospectus, together with the information incorporated by reference as described under the heading “Incorporation of Certain Information by Reference,” before buying any of the shares of common stock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and incorporate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and the accompanying prospectus and the documents incorporated by reference, these estimates involve risks and uncertainties and are subject to change based on various factors, including those discussed under the heading “Risk Factors” in the prospectus supplement and under similar headings in the other documents that are incorporated by reference into this prospectus supplement and the accompanying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the section entitled “Where You Can Find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109391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information incorporated by reference, contain forward-looking statements within the meaning of Section 27A of the Securities Act of 1933, as amended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Such forward-looking statements include or may include statements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plans and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sufficient quantities of our products and obtain supply as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plans, clinical development plans, data readouts, and regulatory interactions;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Technosphere drug delivery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for future performance, financial results, capital requirements and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operate our business without infringing upon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our debt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scientific studies and the conclusions we draw from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using the words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the documents incorporated by reference herein.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the accompanying prospectus and in the documents incorporated by reference herein and therein.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you should carefully consider the risk factors discussed herein or incorporated by reference, in addition to the other information set forth in this prospectus supplement, the accompanying prospectus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09391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or incorporated by reference in this prospectus supplement and the accompanying prospectus and does not contain all of the information that you need to consider in making your investment decision. You should carefully read the entire prospectus supplement and the accompanying prospectus, including the risks discussed under the heading “Risk Factors” in this prospectus supplement and under similar headings in the documents that are incorporated by reference into this prospectus supplement and the accompanying prospectus. You should also carefully read the information incorporated by reference into this prospectus supplement, including our financial statements, and the exhibits to the registration statement of which this prospectus supplement is a part.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the context requires otherwise, references in this prospectus supplement to the “Company,” “MannKind,” “we,” “us” and “our” refer to MannKind Corporation and its consolidated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February 14, 1991. Our principal executive offices are located at 1 Casper Street, Danbury, Connecticut 06810, and our telephone number is (818) 661-5000. Our website address is www.mannkindcorp.com. Information contained on or accessible through our website is not a part of this prospectus supplement or the accompanying prospectus, and the inclusion of our website address in this prospectus supplement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Afrezza®, Technosphere®, BluHale®, Dreamboat®, Furoscix®, Furoscix ReadyFlow, Cricket®, V-Go®, and MannKind Corporation are our trademarks in the United States. We have also applied for or have registered company trademarks in other jurisdictions. This prospectus supplement also contains references to our trademarks and to trademarks belonging to other entities. Solely for convenience, trademarks and trade names referred to in this prospectus supplement,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23, 2026, we entered into a Securities Purchase Agreement (the “Purchase Agreement”) with the selling stockholders named in this prospectus supplement, pursuant to which we sold and issued, in a private placement transaction (the “Private Placement”), 10,440,838 shares of our common stock and pre-funded warrants to purchase up to an aggregate of 2,412,632 shares of our common stock at the closing on July 24, 2026. Each share of common stock was sold at a price of $3.89 per share and the pre-funded warrants were sold at a price of $3.88 per pre-funded warrant share. The pre-funded warrants have an exercise price of $0.01 per share, subject to customary adjustments, and will not expire until exercised in full. The pre-funded warrants are also exercisable on a net exercise “cashless” basis. The pre-funded warrants may not be exercised if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number of shares of common stock beneficially owned by the holder thereof immediately following such exercise would exceed a specified beneficial ownership limitation, not to exceed 19.99%.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23, 2026, we entered into a Registration Rights Agreement (the “Registration Rights Agreement”) with the selling stockholders named in this prospectus supplement, pursuant to which we agreed to register for resale the shares of our common stock issued at the closing under the Purchase Agreement and the shares of common stock issuable upon exercise of the pre-funded warrants. For additional information regarding the Registration Rights Agreement, refer to the complete text of the Registration Rights Agreement filed as Exhibit 4.2 in our Current Report on Form 8-K filed with the SEC on July 24, 2026,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83"/>
              <w:jc w:val="left"/>
              <w:rPr/>
            </w:pPr>
            <w:r>
              <w:rPr/>
              <w:t xml:space="preserve">12,853,470(1)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6327" w:type="dxa"/>
            <w:tcBorders/>
          </w:tcPr>
          <w:p>
            <w:pPr>
              <w:pStyle w:val="TableContents"/>
              <w:bidi w:val="0"/>
              <w:spacing w:before="0" w:after="283"/>
              <w:jc w:val="left"/>
              <w:rPr/>
            </w:pPr>
            <w:r>
              <w:rPr/>
              <w:t xml:space="preserve">Each selling stockholder will determine when and how it will sell the common stock offered by it in this prospectus supplement,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shares of common stock covered by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See “Risk Factors” on page S-4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w:t>
            </w:r>
          </w:p>
        </w:tc>
        <w:tc>
          <w:tcPr>
            <w:tcW w:w="6327" w:type="dxa"/>
            <w:tcBorders/>
          </w:tcPr>
          <w:p>
            <w:pPr>
              <w:pStyle w:val="TableContents"/>
              <w:bidi w:val="0"/>
              <w:spacing w:before="0" w:after="283"/>
              <w:jc w:val="left"/>
              <w:rPr/>
            </w:pPr>
            <w:r>
              <w:rPr/>
              <w:t xml:space="preserve">MNKD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2,412,632 shares of common stock issuable upon the exercise of pre-funded warrants held by certain of the selling stockholders named in this prospectus supplement.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stockholders named in this prospectus supplement may offer and sell up to 12,853,470 shares of our common stock. Our common stock is listed on the Nasdaq Global Market under the symbol “MNKD.” Shares of our common stock that may be offered under this prospectus supplement are fully paid and non-assessable. We will not receive any of the proceeds of sales by the selling stockholders of any of the common stock covered by this prospectus supplement. Throughout this prospectus supplement, when we refer to the shares of our common stock being registered on behalf of the selling stockholders for offer and resale, we are referring to the shares of common stock that have been issued to the selling stockholders and the shares of common stock issuable upon exercise of the pre-funded warrants issued in the Private Placement as described above. When we refer to the selling stockholders in this prospectus supplement, we are referring to the selling stockholders identified in this prospectus supplement and, as applicable, their permitted transferees or other successors-in-interest.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0939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an investment decision, you should carefully consider the risks described in the section entitled “Risk Factors” in our most recent Annual Report on Form 10-K and subsequent Quarterly Reports on Form 10-Q, as filed with the SEC, which are incorporated herein by reference in their entirety, as well as any amendments or updates to our risk factors reflected in subsequent filings with the SEC. Our business, financial condition, results of operations or prospects could be materially adversely affected by any of these risks. The trading price of our common stock could decline due to any of these risks, and you may lose all or part of your investment. This prospectus supplement and the accompanying prospectus and the documents incorporated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supplement. For more information, see the section entitled “Where You Can Find Additional Information.” Please also read carefully the section entitled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0939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or other disposition of shares of our common stock held by the selling stockholders pursuant to this prospectus supplement. We will bear the out-of-pocket costs, expenses and fees incurred in connection with the registration of shares of our common stock that may be sold by the selling stockholders pursuant to this prospectus supplement. Other than registration expenses, the selling stockholders will bear underwriting discounts, commissions, placement agent fees or other similar expenses payable with respect to sales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09391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We do not know how long the selling stockholders will hold the shares before selling them, and, other than the Registration Rights Agreement,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supplement. In addition, the selling stockholders may have sold, transferred or otherwise disposed of all or a portion of their shares of common stock since the date on which they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stockholders under this prospectus supplement. This information has been obtained from the selling stockholders or from Schedules 13G or 13D and other public documents filed with the SEC. The percentage of shares owned after the offering is based on 321,544,484 shares of common stock outstanding as of August 14, 2026. For the selling stockholders who are selling shares of common stock issuable upon exercise of the pre-funded warrants, the percentage of shares owned after the offering is based on 321,544,484 shares outstanding on August 14, 2026 plus the shares of common stock issuable upon exercise of the pre-funded warrants held by such selling stockholder.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70"/>
        <w:gridCol w:w="244"/>
        <w:gridCol w:w="77"/>
        <w:gridCol w:w="1514"/>
        <w:gridCol w:w="60"/>
        <w:gridCol w:w="244"/>
        <w:gridCol w:w="60"/>
        <w:gridCol w:w="1170"/>
        <w:gridCol w:w="60"/>
        <w:gridCol w:w="244"/>
        <w:gridCol w:w="68"/>
        <w:gridCol w:w="1189"/>
        <w:gridCol w:w="60"/>
        <w:gridCol w:w="244"/>
        <w:gridCol w:w="200"/>
        <w:gridCol w:w="1301"/>
        <w:gridCol w:w="283"/>
      </w:tblGrid>
      <w:tr>
        <w:trPr/>
        <w:tc>
          <w:tcPr>
            <w:tcW w:w="237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062" w:type="dxa"/>
            <w:gridSpan w:val="6"/>
            <w:tcBorders/>
            <w:vAlign w:val="bottom"/>
          </w:tcPr>
          <w:p>
            <w:pPr>
              <w:pStyle w:val="TableContents"/>
              <w:bidi w:val="0"/>
              <w:spacing w:before="0" w:after="283"/>
              <w:jc w:val="center"/>
              <w:rPr>
                <w:b/>
              </w:rPr>
            </w:pPr>
            <w:r>
              <w:rPr>
                <w:b/>
              </w:rPr>
              <w:t>After Offering</w:t>
            </w:r>
          </w:p>
        </w:tc>
        <w:tc>
          <w:tcPr>
            <w:tcW w:w="283"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4" w:type="dxa"/>
            <w:tcBorders/>
            <w:vAlign w:val="bottom"/>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Offering</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r>
          </w:p>
        </w:tc>
        <w:tc>
          <w:tcPr>
            <w:tcW w:w="283" w:type="dxa"/>
            <w:tcBorders/>
            <w:vAlign w:val="bottom"/>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Frazier Life Sciences Public Fund, L.P.(1)</w:t>
            </w:r>
          </w:p>
        </w:tc>
        <w:tc>
          <w:tcPr>
            <w:tcW w:w="24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16,136,405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10,668,123</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5,468,282</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1.7</w:t>
            </w:r>
          </w:p>
        </w:tc>
        <w:tc>
          <w:tcPr>
            <w:tcW w:w="283"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Frazier Life Sciences XI, L.P.(2)</w:t>
            </w:r>
          </w:p>
        </w:tc>
        <w:tc>
          <w:tcPr>
            <w:tcW w:w="24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447,996</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139,974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308,022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Frazier Life Sciences XII, L.P.(3)</w:t>
            </w:r>
          </w:p>
        </w:tc>
        <w:tc>
          <w:tcPr>
            <w:tcW w:w="24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1,493,462</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760,026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733,436</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237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New Holland Capital(4)</w:t>
            </w:r>
          </w:p>
        </w:tc>
        <w:tc>
          <w:tcPr>
            <w:tcW w:w="24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1,285,347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1,285,347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13,911,476 shares of common stock held by Frazier Life Sciences Public Fund, L.P. (“Frazier Public Fund”), which includes 8,443,194 shares of common stock purchased by Frazier Public Fund in the Private Placement, and (b) 2,224,929 shares of common stock issuable upon exercise of pre-funded warrants purchased by Frazier Public Fund in the Private Placement without giving effect to the beneficial ownership blocker described below. The pre-funded warrants held by Frazier Public Fund prohibit the exercise thereof if, after giving effect to such exercise, the beneficial ownership of Frazier Public Fund and its affiliates and any person whose beneficial ownership would be attributable to such entities, would exceed 4.99%. FHMLSP, L.P. is the general partner of Frazier Life Sciences Public Fund, L.P. FHMLSP, L.L.C. is the general partner of FHMLSP, L.P. FHMLSP, L.L.C. is managed by an investment committee of four that acts by majority vote. Accordingly, no members of such committee are attributed beneficial ownership of the securities directly held by Frazier Public Fund. The reported securities do not include additional shares of common stock held by funds and accounts that are managed by entities affiliated with Frazier Public Fund, but which make separate and independent investment decisions and are therefore not aggregated with Frazier Public Fund for beneficial ownership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418,803 shares of common stock held by Frazier Life Sciences XI, L.P. (“Frazier XI”), which includes 110,781 shares of common stock purchased by Frazier XI in the Private Placement, and (b) 29,193 shares of common stock issuable upon exercise of pre-funded warrants purchased by Frazier XI in the Private Placement without giving effect to the beneficial ownership blocker describe below. The pre-funded warrants held by Frazier XI prohibit the exercise thereof if, after giving effect to such exercise, the beneficial ownership of Frazier XI and its affiliates and any person whose beneficial ownership would be attributable to such entities, would exceed 4.99%. FHMLS XI, L.P. is the general partner of Frazier XI. FHMLS XI, L.L.C. is the general partner of FHMLS XI, L.P. FHMLS XI, L.L.C. is managed by an investment committee of three that acts by majority vote. Accordingly, no members of such committee are attributed beneficial ownership of the securities directly held by Frazier XI. The reported securities do not include additional shares of common stock held by funds and accounts that are managed by entities affiliated with Frazier XI, but which make separate and independent investment decisions and are therefore not aggregated with Frazier XI for beneficial ownership purposes.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1,334,952 shares of common stock held by Frazier Life Sciences XII, L.P. (“Frazier XII”), which includes 601,516 shares of common stock purchased by Frazier XII in the Private Placement, and (b) 158,510 shares of common stock issuable upon exercise of pre-funded warrants purchased by Frazier XII in the Private Placement without giving effect to the beneficial ownership blocker describe below. The pre-funded warrants held by Frazier Fund XII prohibit the exercise thereof if, after giving effect to such exercise, the beneficial ownership of Frazier Fund XII and its affiliates and any person whose beneficial ownership would be attributable to such entities, would exceed 4.99%. FHMLS XII, L.P. is the general partner of Frazier XII. FHMLS XII, L.L.C. is the general partner of FHMLS XII, L.P. FHMLS XII, L.L.C. is managed by an investment committee of three that acts by majority vote. Accordingly, no members of such committee are attributed beneficial ownership of the securities directly held by Frazier XII. The reported securities do not include additional shares of common stock held by funds and accounts that are managed by entities affiliated with Frazier XII, but which make separate and independent investment decisions and are therefore not aggregated with Frazier XII for beneficial ownership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1,028,278 shares of common stock purchased by 405 MSTV I LP (“MSTV I”) in the Private Placement and (b) 257,069 shares purchased by New Holland Tactical Alpha Fund LP (“New Holland Alpha”) in the Private Placement. Brian Clifford has voting or investment control over the securities held by each of MSTV I and New Holland Alpha.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the selling stockholders nor any persons having control over the selling stockholders has held any position or office with us or our affiliates within the last three years or has had a material relationship with us or any of our predecessors or affiliates within the past three years, other than as a result of the ownership of our shares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09391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supplement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supplement, or under an amendment to this supplement, amending the list of selling stockholders to include the pledgee, transferee or other successors in interest as selling stockholders under this prospectus supplement. The selling stockholders also may transfer the shares of common stock in other circumstances, in which case the transferees, pledgees or other successors in interest will be the selling stockholders for purposes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supplement, which shares such broker-dealer or other financial institution may resell pursuant to this prospectus supplement (as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supplement may be amended from time to time to describe a specific plan of distribution, and, if required, such amendment will set forth the aggregate number of shares of common stock covered by this prospectus supplement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amendment. To the extent required, any such amendment to this prospectus supplement, and, if necessary, a post-effective amendment to the registration statement of which this prospectus supplement and the accompanying prospectus are a part, will be filed with the SEC to reflect the disclosure of additional information with respect to the distribution of the shares of common stock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supplement (as it may be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09391_8"/>
      <w:bookmarkEnd w:id="1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MannKind Corporation as of December 31, 2025 and 2024, and for each of three years in the period ended December 31, 2025, incorporated by reference in this prospectus supplement and the accompanying prospectus and the effectiveness of our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480" w:after="0"/>
        <w:jc w:val="center"/>
        <w:rPr>
          <w:rFonts w:ascii="Times New Roman" w:hAnsi="Times New Roman"/>
          <w:b/>
          <w:sz w:val="20"/>
        </w:rPr>
      </w:pPr>
      <w:bookmarkStart w:id="11" w:name="supptoc109391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is passing upon the validity of the securities offered by this prospectus supplement. </w:t>
      </w:r>
    </w:p>
    <w:p>
      <w:pPr>
        <w:pStyle w:val="TextBody"/>
        <w:bidi w:val="0"/>
        <w:spacing w:before="480" w:after="0"/>
        <w:jc w:val="center"/>
        <w:rPr>
          <w:rFonts w:ascii="Times New Roman" w:hAnsi="Times New Roman"/>
          <w:b/>
          <w:sz w:val="20"/>
        </w:rPr>
      </w:pPr>
      <w:bookmarkStart w:id="12" w:name="supptoc109391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an automatically effective registration statement on Form S-3 we filed with the SEC under the Securities Act and does not contain all of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MannKind Corporation.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www.mannkindcorp.com. Information contained in or accessible through our website does not constitute a part of this prospectus supplement or the accompanying prospectus. We have included our website address as an inactive textual reference only. </w:t>
      </w:r>
    </w:p>
    <w:p>
      <w:pPr>
        <w:pStyle w:val="TextBody"/>
        <w:bidi w:val="0"/>
        <w:spacing w:before="480" w:after="0"/>
        <w:jc w:val="center"/>
        <w:rPr>
          <w:rFonts w:ascii="Times New Roman" w:hAnsi="Times New Roman"/>
          <w:b/>
          <w:sz w:val="20"/>
        </w:rPr>
      </w:pPr>
      <w:bookmarkStart w:id="13" w:name="supptoc109391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it,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 The SEC’s Internet site can be found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future filings made with the SEC under Sections 13(a), 13(c), 14 or 15(d) of the Exchange Act after the date of this prospectus supplement until the termination of the offering of the shares covered by this prospectus supplement (other than portions of Current Reports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February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fiscal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7,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and June 30, 2026, filed with the SEC on </w:t>
            </w:r>
            <w:hyperlink r:id="rId5">
              <w:r>
                <w:rPr>
                  <w:rStyle w:val="InternetLink"/>
                  <w:rFonts w:ascii="Times New Roman" w:hAnsi="Times New Roman"/>
                  <w:sz w:val="20"/>
                </w:rPr>
                <w:t>May  6, 2026</w:t>
              </w:r>
            </w:hyperlink>
            <w:r>
              <w:rPr>
                <w:rFonts w:ascii="Times New Roman" w:hAnsi="Times New Roman"/>
                <w:sz w:val="20"/>
              </w:rPr>
              <w:t xml:space="preserve"> and </w:t>
            </w:r>
            <w:hyperlink r:id="rId6">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May  22, 2026</w:t>
              </w:r>
            </w:hyperlink>
            <w:r>
              <w:rPr>
                <w:rFonts w:ascii="Times New Roman" w:hAnsi="Times New Roman"/>
                <w:sz w:val="20"/>
              </w:rPr>
              <w:t xml:space="preserve">, </w:t>
            </w:r>
            <w:hyperlink r:id="rId8">
              <w:r>
                <w:rPr>
                  <w:rStyle w:val="InternetLink"/>
                  <w:rFonts w:ascii="Times New Roman" w:hAnsi="Times New Roman"/>
                  <w:sz w:val="20"/>
                </w:rPr>
                <w:t>May 28,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and </w:t>
            </w:r>
            <w:hyperlink r:id="rId10">
              <w:r>
                <w:rPr>
                  <w:rStyle w:val="InternetLink"/>
                  <w:rFonts w:ascii="Times New Roman" w:hAnsi="Times New Roman"/>
                  <w:sz w:val="20"/>
                </w:rPr>
                <w:t>July 24,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1">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2025, filed with the SEC on February 26, 2026, and any amendment or report filed for the purpose of updating that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1 Casper Street, Danbury, Connecticut 06810, Attn: Corporate Secretary, or by telephoning us at (818) 661-5000.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2861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3286125" cy="5905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a general description of the securities we may offer. Each time we offer securities pursuant to this prospectus, we will provide the specific terms of these offerings and the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or in the documents that we have incorporated by reference into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“MNKD.” On February 25, 2025, the last reported sales price of our common stock was $5.65 per share. The applicable prospectus supplement will contain information, where applicable, as to any other listing on the Nasdaq Global Market or any securities market or other exchange of the securities, if any, covered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investors, through agents designated from time to time or to or through underwriters or dealers, on a continuous or delayed basis. For additional information on the methods of sale, you should refer to the section entitled “Plan of Distribution” in this prospectus and the applicable prospectus supplement.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tx109391_3">
        <w:r>
          <w:rPr>
            <w:rStyle w:val="InternetLink"/>
            <w:rFonts w:ascii="Times New Roman" w:hAnsi="Times New Roman"/>
            <w:b/>
            <w:i/>
            <w:sz w:val="24"/>
          </w:rPr>
          <w:t>Risk Factors</w:t>
        </w:r>
      </w:hyperlink>
      <w:r>
        <w:rPr>
          <w:rFonts w:ascii="Times New Roman" w:hAnsi="Times New Roman"/>
          <w:b/>
          <w:i/>
          <w:sz w:val="24"/>
        </w:rPr>
        <w:t xml:space="preserve">” on page 5 of this prospectus and contained in the applicable prospectus supplement and any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26,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0939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09391_1"/>
      <w:bookmarkEnd w:id="1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U.S. Securities and Exchange Commission (the “SEC”) utilizing a “shelf” registration process as a “well-known seasoned issuer,” as defined in Rule 405 under the Securities Act of 1933, as amended (the “Securities Act”). Under this shelf registration process, we may offer and sell from time to time in one or more offerings the securities described in this prospectus. No limit exists on the aggregate number or amount of securities we may sell pursuant to the registration statement of which this prospectus is a part.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09391_2"/>
      <w:bookmarkEnd w:id="15"/>
      <w:r>
        <w:rPr>
          <w:rFonts w:ascii="Times New Roman" w:hAnsi="Times New Roman"/>
          <w:b/>
          <w:sz w:val="20"/>
        </w:rPr>
        <w:t xml:space="preserve">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in this prospectus to the “Company,” “MannKind,” “we,” “us” and “our” refer to MannKind Corporation and its consolidated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Company Overview </w:t>
      </w:r>
    </w:p>
    <w:p>
      <w:pPr>
        <w:pStyle w:val="TextBody"/>
        <w:bidi w:val="0"/>
        <w:spacing w:before="240" w:after="0"/>
        <w:jc w:val="left"/>
        <w:rPr>
          <w:rFonts w:ascii="Times New Roman" w:hAnsi="Times New Roman"/>
          <w:sz w:val="20"/>
        </w:rPr>
      </w:pPr>
      <w:r>
        <w:rPr>
          <w:rFonts w:ascii="Times New Roman" w:hAnsi="Times New Roman"/>
          <w:sz w:val="20"/>
        </w:rPr>
        <w:t xml:space="preserve">We are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 </w:t>
      </w:r>
    </w:p>
    <w:p>
      <w:pPr>
        <w:pStyle w:val="TextBody"/>
        <w:bidi w:val="0"/>
        <w:spacing w:before="240" w:after="0"/>
        <w:jc w:val="left"/>
        <w:rPr>
          <w:rFonts w:ascii="Times New Roman" w:hAnsi="Times New Roman"/>
          <w:sz w:val="20"/>
        </w:rPr>
      </w:pPr>
      <w:r>
        <w:rPr>
          <w:rFonts w:ascii="Times New Roman" w:hAnsi="Times New Roman"/>
          <w:sz w:val="20"/>
        </w:rPr>
        <w:t xml:space="preserve">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w:t>
      </w:r>
    </w:p>
    <w:p>
      <w:pPr>
        <w:pStyle w:val="TextBody"/>
        <w:bidi w:val="0"/>
        <w:spacing w:before="240" w:after="0"/>
        <w:jc w:val="left"/>
        <w:rPr>
          <w:rFonts w:ascii="Times New Roman" w:hAnsi="Times New Roman"/>
          <w:sz w:val="20"/>
        </w:rPr>
      </w:pPr>
      <w:r>
        <w:rPr>
          <w:rFonts w:ascii="Times New Roman" w:hAnsi="Times New Roman"/>
          <w:sz w:val="20"/>
        </w:rPr>
        <w:t xml:space="preserve">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and pulmonary hypertension associated with interstitial lung disease. </w:t>
      </w:r>
    </w:p>
    <w:p>
      <w:pPr>
        <w:pStyle w:val="TextBody"/>
        <w:bidi w:val="0"/>
        <w:spacing w:before="240" w:after="0"/>
        <w:jc w:val="left"/>
        <w:rPr>
          <w:rFonts w:ascii="Times New Roman" w:hAnsi="Times New Roman"/>
          <w:sz w:val="20"/>
        </w:rPr>
      </w:pPr>
      <w:r>
        <w:rPr>
          <w:rFonts w:ascii="Times New Roman" w:hAnsi="Times New Roman"/>
          <w:sz w:val="20"/>
        </w:rPr>
        <w:t xml:space="preserve">Our pipeline of potential treatments for orphan lung diseases includes MNKD-101, a nebulized formulation of clofazimine, for the treatment of severe chronic and recurrent pulmonary infections, including nontuberculous mycobacterial lung disease. </w:t>
      </w:r>
    </w:p>
    <w:p>
      <w:pPr>
        <w:pStyle w:val="TextBody"/>
        <w:bidi w:val="0"/>
        <w:spacing w:before="240" w:after="0"/>
        <w:jc w:val="left"/>
        <w:rPr>
          <w:rFonts w:ascii="Times New Roman" w:hAnsi="Times New Roman"/>
          <w:sz w:val="20"/>
        </w:rPr>
      </w:pPr>
      <w:r>
        <w:rPr>
          <w:rFonts w:ascii="Times New Roman" w:hAnsi="Times New Roman"/>
          <w:sz w:val="20"/>
        </w:rPr>
        <w:t>The other major program in our pipeline is MNKD-201, a dry-powder formulation of nintedanib, for the treatment of idiopathic pulmonary fibrosis.</w:t>
      </w:r>
    </w:p>
    <w:p>
      <w:pPr>
        <w:pStyle w:val="TextBody"/>
        <w:bidi w:val="0"/>
        <w:spacing w:before="480" w:after="0"/>
        <w:jc w:val="center"/>
        <w:rPr>
          <w:rFonts w:ascii="Times New Roman" w:hAnsi="Times New Roman"/>
          <w:b/>
          <w:sz w:val="20"/>
        </w:rPr>
      </w:pPr>
      <w:r>
        <w:rPr>
          <w:rFonts w:ascii="Times New Roman" w:hAnsi="Times New Roman"/>
          <w:b/>
          <w:sz w:val="20"/>
        </w:rPr>
        <w:t xml:space="preserve">Corporate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the State of Delaware on February 14, 1991. Our principal executive offices are located at 1 Casper Street, Danbury, Connecticut 06810, and our telephone number is (818) 661-5000. Our website address is www.mannkindcorp.com. Information contained on or accessible through our website is not a part of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Afrezza®, Technosphere®, BluHale®, Dreamboat®, Cricket® and V-Go, and MannKind Corporation are our trademarks in the United States. We have also applied for or have registered company trademarks in other jurisdictions. This prospectus also contains references to our trademarks and to trademarks belonging to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480" w:after="0"/>
        <w:jc w:val="center"/>
        <w:rPr>
          <w:rFonts w:ascii="Times New Roman" w:hAnsi="Times New Roman"/>
          <w:b/>
          <w:sz w:val="20"/>
        </w:rPr>
      </w:pPr>
      <w:r>
        <w:rPr>
          <w:rFonts w:ascii="Times New Roman" w:hAnsi="Times New Roman"/>
          <w:b/>
          <w:sz w:val="20"/>
        </w:rPr>
        <w:t xml:space="preserve">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our common stock, shares of our preferred stock, various series of debt securities and/or warrants to purchase any of such securities, either individually or in combination with other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date,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investors or to or through underwriters, dealers or agents. We, and our underwriters, dealers or agents, reserve the right to accept or reject all or part of any proposed purchase of securities. If we do offer securities to or through underwriters, dealers or agents, we will include in the applicable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Common Stock</w:t>
      </w:r>
      <w:r>
        <w:rPr>
          <w:rFonts w:ascii="Times New Roman" w:hAnsi="Times New Roman"/>
          <w:i/>
          <w:sz w:val="20"/>
        </w:rPr>
        <w:t>.</w:t>
      </w:r>
      <w:r>
        <w:rPr>
          <w:rFonts w:ascii="Times New Roman" w:hAnsi="Times New Roman"/>
          <w:sz w:val="20"/>
        </w:rPr>
        <w:t xml:space="preserve"> We may issue shares of our common stock from time to time. The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 </w:t>
      </w:r>
    </w:p>
    <w:p>
      <w:pPr>
        <w:pStyle w:val="TextBody"/>
        <w:bidi w:val="0"/>
        <w:spacing w:before="240" w:after="0"/>
        <w:jc w:val="left"/>
        <w:rPr>
          <w:rFonts w:ascii="Times New Roman" w:hAnsi="Times New Roman"/>
          <w:sz w:val="20"/>
        </w:rPr>
      </w:pPr>
      <w:r>
        <w:rPr>
          <w:rFonts w:ascii="Times New Roman" w:hAnsi="Times New Roman"/>
          <w:b/>
          <w:i/>
          <w:sz w:val="20"/>
        </w:rPr>
        <w:t>Preferred Stock</w:t>
      </w:r>
      <w:r>
        <w:rPr>
          <w:rFonts w:ascii="Times New Roman" w:hAnsi="Times New Roman"/>
          <w:i/>
          <w:sz w:val="20"/>
        </w:rPr>
        <w:t xml:space="preserve">. </w:t>
      </w:r>
      <w:r>
        <w:rPr>
          <w:rFonts w:ascii="Times New Roman" w:hAnsi="Times New Roman"/>
          <w:sz w:val="20"/>
        </w:rPr>
        <w:t xml:space="preserve">We may issue shares of our preferred stock from time to time, in one or more series. Under our amended and restated certificate of incorporation, as amended, our board of directors has the authority, without further 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rPr>
      </w:pPr>
      <w:r>
        <w:rPr>
          <w:rFonts w:ascii="Times New Roman" w:hAnsi="Times New Roman"/>
          <w:b/>
          <w:i/>
          <w:sz w:val="20"/>
        </w:rPr>
        <w:t>Debt Securities</w:t>
      </w:r>
      <w:r>
        <w:rPr>
          <w:rFonts w:ascii="Times New Roman" w:hAnsi="Times New Roman"/>
          <w:i/>
          <w:sz w:val="20"/>
        </w:rPr>
        <w:t xml:space="preserve">. </w:t>
      </w:r>
      <w:r>
        <w:rPr>
          <w:rFonts w:ascii="Times New Roman" w:hAnsi="Times New Roman"/>
          <w:sz w:val="20"/>
        </w:rPr>
        <w:t xml:space="preserve">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b/>
          <w:i/>
          <w:sz w:val="20"/>
        </w:rPr>
        <w:t>Warrants</w:t>
      </w:r>
      <w:r>
        <w:rPr>
          <w:rFonts w:ascii="Times New Roman" w:hAnsi="Times New Roman"/>
          <w:i/>
          <w:sz w:val="20"/>
        </w:rPr>
        <w:t xml:space="preserve">. </w:t>
      </w: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09391_3"/>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similar headings in our most recent Annual Report on Form 10-K and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cashflow could be seriously harmed. This could cause the trading price of our securities to decline, resulting in a loss of all or part of your investment. Additional risks not presently known to us or that we currently believe are immaterial may also significantly impair our business operations. Please also carefully read the section below entitled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09391_4"/>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within the meaning of Section 27A of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Such forward-looking statements include or may include statements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plans and expectations, including our ability to successfully market, commercialize and achieve market acceptance for Afrezza, V-Go or any other product candidates or therapies that we may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sufficient quantities of Afrezza and obtain insulin supply as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sufficient quantities of Tyvaso DPI to meet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 to discuss the clinical development of MNKD-201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contract manufacturer’s ability to meet our current and expected near-term demand for V-Go;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Technosphere drug delivery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for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future financial results,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or success of, and plans related to, our research, development and clinical programs, including the application for and receipt of regulatory clearances and approvals and expected timing for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and operate our business without infringing upon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service our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scientific studies and the conclusions we draw from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the sale of securities under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using the words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09391_5"/>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indicated in any prospectus supplement or in any related free writing prospectus that we may authorize to be provided to you, we currently intend to use the net proceeds from the sale of securities under this prospectus for general corporate purposes, including manufacturing expenses, clinical trial expenses, research and development expenses, sales and marketing expenses, general and administrative expenses, and other expenses associated with the commercialization of Afrezza, V-Go, any other product candidate we develop and our Technosphere drug delivery platform. We may also use a portion of the net proceeds to in-license, invest in or acquire businesses, assets or technologies that we believe are complementary to our own, although we have no current plans, commitments or agreements with respect to any acquisitions.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cannot specify with certainty all of the particular uses of the proceeds from the sale of securities under this prospectus. We will set forth in the applicable prospectus supplement or free writing prospectus our intended use for the net proceeds received from the sale of any securities sold pursuant to the prospectus supplement or free writing prospectus. Pending the use of the net proceeds from the sale of securities under this prospectus as described above, we intend to invest the net proceeds in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09391_6"/>
      <w:bookmarkEnd w:id="1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800,000,000 shares of common stock, $0.01 par value, and 10,000,000 shares of preferred stock, $0.01 par value. All of our authorized preferred stock is undesignated.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capital stock is based on the provisions of our certificate of incorporation and bylaws and the applicable provisions of the Delaware General Corporation Law (the “DGCL”). This information is qualified entirely by reference to the applicable provisions of our certificate of incorporation, bylaws and the Delaware General Corporation Law. For information on how to obtain copies of our certificate of incorporation and bylaws, which are exhibits to the registration statement of which this prospectus is a part, see “Where You Can Find More Information” and “Incorporation of Certain Information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holder of our common stock is entitled to one vote for each share on all matters submitted to a vote of our stockholders, including the election of our directors. Under our certificate of incorporation and bylaws, our stockholders will not have cumulative voting rights. Accordingly, the holders of a majority of our outstanding shares of common stock entitled to vote in any election of directors can elect all of the directors standing for election, if they should so choose. In all other matters, an action by our common stockholders requires the affirmative vote of the holders of a majority of our outstanding shares of common stock entitled to vote.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outstanding shares of our preferred stock, holders of our common stock are entitled to receive ratably any dividends our board of directors declares out of funds legally available for that purpose. Any dividends on our common stock will be non-cumulative. </w:t>
      </w:r>
    </w:p>
    <w:p>
      <w:pPr>
        <w:pStyle w:val="TextBody"/>
        <w:bidi w:val="0"/>
        <w:spacing w:before="240" w:after="0"/>
        <w:jc w:val="left"/>
        <w:rPr>
          <w:rFonts w:ascii="Times New Roman" w:hAnsi="Times New Roman"/>
          <w:sz w:val="20"/>
        </w:rPr>
      </w:pPr>
      <w:r>
        <w:rPr>
          <w:rFonts w:ascii="Times New Roman" w:hAnsi="Times New Roman"/>
          <w:i/>
          <w:sz w:val="20"/>
        </w:rPr>
        <w:t>Liquidation, Dissolution or Winding Up</w:t>
      </w:r>
      <w:r>
        <w:rPr>
          <w:rFonts w:ascii="Times New Roman" w:hAnsi="Times New Roman"/>
          <w:sz w:val="20"/>
        </w:rPr>
        <w:t xml:space="preserve">. If we liquidate, dissolve or wind up, the holders of our common stock are entitled to share ratably in all assets legally available for distribution to our stockholders after the payment of all of our debts and other liabilities and the satisfaction of any liquidation preference granted to the holders of any outstanding shares of our preferred stock. </w:t>
      </w:r>
    </w:p>
    <w:p>
      <w:pPr>
        <w:pStyle w:val="TextBody"/>
        <w:bidi w:val="0"/>
        <w:spacing w:before="240" w:after="0"/>
        <w:jc w:val="left"/>
        <w:rPr>
          <w:rFonts w:ascii="Times New Roman" w:hAnsi="Times New Roman"/>
          <w:sz w:val="20"/>
        </w:rPr>
      </w:pPr>
      <w:r>
        <w:rPr>
          <w:rFonts w:ascii="Times New Roman" w:hAnsi="Times New Roman"/>
          <w:i/>
          <w:sz w:val="20"/>
        </w:rPr>
        <w:t>Rights and Preferences</w:t>
      </w:r>
      <w:r>
        <w:rPr>
          <w:rFonts w:ascii="Times New Roman" w:hAnsi="Times New Roman"/>
          <w:sz w:val="20"/>
        </w:rPr>
        <w:t xml:space="preserve">. Our common stock has no preemptive, conversion or subscription rights. There are no redemption or sinking fund provisions applicable to our common stock. The rights, preferences and privileges of the holders of our common stock are subject to, and may be adversely affected by, the rights of the holders of any outstanding shares of our preferred stock, which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our board of directors has the authority, without further action by the stockholders (unless such stockholder action is required by applicable law or Nasdaq rules), to designate and issue up to 10,000,000 shares of preferred stock in one or more series, to establish from time to time the number of shares to be included in each such series, to fix the designations, voting powers, preferences and rights of the shares of each wholly unissued series, and any qualifications, limitations or restrictions thereof,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from reports that we file with the SEC, the form of any certificate of designation that describes the terms of the series of preferred stock we are offering before the issuance of that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payment date or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or other securities of ours, and, if applicable, the exchange price, or how it will be calculated, and under what circumstances it may be adjusted,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shares of preferred stock under this prospectus, the shares will be fully-paid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Bylaws and Delaware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of the DGCL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our amended and restated certificate of incorporation, as amended, and amended and restated bylaws, may delay or discourage transactions involving an actual or potential change in our control or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as amended,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issue up to 10,000,000 shares of preferred stock, with any rights, preferences and privileges as they may designate;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the holders of any outstanding series of preferred stock,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may fix the number of directors by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seeking to present proposals before a meeting of stockholders or to nominate candidates for election as directors at a meeting of stockholders must provide timely notice in writing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provide for cumulative voting rights (therefore allowing the holders of a majority of the shares of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be called only by the Chairman of our board of directors, by our Chief Executive Officer, by our board of directors upon a resolution adopted by a majority of the total number of authorized directors or, under certain limited circumstances, by the holders of at least 5% of our outstanding voting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 02021.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Global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“MNKD.”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09391_7"/>
      <w:bookmarkEnd w:id="2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09391_8"/>
      <w:bookmarkEnd w:id="2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09391_9"/>
      <w:bookmarkEnd w:id="22"/>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security issued in global form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may be terminated in certain situations as described below under “Special Situations When a Global Security Will be Terminated,” or we may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third-party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09391_10"/>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at market prices prevailing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or their affiliates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underwriters who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09391_11"/>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w:t>
      </w:r>
    </w:p>
    <w:p>
      <w:pPr>
        <w:pStyle w:val="TextBody"/>
        <w:bidi w:val="0"/>
        <w:spacing w:before="480" w:after="0"/>
        <w:jc w:val="center"/>
        <w:rPr>
          <w:rFonts w:ascii="Times New Roman" w:hAnsi="Times New Roman"/>
          <w:b/>
          <w:sz w:val="20"/>
        </w:rPr>
      </w:pPr>
      <w:bookmarkStart w:id="25" w:name="tx109391_12"/>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MannKind Corporation as of December 31, 2024 and 2023, and for each of three years in the period ended December 31, 2024, incorporated by reference in this Prospectus and the effectiveness of our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480" w:after="0"/>
        <w:jc w:val="center"/>
        <w:rPr>
          <w:rFonts w:ascii="Times New Roman" w:hAnsi="Times New Roman"/>
          <w:b/>
          <w:sz w:val="20"/>
        </w:rPr>
      </w:pPr>
      <w:bookmarkStart w:id="26" w:name="tx109391_13"/>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under the Securities Act and does not contain all of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MannKind Corporation.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www.mannkindcorp.com. Information contained in or accessible through our website does not constitute a part of this prospectus. We have included our website address as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09391_14"/>
      <w:bookmarkEnd w:id="2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after the filing and concurrent effectiveness of the registration statement but prior to the termination of all offerings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26,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fiscal year ended December  31, 2023 from 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April 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15">
              <w:r>
                <w:rPr>
                  <w:rStyle w:val="InternetLink"/>
                  <w:rFonts w:ascii="Times New Roman" w:hAnsi="Times New Roman"/>
                  <w:sz w:val="20"/>
                </w:rPr>
                <w:t>January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16">
              <w:r>
                <w:rPr>
                  <w:rStyle w:val="InternetLink"/>
                  <w:rFonts w:ascii="Times New Roman" w:hAnsi="Times New Roman"/>
                  <w:sz w:val="20"/>
                </w:rPr>
                <w:t>Exhibit 4.3</w:t>
              </w:r>
            </w:hyperlink>
            <w:r>
              <w:rPr>
                <w:rFonts w:ascii="Times New Roman" w:hAnsi="Times New Roman"/>
                <w:sz w:val="20"/>
              </w:rPr>
              <w:t xml:space="preserve"> to our Annual Report for the fiscal year ended December 31, 2023, filed with the SEC on February 27, 2024,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1 Casper Street, Danbury, Connecticut 06810, Attn: Corporate Secretary, or by telephoning us at (818) 661-5000.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Normal"/>
        <w:bidi w:val="0"/>
        <w:spacing w:before="0" w:after="0"/>
        <w:jc w:val="left"/>
        <w:rPr>
          <w:sz w:val="4"/>
          <w:szCs w:val="4"/>
        </w:rPr>
      </w:pPr>
      <w:r>
        <w:rPr>
          <w:sz w:val="4"/>
          <w:szCs w:val="4"/>
        </w:rPr>
      </w:r>
      <w:bookmarkStart w:id="28" w:name="d109391dexfilingfees.htm"/>
      <w:bookmarkStart w:id="29" w:name="ksd109391dexfilingfees"/>
      <w:bookmarkStart w:id="30" w:name="d109391dexfilingfees.htm"/>
      <w:bookmarkStart w:id="31" w:name="ksd109391dexfilingfees"/>
      <w:bookmarkEnd w:id="30"/>
      <w:bookmarkEnd w:id="31"/>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MANNKIND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12,853,470 </w:t>
            </w:r>
          </w:p>
        </w:tc>
        <w:tc>
          <w:tcPr>
            <w:tcW w:w="1156" w:type="dxa"/>
            <w:tcBorders/>
            <w:shd w:fill="E7E7E2" w:val="clear"/>
            <w:vAlign w:val="center"/>
          </w:tcPr>
          <w:p>
            <w:pPr>
              <w:pStyle w:val="TableContents"/>
              <w:bidi w:val="0"/>
              <w:spacing w:before="0" w:after="283"/>
              <w:jc w:val="right"/>
              <w:rPr/>
            </w:pPr>
            <w:r>
              <w:rPr/>
              <w:t xml:space="preserve">$ 3.77 </w:t>
            </w:r>
          </w:p>
        </w:tc>
        <w:tc>
          <w:tcPr>
            <w:tcW w:w="1666" w:type="dxa"/>
            <w:tcBorders/>
            <w:shd w:fill="E7E7E2" w:val="clear"/>
            <w:vAlign w:val="center"/>
          </w:tcPr>
          <w:p>
            <w:pPr>
              <w:pStyle w:val="TableContents"/>
              <w:bidi w:val="0"/>
              <w:spacing w:before="0" w:after="283"/>
              <w:jc w:val="right"/>
              <w:rPr/>
            </w:pPr>
            <w:r>
              <w:rPr/>
              <w:t xml:space="preserve">$ 48,457,581.90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$ 6,691.99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 w:name="MaxAggtOfferingPrice"/>
            <w:bookmarkEnd w:id="32"/>
            <w:r>
              <w:rPr/>
              <w:t xml:space="preserve">$ 48,457,581.90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$ 6,691.99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$ 6,691.99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This "Calculation of Filing Fee Table" shall be deemed to update the "Calculation of Filing Fee Table" in the registrant's registration statement on Form S-3ASR (File No. 333-285286) filed with the Securities and Exchange Commission on February 26, 2025 (the "Registration Statement"). Amount Registered represents shares of common stock offered by the selling stockholders in this prospectus supplement and includes an indeterminate number of additional shares of common stock that, pursuant to Rule 416 under the Securities Act of 1933, as amended (the "Securities Act"), may be issued to prevent dilution from stock splits, stock dividends or similar transactions that could affect the shares to be offered by the selling stockholders. The filing fee, calculated in accordance with Rule 457(r) under the Securities Act, has been transmitted to the Securities and Exchange Commission in connection with the securities offered by means of this prospectus supplement. Proposed Maximum Offering Price per Unit and Maximum Aggregate Offering Price are estimated solely for the purpose of calculating the amount of the registration fee pursuant to Rule 457(c) under the Securities Act, based upon the average of the high and low prices of the registrant's common stock as reported on the Nasdaq Global Market on August 14, 2026, which was $3.77.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$48,457,581.90.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899460/000119312526073516/mnkd-20251231.htm" TargetMode="External"/><Relationship Id="rId4" Type="http://schemas.openxmlformats.org/officeDocument/2006/relationships/hyperlink" Target="http://www.sec.gov/Archives/edgar/data/../../../ix?doc=/Archives/edgar/data/899460/000119312526145613/mnkd-20260407.htm" TargetMode="External"/><Relationship Id="rId5" Type="http://schemas.openxmlformats.org/officeDocument/2006/relationships/hyperlink" Target="http://www.sec.gov/Archives/edgar/data/../../../ix?doc=/Archives/edgar/data/899460/000119312526208916/mnkd-20260331.htm" TargetMode="External"/><Relationship Id="rId6" Type="http://schemas.openxmlformats.org/officeDocument/2006/relationships/hyperlink" Target="http://www.sec.gov/Archives/edgar/data/../../../ix?doc=/Archives/edgar/data/899460/000119312526335054/mnkd-20260630.htm" TargetMode="External"/><Relationship Id="rId7" Type="http://schemas.openxmlformats.org/officeDocument/2006/relationships/hyperlink" Target="http://www.sec.gov/Archives/edgar/data/../../../ix?doc=/Archives/edgar/data/899460/000119312526237183/mnkd-20260520.htm" TargetMode="External"/><Relationship Id="rId8" Type="http://schemas.openxmlformats.org/officeDocument/2006/relationships/hyperlink" Target="http://www.sec.gov/Archives/edgar/data/../../../ix?doc=/Archives/edgar/data/899460/000119312526243074/mnkd-20260527.htm" TargetMode="External"/><Relationship Id="rId9" Type="http://schemas.openxmlformats.org/officeDocument/2006/relationships/hyperlink" Target="http://www.sec.gov/Archives/edgar/data/../../../ix?doc=/Archives/edgar/data/899460/000119312526252544/mnkd-20260529.htm" TargetMode="External"/><Relationship Id="rId10" Type="http://schemas.openxmlformats.org/officeDocument/2006/relationships/hyperlink" Target="http://www.sec.gov/Archives/edgar/data/../../../ix?doc=/Archives/edgar/data/899460/000119312526316041/d63182d8k.htm" TargetMode="External"/><Relationship Id="rId11" Type="http://schemas.openxmlformats.org/officeDocument/2006/relationships/hyperlink" Target="http://www.sec.gov/Archives/edgar/data/899460/000095017024021423/mnkd-ex4_3.htm" TargetMode="External"/><Relationship Id="rId12" Type="http://schemas.openxmlformats.org/officeDocument/2006/relationships/image" Target="media/image2.jpeg"/><Relationship Id="rId13" Type="http://schemas.openxmlformats.org/officeDocument/2006/relationships/hyperlink" Target="http://www.sec.gov/Archives/edgar/data/899460/000095017025027735/mnkd-20241231.htm" TargetMode="External"/><Relationship Id="rId14" Type="http://schemas.openxmlformats.org/officeDocument/2006/relationships/hyperlink" Target="http://www.sec.gov/Archives/edgar/data/../../../ix?doc=/Archives/edgar/data/899460/000095017024042052/mnkd-20240405.htm" TargetMode="External"/><Relationship Id="rId15" Type="http://schemas.openxmlformats.org/officeDocument/2006/relationships/hyperlink" Target="http://www.sec.gov/Archives/edgar/data/899460/000095017025002291/mnkd-20250102.htm" TargetMode="External"/><Relationship Id="rId16" Type="http://schemas.openxmlformats.org/officeDocument/2006/relationships/hyperlink" Target="http://www.sec.gov/Archives/edgar/data/899460/000095017024021423/mnkd-ex4_3.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22910</Words>
  <Characters>121524</Characters>
  <CharactersWithSpaces>145068</CharactersWithSpaces>
  <Paragraphs>1881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