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1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10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180" w:val="left"/>
          <w:tab w:leader="none" w:pos="4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jc w:val="center"/>
        <w:ind w:right="-29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7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5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780" w:type="dxa"/>
            <w:vAlign w:val="bottom"/>
          </w:tcPr>
          <w:p>
            <w:pPr>
              <w:jc w:val="center"/>
              <w:ind w:right="1910"/>
              <w:spacing w:after="0"/>
              <w:rPr>
                <w:sz w:val="20"/>
                <w:szCs w:val="20"/>
                <w:color w:val="auto"/>
              </w:rPr>
            </w:pPr>
            <w:r>
              <w:rPr>
                <w:rFonts w:ascii="Arial" w:cs="Arial" w:eastAsia="Arial" w:hAnsi="Arial"/>
                <w:sz w:val="18"/>
                <w:szCs w:val="18"/>
                <w:i w:val="1"/>
                <w:iCs w:val="1"/>
                <w:color w:val="auto"/>
                <w:w w:val="93"/>
              </w:rPr>
              <w:t>(State or other jurisdiction of</w:t>
            </w:r>
          </w:p>
        </w:tc>
        <w:tc>
          <w:tcPr>
            <w:tcW w:w="330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4"/>
              </w:rPr>
              <w:t>incorporation or organization)</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478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28903 North Avenue Paine</w:t>
            </w:r>
          </w:p>
        </w:tc>
        <w:tc>
          <w:tcPr>
            <w:tcW w:w="3300" w:type="dxa"/>
            <w:vAlign w:val="bottom"/>
          </w:tcPr>
          <w:p>
            <w:pPr>
              <w:jc w:val="right"/>
              <w:ind w:right="350"/>
              <w:spacing w:after="0"/>
              <w:rPr>
                <w:sz w:val="20"/>
                <w:szCs w:val="20"/>
                <w:color w:val="auto"/>
              </w:rPr>
            </w:pPr>
            <w:r>
              <w:rPr>
                <w:rFonts w:ascii="Arial" w:cs="Arial" w:eastAsia="Arial" w:hAnsi="Arial"/>
                <w:sz w:val="18"/>
                <w:szCs w:val="18"/>
                <w:b w:val="1"/>
                <w:bCs w:val="1"/>
                <w:color w:val="auto"/>
              </w:rPr>
              <w:t>91355</w:t>
            </w:r>
          </w:p>
        </w:tc>
      </w:tr>
      <w:tr>
        <w:trPr>
          <w:trHeight w:val="220"/>
        </w:trPr>
        <w:tc>
          <w:tcPr>
            <w:tcW w:w="478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Valencia, California</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1"/>
              </w:rPr>
              <w:t>(Zip Code)</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300" w:type="dxa"/>
            <w:vAlign w:val="bottom"/>
          </w:tcPr>
          <w:p>
            <w:pPr>
              <w:spacing w:after="0"/>
              <w:rPr>
                <w:sz w:val="20"/>
                <w:szCs w:val="20"/>
                <w:color w:val="auto"/>
              </w:rPr>
            </w:pPr>
          </w:p>
        </w:tc>
      </w:tr>
    </w:tbl>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Registrant’s telephone number, including area code)</w:t>
      </w:r>
    </w:p>
    <w:p>
      <w:pPr>
        <w:spacing w:after="0" w:line="103" w:lineRule="exact"/>
        <w:rPr>
          <w:sz w:val="20"/>
          <w:szCs w:val="20"/>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right="2740" w:firstLine="3026"/>
        <w:spacing w:after="0" w:line="283" w:lineRule="exact"/>
        <w:rPr>
          <w:sz w:val="20"/>
          <w:szCs w:val="20"/>
          <w:color w:val="auto"/>
        </w:rPr>
      </w:pPr>
      <w:r>
        <w:rPr>
          <w:rFonts w:ascii="Arial" w:cs="Arial" w:eastAsia="Arial" w:hAnsi="Arial"/>
          <w:sz w:val="16"/>
          <w:szCs w:val="16"/>
          <w:color w:val="auto"/>
        </w:rPr>
        <w:t xml:space="preserve">Large accelerated filer o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o Indicate by check mark whether the registrant is a shell company (as defined in Rule 12b-2 of the Act). Yes o No </w:t>
      </w:r>
      <w:r>
        <w:rPr>
          <w:rFonts w:ascii="MS PGothic" w:cs="MS PGothic" w:eastAsia="MS PGothic" w:hAnsi="MS PGothic"/>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As of May 7, 2007, there were 73,418,614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2" w:right="519"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FINANCIAL INFORMATION</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 March 31, 2007 and December 31, 2006</w:t>
        </w:r>
      </w:hyperlink>
    </w:p>
    <w:p>
      <w:pPr>
        <w:spacing w:after="0" w:line="9" w:lineRule="exact"/>
        <w:rPr>
          <w:sz w:val="20"/>
          <w:szCs w:val="20"/>
          <w:color w:val="auto"/>
        </w:rPr>
      </w:pPr>
    </w:p>
    <w:p>
      <w:pPr>
        <w:ind w:right="79"/>
        <w:spacing w:after="0" w:line="250"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Three months ended March 31, 2007 and 2006 and the period from inception (February 14, 1991) to</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March 31, 2007</w:t>
        </w:r>
      </w:hyperlink>
    </w:p>
    <w:p>
      <w:pPr>
        <w:spacing w:after="0" w:line="1" w:lineRule="exact"/>
        <w:rPr>
          <w:sz w:val="20"/>
          <w:szCs w:val="20"/>
          <w:color w:val="auto"/>
        </w:rPr>
      </w:pPr>
    </w:p>
    <w:p>
      <w:pPr>
        <w:ind w:right="19"/>
        <w:spacing w:after="0" w:line="250"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 Three months ended March 31, 2007 and 2006 and the period from inception (February 14, 1991) to</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March 31, 2007</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w:t>
        </w:r>
      </w:hyperlink>
    </w:p>
    <w:p>
      <w:pPr>
        <w:spacing w:after="0" w:line="9" w:lineRule="exact"/>
        <w:rPr>
          <w:sz w:val="20"/>
          <w:szCs w:val="20"/>
          <w:color w:val="auto"/>
        </w:rPr>
      </w:pPr>
    </w:p>
    <w:p>
      <w:pPr>
        <w:ind w:right="3199"/>
        <w:spacing w:after="0" w:line="250" w:lineRule="auto"/>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Item 4. Controls and Procedures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PART II: 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1. Legal Proceedings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1A. Risk Factors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2. Unregistered Sales of Equity Securities and Use of Proceeds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3. Defaults Upon Senior Securities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4. Submission of Matters to a Vote of Security Holders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5. 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6. Exhibits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EXHIBIT 31.1</w:t>
      </w:r>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EXHIBIT 31.2</w:t>
      </w:r>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EXHIBIT 32</w:t>
      </w:r>
    </w:p>
    <w:p>
      <w:pPr>
        <w:spacing w:after="0" w:line="184" w:lineRule="exact"/>
        <w:rPr>
          <w:rFonts w:ascii="Arial" w:cs="Arial" w:eastAsia="Arial" w:hAnsi="Arial"/>
          <w:sz w:val="18"/>
          <w:szCs w:val="18"/>
          <w:u w:val="single" w:color="auto"/>
          <w:color w:val="0000EE"/>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March 31, 2007</w:t>
            </w: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w w:val="98"/>
              </w:rPr>
              <w:t>December 31, 2006</w:t>
            </w: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ind w:left="37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262,753</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319,555</w:t>
            </w:r>
          </w:p>
        </w:tc>
        <w:tc>
          <w:tcPr>
            <w:tcW w:w="0" w:type="dxa"/>
            <w:vAlign w:val="bottom"/>
          </w:tcPr>
          <w:p>
            <w:pPr>
              <w:spacing w:after="0"/>
              <w:rPr>
                <w:sz w:val="1"/>
                <w:szCs w:val="1"/>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102,824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116,924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research and development credit exchange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23"/>
        </w:trPr>
        <w:tc>
          <w:tcPr>
            <w:tcW w:w="85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383,209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449,547</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98,622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88,328</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482,567</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539,737</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10,123</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10,715</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45,730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34,244</w:t>
            </w:r>
          </w:p>
        </w:tc>
        <w:tc>
          <w:tcPr>
            <w:tcW w:w="0" w:type="dxa"/>
            <w:vAlign w:val="bottom"/>
          </w:tcPr>
          <w:p>
            <w:pPr>
              <w:spacing w:after="0"/>
              <w:rPr>
                <w:sz w:val="1"/>
                <w:szCs w:val="1"/>
                <w:color w:val="auto"/>
              </w:rPr>
            </w:pPr>
          </w:p>
        </w:tc>
      </w:tr>
      <w:tr>
        <w:trPr>
          <w:trHeight w:val="223"/>
        </w:trPr>
        <w:tc>
          <w:tcPr>
            <w:tcW w:w="85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55,853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111,406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111,267</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167,283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156,250</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80" w:type="dxa"/>
            <w:vAlign w:val="bottom"/>
          </w:tcPr>
          <w:p>
            <w:pPr>
              <w:spacing w:after="0" w:line="201" w:lineRule="exact"/>
              <w:rPr>
                <w:sz w:val="20"/>
                <w:szCs w:val="20"/>
                <w:color w:val="auto"/>
              </w:rPr>
            </w:pPr>
            <w:r>
              <w:rPr>
                <w:rFonts w:ascii="Arial" w:cs="Arial" w:eastAsia="Arial" w:hAnsi="Arial"/>
                <w:sz w:val="18"/>
                <w:szCs w:val="18"/>
                <w:color w:val="auto"/>
              </w:rPr>
              <w:t>Undesignated preferred stock, $0.01 par value — 10,000,000 shares authorized; no shares issued or</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20"/>
              <w:spacing w:after="0"/>
              <w:rPr>
                <w:sz w:val="20"/>
                <w:szCs w:val="20"/>
                <w:color w:val="auto"/>
              </w:rPr>
            </w:pPr>
            <w:r>
              <w:rPr>
                <w:rFonts w:ascii="Arial" w:cs="Arial" w:eastAsia="Arial" w:hAnsi="Arial"/>
                <w:sz w:val="18"/>
                <w:szCs w:val="18"/>
                <w:color w:val="auto"/>
              </w:rPr>
              <w:t>outstanding at March 31, 2007 and December 31, 2006</w:t>
            </w: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$0.01 par value — 90,000,000 shares authorized; 73,407,583 and 73,360,154 shares issued</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outstanding at March 31, 2007 and December 31, 2006, respectively</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734</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1,175,540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1,170,602</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(860,990)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(787,849)</w:t>
            </w:r>
          </w:p>
        </w:tc>
        <w:tc>
          <w:tcPr>
            <w:tcW w:w="0" w:type="dxa"/>
            <w:vAlign w:val="bottom"/>
          </w:tcPr>
          <w:p>
            <w:pPr>
              <w:spacing w:after="0"/>
              <w:rPr>
                <w:sz w:val="1"/>
                <w:szCs w:val="1"/>
                <w:color w:val="auto"/>
              </w:rPr>
            </w:pPr>
          </w:p>
        </w:tc>
      </w:tr>
      <w:tr>
        <w:trPr>
          <w:trHeight w:val="230"/>
        </w:trPr>
        <w:tc>
          <w:tcPr>
            <w:tcW w:w="858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315,284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383,487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482,567</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539,737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7"/>
            <w:vMerge w:val="restart"/>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gridSpan w:val="4"/>
          </w:tcPr>
          <w:p>
            <w:pPr>
              <w:jc w:val="center"/>
              <w:ind w:left="119"/>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7"/>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March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63,788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35,950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13,550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9,138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153,526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45,088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878,664</w:t>
            </w: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(77,328)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(44,988)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(875,696)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100" w:type="dxa"/>
            <w:vAlign w:val="bottom"/>
          </w:tcPr>
          <w:p>
            <w:pPr>
              <w:spacing w:after="0"/>
              <w:rPr>
                <w:sz w:val="18"/>
                <w:szCs w:val="18"/>
                <w:color w:val="auto"/>
              </w:rPr>
            </w:pPr>
          </w:p>
        </w:tc>
        <w:tc>
          <w:tcPr>
            <w:tcW w:w="1240" w:type="dxa"/>
            <w:vAlign w:val="bottom"/>
            <w:gridSpan w:val="3"/>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(1,145)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5,280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1,380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w w:val="92"/>
              </w:rPr>
              <w:t>(73,141)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(43,558)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(860,969)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w w:val="92"/>
              </w:rPr>
              <w:t>(73,141)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(43,559)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(860,990)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Deemed dividend related to beneficial conversion feature of convertible preferred stock</w:t>
            </w:r>
          </w:p>
        </w:tc>
        <w:tc>
          <w:tcPr>
            <w:tcW w:w="100" w:type="dxa"/>
            <w:vAlign w:val="bottom"/>
          </w:tcPr>
          <w:p>
            <w:pPr>
              <w:spacing w:after="0"/>
              <w:rPr>
                <w:sz w:val="18"/>
                <w:szCs w:val="18"/>
                <w:color w:val="auto"/>
              </w:rPr>
            </w:pPr>
          </w:p>
        </w:tc>
        <w:tc>
          <w:tcPr>
            <w:tcW w:w="1240" w:type="dxa"/>
            <w:vAlign w:val="bottom"/>
            <w:gridSpan w:val="3"/>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(73,141</w:t>
            </w:r>
          </w:p>
        </w:tc>
        <w:tc>
          <w:tcPr>
            <w:tcW w:w="660" w:type="dxa"/>
            <w:vAlign w:val="bottom"/>
            <w:gridSpan w:val="2"/>
          </w:tcPr>
          <w:p>
            <w:pPr>
              <w:jc w:val="right"/>
              <w:ind w:right="528"/>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(43,559</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(884,202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(1.00)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 applicable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73,388</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49,787</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40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gridSpan w:val="3"/>
          </w:tcPr>
          <w:p>
            <w:pPr>
              <w:jc w:val="center"/>
              <w:ind w:left="111"/>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40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March 31,</w:t>
            </w:r>
          </w:p>
        </w:tc>
        <w:tc>
          <w:tcPr>
            <w:tcW w:w="68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center"/>
              <w:ind w:left="211"/>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w w:val="87"/>
              </w:rPr>
              <w:t>$ (73,141)</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w w:val="87"/>
              </w:rPr>
              <w:t>$ (43,559)</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 (860,990)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2,170</w:t>
            </w:r>
          </w:p>
        </w:tc>
        <w:tc>
          <w:tcPr>
            <w:tcW w:w="66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2,000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6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3,711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Stock expense for shares issued pursuant to research agreement</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sale and abandonment/disposal of property and equipment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Accrued interest on investments, net of amortization of premiums</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197</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 development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Discount on stockholder notes below market rate</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compensation expense of officer resulting from stockholder contribution</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Accrued interest expense on notes payable to stockholders</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interest expense</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Accrued interest on notes receivable</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 impairment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Loss on available-for-sale securities</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600"/>
              <w:spacing w:after="0"/>
              <w:rPr>
                <w:sz w:val="20"/>
                <w:szCs w:val="20"/>
                <w:color w:val="auto"/>
              </w:rPr>
            </w:pPr>
            <w:r>
              <w:rPr>
                <w:rFonts w:ascii="Arial" w:cs="Arial" w:eastAsia="Arial" w:hAnsi="Arial"/>
                <w:sz w:val="18"/>
                <w:szCs w:val="18"/>
                <w:color w:val="auto"/>
              </w:rPr>
              <w:t>State research and development credit exchange receivable</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(375)</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306</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(3,064)</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(2,863)</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1</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(2)</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(592)</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tcPr>
          <w:p>
            <w:pPr>
              <w:jc w:val="right"/>
              <w:spacing w:after="0"/>
              <w:rPr>
                <w:sz w:val="20"/>
                <w:szCs w:val="20"/>
                <w:color w:val="auto"/>
              </w:rPr>
            </w:pPr>
            <w:r>
              <w:rPr>
                <w:rFonts w:ascii="Arial" w:cs="Arial" w:eastAsia="Arial" w:hAnsi="Arial"/>
                <w:sz w:val="18"/>
                <w:szCs w:val="18"/>
                <w:color w:val="auto"/>
              </w:rPr>
              <w:t>5,635</w:t>
            </w:r>
          </w:p>
        </w:tc>
        <w:tc>
          <w:tcPr>
            <w:tcW w:w="66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2,431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39,879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(64,817)</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(37,323)</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(3,450)</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(16,250)</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(560,599)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Sales of marketable securities</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17,550</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48,950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457,490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(6,474)</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(6,106)</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(137,616)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800"/>
              <w:spacing w:after="0"/>
              <w:rPr>
                <w:sz w:val="20"/>
                <w:szCs w:val="20"/>
                <w:color w:val="auto"/>
              </w:rPr>
            </w:pPr>
            <w:r>
              <w:rPr>
                <w:rFonts w:ascii="Arial" w:cs="Arial" w:eastAsia="Arial" w:hAnsi="Arial"/>
                <w:sz w:val="18"/>
                <w:szCs w:val="18"/>
                <w:color w:val="auto"/>
              </w:rPr>
              <w:t>Net cash provided by (used in) investing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7,626</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26,594</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Issuance of common stock and warrants</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429</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581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884,337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391"/>
        </w:trPr>
        <w:tc>
          <w:tcPr>
            <w:tcW w:w="7800" w:type="dxa"/>
            <w:vAlign w:val="bottom"/>
            <w:gridSpan w:val="2"/>
          </w:tcPr>
          <w:p>
            <w:pPr>
              <w:jc w:val="right"/>
              <w:ind w:right="195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6"/>
            <w:vMerge w:val="restart"/>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6"/>
            <w:vMerge w:val="continue"/>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Borrowings on notes payable from principal stockholder</w:t>
            </w: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1,071,474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2"/>
              </w:rPr>
              <w:t>(56,802)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(10,148)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319,555</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56,037</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262,753</w:t>
            </w:r>
          </w:p>
        </w:tc>
        <w:tc>
          <w:tcPr>
            <w:tcW w:w="6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262,753</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Interest paid in cash</w:t>
            </w: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on redeemable convertible preferred stock</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Issuance of common stock upon conversion of notes payable</w:t>
            </w: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additional paid-in capital resulting from merger</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Issuance of common stock for notes receivable</w:t>
            </w: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put option by stockholder</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Put option redemption by stockholder</w:t>
            </w: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receivable by stockholder issued to officers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Issuance of Series C convertible preferred stock subscriptions</w:t>
            </w: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A redeemable convertible preferred stock</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12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construction in progress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accompanying unaudited consolidated financial statements of MannKind Corporation (the “Company”), have been prepared in accordance with generally accepted accounting principles in the United States of America for interim financial information and with the instructions to Form 10-Q and Article 10 of Regulation S-X of the Securities and Exchange Commission (the “SEC”). Accordingly, they do not include all of the information and footnotes required by generally accepted accounting principles in the United States of America for complete financial statements. These statements should be read in conjunction with the consolidated financial statements and notes thereto included in the Company’s latest audited annual financial statements. The audited statements for the year ended December 31, 2006 are included in the Company’s annual report on Form 10-K for the fiscal year ended December 31, 2006 filed with the SEC on March 16, 2007 (the “Annual Report”).</w:t>
      </w:r>
    </w:p>
    <w:p>
      <w:pPr>
        <w:spacing w:after="0" w:line="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2007 may not be indicative of the results that may be expected for the full year.</w:t>
      </w:r>
    </w:p>
    <w:p>
      <w:pPr>
        <w:spacing w:after="0" w:line="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50"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b w:val="1"/>
          <w:bCs w:val="1"/>
          <w:i w:val="1"/>
          <w:iCs w:val="1"/>
          <w:color w:val="auto"/>
        </w:rPr>
        <w:t xml:space="preserve">Business </w:t>
      </w:r>
      <w:r>
        <w:rPr>
          <w:rFonts w:ascii="Arial" w:cs="Arial" w:eastAsia="Arial" w:hAnsi="Arial"/>
          <w:sz w:val="18"/>
          <w:szCs w:val="18"/>
          <w:color w:val="auto"/>
        </w:rPr>
        <w:t>— MannKind Corporation is a biopharmaceutical company focused on the development and commercialization of therapeutic products for diseases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diabetes and cancer. The Company’s lead investigational product candidate, the Technosphere Insulin System, is currently in Phase 3 clinical trials in the U.S., Europe and Latin America to study its safety and efficacy in the treatment of diabetes. The Technosphere Insulin System consists of the Company’s proprietary Technosphere particles onto which insulin molecules are loaded. These loaded particles are then aerosolized and inhaled deep into the lung using the Company’s MedTone inhaler.</w:t>
      </w:r>
    </w:p>
    <w:p>
      <w:pPr>
        <w:spacing w:after="0" w:line="8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 The Company is considered to be in the development stage as its primary activities since incorporation have been establishing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facilities, recruiting personnel, conducting research and development, business development, business and financial planning, and raising capital. Since its inception through March 31, 2007 the Company has reported accumulated net losses of $861.0 million, which include a goodwill impairment charge of $151.4 million, and negative cash flow from operations of $568.2 million. It is costly to develop therapeutic products and conduct clinical trials for these products. Based upon the Company’s current expectations, management believes the Company’s existing capital resources will enable it to continue planned operations into the second quarter of 2008. However, the Company cannot provide assurances that its plans will not change or that changed circumstances will not result in the depletion of its capital resources more rapidly than it currently anticipates. Accordingly, the Company expects that it will need to raise additional capital, either through the sale of equity and/or debt securities, a strategic business collaboration with a pharmaceutical company or the establishment of other funding facilities, in order to continue the development and commercialization of its Technosphere Insulin System and other product candidates and to support its other ongoing activities.</w:t>
      </w:r>
    </w:p>
    <w:p>
      <w:pPr>
        <w:spacing w:after="0" w:line="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Segment Information </w:t>
      </w:r>
      <w:r>
        <w:rPr>
          <w:rFonts w:ascii="Arial" w:cs="Arial" w:eastAsia="Arial" w:hAnsi="Arial"/>
          <w:sz w:val="16"/>
          <w:szCs w:val="16"/>
          <w:color w:val="auto"/>
        </w:rPr>
        <w:t>— In accordance with Statement of Financial Accounting Standards (“SFAS”) No. 131,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Disclosures about Segments of an Enterprise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and Related Information</w:t>
      </w:r>
      <w:r>
        <w:rPr>
          <w:rFonts w:ascii="Arial" w:cs="Arial" w:eastAsia="Arial" w:hAnsi="Arial"/>
          <w:sz w:val="16"/>
          <w:szCs w:val="16"/>
          <w:color w:val="auto"/>
        </w:rPr>
        <w:t>, operating segments are identified as components of an enterprise about which separate discrete financial information is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by the chief operating decision-maker in making decisions regarding resource allocation and assessing performance. To date, the Company has viewed its operations and manages its business as one segment operating entirely in the United States of America.</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Recently Issued Accounting Standards — </w:t>
      </w:r>
      <w:r>
        <w:rPr>
          <w:rFonts w:ascii="Arial" w:cs="Arial" w:eastAsia="Arial" w:hAnsi="Arial"/>
          <w:sz w:val="18"/>
          <w:szCs w:val="18"/>
          <w:color w:val="auto"/>
        </w:rPr>
        <w:t>In February 2007, the Accounting Standards Board (“FASB”) issued SFAS No. 159,</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The Fair Value Option for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Financial Assets and Financial Liabilities</w:t>
      </w:r>
      <w:r>
        <w:rPr>
          <w:rFonts w:ascii="Arial" w:cs="Arial" w:eastAsia="Arial" w:hAnsi="Arial"/>
          <w:sz w:val="18"/>
          <w:szCs w:val="18"/>
          <w:color w:val="auto"/>
        </w:rPr>
        <w:t>, which permits entities to choose to measure many financial instruments and certain other items at fair value. SFAS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 159 also includes an amendment to SFAS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xml:space="preserve"> which applies to all entities with available-for-sale and trading securities. This Statement is effective as of the beginning of an entity’s first fiscal year that begins after November 15, 2007. The Company is assessing the impact of SFAS No. 159 and has not determined whether it will have a material impact on its results of operations or financial position.</w:t>
      </w:r>
    </w:p>
    <w:p>
      <w:pPr>
        <w:spacing w:after="0" w:line="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September 2006, the FASB issued SFAS No. 157</w:t>
      </w:r>
      <w:r>
        <w:rPr>
          <w:rFonts w:ascii="Arial" w:cs="Arial" w:eastAsia="Arial" w:hAnsi="Arial"/>
          <w:sz w:val="18"/>
          <w:szCs w:val="18"/>
          <w:i w:val="1"/>
          <w:iCs w:val="1"/>
          <w:color w:val="auto"/>
        </w:rPr>
        <w:t>, Fair Value Measurements</w:t>
      </w:r>
      <w:r>
        <w:rPr>
          <w:rFonts w:ascii="Arial" w:cs="Arial" w:eastAsia="Arial" w:hAnsi="Arial"/>
          <w:sz w:val="18"/>
          <w:szCs w:val="18"/>
          <w:color w:val="auto"/>
        </w:rPr>
        <w:t>. The Statement defines fair value, establishes a framework for measuring fair value in generally accepted accounting principles and expands disclosures about fair value measurements, and does not require any new fair value measurements. This Statement applies under other accounting pronouncements that require or permit fair value measurements. The Statement is effective for the fiscal years beginning after November 15, 2007. The Company is assessing SFAS No. 157 and has not determined the impact the adoption of SFAS No. 157 will have on its results of operations or financial position.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138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2006</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vMerge w:val="restart"/>
          </w:tcPr>
          <w:p>
            <w:pPr>
              <w:spacing w:after="0"/>
              <w:rPr>
                <w:sz w:val="20"/>
                <w:szCs w:val="20"/>
                <w:color w:val="auto"/>
              </w:rPr>
            </w:pPr>
            <w:r>
              <w:rPr>
                <w:rFonts w:ascii="Arial" w:cs="Arial" w:eastAsia="Arial" w:hAnsi="Arial"/>
                <w:sz w:val="18"/>
                <w:szCs w:val="18"/>
                <w:color w:val="auto"/>
              </w:rPr>
              <w:t>Auction rate municipal bonds</w:t>
            </w:r>
          </w:p>
        </w:tc>
        <w:tc>
          <w:tcPr>
            <w:tcW w:w="20" w:type="dxa"/>
            <w:vAlign w:val="bottom"/>
          </w:tcPr>
          <w:p>
            <w:pPr>
              <w:spacing w:after="0"/>
              <w:rPr>
                <w:sz w:val="12"/>
                <w:szCs w:val="12"/>
                <w:color w:val="auto"/>
              </w:rPr>
            </w:pPr>
          </w:p>
        </w:tc>
        <w:tc>
          <w:tcPr>
            <w:tcW w:w="1360" w:type="dxa"/>
            <w:vAlign w:val="bottom"/>
            <w:tcBorders>
              <w:top w:val="single" w:sz="8" w:color="auto"/>
            </w:tcBorders>
            <w:gridSpan w:val="3"/>
          </w:tcPr>
          <w:p>
            <w:pPr>
              <w:jc w:val="center"/>
              <w:ind w:right="608"/>
              <w:spacing w:after="0" w:line="142" w:lineRule="exact"/>
              <w:rPr>
                <w:sz w:val="20"/>
                <w:szCs w:val="20"/>
                <w:color w:val="auto"/>
              </w:rPr>
            </w:pPr>
            <w:r>
              <w:rPr>
                <w:rFonts w:ascii="Arial" w:cs="Arial" w:eastAsia="Arial" w:hAnsi="Arial"/>
                <w:sz w:val="14"/>
                <w:szCs w:val="14"/>
                <w:b w:val="1"/>
                <w:bCs w:val="1"/>
                <w:color w:val="auto"/>
                <w:w w:val="88"/>
              </w:rPr>
              <w:t>Cost Basis</w:t>
            </w: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Fair Value</w:t>
            </w:r>
          </w:p>
        </w:tc>
        <w:tc>
          <w:tcPr>
            <w:tcW w:w="680" w:type="dxa"/>
            <w:vAlign w:val="bottom"/>
          </w:tcPr>
          <w:p>
            <w:pPr>
              <w:spacing w:after="0"/>
              <w:rPr>
                <w:sz w:val="12"/>
                <w:szCs w:val="12"/>
                <w:color w:val="auto"/>
              </w:rPr>
            </w:pPr>
          </w:p>
        </w:tc>
        <w:tc>
          <w:tcPr>
            <w:tcW w:w="78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8"/>
              </w:rPr>
              <w:t>Cost Basis</w:t>
            </w:r>
          </w:p>
        </w:tc>
        <w:tc>
          <w:tcPr>
            <w:tcW w:w="5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$ 102,824</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$ 102,824</w:t>
            </w: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116,924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116,924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policy is to maintain a highly liquid short-term investment portfolio. The contractual maturities for auction rate municipal bonds at March 31, 2007 are between 21 and 39 years. Despite the long-term nature of their stated contractual maturities, the Company has the ability to quickly liquidate these securities. Proceeds from the sale of available-for-sale securities amounted to approximately $17.6 million and $49.0 million for the three months ended March 31, 2007 and 2006, respectively. Gross realized gains and losses for available-for-sale securities were insignificant. Gross realized gains and losses for available-for-sale securities are recorded as other income (expense). The cost of securities sold is based on the specific identification method. Unrealized gains and losses for available-for-sale securities for all periods presented in the table above were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9,053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7,255</w:t>
            </w: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12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21,036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18,707</w:t>
            </w: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14,335</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45,730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34,244</w:t>
            </w: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As of March 31, 2007, the Company has three active stock-based compensation plans — the 2004 Equity Incentive Plan (the “Plan”), the 2004 Non-Employee Directors’ Stock Option Plan (the “NED Plan”), and the 2004 Employee Stock Purchase Plan (the “ESPP”). The Plan provides for the granting of stock awards including stock options and restricted stock units, to employees, directors and consultants. The NED Plan provides for the automatic, non-discretionary grant of options to the Company’s non-employee directors. Options also remain outstanding at March 31, 2007 under the following inactive plans: the 1991 Stock Option Plan, the 1999 Stock Plan, the CTL ImmunoTherapies Corp. 2000 Stock Option and Stock Plan, and the Allecure Corp. 2000 Stock Option and Stock Plan. There are also options outstanding to our principal stockholder at March 31, 2007 that were not granted under any plan; these options were granted during the year ended December 31, 2002, vested over four years, and have an exercise price of $25.23 per share. The following table summarizes information about our stock-based award plans as of March 31, 2007: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Outstanding</w:t>
            </w: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44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90"/>
              </w:rPr>
              <w:t>Shares Available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3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Options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Future Issuance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2004</w:t>
            </w: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5,476,844</w:t>
            </w:r>
          </w:p>
        </w:tc>
        <w:tc>
          <w:tcPr>
            <w:tcW w:w="3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799,294</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2,239,441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2004</w:t>
            </w:r>
          </w:p>
        </w:tc>
        <w:tc>
          <w:tcPr>
            <w:tcW w:w="7000" w:type="dxa"/>
            <w:vAlign w:val="bottom"/>
          </w:tcPr>
          <w:p>
            <w:pPr>
              <w:ind w:left="20"/>
              <w:spacing w:after="0"/>
              <w:rPr>
                <w:sz w:val="20"/>
                <w:szCs w:val="20"/>
                <w:color w:val="auto"/>
              </w:rPr>
            </w:pPr>
            <w:r>
              <w:rPr>
                <w:rFonts w:ascii="Arial" w:cs="Arial" w:eastAsia="Arial" w:hAnsi="Arial"/>
                <w:sz w:val="18"/>
                <w:szCs w:val="18"/>
                <w:color w:val="auto"/>
              </w:rPr>
              <w:t>Non-Employee Directors’ Stock Option Plan</w:t>
            </w:r>
          </w:p>
        </w:tc>
        <w:tc>
          <w:tcPr>
            <w:tcW w:w="840" w:type="dxa"/>
            <w:vAlign w:val="bottom"/>
          </w:tcPr>
          <w:p>
            <w:pPr>
              <w:jc w:val="right"/>
              <w:spacing w:after="0"/>
              <w:rPr>
                <w:sz w:val="20"/>
                <w:szCs w:val="20"/>
                <w:color w:val="auto"/>
              </w:rPr>
            </w:pPr>
            <w:r>
              <w:rPr>
                <w:rFonts w:ascii="Arial" w:cs="Arial" w:eastAsia="Arial" w:hAnsi="Arial"/>
                <w:sz w:val="18"/>
                <w:szCs w:val="18"/>
                <w:color w:val="auto"/>
              </w:rPr>
              <w:t>337,500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462,500</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1991</w:t>
            </w: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Plan</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22,220</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1999</w:t>
            </w:r>
          </w:p>
        </w:tc>
        <w:tc>
          <w:tcPr>
            <w:tcW w:w="7000" w:type="dxa"/>
            <w:vAlign w:val="bottom"/>
          </w:tcPr>
          <w:p>
            <w:pPr>
              <w:ind w:left="20"/>
              <w:spacing w:after="0"/>
              <w:rPr>
                <w:sz w:val="20"/>
                <w:szCs w:val="20"/>
                <w:color w:val="auto"/>
              </w:rPr>
            </w:pPr>
            <w:r>
              <w:rPr>
                <w:rFonts w:ascii="Arial" w:cs="Arial" w:eastAsia="Arial" w:hAnsi="Arial"/>
                <w:sz w:val="18"/>
                <w:szCs w:val="18"/>
                <w:color w:val="auto"/>
              </w:rPr>
              <w:t>Stock Plan</w:t>
            </w:r>
          </w:p>
        </w:tc>
        <w:tc>
          <w:tcPr>
            <w:tcW w:w="840" w:type="dxa"/>
            <w:vAlign w:val="bottom"/>
          </w:tcPr>
          <w:p>
            <w:pPr>
              <w:jc w:val="right"/>
              <w:spacing w:after="0"/>
              <w:rPr>
                <w:sz w:val="20"/>
                <w:szCs w:val="20"/>
                <w:color w:val="auto"/>
              </w:rPr>
            </w:pPr>
            <w:r>
              <w:rPr>
                <w:rFonts w:ascii="Arial" w:cs="Arial" w:eastAsia="Arial" w:hAnsi="Arial"/>
                <w:sz w:val="18"/>
                <w:szCs w:val="18"/>
                <w:color w:val="auto"/>
              </w:rPr>
              <w:t>122,715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CTL and Allecure Plans</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44,275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Options outside of any plan granted to principal stockholder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240,972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6,244,526</w:t>
            </w:r>
          </w:p>
        </w:tc>
        <w:tc>
          <w:tcPr>
            <w:tcW w:w="3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799,294</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2,701,941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board of directors determines eligibility, vesting schedules and exercise prices for stock awards granted under the Plan. Options and other stock awards under the Plan and the NED Plan expire not more than ten years from the date of the grant and are exercisable upon vesting. Stock options generally vest over four years. Current stock option grants vest and become exercisable at the rate of 25% after one year and ratably on a monthly basis over a period of 36 months thereafter. Restricted stock units generally vest over four years with consideration satisfied by service to the Company. Certain performance-based awards vest upon achieving three pre-determined performance milestones which are expected to occur over a period of 42 months. The Plan provides for full acceleration of vesting if an employee is terminated within thirteen months of a change in control, as defined.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March 2004, the Company’s board of directors approved the ESPP, which became effective upon the closing of the Company’s initial public offering. Initially, the aggregate number of shares that could be sold under the ESPP was 2,000,000 shares of common stock. On January 1 of each year, for a period of ten years beginning 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purchase plan to exceed 10% of the total number of shares of capital stock outstanding on December 31 of the prior year. On January 1, 2006 and 2007, the ESPP share reserve was increased by 503,141 and 700,000 shares, respectively. During the three months ended March 31, 2007 and 2006, the Company did not sell any shares of its common stock to employees participating in the ESPP.</w:t>
      </w:r>
    </w:p>
    <w:p>
      <w:pPr>
        <w:spacing w:after="0" w:line="5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Upon adoption of SFAS No. 123R, </w:t>
      </w:r>
      <w:r>
        <w:rPr>
          <w:rFonts w:ascii="Arial" w:cs="Arial" w:eastAsia="Arial" w:hAnsi="Arial"/>
          <w:sz w:val="17"/>
          <w:szCs w:val="17"/>
          <w:i w:val="1"/>
          <w:iCs w:val="1"/>
          <w:color w:val="auto"/>
        </w:rPr>
        <w:t>Share-based Payment: an Amendment of FASB Statement 123 and 95</w:t>
      </w:r>
      <w:r>
        <w:rPr>
          <w:rFonts w:ascii="Arial" w:cs="Arial" w:eastAsia="Arial" w:hAnsi="Arial"/>
          <w:sz w:val="17"/>
          <w:szCs w:val="17"/>
          <w:color w:val="auto"/>
        </w:rPr>
        <w:t xml:space="preserve"> (“SFAS No. 123R”), the Company selected the modified prospective transition method whereby unvested awards at the date of adoption as well as awards that are granted, modified, or settled after the date of adoption will be measured and accounted for in accordance with SFAS No. 123R. Measurement and attribution of compensation cost for awards unvested as of January 1, 2006 is based on the same estimate of the grant-date or modification-date fair value and the same attribution method (straight-line) used previously under SFAS No. 123. The Company continues to account for non-employee stock-based compensation expense based on the estimated fair value of the options, determined using the Black-Scholes option valuation model, in accordance with EITF No. 96-18, </w:t>
      </w:r>
      <w:r>
        <w:rPr>
          <w:rFonts w:ascii="Arial" w:cs="Arial" w:eastAsia="Arial" w:hAnsi="Arial"/>
          <w:sz w:val="17"/>
          <w:szCs w:val="17"/>
          <w:i w:val="1"/>
          <w:iCs w:val="1"/>
          <w:color w:val="auto"/>
        </w:rPr>
        <w:t>Accounting for Equity Instruments That Are</w:t>
      </w:r>
      <w:r>
        <w:rPr>
          <w:rFonts w:ascii="Arial" w:cs="Arial" w:eastAsia="Arial" w:hAnsi="Arial"/>
          <w:sz w:val="17"/>
          <w:szCs w:val="17"/>
          <w:color w:val="auto"/>
        </w:rPr>
        <w:t xml:space="preserve"> </w:t>
      </w:r>
      <w:r>
        <w:rPr>
          <w:rFonts w:ascii="Arial" w:cs="Arial" w:eastAsia="Arial" w:hAnsi="Arial"/>
          <w:sz w:val="17"/>
          <w:szCs w:val="17"/>
          <w:i w:val="1"/>
          <w:iCs w:val="1"/>
          <w:color w:val="auto"/>
        </w:rPr>
        <w:t>Issued to Other Than Employees for Acquiring, or in Conjunction with Selling, Goods or Services</w:t>
      </w:r>
      <w:r>
        <w:rPr>
          <w:rFonts w:ascii="Arial" w:cs="Arial" w:eastAsia="Arial" w:hAnsi="Arial"/>
          <w:sz w:val="17"/>
          <w:szCs w:val="17"/>
          <w:color w:val="auto"/>
        </w:rPr>
        <w:t>, and amortizes such expense on a straight-line basis. As of</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2007, there were 400,880 options outstanding to all consultants.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recognized in the accompanying statements of operations is as follows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w:t>
            </w:r>
          </w:p>
        </w:tc>
        <w:tc>
          <w:tcPr>
            <w:tcW w:w="4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Consultant-related</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837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Included in consultant related stock compensation expense above is approximately $0.8 million in expense related to the modification of stock awards for one former employee who became a consultant during the quarter ended March 31, 2007. Under the terms of the consulting agreement, the former employee’s options that were granted during the employee’s employment will continue to vest over the eighteen-month consulting period. Due to the nature of the consulting agreement, one hundred percent of the incremental expense related to the award modifications was expensed during the quarter ended March 31, 2007.</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statements of operations is included in the following categories (in thousands):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2,351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the Black-Scholes option valuation model to estimate the grant date fair value of employee stock options. Upon adoption of SFAS</w:t>
      </w:r>
    </w:p>
    <w:p>
      <w:pPr>
        <w:spacing w:after="0" w:line="3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No. 123R, the expected life of the option is estimated using the “simplified” method as provided in SEC Staff Accounting Bulletin No. 107 (SAB No. 107). Under this method, the expected life equals the arithmetic average of the vesting term and the original contractual term of the options. The Company also estimates volatility as provided in SAB 107. Under this method, volatility is estimated based on the historical volatility of similar entities whose share prices are publicly available.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following table summarizes the assumptions the Company used to estimate the fair value of each stock option at the grant date or modification date, if any, using the Black-Scholes option valuation model:</w:t>
      </w:r>
    </w:p>
    <w:p>
      <w:pPr>
        <w:spacing w:after="0" w:line="160"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Three months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6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Expected lives</w:t>
            </w:r>
          </w:p>
        </w:tc>
        <w:tc>
          <w:tcPr>
            <w:tcW w:w="566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6.08 years</w:t>
            </w:r>
          </w:p>
        </w:tc>
        <w:tc>
          <w:tcPr>
            <w:tcW w:w="780" w:type="dxa"/>
            <w:vAlign w:val="bottom"/>
          </w:tcPr>
          <w:p>
            <w:pPr>
              <w:jc w:val="right"/>
              <w:spacing w:after="0"/>
              <w:rPr>
                <w:sz w:val="20"/>
                <w:szCs w:val="20"/>
                <w:color w:val="auto"/>
              </w:rPr>
            </w:pPr>
            <w:r>
              <w:rPr>
                <w:rFonts w:ascii="Arial" w:cs="Arial" w:eastAsia="Arial" w:hAnsi="Arial"/>
                <w:sz w:val="18"/>
                <w:szCs w:val="18"/>
                <w:color w:val="auto"/>
                <w:w w:val="90"/>
              </w:rPr>
              <w:t>6.08 years</w:t>
            </w:r>
          </w:p>
        </w:tc>
        <w:tc>
          <w:tcPr>
            <w:tcW w:w="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7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Dividends</w:t>
            </w:r>
          </w:p>
        </w:tc>
        <w:tc>
          <w:tcPr>
            <w:tcW w:w="5660" w:type="dxa"/>
            <w:vAlign w:val="bottom"/>
          </w:tcPr>
          <w:p>
            <w:pPr>
              <w:spacing w:after="0"/>
              <w:rPr>
                <w:sz w:val="20"/>
                <w:szCs w:val="20"/>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391"/>
        </w:trPr>
        <w:tc>
          <w:tcPr>
            <w:tcW w:w="3620" w:type="dxa"/>
            <w:vAlign w:val="bottom"/>
          </w:tcPr>
          <w:p>
            <w:pPr>
              <w:spacing w:after="0"/>
              <w:rPr>
                <w:sz w:val="24"/>
                <w:szCs w:val="24"/>
                <w:color w:val="auto"/>
              </w:rPr>
            </w:pPr>
          </w:p>
        </w:tc>
        <w:tc>
          <w:tcPr>
            <w:tcW w:w="5660" w:type="dxa"/>
            <w:vAlign w:val="bottom"/>
          </w:tcPr>
          <w:p>
            <w:pPr>
              <w:jc w:val="right"/>
              <w:ind w:right="3430"/>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362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Number</w:t>
            </w:r>
          </w:p>
        </w:tc>
        <w:tc>
          <w:tcPr>
            <w:tcW w:w="4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1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4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4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Term (Yrs.)</w:t>
            </w:r>
          </w:p>
        </w:tc>
        <w:tc>
          <w:tcPr>
            <w:tcW w:w="4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Value ($000)</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6,216,698</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$13.94</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125,320</w:t>
            </w:r>
          </w:p>
        </w:tc>
        <w:tc>
          <w:tcPr>
            <w:tcW w:w="300" w:type="dxa"/>
            <w:vAlign w:val="bottom"/>
          </w:tcPr>
          <w:p>
            <w:pPr>
              <w:spacing w:after="0"/>
              <w:rPr>
                <w:sz w:val="18"/>
                <w:szCs w:val="18"/>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17.19</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(42,801)</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10.04</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273</w:t>
            </w:r>
          </w:p>
        </w:tc>
        <w:tc>
          <w:tcPr>
            <w:tcW w:w="0" w:type="dxa"/>
            <w:vAlign w:val="bottom"/>
          </w:tcPr>
          <w:p>
            <w:pPr>
              <w:spacing w:after="0"/>
              <w:rPr>
                <w:sz w:val="1"/>
                <w:szCs w:val="1"/>
                <w:color w:val="auto"/>
              </w:rPr>
            </w:pPr>
          </w:p>
        </w:tc>
      </w:tr>
      <w:tr>
        <w:trPr>
          <w:trHeight w:val="216"/>
        </w:trPr>
        <w:tc>
          <w:tcPr>
            <w:tcW w:w="560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(35,861)</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14.53</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Expired</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(18,830)</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15.90</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Outstanding at March 31, 2007</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6,244,526</w:t>
            </w:r>
          </w:p>
        </w:tc>
        <w:tc>
          <w:tcPr>
            <w:tcW w:w="300" w:type="dxa"/>
            <w:vAlign w:val="bottom"/>
          </w:tcPr>
          <w:p>
            <w:pPr>
              <w:spacing w:after="0"/>
              <w:rPr>
                <w:sz w:val="19"/>
                <w:szCs w:val="19"/>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14.02</w:t>
            </w:r>
          </w:p>
        </w:tc>
        <w:tc>
          <w:tcPr>
            <w:tcW w:w="140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7.2</w:t>
            </w:r>
          </w:p>
        </w:tc>
        <w:tc>
          <w:tcPr>
            <w:tcW w:w="1560" w:type="dxa"/>
            <w:vAlign w:val="bottom"/>
            <w:gridSpan w:val="2"/>
          </w:tcPr>
          <w:p>
            <w:pPr>
              <w:ind w:left="72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March 31, 2007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5,751,208</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13.93</w:t>
            </w:r>
          </w:p>
        </w:tc>
        <w:tc>
          <w:tcPr>
            <w:tcW w:w="14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7"/>
              </w:rPr>
              <w:t>7.1</w:t>
            </w:r>
          </w:p>
        </w:tc>
        <w:tc>
          <w:tcPr>
            <w:tcW w:w="15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Exercisable at March 31, 2007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2,873,639</w:t>
            </w:r>
          </w:p>
        </w:tc>
        <w:tc>
          <w:tcPr>
            <w:tcW w:w="300" w:type="dxa"/>
            <w:vAlign w:val="bottom"/>
          </w:tcPr>
          <w:p>
            <w:pPr>
              <w:spacing w:after="0"/>
              <w:rPr>
                <w:sz w:val="20"/>
                <w:szCs w:val="20"/>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12.73</w:t>
            </w:r>
          </w:p>
        </w:tc>
        <w:tc>
          <w:tcPr>
            <w:tcW w:w="140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5.6</w:t>
            </w:r>
          </w:p>
        </w:tc>
        <w:tc>
          <w:tcPr>
            <w:tcW w:w="1560" w:type="dxa"/>
            <w:vAlign w:val="bottom"/>
            <w:gridSpan w:val="2"/>
          </w:tcPr>
          <w:p>
            <w:pPr>
              <w:ind w:left="72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weighted-average grant date fair value of options granted during the three months ended March 31, 2007 and 2006 was $10.08 and $10.03, respectively. The aggregate intrinsic value of options exercised during the three months ended March 31, 2007 and 2006 was $0.3 million and $0.5 million. Cash received from the exercise of options during the three months ended March 31, 2007 and 2006 was approximately $0.4 million and $0.6 million, respectively. The total fair value of options vested during the three months ended March 31, 2007 and 2006 was $1.6 million and $1.9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units activity for the three months ended March 31, 2007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776,653</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39,260</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(7,258)</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(9,361)</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2007</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799,294</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fair value of restricted stock units vested during the three months ended March 31, 2007 was $0.1 million. No restricted stock units vested during the three months ended March 31, 2006. The weighted-average remaining contractual term for restricted stock units outstanding at March 31, 2007 was 9.0 years. As of March 31, 2007, there were 11,975 restricted stock units outstanding to one consultant.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Company’s nonvested shares, excluding restricted stock units, for the three months ended March 31, 2007, is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2007</w:t>
            </w:r>
          </w:p>
        </w:tc>
        <w:tc>
          <w:tcPr>
            <w:tcW w:w="59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3,462,549</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Granted</w:t>
            </w:r>
          </w:p>
        </w:tc>
        <w:tc>
          <w:tcPr>
            <w:tcW w:w="5940" w:type="dxa"/>
            <w:vAlign w:val="bottom"/>
            <w:gridSpan w:val="4"/>
          </w:tcPr>
          <w:p>
            <w:pPr>
              <w:jc w:val="right"/>
              <w:ind w:right="340"/>
              <w:spacing w:after="0"/>
              <w:rPr>
                <w:sz w:val="20"/>
                <w:szCs w:val="20"/>
                <w:color w:val="auto"/>
              </w:rPr>
            </w:pPr>
            <w:r>
              <w:rPr>
                <w:rFonts w:ascii="Arial" w:cs="Arial" w:eastAsia="Arial" w:hAnsi="Arial"/>
                <w:sz w:val="18"/>
                <w:szCs w:val="18"/>
                <w:color w:val="auto"/>
              </w:rPr>
              <w:t>125,320</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5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(181,121)</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4880" w:type="dxa"/>
            <w:vAlign w:val="bottom"/>
            <w:gridSpan w:val="2"/>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(35,861)</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2007</w:t>
            </w:r>
          </w:p>
        </w:tc>
        <w:tc>
          <w:tcPr>
            <w:tcW w:w="488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3,370,887</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560" w:type="dxa"/>
            <w:vAlign w:val="bottom"/>
            <w:vMerge w:val="restart"/>
          </w:tcPr>
          <w:p>
            <w:pPr>
              <w:jc w:val="right"/>
              <w:ind w:right="255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2007, there was $25.8 million and $10.8 million of unrecognized compensation cost related to options and restricted stock units, respectively, which is expected to be recognized over the weighted average vesting period of 2.5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common share</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Basic net loss per share excludes dilution for potentially dilutive securities and is computed 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15,056,675 shares and 7,980,029 shares as of March 31, 2007 and 2006,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State research and development credit exchange receivable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March 31, 2007, the estimated amount receivable under the program was $4.3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74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Useful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774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4"/>
                <w:szCs w:val="14"/>
                <w:color w:val="auto"/>
              </w:rPr>
            </w:pPr>
          </w:p>
        </w:tc>
        <w:tc>
          <w:tcPr>
            <w:tcW w:w="13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7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Buildings</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39-40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9,566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9,566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44,131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44,041</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27,357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26,623</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6,077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5,878</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30,585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20,164</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Deposits on equipment</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6,903</w:t>
            </w:r>
          </w:p>
        </w:tc>
      </w:tr>
      <w:tr>
        <w:trPr>
          <w:trHeight w:val="223"/>
        </w:trPr>
        <w:tc>
          <w:tcPr>
            <w:tcW w:w="7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133,799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121,474</w:t>
            </w:r>
          </w:p>
        </w:tc>
        <w:tc>
          <w:tcPr>
            <w:tcW w:w="100" w:type="dxa"/>
            <w:vAlign w:val="bottom"/>
          </w:tcPr>
          <w:p>
            <w:pPr>
              <w:spacing w:after="0"/>
              <w:rPr>
                <w:sz w:val="19"/>
                <w:szCs w:val="19"/>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5"/>
              </w:rPr>
              <w:t>(35,177)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(33,146)</w:t>
            </w: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98,622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88,328</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Leasehold improvements are amortized over the shorter of the term of the lease or the service lives of the improvements. Depreciation and amortization expense for the three months ended March 31, 2007 and 2006, and the cumulative period from February 14, 1991 (date of inception) to March 31, 2007 was $2.1 million, $2.0 million and $41.2 million, respectively. Capitalized interest during the three months ended March 31, 2007 was $0.2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and preferred stock</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is authorized to issue 90,000,000 shares of common stock, par value $0.01 per share, and 10,000,000 shares of undesignated preferred stock, par value $0.01 per share, issuable in one or more series designated by the Company’s board of directors. No other class of capital stock is authorized. As of March 31, 2007 and December 31, 2006, 73,407,583 and 73,360,154 shares of common stock, respectively, were issued and outstanding. No shares of preferred stock were issued and outstanding at March 31, 2007 and December 31, 2006. On February 22, 2007, the board of directors of the Company adopted a resolution, subject to stockholder approval, to amend the Company’s certificate of incorporation to permit the issuance of up to 150,000,000 shares of common stock. The Company intends to present this resolution for stockholder approval at the Company’s annual stockholders’ meeting scheduled for May 24, 2007.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i w:val="1"/>
          <w:iCs w:val="1"/>
          <w:color w:val="auto"/>
        </w:rPr>
        <w:t xml:space="preserve">Registration rights </w:t>
      </w:r>
      <w:r>
        <w:rPr>
          <w:rFonts w:ascii="Arial" w:cs="Arial" w:eastAsia="Arial" w:hAnsi="Arial"/>
          <w:sz w:val="17"/>
          <w:szCs w:val="17"/>
          <w:color w:val="auto"/>
        </w:rPr>
        <w:t>— As of March 31, 2007, the holders of 17,132,000 shares of common stock together with warrants to purchase up to 2,882,873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all of which were issued in the August 2005 private placement, have rights that require the Company to keep the registration of the shares of common stock purchased in the private placement or underlying warrants continuously effective until at least August 2007.</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2007 the holders of 916,715 shares of the Company’s common stock and the holders of warrants to purchase 12,459 shares of the Company’s common stock have rights, subject to some conditions, to require the Company to file registration statements covering their shares or to include their shares in registration statements that the Company may file for itself or other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sale of common stock in the private placement which closed in August 2005, the Company concurrently issued warrants to purchase up to 3,426,000 shares of common stock at an exercise price of $12.228 per share. These warrants became exercisable in February 2006 and expire in August 2010. During the three months ended March 31, 2007, no warrants were exercised. During the year ended December 31, 2006, warrants to purchase 543,000 shares were exercised and net settled for approximately 339,000 shares. As of March 31, 2007, warrants to purchase approximately 2,883,000 shares of common stock remained outstanding. In connection with the sale of common stock in the public offering that closed on December 6, 2006, two holders of outstanding warrants to purchase a total of 1,710,091 shares of common stock agreed to amend the terms of their warrants to provide that such warrants would not be exercisable from December 6, 2006 until the date on which the Company has at least 100,000,000 shares of its common stock duly and validly authorized.</w:t>
      </w:r>
    </w:p>
    <w:p>
      <w:pPr>
        <w:spacing w:after="0" w:line="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1995 and 1996, the Company issued warrants to purchase shares of common stock. As of March 31, 2007, the remaining warrants to purchase 12,459 shares of common stock at a weighted average exercise price of $12.64 per share were outstanding and exercisable, and expire in December 2007. The warrants contain provisions for the adjustment of the exercise price and the number of shares issuable upon the exercise of the warrant in the event the Company declares any stock dividends or effects any stock split, reclassification or consolidation of its common stock. The warrants also contain a provision that provides for an adjustment to the exercise price and the number of shares issuable in the event that the Company issues securities for a per share price less than a specified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Guarantees and Indemnifications </w:t>
      </w:r>
      <w:r>
        <w:rPr>
          <w:rFonts w:ascii="Arial" w:cs="Arial" w:eastAsia="Arial" w:hAnsi="Arial"/>
          <w:sz w:val="16"/>
          <w:szCs w:val="16"/>
          <w:color w:val="auto"/>
        </w:rPr>
        <w:t>— In the ordinary course of its business, the Company makes certain indemnities, commitments and guarantees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5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is involved in various legal proceedings and other matters. In accordance with SFAS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would record a provision for a liability when it is both probable that a liability has been incurred and the amount of the loss can be reasonably estimated.</w:t>
      </w:r>
    </w:p>
    <w:p>
      <w:pPr>
        <w:spacing w:after="0" w:line="73"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 xml:space="preserve">In May 2005, the Company’s former Chief Medical Officer filed a complaint against the Company in the California Superior Court, County of Los Angeles. </w:t>
      </w:r>
      <w:r>
        <w:rPr>
          <w:rFonts w:ascii="Arial" w:cs="Arial" w:eastAsia="Arial" w:hAnsi="Arial"/>
          <w:sz w:val="16"/>
          <w:szCs w:val="16"/>
          <w:i w:val="1"/>
          <w:iCs w:val="1"/>
          <w:color w:val="auto"/>
        </w:rPr>
        <w:t>Wayman Wendell Cheatham, M.D. v. MannKind Corporation</w:t>
      </w:r>
      <w:r>
        <w:rPr>
          <w:rFonts w:ascii="Arial" w:cs="Arial" w:eastAsia="Arial" w:hAnsi="Arial"/>
          <w:sz w:val="16"/>
          <w:szCs w:val="16"/>
          <w:color w:val="auto"/>
        </w:rPr>
        <w:t>, Case No. BC333845. The complaint alleges causes of action for wrongful termination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violation of public policy, breach of contract and retaliation, in connection with the Company’s termination of Dr. Cheatham’s employment. In the complaint, Dr. Cheatham seeks compensatory, punitive and exemplary damages in excess of $2.0 million as well as reimbursement of attorneys’ fees. In June 2005, the Company answered the complaint, generally denying each of Dr. Cheatham’s allegations and asserting various defenses. The Company believes the allegations in the complaint are without merit and intends to vigorously defend against them. The Company also filed a cross-complaint against</w:t>
      </w:r>
    </w:p>
    <w:p>
      <w:pPr>
        <w:spacing w:after="0" w:line="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Dr. Cheatham, alleging claims for libel per se, trade libel, breach of contract, breach of the implied covenant of good faith and fair dealing and breach of the duty of loyalty. The libel claims alleged that Dr. Cheatham made certain false and malicious statements about the Company in a letter to the Food and Drug Administration (“FDA”) with regard to a request by the Company to hold a meeting with the FDA. The remaining causes of action in the cross-complaint arose out of the Company’s allegations that Dr. Cheatham had an undisclosed consulting relationship with a Company competitor during his employment with the Company, in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violation of his agreement with the Company. In July 2005, Dr. Cheatham filed a demurrer and motion to strike the Company’s cross-complaint under California’s anti-SLAPP statute. In September 2005, the California Superior Court overruled Dr. Cheatham’s demurrer and denied his motion to strike the Company’s cross-complaint. In November 2005, Dr. Cheatham appealed the Court’s ruling denying his motion to strike. In December 2006, the Court of Appeal affirmed in part and reversed in part the Superior Court’s order denying Dr. Cheatham’s motion to strike. Subsequently, Dr. Cheatham filed a notice of dismissal of the retaliation cause of action, and the Company filed a notice of dismissal of the remaining claims under its cross-complaint. In April 2007,</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Dr. Cheatham through his counsel advised the Company that Dr. Cheatham intended to file a new lawsuit against the Company alleging that the Company had refused to enter into a contract with Dr. Cheatham’s current employer because of the pending litigation and claiming that such refusal was wrongful and legally actionable. On April 16, 2007, the Company filed a complaint for declaratory relief in the Circuit Court of Howard County, Maryland seeking a declaration from the Maryland court that the Company had not engaged in wrongful or legally actionable conduct, that Dr. Cheatham had suffered no damages and that the Company could in the future choose not to enter into a contract or otherwise conduct business with Dr. Cheatham’s employer simply because of the pending litigation with Dr. Cheatham. Dr. Cheatham, who had not filed the new lawsuit as of the date of this report, has until May 23, 2007 to answer the Company’s complaint. The trial in the California Superior Court commenced on April 30, 2007 and as of the date of this report was continuing. The Company believes that the ultimate resolution of this matter will not have a material impact on the Company’s financial position or results of operations.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Licensing Arrangement </w:t>
      </w:r>
      <w:r>
        <w:rPr>
          <w:rFonts w:ascii="Arial" w:cs="Arial" w:eastAsia="Arial" w:hAnsi="Arial"/>
          <w:sz w:val="17"/>
          <w:szCs w:val="17"/>
          <w:color w:val="auto"/>
        </w:rPr>
        <w:t>— On October 12, 2006, the Company entered into an agreement with The Technion Research and Development Foundation Ltd.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(“TRDF”), an Israeli corporation affiliated with the Technion-Israel Institute of Technology (the “Technion”) to license certain technology from TRDF and to collaborate with TRDF in the further research in and the development and commercialization of such technology. In exchange for the rights that the Company obtained under this agreement, the Company agreed to pay to TRDF aggregate license fees of $3.0 million and to issue to TRDF a total of 300,000 shares of the Company’s common stock. The license fees will be paid and the shares issued in three equal installments, the first of which occurred on October 18, 2006 and the second and third installments to occur, subject to the accomplishment of certain milestones, on October 12, 2007 and October 12, 2008. The Company has also agreed to pay royalties to TRDF with respect to sales of certain products that contain or use the licensed technology or are covered by patents included in the licensed technology or are discovered through the use of the licensed technology. The Company agreed to pay up to $6.0 million of the royalties in advance upon the receipt of specified regulatory approvals. The Company agreed to pay to TRDF specified percentages of any lump-sum sub-license payments that the Company receives if it decides to sub-license the technology. The Company has also agreed to pay a total of $2.0 million to TRDF in three nearly equal installments to fund sponsored research to be conducted at TRDF by a team led by a faculty member at the Technion. The initial sponsored research payment was made upon signing of the agreement, and the second and third sponsored research payments will occur, subject to the accomplishment of certain milestones, on October 12, 2007 and October 12, 2008. The Company also agreed to retain the services of the Technion faculty member as a consultant, for which the Company agrees to pay the consultant $60,000 per year and granted the individual an option to purchase 60,000 shares of the Company’s common stock. Under the terms of the agreement, the Company issued 100,000 shares of common stock to TRDF on October 12, 2006 and paid $1.6 million in license fees on October 18,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Related-Party Loan Arrangement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August 2, 2006 the Company entered into a $150.0 million loan arrangement with its principal stockholder. Under this arrangement, the Company can borrow in one or more advances at any time through August 2, 2007 that the Company’s cash balance falls below its projected cash requirements for the subsequent three month period, provided that each advance be no less than $50.0 million. Principal repayment is due and payable one year from the date of each advance. The Company borrowed $50.0 million under the loan arrangement on August 2, 2006 and $20.0 million on November 27, 2006. On December 12, 2006, the Company paid off the total borrowings of $70.0 million following the completion of concurrent offerings of convertible notes and common stock. Interest accrues on each outstanding advance at a fixed rate equal to the one year LIBOR rate in effect on the day of such advance plus 3% per annum and is payable quarterly in arrears. The loan is unsecured and contains no financial covenants. There are no warrants associated with the loan nor is the loan convertible into the Company’s stock. In the event of a default, all unpaid principal and interest becomes immediately due and payable and the interest rate increases to one year LIBOR calculated on the date of the initial advance or in effect on the date of default, whichever is greater, plus 5% per annum. Upon the closing of certain financing events, including equity and debt financings or strategic transactions with third parties, in which the Company receives cash proceeds of at least $100.0 million, the Company is required to repay all or a portion of the principal and accrued and unpaid interest under the note equal to the difference between the Company’s cash balance immediately following the financing event and its projected cash requirements for the six month period following the financing event. On October 30, 2006, the loan arrangement was modified to provide that at no time shall the total principal amount borrowed exceed $150.0 million and that each advance be no less than $10.0 million. Any principal repaid can be re-borrowed by the Company subject to the limitations above. There were no borrowings under this arrangement during the quarter ending March 31, 2007 and no balance outstanding or accrued interest related to this borrowing as of March 31, 2007.</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Senior convertible notes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12, 2006, the Company completed an offering of $115.0 million aggregate principal amount of 3.75% Senior Convertible Notes due 2013 (the “Notes”), including $15.0 million aggregate principal amount of the Notes sold pursuant to the underwriters’ over-allotment option that was exercised in full. The Notes are governed by the terms of an indenture dated as of November 1, 2006 and a First Supplemental Indenture, dated as of December 12, 2006. The Notes bear interest at the rate of 3.75% per year on the principal amount of the Notes, payable in cash semi-annually in arrears on June 15 and December 15 of each year, beginning June 15, 2007. As of March 31, 2007 and December 31, 2006, the Company had accrued interest of $1.3 million and $0.2 million related to the Notes. The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is December 15, 2013 and payment is due in full on that date for unconverted securities. Holders may convert, at any time prior to the close of business on the business day immediately preceding the stated maturity date, any outstanding Notes into shares of the Company’s common stock at an initial conversion rate of 44.5002 shares per $1,000 principal amount of Notes, which is equal to a conversion price of approximately $22.47 per share, subject to adjustment. Except in certain circumstances, if the Company undergoes a fundamental change: (1) the Company will pay a make-whole premium on the Notes converted in connection with a fundamental change by increasing the conversion rate on such Notes, which amount, if any, will be based on the Company’s common stock price and the effective date of the fundamental change, and (2) each holder of the Notes will have the option to require the Company to repurchase all or any portion of such holder’s Notes at a repurchase price of 100% of the principal amount of the Notes to be repurchased plus accrued and unpaid interest, if any.</w:t>
      </w:r>
    </w:p>
    <w:p>
      <w:pPr>
        <w:spacing w:after="0" w:line="28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incurred approximately $3.7 million in issuance costs which are recorded as an offset to the Notes in the accompanying balance sheet. These costs and are being amortized to interest expense using the effective interest method over the term of the Notes. Amortized interest expense during the three months ended March 31, 2007 was $0.1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discussed in Note 16 to the consolidated financial statements on Form 10-K for the fiscal year ended December 31, 2006, Management has concluded, in accordance with applicable accounting standards, that it is more likely than not that the Company may not realize the benefit of its deferred tax assets. Accordingly, net deferred tax assets have been fully reserved.</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July 2006, the FASB issued FASB Interpretation No. 48, </w:t>
      </w:r>
      <w:r>
        <w:rPr>
          <w:rFonts w:ascii="Arial" w:cs="Arial" w:eastAsia="Arial" w:hAnsi="Arial"/>
          <w:sz w:val="17"/>
          <w:szCs w:val="17"/>
          <w:i w:val="1"/>
          <w:iCs w:val="1"/>
          <w:color w:val="auto"/>
        </w:rPr>
        <w:t>Accounting for Uncertainty in Income Taxes—an interpretation of FASB Statement No. 109</w:t>
      </w:r>
      <w:r>
        <w:rPr>
          <w:rFonts w:ascii="Arial" w:cs="Arial" w:eastAsia="Arial" w:hAnsi="Arial"/>
          <w:sz w:val="17"/>
          <w:szCs w:val="17"/>
          <w:color w:val="auto"/>
        </w:rPr>
        <w:t xml:space="preserve"> (“FIN 48”), which clarifies the accounting and disclosure for uncertainty in tax positions, as defined. FIN 48 seeks to reduce the diversity in practice associated with certain aspects of the recognition and measurement related to accounting for income taxes. The Company is subject to the provisions of FIN 48 as of January 1, 2007.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FIN 48. The cumulative effect, if any, of applying FIN 48 is to be reported as an adjustment to the opening balance of retained earnings in the year of adoption. The Company did not record a cumulative effect adjustment related to the adoption of FIN 48. Tax years since 1992 remain subject to examination by the major tax jurisdictions in which the Company is subject to tax.</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(this “Quarterly Report”). The interim financial statements and this Management’s Discussion and Analysis of Financial Condition and Results of Operations should be read in conjunction with the financial statements and notes for the year ended December 31, 2006 and the related Management’s Discussion and Analysis of Financial Condition and Results of Operations, both of which are contained in our annual report on Form 10-K for the fiscal year ended December 31, 2006 filed pursuant to Section 13 of the Securities Exchange Act of 1934.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MannKind Corporation is a biopharmaceutical company focused on the discovery, development and commercialization of therapeutic products for diseases such as diabetes and cancer. Our lead investigational product candidate, the Technosphere Insulin System, is currently in Phase 3 clinical trials in the United States, Europe and Latin America to study its safety and efficacy in the treatment of diabetes. This dry powder therapy consists of our proprietary Technosphere particles onto which insulin molecules are loaded. These loaded particles are then aerosolized and inhaled into the deep lung using our proprietary MedTone inhaler. We believe that the performance characteristics, unique kinetics, convenience and ease of use of the Technosphere Insulin System may have the potential to change the way diabetes is treated.</w:t>
      </w:r>
    </w:p>
    <w:p>
      <w:pPr>
        <w:spacing w:after="0" w:line="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particular, we have observed in our clinical trials to date that the Technosphere Insulin System produces a profile of insulin levels in the bloodstream that approximates the insulin profile normally seen in healthy individuals immediately following the beginning of a meal, but which is absent in patients with diabetes. Specifically, Technosphere Insulin is rapidly absorbed into the bloodstream following inhalation, reaching peak levels within 12 to 14 minutes. As a result of this rapid onset of action, most of the glucose-lowering activity of Technosphere Insulin occurs within the first three hours of administration — which is generally when glucose becomes available from a meal — instead of the much longer duration of action observed when insulin is injected subcutaneously. We believe that the relatively short duration of action of Technosphere Insulin reduces the need for patients to snack between meals in order to manage ongoing blood glucose excursions. In our clinical trials, we have observed that patients using Technosphere Insulin have achieved significant reductions in post-meal glucose excursions and significant improvements in overall glucose control, as measured by decreases in glycosylated hemoglobin, or HbA1c, levels, without the weight gain typically associated with insulin therapy.</w:t>
      </w:r>
    </w:p>
    <w:p>
      <w:pPr>
        <w:spacing w:after="0" w:line="74"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our clinical trials to date, we have observed no difference in pulmonary function between patients treated with Technosphere Insulin and patients treated with standard diabetes care. However, the longest study that we have completed so far is a six-month trial. In September 2006, we completed patient enrollment in a pivotal, two-year, Phase 3, safety study of the Technosphere Insulin System that will compare the pulmonary function of diabetes patients randomized to either Technosphere Insulin or standard diabetes care. We are continuing to enroll patients in three other major Phase 3 clinical trials, two of which are pivotal efficacy trials. Based on our discussions with the Food and Drug Administration, or FDA, we plan to accumulate two years of controlled safety data before we file a new drug application for the Technosphere Insulin System. We anticipate that our entire clinical trial program, including several special population studies, will involve more than 4,500 patients. Larger populations and longer durations of exposure may be necessary depending on the safety profile of our product.</w:t>
      </w:r>
    </w:p>
    <w:p>
      <w:pPr>
        <w:spacing w:after="0" w:line="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Technosphere Insulin System utilizes our proprietary Technosphere formulation technology, which is based on a class of organic molecules that are designed to self-assemble into small particles onto which drug molecules can be loaded. We are also developing additional Technosphere-based products for the delivery of other drugs. In addition to these products, we are developing therapies for the treatment of solid tumor cancers. We initiated Phase 1 clinical trials of a therapeutic cancer vaccine in January 2007.</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a development stage enterprise and have incurred significant losses since our inception in 1991. As of March 31, 2007, we have reported accumulated net losses of $861.0 million. To date, we have not generated any product revenues and have funded our operations primarily through the sale of equity securities.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do not anticipate sales of any product prior to regulatory approval and commercialization of our Technosphere Insulin System. We currently do not have the required approvals to market any of our product candidates, and we may not receive any approvals. We may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not be profitable even if we succeed in commercializing any of our product candidates. We expect to make substantial and increasing expenditures and to incur additional operating losses for at least the next several years as we:</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and commercialization of our Technosphere Insulin System for the treatment of diabetes;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manufacturing operations for our Technosphere Insulin System to meet our currently anticipated commercial production needs;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expand our other research, discovery and development programs;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proprietary Technosphere platform technology and develop additional applications for the pulmonary delivery of other drugs; and</w:t>
      </w:r>
    </w:p>
    <w:p>
      <w:pPr>
        <w:spacing w:after="0" w:line="142" w:lineRule="exact"/>
        <w:rPr>
          <w:rFonts w:ascii="Arial" w:cs="Arial" w:eastAsia="Arial" w:hAnsi="Arial"/>
          <w:sz w:val="17"/>
          <w:szCs w:val="17"/>
          <w:b w:val="1"/>
          <w:bCs w:val="1"/>
          <w:color w:val="auto"/>
        </w:rPr>
      </w:pPr>
    </w:p>
    <w:p>
      <w:pPr>
        <w:ind w:left="660" w:right="3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May 2007, we initiated a clinical trial in healthy individuals for a second Technosphere product, MKC-253. This trial is being conducted in Europe. MKC-253 is a formulation of GLP-1 delivered on Technosphere particles that we are evaluating for safety, tolerability, and pharmacokinetics. GLP-1 is a hormone secreted in the small intestine and colon in response to food intake. GLP-1 in healthy individuals is known to stimulate insulin secretion and slow gastric emptying. Patients with type 2 diabetes often exhibit a lower level of GLP-1 secretion.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research and development expenses consist mainly of costs associated with the clinical trials of our product candidates which have not yet received regulatory approval for marketing and for which no alternative future use has been identified. This includes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7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the majority of research and development costs as we incur them.</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Clinical development timelines, likelihood of success and total costs vary widely. We are focused primarily on advancing the Technosphere Insulin System through Phase 3 clinical trials and regulatory filings. We plan to commercialize our lead product as a treatment for diabetes.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5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scope of our clinical trials, the cost and efficiency of our manufacturing process and discussions with the FDA on its requirements. We anticipate that our research and development expenses, particularly for the Technosphere Insulin System, will increase significantly with the continuation of existing clinical trials, the initiation of new trials, the resulting manufacturing costs associated with producing clinical trial materials, and the expansion, qualification and validation of our commercial manufacturing processes and facilities. Additionally, we expect non-cash stock-based compensation expense resulting from the adoption of Statement of Financial Accounting Standards (“SFAS”) No. 123R, </w:t>
      </w:r>
      <w:r>
        <w:rPr>
          <w:rFonts w:ascii="Arial" w:cs="Arial" w:eastAsia="Arial" w:hAnsi="Arial"/>
          <w:sz w:val="16"/>
          <w:szCs w:val="16"/>
          <w:i w:val="1"/>
          <w:iCs w:val="1"/>
          <w:color w:val="auto"/>
        </w:rPr>
        <w:t>Share-based Payment: an Amendment of FASB Statement 123 and 95</w:t>
      </w:r>
      <w:r>
        <w:rPr>
          <w:rFonts w:ascii="Arial" w:cs="Arial" w:eastAsia="Arial" w:hAnsi="Arial"/>
          <w:sz w:val="16"/>
          <w:szCs w:val="16"/>
          <w:color w:val="auto"/>
        </w:rPr>
        <w:t xml:space="preserve"> (“SFAS No. 123R”)</w:t>
      </w:r>
      <w:r>
        <w:rPr>
          <w:rFonts w:ascii="Arial" w:cs="Arial" w:eastAsia="Arial" w:hAnsi="Arial"/>
          <w:sz w:val="16"/>
          <w:szCs w:val="16"/>
          <w:i w:val="1"/>
          <w:iCs w:val="1"/>
          <w:color w:val="auto"/>
        </w:rPr>
        <w:t>,</w:t>
      </w:r>
      <w:r>
        <w:rPr>
          <w:rFonts w:ascii="Arial" w:cs="Arial" w:eastAsia="Arial" w:hAnsi="Arial"/>
          <w:sz w:val="16"/>
          <w:szCs w:val="16"/>
          <w:color w:val="auto"/>
        </w:rPr>
        <w:t xml:space="preserve"> effective as of January 1, 2006, to increase in the future. See Note 4 — Accounting for Stock-Based Compensation in the notes to our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include business insurance and professional services costs.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expect general and administrative expenses other than non-cash stock-based compensation expense to increase slightly in the future as a result of increased headcount, public company compliance and establishment of investor relations and marketing programs. We expect overall general and administrative expenses to increase as a result of the adoption of SFAS No. 123R. See Note 4 — Accounting for Stock-Based Compensation in the notes to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must make significant management judgments when determining our provision for income taxes, our deferred tax assets and liabilities and any valuation allowance recorded against our net deferred tax assets. Due to our history of operating losses we have established a valuation allowance against all of our net deferred tax asset balances.</w:t>
      </w:r>
    </w:p>
    <w:p>
      <w:pPr>
        <w:spacing w:after="0" w:line="73"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 xml:space="preserve">In July 2006, the FASB issued FASB Interpretation No. 48, </w:t>
      </w:r>
      <w:r>
        <w:rPr>
          <w:rFonts w:ascii="Arial" w:cs="Arial" w:eastAsia="Arial" w:hAnsi="Arial"/>
          <w:sz w:val="16"/>
          <w:szCs w:val="16"/>
          <w:i w:val="1"/>
          <w:iCs w:val="1"/>
          <w:color w:val="auto"/>
        </w:rPr>
        <w:t>Accounting for Uncertainty in Income Taxes—an interpretation of FASB Statement No. 109</w:t>
      </w:r>
      <w:r>
        <w:rPr>
          <w:rFonts w:ascii="Arial" w:cs="Arial" w:eastAsia="Arial" w:hAnsi="Arial"/>
          <w:sz w:val="16"/>
          <w:szCs w:val="16"/>
          <w:color w:val="auto"/>
        </w:rPr>
        <w:t xml:space="preserve"> (“FIN 48”), which clarifies the accounting and disclosure for uncertainty in tax positions, as defined. FIN 48 seeks to reduce the diversity in practice associated with certain aspects of the recognition and measurement related to accounting for income taxes. We are subject to the provisions of FIN 48 as of January 1, 2007.</w:t>
      </w:r>
    </w:p>
    <w:p>
      <w:pPr>
        <w:ind w:right="60"/>
        <w:spacing w:after="0" w:line="253" w:lineRule="auto"/>
        <w:rPr>
          <w:sz w:val="20"/>
          <w:szCs w:val="20"/>
          <w:color w:val="auto"/>
        </w:rPr>
      </w:pPr>
      <w:r>
        <w:rPr>
          <w:rFonts w:ascii="Arial" w:cs="Arial" w:eastAsia="Arial" w:hAnsi="Arial"/>
          <w:sz w:val="18"/>
          <w:szCs w:val="18"/>
          <w:color w:val="auto"/>
        </w:rPr>
        <w:t>We believe that our income tax filing positions and deductions will be sustained on audit and do not anticipate any adjustments that will result in a material change to our financial position. Therefore, no reserves for uncertain income tax positions have been recorded pursuant to FIN 48. The cumulative effect, if any, of applying FIN 48 is to be reported as an adjustment to the opening balance of retained earnings in the year of adoption. Our adoption of FIN 48 did not result in a cumulative effect adjustment to retained earnings. Tax years since 1992 remain subject to examination by the major tax jurisdictions in which the Company is subject to tax.</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2007 and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2007 and 2006, we recognized $0.01 million and $0.1 million in revenue, respectively, under a license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anticipate sales of any product prior to regulatory approval and commercialization of our Technosphere Insulin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months ended March 31, 2007 and 2006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Change</w:t>
            </w:r>
          </w:p>
        </w:tc>
        <w:tc>
          <w:tcPr>
            <w:tcW w:w="68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32,001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18,670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13,331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Manufacturing</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21,614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9,223</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12,391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6,418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1,557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2,198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559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63,788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35,950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27,838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increase in research and development expenses for the three months ended March 31, 2007, as compared to the same period in the prior year was primarily due to increased costs associated with the expanded clinical development of our Technosphere Insulin System and the continuation of other preclinical studies, increased manufacturing costs, increased salaries and related expenses driven by higher headcount, increased costs related to consulting services and technology agreements, and increased stock-based compensation expense. We anticipate that our research and development expenses associated with Technosphere Insulin System, expansion of our Technosphere platform technology and the pursuit of cancer therapies will increase significantly in 2007. Specifically, we anticipate increased expenses related to the continuation of existing and initiation of new clinical trials, and the resulting manufacturing costs associated with producing clinical trial materials.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months ended March 31, 2007 and 2006 (dollars in thousands):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Change</w:t>
            </w:r>
          </w:p>
        </w:tc>
        <w:tc>
          <w:tcPr>
            <w:tcW w:w="68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11,199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4,133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2,351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2,072</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279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13,550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4,412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General and administrative expenses for the three months ended March 31, 2007 increased as compared to the same period in the prior year due to increased salaries, employee related and other general expenses resulting from increased headcount and administrative services. We expect general and administrative expenses, other than non-cash stock-based compensation expense, to increase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funded our operations primarily through the sale of equity securities. In December 2006, we issued and sold 23,000,000 shares of our common stock at a price of $17.42 per share in an underwritten public offering. The resulting aggregate net proceeds to us from this common stock offering were approximately $384.7 million after expenses. In December 2006, we also sold $115.0 million aggregate principal amount of 3.75% Senior Convertible Notes due 2013. The resulting aggregate net proceeds to us from this note offering was approximately $111.3 million after expenses.</w:t>
      </w:r>
    </w:p>
    <w:p>
      <w:pPr>
        <w:spacing w:after="0" w:line="6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August 2006, we entered into a $150.0 million loan arrangement with our principal stockholder, which was amended on October 30, 2006. Under this arrangement, we can borrow funds in one or more advances at any time through August 2, 2007 should our cash balance fall below its projected cash requirements for the subsequent three months, provided that each advance be no less than $10.0 million and provided that at no time shall the total principal amount borrowed exceed $150.0 million. Principal repayment is due and payable one year from the date of each advance. As of March 31, 2007, there are no amounts borrowed and outstanding under this loan arrangement with our principal stockholder. We expect to extend this arrangement beyond August 2, 2007.</w:t>
      </w:r>
    </w:p>
    <w:p>
      <w:pPr>
        <w:spacing w:after="0" w:line="50"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During the three months ended March 31, 2007, we used $64.8 million of cash for our operations compared to using $37.3 million for our operations in the three months ended March 31, 2006. We had a net loss of $73.1 million for the three months ended March 31, 2007, of which $6.7 million consisted of non-cash charges such as depreciation and amortization, and stock-based compensation. We expect our negative operating cash flow to continue at least until we obtain regulatory approval and achieve commercialization of our Technosphere Insulin System.</w:t>
      </w:r>
    </w:p>
    <w:p>
      <w:pPr>
        <w:spacing w:after="0" w:line="6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generated $7.6 million of cash from investing activities during the three months ended March 31, 2007, compared to generating $26.6 million for the three months ended March 31, 2006. Cash generated in investing activities for the three months ended March 31, 2007 was primarily from net sales of marketable securities of $14.1 million. In addition, $6.5 million was used to purchase machinery and equipment to expand our manufacturing operations and quality systems in support of our expansion of clinical trials for Technosphere Insulin System. We expect to make significant purchases of equipment in the foreseeable future.</w:t>
      </w:r>
    </w:p>
    <w:p>
      <w:pPr>
        <w:spacing w:after="0" w:line="8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Our financing activities provided cash of $0.4 million for the three months ended March 31, 2007 compared to $0.6 million for the same period in 2006. Cash from financing activities in the first three months of 2007 and 2006, respectively, was primarily from the exercise of stock options.</w:t>
      </w:r>
    </w:p>
    <w:p>
      <w:pPr>
        <w:spacing w:after="0" w:line="3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March 31, 2007, we had $365.6 million in cash, cash equivalents and marketable securities. Although we believe our existing capital resources, which includes the $150.0 million loan agreement with our principal stockholder, will be sufficient to fund our anticipated cash requirements into the second quarter of 2008, we will require significant additional financing in the future to fund our operations. If adequate funds are not available, we may be required to delay, reduce or eliminate expenditures for certain of our programs, including our Technosphere Insulin System development activities.</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intend to use our capital resources to continue the development of our Technosphere Insulin System and to develop additional applications for our proprietary Technosphere platform technology. In addition, portions of our capital resources will be devoted to expanding our other product development programs for the treatment of solid-tumor cancers. We anticipate that we will expend a portion of our capital to scale up our manufacturing capabilities in our Danbury facilities. We also intend to use our capital resources for general corporate purposes, which may include in-licensing or acquiring additional technologies.</w:t>
      </w:r>
    </w:p>
    <w:p>
      <w:pPr>
        <w:spacing w:after="0" w:line="8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If we enter into a strategic business collaboration with a pharmaceutical or biotechnology company, we would expect, as part of the transaction, to receive additional capital and reimbursements for a portion of the costs associated with the development, manufacture and commercialization of our Technosphere Insulin System.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would have sought to develop independently, and any such agreements may not be on terms as commercially favorable to us.</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our Technosphere Insulin System development activities, or further reduction of costs for facilities and administration.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2007,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There have been no material changes to our contractual obligations disclosed in Item 7 to our Annual Report other than those in the ordinary course of our business, such as contracts related to the continuation of existing clinical trials, the initiation of new trials and the expansion, qualification and validation of our commercial manufacturing processes and facilities. In April 2007, we entered into a $114.0 million contractual arrangement with our general contractor related to the expansion of the manufacturing facility in Danbury.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In February 2007, the FASB issued SFAS No. 159, </w:t>
      </w:r>
      <w:r>
        <w:rPr>
          <w:rFonts w:ascii="Arial" w:cs="Arial" w:eastAsia="Arial" w:hAnsi="Arial"/>
          <w:sz w:val="17"/>
          <w:szCs w:val="17"/>
          <w:i w:val="1"/>
          <w:iCs w:val="1"/>
          <w:color w:val="auto"/>
        </w:rPr>
        <w:t>The Fair Value Option for Financial Assets and Financial Liabilities</w:t>
      </w:r>
      <w:r>
        <w:rPr>
          <w:rFonts w:ascii="Arial" w:cs="Arial" w:eastAsia="Arial" w:hAnsi="Arial"/>
          <w:sz w:val="17"/>
          <w:szCs w:val="17"/>
          <w:color w:val="auto"/>
        </w:rPr>
        <w:t xml:space="preserve">, which permits entities to choose to measure many financial instruments and certain other items at fair value. SFAS No. 159 also includes an amendment to SFAS No. 115,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Certain Investments in Debt and Equity Securities </w:t>
      </w:r>
      <w:r>
        <w:rPr>
          <w:rFonts w:ascii="Arial" w:cs="Arial" w:eastAsia="Arial" w:hAnsi="Arial"/>
          <w:sz w:val="17"/>
          <w:szCs w:val="17"/>
          <w:color w:val="auto"/>
        </w:rPr>
        <w:t>which applies to all entities with available-for-sale and trading securities. This Statement is effective as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beginning of an entity’s first fiscal year that begins after November 15, 2007. We are assessing the impact of SFAS No. 159 and have not determined whether it will have a material impact on our results of operations or financial position.</w:t>
      </w:r>
    </w:p>
    <w:p>
      <w:pPr>
        <w:spacing w:after="0" w:line="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September 2006, the FASB issued SFAS No. 157</w:t>
      </w:r>
      <w:r>
        <w:rPr>
          <w:rFonts w:ascii="Arial" w:cs="Arial" w:eastAsia="Arial" w:hAnsi="Arial"/>
          <w:sz w:val="18"/>
          <w:szCs w:val="18"/>
          <w:i w:val="1"/>
          <w:iCs w:val="1"/>
          <w:color w:val="auto"/>
        </w:rPr>
        <w:t>, Fair Value Measurements</w:t>
      </w:r>
      <w:r>
        <w:rPr>
          <w:rFonts w:ascii="Arial" w:cs="Arial" w:eastAsia="Arial" w:hAnsi="Arial"/>
          <w:sz w:val="18"/>
          <w:szCs w:val="18"/>
          <w:color w:val="auto"/>
        </w:rPr>
        <w:t>. The Statement defines fair value, establishes a framework for measuring fair value in generally accepted accounting principles and expands disclosures about fair value measurements, and does not require any new fair value measurements. This Statement applies under other accounting pronouncements that require or permit fair value measurements. The Statement is effective for the fiscal years beginning after November 15, 2007. We are assessing SFAS No. 157 and have not determined the impact the adoption of SFAS No. 157 will have on our results of operations or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not used derivative financial instruments. However, we are exposed to market risk related to changes in interest rates. Our current policy is to maintain a highly liquid short-term investment portfolio consisting mainly of U.S. money market funds and investment-grade corporate, government and municipal debt. Our cash is deposited in and invested through highly rated financial institutions in North America. Our short-term investments are subject to interest rate risk and will fall in value if market interest rates increase. If market interest rates were to increase immediately and uniformly by ten percent from levels at March 31, 2007, we estimate that the fair value of our investment portfolio would decline by an immaterial amount.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or the Securities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Our chief executive officer and chief financial officer performed an evaluation under the supervision and with the participation of our management, of our disclosure controls and procedures (as defined in Rule 13a-15(b) of the Securities Exchange Act) as of March 31, 2007. Based on that evaluation, our chief executive officer and chief financial officer concluded that our disclosure controls and procedures were effective at the reasonable assurance level.</w:t>
      </w:r>
    </w:p>
    <w:p>
      <w:pPr>
        <w:spacing w:after="0" w:line="3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March 31, 2007 that has materially affected, or is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As previously disclosed in our Annual Report on Form 10-K for the fiscal year ended December 31, 2006, in May 2005, our former Chief Medical Officer, Wayman Wendell Cheatham, M.D., filed a complaint against us in the California Superior Court, County of Los Angeles, </w:t>
      </w:r>
      <w:r>
        <w:rPr>
          <w:rFonts w:ascii="Arial" w:cs="Arial" w:eastAsia="Arial" w:hAnsi="Arial"/>
          <w:sz w:val="16"/>
          <w:szCs w:val="16"/>
          <w:i w:val="1"/>
          <w:iCs w:val="1"/>
          <w:color w:val="auto"/>
        </w:rPr>
        <w:t>Wayman Wendell Cheatham, M.D.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 MannKind Corporation </w:t>
      </w:r>
      <w:r>
        <w:rPr>
          <w:rFonts w:ascii="Arial" w:cs="Arial" w:eastAsia="Arial" w:hAnsi="Arial"/>
          <w:sz w:val="16"/>
          <w:szCs w:val="16"/>
          <w:color w:val="auto"/>
        </w:rPr>
        <w:t>, Case No. BC333845. The complaint alleges causes of action for wrongful termination in violation of public policy, breach of</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and retaliation, in connection with our termination of Dr. Cheatham’s employment. In the complaint, Dr. Cheatham seeks compensatory, punitive and exemplary damages in excess of $2.0 million, as well as reimbursement of attorneys’ fees. In June 2005, we answered the complaint, generally denying each of Dr. Cheatham’s allegations and asserting various defenses. We believe the allegations in the complaint are without merit and we are vigorously defending against them. We also filed a cross-complaint against Dr. Cheatham, alleging claims for libel per se, trade libel, breach of contract, breach of the implied covenant of good faith and fair dealing and breach of the duty of loyalty. The libel claims allege that Dr. Cheatham made certain false and malicious statements about us in a letter to the FDA with regard to a request by us to hold a meeting with the FDA. The remaining causes of action in the cross-complaint arise out of our allegations that Dr. Cheatham had an undisclosed consulting relationship with a competitor during his employment with us, in violation of our agreement. In July 2005, Dr. Cheatham filed a demurrer and motion to strike our cross-complaint under California’s anti-SLAPP statute. In September 2005, the California Superior Court overruled Dr. Cheatham’s demurrer and denied his motion to strike our cross-complaint. In November 2005, Dr. Cheatham appealed the Court’s ruling denying his motion to strike. In July 2006, we filed a motion for summary judgment, or in the alternative, for summary adjudication, requesting dismissal before trial of Dr. Cheatham’s claims against us. In October 2006, the Superior Court denied the motion. In December 2006, the Court of Appeal affirmed in part and reversed in part the Superior Court’s order denying Dr. Cheatham’s motion to strike. Subsequently, Dr. Cheatham filed a notice of dismissal of the retaliation cause of action, and we filed a notice of dismissal of the remaining claims under our cross-complaint. In April 2007, Dr. Cheatham through his counsel advised us that Dr. Cheatham intended to file a new lawsuit against us alleging that we had refused to enter into a contract with Dr. Cheatham’s current employer because of the pending litigation and claiming that such refusal was wrongful and legally actionable. On April 16, 2007, we filed a complaint for declaratory relief in the Circuit Court of Howard County, Mary land seeking a declaration from the Maryland court that we had not engaged in wrongful or legally actionable conduct, that Dr. Cheatham had suffered no damages and that we could in the future choose not to enter into a contract or otherwise conduct business with Dr. Cheatham’s employer simply because of the pending litigation with</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Dr. Cheatham. Dr. Cheatham who had not filed the new lawsuit as of the date of this report has until May 23, 2007 to answer our complaint. The trial in the California Superior Court commenced on April 30, 2007 and as of the date of this report was continuing. We believe that the ultimate resolution of this matter will not have a material impact on our financial position or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You should consider carefully the following information about the risks described below, together with the other information contained in this Quarterly Report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associated with our business as previously disclosed in Item 1A to our annual report on Form 10-K for the fiscal year ended December 31, 2006.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we expect to continue to incur losses and we may never become profitable. *</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several years, if at all.</w:t>
      </w:r>
    </w:p>
    <w:p>
      <w:pPr>
        <w:spacing w:after="0" w:line="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never been profitable and, as of March 31, 2007, we had an accumulated deficit of $861.0 million.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raise additional capital, our financial condition and business would suffer. *</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It is costly to develop therapeutic product candidates and conduct clinical trials for these product candidates. Although we are currently focusing on our Technosphere Insulin System as our lead product candidate, we have begun to conduct clinical trials for additional product candidates. Our future revenues may not be sufficient to support the expense of these activities.</w:t>
      </w:r>
    </w:p>
    <w:p>
      <w:pPr>
        <w:spacing w:after="0" w:line="73"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On December 12, 2006, we closed the sale of 20,000,000 shares of our common stock at a public offering price of $17.42 per share and on December 19, 2006, closed the sale of an additional 3,000,000 shares of our common stock at a public offering price of $17.42 per share pursuant to an over-allotment option granted to the underwriters of the offering. The resulting aggregate net proceeds to us from this common stock offering was approximately</w:t>
      </w:r>
    </w:p>
    <w:p>
      <w:pPr>
        <w:jc w:val="both"/>
        <w:ind w:right="60"/>
        <w:spacing w:after="0" w:line="255" w:lineRule="auto"/>
        <w:rPr>
          <w:sz w:val="20"/>
          <w:szCs w:val="20"/>
          <w:color w:val="auto"/>
        </w:rPr>
      </w:pPr>
      <w:r>
        <w:rPr>
          <w:rFonts w:ascii="Arial" w:cs="Arial" w:eastAsia="Arial" w:hAnsi="Arial"/>
          <w:sz w:val="18"/>
          <w:szCs w:val="18"/>
          <w:color w:val="auto"/>
        </w:rPr>
        <w:t>$384.7 million after expenses. On December 12, 2006, we also sold $115.0 million aggregate principal amount of 3.75% Senior Convertible Notes due 2013, including an additional $15.0 million aggregate principal amount of the notes sold to cover over-allotments. The resulting aggregate net proceeds to us from this note offering was approximately $111.3 million after expenses.</w:t>
      </w:r>
    </w:p>
    <w:p>
      <w:pPr>
        <w:spacing w:after="0" w:line="8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August 2006, we entered into a $150.0 million loan arrangement with our principal stockholder, which was amended on October 30, 2006. Under this arrangement, we can borrow funds in one or more advances at any time through August 2, 2007 should our cash balance fall below its projected cash requirements for the subsequent three months, provided that each advance be no less than $10.0 million and provided that at no time shall the total principal amount borrowed exceed $150.0 million. Principal repayment is due and payable one year from the date of each advance. As of March 31, 2007, there are no amounts borrowed and outstanding under this loan arrangement with our principal stockholder.</w:t>
      </w:r>
    </w:p>
    <w:p>
      <w:pPr>
        <w:spacing w:after="0" w:line="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Based upon our current expectations, we believe that our existing capital resources, including the net proceeds from our sale of common stock and senior convertible notes in December 2006 and the loan agreement with our principal stockholder, will enable us to continue planned operations into the second quarter of 2008. 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a strategic business collaboration or the establishment of other funding facilities, in order to continue the development and commercialization of our Technosphere Insulin System and other product candidates and to support our other ongoing activities. The amount of additional funds we need will depend on a number of factors, including:</w:t>
      </w:r>
    </w:p>
    <w:p>
      <w:pPr>
        <w:spacing w:after="0" w:line="81" w:lineRule="exact"/>
        <w:rPr>
          <w:sz w:val="20"/>
          <w:szCs w:val="20"/>
          <w:color w:val="auto"/>
        </w:rPr>
      </w:pPr>
    </w:p>
    <w:p>
      <w:pPr>
        <w:ind w:left="220" w:right="200" w:hanging="212"/>
        <w:spacing w:after="0" w:line="277"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62" w:lineRule="exact"/>
        <w:rPr>
          <w:rFonts w:ascii="Arial" w:cs="Arial" w:eastAsia="Arial" w:hAnsi="Arial"/>
          <w:sz w:val="18"/>
          <w:szCs w:val="18"/>
          <w:b w:val="1"/>
          <w:bCs w:val="1"/>
          <w:color w:val="auto"/>
        </w:rPr>
      </w:pPr>
    </w:p>
    <w:p>
      <w:pPr>
        <w:ind w:left="220" w:right="180" w:hanging="212"/>
        <w:spacing w:after="0" w:line="277"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our Technosphere Insulin System or our other product candidates;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17" w:lineRule="exact"/>
        <w:rPr>
          <w:rFonts w:ascii="Arial" w:cs="Arial" w:eastAsia="Arial" w:hAnsi="Arial"/>
          <w:sz w:val="18"/>
          <w:szCs w:val="18"/>
          <w:b w:val="1"/>
          <w:bCs w:val="1"/>
          <w:color w:val="auto"/>
        </w:rPr>
      </w:pPr>
    </w:p>
    <w:p>
      <w:pPr>
        <w:ind w:left="220" w:right="320" w:hanging="212"/>
        <w:spacing w:after="0" w:line="277"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 and</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raised capital in the past primarily through the sale of equity securities and most currently through the sale of equity and debt securities. We may in the future pursue the sale of additional equity and/or debt securities, or the establishment of other funding facilities. Issuances of additional debt or equity securities or the conversion of any of our currently outstanding convertible debt securities into shares of our common stock could impact your rights as a holder of our common stock and may dilute your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also may seek to raise additional capital by pursuing opportunities for the licensing or sale of certain intellectual property and other assets, including our Technosphere technology platform. We cannot offer assurances, however, that any strategic collaborations, sales of securities or sales or licenses of assets will be available to us on a timely basis or on acceptable terms, if at all. We may be required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3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licensing arrangements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6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We depend heavily on the successful development and commercialization of our lead product candidate, the Technosphere Insulin System, which is still in clinical development, and our other product candidates, which are in early clinical or preclinical development. *</w:t>
      </w:r>
    </w:p>
    <w:p>
      <w:pPr>
        <w:spacing w:after="0" w:line="7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To date, we have not completed the development of any product candidates through to commercialization. Our Technosphere Insulin System is currently undergoing clinical trials, while our other product candidates are generally in early clinical or preclinical development. We anticipate that in the near term, our ability to generate revenues will depend solely on the successful development and commercialization of our Technosphere Insulin System.</w:t>
      </w:r>
    </w:p>
    <w:p>
      <w:pPr>
        <w:spacing w:after="0" w:line="3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complete Phase 3 clinical trials and demonstrate in these trials that our Technosphere Insulin System is safe and effective. We have initiated all of our pivotal Phase 3 clinical trials as well as several special population studies for our Technosphere Insulin System, all of which will require additional time and substantial expenditure of resources. We must also receive the necessary approvals from the FDA and similar foreign regulatory agencies before this product candidate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significant portion of the research that we are conducting involves new and unproven compounds and technologies, including our Technosphere Insulin System,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5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we do not achieve our projected development goals in the timeframes we announce and expect, our business would be harmed and the market price of our common stock could decline.</w:t>
      </w:r>
    </w:p>
    <w:p>
      <w:pPr>
        <w:spacing w:after="0" w:line="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compared to our estimates, in many cases for reasons beyond our control, depending on numerous factors, including:</w:t>
      </w:r>
    </w:p>
    <w:p>
      <w:pPr>
        <w:spacing w:after="0" w:line="80" w:lineRule="exact"/>
        <w:rPr>
          <w:sz w:val="20"/>
          <w:szCs w:val="20"/>
          <w:color w:val="auto"/>
        </w:rPr>
      </w:pPr>
    </w:p>
    <w:p>
      <w:pPr>
        <w:ind w:left="660" w:right="4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1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our Technosphere Insulin System;</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Technosphere Insulin System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6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We face substantial competition in the development of our product candidates and may not be able to compete successfully, and our product candidates may be rendered obsolete by rapid technological change.</w:t>
      </w:r>
    </w:p>
    <w:p>
      <w:pPr>
        <w:spacing w:after="0" w:line="58"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initially are focusing on the development of our Technosphere Insulin System for the treatment of diabetes, and we face intense competition in this area. In January 2006, the FDA and the European Commission approved Exubera, developed by Pfizer, Inc. in collaboration with Nektar Therapeutics, for the treatment of adults with type 1 and type 2 diabetes. Exubera has been launched in Germany, Ireland, the United Kingdom and, to a limited extent, the United States. Pfizer has announced that it will begin a direct-to-consumer marketing campaign in the second half of 2007. In July 2005, Eli Lilly and Company, in collaboration with Alkermes, Inc., initiated a pivotal Phase 3 safety trial of their AIR inhaled insulin system, which completed patient enrollment in</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June 2006. We believe Lilly plans to submit a New Drug Application, or NDA, for the AIR inhaled insulin system in 2009. In September 2006, Novo Nordisk A.S. began recruiting patients for a two-year Phase 3 safety trial of their AERx inhaled insulin system, after previously suspending clinical trials of the AERx product. In addition, a number of established pharmaceutical companies have or are developing technologies for the treatment of diabetes. We also face substantial competition for the development of our other product candidates.</w:t>
      </w:r>
    </w:p>
    <w:p>
      <w:pPr>
        <w:spacing w:after="0" w:line="8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rapid rate of scientific discoveries and technological changes could result in one or more of our product candidates becoming obsolete or noncompetitive. Our competitors may develop or introduce new products that render our technology and our Technosphere Insulin System less competitive, uneconomical or obsolete. Pfizer, the first to commercialize an inhaled insulin system, will have an advantage in being able to gain reputation and market share as well as set parameters for the inhaled insulin market such as pricing and reimbursement strategies. Our future success will depend not only on our ability to develop our product candidates but to improve them and to keep pace with emerging industry developments. We cannot assure you that we will be able to do so.</w:t>
      </w:r>
    </w:p>
    <w:p>
      <w:pPr>
        <w:spacing w:after="0" w:line="5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6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enter into a strategic collaboration with respect to our Technosphere Insulin System, we may not be able to execute on our business model. *</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currently evaluating potential collaborations with respect to our Technosphere Insulin System. If we are not able to enter into a collaboration on terms that are favorable to us, we could be required to undertake and fund product development, clinical trials, manufacturing and marketing activities solely at our own expense. We currently estimate that the capital required to continue the development of our Technosphere Insulin System over the next 12 months would be in the range of $300 to $400 million. However, this estimate may change based on how the program proceeds. Failure to enter into a collaboration with respect to our Technosphere Insulin System could substantially increase our requirements for capital, which might not be available on favorable terms, if at all. Alternatively, we would have to substantially reduce our development efforts, which would delay or otherwise impede the commercialization of our Technosphere Insulin System.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7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If we enter into collaborative agreements with respect to our Technosphere Insulin System and if our third-party collaborators do not perform satisfactorily or if our collaborations fail, development or commercialization of our Technosphere Insulin System may be delayed and our business could be harmed.</w:t>
      </w:r>
    </w:p>
    <w:p>
      <w:pPr>
        <w:spacing w:after="0" w:line="7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currently rely on clinical research organizations and hospitals to conduct, supervise or monitor some or all aspects of clinical trials involving our Technosphere Insulin System. Further, we may also enter into license agreements, partnerships or other collaborative arrangements to support the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6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If we enter into collaborative arrangements, we will have less control over the timing, planning and other aspects of our clinical trials, and the sale and marketing of our Technosphere Insulin System and our other product candidates. We cannot offer assurances that we will be able to enter into satisfactory arrangements with third parties as contemplated or that any of our existing or future collaborations will be successful.</w:t>
      </w:r>
    </w:p>
    <w:p>
      <w:pPr>
        <w:spacing w:after="0" w:line="5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Testing of our Technosphere Insulin System or another product candidate may not yield successful results, and even if it does, we may still be unable to commercialize that product candidate.</w:t>
      </w:r>
    </w:p>
    <w:p>
      <w:pPr>
        <w:spacing w:after="0" w:line="58"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Our research and development programs are designed to test the safety and efficacy of our Technosphere Insulin System and our other product candidates through extensive nonclinical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39" w:lineRule="exact"/>
        <w:rPr>
          <w:sz w:val="20"/>
          <w:szCs w:val="20"/>
          <w:color w:val="auto"/>
        </w:rPr>
      </w:pPr>
    </w:p>
    <w:p>
      <w:pPr>
        <w:ind w:left="660" w:right="12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nonclinical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30"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initiated a pivotal Phase 3 safety study of our Technosphere Insulin System to evaluate pulmonary function over a period of two years. Our Technosphere Insulin System is intended for multiple uses per day. Due to the size and timeframe over which existing and planned clinical trials are conducted, the results of clinical trials, including our existing Phase 3 trials, may not be indicative of the effects of the use of our Technosphere Insulin System over longer terms. If long-term use of our Technosphere Insulin System results in adverse health effects or reduced efficacy or both, the FDA or other regulatory agencies may terminate our ability to market and sell our Technosphere Insulin System, may narrow the approved indications for use or otherwise require restrictive product labeling or marketing, or may require further clinical trials, which may be time-consuming and expensive and may not produce favorable results.</w:t>
      </w:r>
    </w:p>
    <w:p>
      <w:pPr>
        <w:spacing w:after="0" w:line="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a result of any of these events, the FDA, other regulatory authorities, any collaborator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6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are unable to transition successfully from an early-stage development company to a company that commercializes therapeutics, our operations would suffer.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are at a critical juncture in our development, having transitioned from an early-stage development company to one with multiple Phase 3 clinical trials. Phase 3 development of our Technosphere Insulin System is far more complex than the earlier phases. Overall, we plan to support a significant number of studies in the near term. We have not previously implemented the range of studies contemplated for our Phase 3 clinical program. Moreover, as a company, we have no previous experience in the Phase 3-through-NDA stage of product development.</w:t>
      </w:r>
    </w:p>
    <w:p>
      <w:pPr>
        <w:spacing w:after="0" w:line="63"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require a well-structured plan to make this transition. In the past year, we have added a significant number of new executive personnel, particularly in clinical development, regulatory and manufacturing production, including personnel with significant Phase 3-to-commercialization experience. We have aligned our management structure to accommodate the increasing complexity of our operations, and we are implementing the following measures, among others, to accommodate our transition, complete development of our Technosphere Insulin System and successfully implement our commercialization strategy for our Technosphere Insulin System:</w:t>
      </w:r>
    </w:p>
    <w:p>
      <w:pPr>
        <w:spacing w:after="0" w:line="80"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expand our manufacturing capabilities;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 including those for protocol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accomplish these measures in a timely manner, we would be at considerable risk of failing to:</w:t>
      </w:r>
    </w:p>
    <w:p>
      <w:pPr>
        <w:spacing w:after="0" w:line="117"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complete our Phase 3 clinical trial program in a deliberate fashion, on time and within budget; and</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develop through our Phase 3 trials the key clinical data needed to obtain regulatory approval and compete successfully in the marketplace.</w:t>
      </w:r>
    </w:p>
    <w:p>
      <w:pPr>
        <w:spacing w:after="0" w:line="113"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If our suppliers fail to deliver materials and services needed for the production of our Technosphere Insulin System in a timely and sufficient manner, or they fail to comply with applicable regulations, our business and results of operations would be harmed and the market price of our common stock could decline. *</w:t>
      </w:r>
    </w:p>
    <w:p>
      <w:pPr>
        <w:spacing w:after="0" w:line="7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For our Technosphere Insulin System to be commercially viable, we need access to sufficient, reliable and affordable supplies of insulin, our MedTone inhaler, the related cartridges and other materials. We currently have a long-term supply agreement with Diosynth B.V., now Organon Biosciences N.V., an independent supplier of insulin and a subsidiary of Akzo Nobel, which is currently our sole supplier for insulin. On March 11, 2007, Akzo Nobel received an offer for the purchase of Organon Biosciences N.V. from Schering-Plough Corporation. The transaction is expected to be completed in the second half of 2007. We are aware of at least five other suppliers of bulk insulin but to date we have not entered into a commercial relationship with any of the five. Currently we obtain our Technosphere pre-cursor raw material from Degussa AG, a major chemical manufacturer with facilities in Europe and North America. We utilize our in-house chemical manufacturing plant as a back up facility. We believe Degussa AG has the capacity to supply our current clinical and future commercial requirements. We entered into a long-term supply agreement with Vaupell, Inc., the supplier of our MedTone inhaler and cartridges. We must rely on our suppliers to comply with relevant regulatory and other legal requirements, including the production of insulin in accordance with current drug Good Manufacturing Practices, or cGMP, and the production of MedTone inhaler and related cartridges in accordance with device Quality System Regulations, or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our Technosphere Insulin System may be delayed. Any such events would delay the submission of our Technosphere Insulin System for regulatory approval or market introduction and subsequent sales and, if so, our business and results of operations will be harmed and the market price of our common stock may decline.</w:t>
      </w:r>
    </w:p>
    <w:p>
      <w:pPr>
        <w:spacing w:after="0" w:line="5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 have never manufactured our Technosphere Insulin System or any other product candidate in commercial quantities, and if we fail to develop an effective manufacturing capability for our product candidates or to engage third-party manufacturers with this capability, we may be unable to commercialize these products.</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obtain our Technosphere precursor raw material primarily from Degussa AG. We use our Danbury, Connecticut facility to formulate Technosphere Insulin, fill plastic cartridges with Technosphere Insulin and blister package the cartridges for our clinical trials. We presently intend to increase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unable to provide us with goods or services at the agreed-upon price, our facilities expansion could be delayed or its costs increased.</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never manufactured our Technosphere Insulin System or any other product candidate in commercial quantities. As our product candidates move through the regulatory process, we will need to either develop the capability of manufacturing on a commercial scale or engage third-party manufacturers with this capability, and we cannot offer assurances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would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7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we were unable to promptly find one or more replacement manufacturers capable of production at a substantially equivalent cost, in substantially equivalent volume and on a timely basis, we would likely be unable to meet demand for such products and we would lose potential revenues.</w:t>
      </w:r>
    </w:p>
    <w:p>
      <w:pPr>
        <w:spacing w:after="0" w:line="60"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We deal with hazardous materials and must comply with environmental laws and regulations, which can be expensive and restrict how we do business.</w:t>
      </w:r>
    </w:p>
    <w:p>
      <w:pPr>
        <w:spacing w:after="0" w:line="5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initiated the final stages of the soil cleanup plan which we estimate will cost approximately $1.5 to $3.0 million to complete by the end of 2007.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6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broad base of physicians, including primary care physicians, internists and endocrinologists, treat patients with diabetes. A large sales force will be required in order to educate and support these physicians. Therefore, we plan to enter into collaborations with one or more pharmaceutical companies to market, distribute and sell our Technosphere Insulin System, if it is approved. If we fail to enter into collaborations, we would be required to establish our own direct sales, marketing and distribution capabilities. Establishing these capabilities can be time-consuming and expensive and we estimate that establishing a specialty sales force would cost more than $35 million. Because of our size, we would be at a disadvantage to our potential competitors, all of which either are or have collaborated with large pharmaceutical companies that have substantially more resources than we do. As a result, we would not initially be able to field a sales force as large as our competitors or provide the same degree of market research or marketing support.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6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any product that we may develop does not become widely accepted by physicians, patients, third-party payers and the healthcare community, we may be unable to generate significant revenue, if any.</w:t>
      </w:r>
    </w:p>
    <w:p>
      <w:pPr>
        <w:spacing w:after="0" w:line="5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Technosphere Insulin System and our other product candidates are new and unproven. Even if any of our product candidates obtain regulatory approvals, it may not gain market acceptance among physicians, patients, third-party payers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our Technosphere Insulin System and our other product candidates will depend on many factors, including the:</w:t>
      </w:r>
    </w:p>
    <w:p>
      <w:pPr>
        <w:spacing w:after="0" w:line="129"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willingness and ability of patients and the healthcare community to adopt new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at an acceptable cost;</w:t>
      </w:r>
    </w:p>
    <w:p>
      <w:pPr>
        <w:spacing w:after="0" w:line="130" w:lineRule="exact"/>
        <w:rPr>
          <w:rFonts w:ascii="Arial" w:cs="Arial" w:eastAsia="Arial" w:hAnsi="Arial"/>
          <w:sz w:val="18"/>
          <w:szCs w:val="18"/>
          <w:b w:val="1"/>
          <w:bCs w:val="1"/>
          <w:color w:val="auto"/>
        </w:rPr>
      </w:pPr>
    </w:p>
    <w:p>
      <w:pPr>
        <w:ind w:left="660" w:right="7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of the product compared to those of competing products or therapies;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of the product relative to existing treatment methods;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pricing and reimbursement of the product relative to existing treatment therapeutics and methods;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 for the product.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Physicians will not recommend a product until clinical data or other factors demonstrate the safety and efficacy of the product as compared to other treatments. Even if the clinical safety and efficacy of our product candidates is established, physicians may elect not to recommend these product candidates for a variety of factors, including the reimbursement policies of government and third-party payers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third-party payers do not reimburse customers for our products, our products might not be used or purchased, which would adversely affect our revenues.</w:t>
      </w:r>
    </w:p>
    <w:p>
      <w:pPr>
        <w:spacing w:after="0" w:line="58"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healthcare reform proposals or legislation. Such reforms may make it difficult to complete the development and testing of our Technosphere Insulin System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7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considered cost-effective or that reimbursement to the consumer would be available, in which case our business and results of operations would be harmed and the market price of our common stock could decline.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testing, manufacturing, marketing and sale of our Technosphere Insulin System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our Technosphere Insulin System. In addition, we carry local policies per trial in each country in which we conduct clinical trials that require us to carry coverage based on local statutory requirements. We intend to obtain product liability coverage for commercial sales in the future if our Technosphere Insulin System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would be harmed and the market price of our common stock may decline.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lose any key employees or scientific advisors, our operations and our ability to execute our business strategy could be materially harmed.</w:t>
      </w:r>
    </w:p>
    <w:p>
      <w:pPr>
        <w:spacing w:after="0" w:line="144"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Chief Executive Officer is unable to devote sufficient time and attention to our business, our operations and our ability to execute our business strategy could be materially harmed.</w:t>
      </w:r>
    </w:p>
    <w:p>
      <w:pPr>
        <w:spacing w:after="0" w:line="58"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Alfred Mann, our Chairman and Chief Executive Officer, is also serving as the Chairman and Co-Chief Executive Officer of Advanced Bionics Corporation, a wholly owned subsidiary of Boston Scientific Corporation. Mr. Mann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7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have been sued by our former Chief Medical Officer. As a result of this litigation, we may incur material costs and suffer other consequences, which may adversely affect us. *</w:t>
      </w:r>
    </w:p>
    <w:p>
      <w:pPr>
        <w:spacing w:after="0" w:line="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May 2005, Dr. Cheatham filed a complaint against us in the California Superior Court. The complaint alleges causes of action for wrongful termination in violation of public policy, breach of contract and retaliation in connection with the termination of</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Dr. Cheatham’s employment. In the complaint, Dr. Cheatham seeks compensatory, punitive and exemplary damages in excess of $2.0 million as well as reimbursement of attorneys’ fees. In June 2005, we answered the complaint and also filed a cross-complaint against Dr. Cheatham, alleging claims for libel per se, trade libel, breach of contract, breach of the implied covenant of good faith and fair dealing and breach of the duty of loyalty. In July 2005,</w:t>
      </w:r>
    </w:p>
    <w:p>
      <w:pPr>
        <w:spacing w:after="0" w:line="267" w:lineRule="auto"/>
        <w:rPr>
          <w:sz w:val="20"/>
          <w:szCs w:val="20"/>
          <w:color w:val="auto"/>
        </w:rPr>
      </w:pPr>
      <w:r>
        <w:rPr>
          <w:rFonts w:ascii="Arial" w:cs="Arial" w:eastAsia="Arial" w:hAnsi="Arial"/>
          <w:sz w:val="17"/>
          <w:szCs w:val="17"/>
          <w:color w:val="auto"/>
        </w:rPr>
        <w:t>Dr. Cheatham filed a demurrer and motion to strike our cross-complaint under California’s anti-SLAPP statute. In September 2005, the California Superior Court overruled Dr. Cheatham’s demurrer and denied his motion to strike our cross-complaint. In November 2005, Dr. Cheatham appealed the Court’s ruling denying his motion to strike. In July 2006, we filed a motion for summary judgment , or in the alternative, for summary adjudication, requesting dismissal before trial of Dr, Cheatham’s claims against us. In October 2006, the Superior Court denied the motion. In December 2006, the Court of Appeal affirmed in part and reversed in part the Superior Court’s order denying Dr. Cheatham’s motion to strike. Subsequently, Dr. Cheatham filed a notice of dismissal of the retaliation cause of action, and we filed a notice of dismissal of the remaining claims under the cross–complaint. In April 2007, Dr. Cheatham through his counsel advised us that Dr. Cheatham intended to file a new lawsuit against us alleging that we refused to enter into a contract with Dr. Cheatham’s current employer because of the pending litigation and claiming that such refusal was wrongful and legally actionable. On April 16, 2007, we filed a complaint for declaratory relief in the Circuit Court of Howard County, Mary land seeking a declaration from the Maryland court that we had not engaged in wrongful or legally actionable conduct, that Dr. Cheatham had suffered no damages and that we could in the future choose not to enter into a contract or otherwise conduct business with Dr. Cheatham’s employer simply because of the pending litigation with Dr. Cheatham. Dr. Cheatham who had not filed the new lawsuit as of the date of this report has until May 23, 2007 to answer our complaint. The trial in the California Superior Court commenced on April 30, 2007 and as of the date of this report was continuing.</w:t>
      </w:r>
    </w:p>
    <w:p>
      <w:pPr>
        <w:spacing w:after="0" w:line="7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litigation will result in costs and divert management’s attention and resources, any of which could adversely affect our business, results of operations or financial position. We are also concerned that, despite the findings by an independent counsel following an investigation and despite the endorsement of the independent counsel’s report by our board of directors, investors could give undue weight to Dr. Cheatham’s allegations, resulting in damage to our reputation, or the FDA could begin an investigation, either of which could adversely affect the trading price of our common stock. To date, we have not been notified of any investigation by the FDA. If we are not successful in this litigation, we could be forced to make a significant settlement or judgment payment to Dr. Cheatham, which could adversely affect our business, results of operations or financial position.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 that are located in Southern California may be affected by man-made or natural disasters.</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Our headquarters and some of our research and development activities are located in Southern California, where they are subject to a risk of man-made disasters such as terrorism and an enhanced risk of natural and other disasters such as power and telecommunications failures, mudslides, fires and earthquakes. An act of terrorism,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internal controls over financial reporting are not considered effective, our business and stock price could be adversely affected. *</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management’s assessment of our internal controls over financial reporting.</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Our product candidates must undergo rigorous nonclinical and clinical testing and we must obtain regulatory approvals, which could be costly and time-consuming and subject us to unanticipated delays or prevent us from marketing any products. *</w:t>
      </w:r>
    </w:p>
    <w:p>
      <w:pPr>
        <w:spacing w:after="0" w:line="28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5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Based on our discussions with the FDA and on our understanding of the interactions between the FDA and other pharmaceutical companies developing inhaled insulin delivery systems, we expect, among other requirements, that we will need safety data covering at least two years from patients treated with our Technosphere Insulin System and that we must complete an additional six-month carcinogenicity study of Technosphere Insulin in rodents in order to obtain approval. We cannot be certain when or under what conditions we will undertake further clinical trials.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Even if we believe the data collected from our clinical trials are sufficient, the FDA has substantial discretion in the approval process and may disagree with our interpretation of the data. For example, even if we meet the statistical criteria for non-inferiority with respect to the primary endpoint in a pivotal clinical study (Study 102) of our Technosphere Insulin System, the FDA may deem the results uninterpretable because of issues related to the open-label, non-inferiority design of the study. Our failure to adequately demonstrate the safety and efficacy of any of our product candidates would delay or prevent regulatory approval of our product candidates, which could prevent us from achieving profitability.</w:t>
      </w:r>
    </w:p>
    <w:p>
      <w:pPr>
        <w:spacing w:after="0" w:line="6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may impact the development and registration of our Technosphere Insulin System in many ways, including: the approval of Exubera may increase the difficulty of enrolling patients in our clinical trials; Exubera may be viewed as standard of care by the FDA and used as a reference for the safety/efficacy evaluations of our Technosphere Insulin System; and the approval standards set for Exubera may be applied to other products that follow including our Technosphere Insulin System. The FDA has advised us that it will regulate our Technosphere Insulin System as a “combination product” because of the complex nature of the system that includes the combination of a new drug (Technosphere Insulin) and a new medical device (the MedTone inhaler used to administer the insulin). The FDA indicated that the review of a future drug marketing application for our Technosphere Insulin System will involve three separate review groups of the FDA: (1) the Metabolic and Endocrine Drug Products Division; (2) the Pulmonary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our Technosphere Insulin System will be reviewed and approved.</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our Technosphere Insulin System as a combination product therapy may lengthen the product development and regulatory approval process, increase our development costs and delay or prevent the commercialization of our Technosphere Insulin System.</w:t>
      </w:r>
    </w:p>
    <w:p>
      <w:pPr>
        <w:spacing w:after="0" w:line="8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developing our Technosphere Insulin System as a new treatment for diabetes utilizing unique, proprietary components. As a combination product, any changes to either the MedTone inhaler, the Technosphere material or the insulin,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our Technosphere Insulin System. Our product candidates that are currently in development for the treatment of cancer also face similar obstacles and costs.</w:t>
      </w:r>
    </w:p>
    <w:p>
      <w:pPr>
        <w:spacing w:after="0" w:line="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currently expect that our inhaler will be reviewed for approval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 approved as part of our NDA for our Technosphere Insulin System, numerous device regulatory requirements still apply to the device part of the drug-device combination.</w:t>
      </w:r>
    </w:p>
    <w:p>
      <w:pPr>
        <w:spacing w:after="0" w:line="76" w:lineRule="exact"/>
        <w:rPr>
          <w:sz w:val="20"/>
          <w:szCs w:val="20"/>
          <w:color w:val="auto"/>
        </w:rPr>
      </w:pPr>
    </w:p>
    <w:p>
      <w:pPr>
        <w:jc w:val="both"/>
        <w:ind w:right="120"/>
        <w:spacing w:after="0" w:line="282" w:lineRule="auto"/>
        <w:rPr>
          <w:sz w:val="20"/>
          <w:szCs w:val="20"/>
          <w:color w:val="auto"/>
        </w:rPr>
      </w:pPr>
      <w:r>
        <w:rPr>
          <w:rFonts w:ascii="Arial" w:cs="Arial" w:eastAsia="Arial" w:hAnsi="Arial"/>
          <w:sz w:val="18"/>
          <w:szCs w:val="18"/>
          <w:b w:val="1"/>
          <w:b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will not be able to commercialize our Technosphere Insulin System or any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53"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6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Even if we obtain regulatory approval for our product candidates, such approval may be limited and we will be subject to stringent, ongoing government regulation.</w:t>
      </w:r>
    </w:p>
    <w:p>
      <w:pPr>
        <w:spacing w:after="0" w:line="5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Even if regulatory authorities approve any of our product candidates, they could approve less than the full scope of uses or labeling that we seek or otherwise require special warnings or other restrictions on use or marketing. Regulatory authorities may limit the segments of the diabetes population to which we or others may market our Technosphere Insulin System or limit the target population for our other product candidates. Based on currently available clinical studies, we believe that our Technosphere Insulin System may have certain advantages over currently approved insulin products including its approximation of the natural early insulin secretion normally seen in healthy individuals following the beginning of a meal. Nonetheless, there are no assurances that these and other advantages, if any, of our Technosphere Insulin System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our Technosphere Insulin System may not have competitive advantages when compared to other insulin products.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U.S.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FDA and U.S. Congressional initiatives pertaining to ensuring the safety of marketed drugs or other developments pertaining to the pharmaceutical industry will not adversely affect our operations.</w:t>
      </w:r>
    </w:p>
    <w:p>
      <w:pPr>
        <w:spacing w:after="0" w:line="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5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w:t>
      </w:r>
    </w:p>
    <w:p>
      <w:pPr>
        <w:spacing w:after="0" w:line="5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insulin supplier sells its product outside of the United States.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our Technosphere Insulin System.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regulatory approvals that we receive for our product candidates may also be subject to limitations on the indicated uses for which the product candidate may be marketed or contain requirements for potentially costly post-marketing follow-up clinical trials.</w:t>
      </w:r>
    </w:p>
    <w:p>
      <w:pPr>
        <w:spacing w:after="0" w:line="5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present, there are a number of clinical trials being conducted by us and other pharmaceutical companies involving insulin delivery systems. If we discover that our lead product candidate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our Technosphere Insulin System. As well, the public perception of our lead product candidates might be adversely affected, which could harm our business and results of operations and cause the market price of our common stock to decline, even if the concern relates to another company’s products or product candidates.</w:t>
      </w:r>
    </w:p>
    <w:p>
      <w:pPr>
        <w:spacing w:after="0" w:line="8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business and results of operations and cause the market price of our common stock to decline.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proprietary rights, we may not be able to compete effectively, or operate profitably.</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know-how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6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Interference proceedings brought by the U.S. Patent and Trademark Office, or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5"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courts must determine the scope of coverage afforded by a patent and the courts do not always arrive at uniform conclusions.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 patent owner may claim that we are making, using, selling or offering for sale an invention covered by the owner’s patents and may go to court to stop us from engaging in such activities. Such litigation is not uncommon in our industry. For example, in August 2006, Novo Nordisk filed a lawsuit against Pfizer claiming that Pfizer’s product Exubera infringes certain patents owned by Novo Nordisk that cover inhaled insulin treatment for diabetes. In its lawsuit, Novo Nordisk is seeking compensatory damages and permanent injunctive relief. Novo Nordisk had also filed a motion for a preliminary injunction, and while it was not granted, it could have substantially impacted Pfizer’s ability to commercialize Exubera while the lawsuit is in progress had it been granted.</w:t>
      </w:r>
    </w:p>
    <w:p>
      <w:pPr>
        <w:spacing w:after="0" w:line="5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own a number of domestic and foreign patents and patent applications relating to our Technosphere Insulin System and cancer vaccine products under development,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obtain trademark registrations for our potential trade names.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not selected trade names for some of our products and product candidates; therefore, we have not filed trademark registrations for our potential trade names for those products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is volatile.</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39"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their clinical trial results, acquisitions, strategic alliances, technological innovations and newly approved commercial products;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the availability of critical materials used in developing and manufacturing our Technosphere Insulin System or other product candidates;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developments in our litigation with our former Chief Medical Officer;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and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discussion of our Technosphere Insulin System, our other product candidates, competitors’ products, or our stock price by the financial and scientific press, the healthcare community and online investor communities such as chat rooms;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other biotechnology and biopharmaceutical companies or the securities markets in general encounter problems, the market price of our common stock could be adversely affected.</w:t>
      </w:r>
    </w:p>
    <w:p>
      <w:pPr>
        <w:spacing w:after="0" w:line="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69"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 *</w:t>
      </w:r>
    </w:p>
    <w:p>
      <w:pPr>
        <w:spacing w:after="0" w:line="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Mann has been our primary source of financing to date. At March 31, 2007, Mr. Mann beneficially owned approximately 41.1% of our outstanding shares of capital stock. We believe members of Mr. Mann’s family beneficially owned at least an additional 1.4%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or substantially all of our assets that may be favorable from our standpoint or that of our other stockholders or cause a transaction that we or our other stockholders may view as unfavorable.</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Subject to compliance with U.S.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and at the Technion-Israel Institute of Technology,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future sale of our common stock or the conversion of our senior convertible notes into common stock could negatively affect our stock price. *</w:t>
      </w:r>
    </w:p>
    <w:p>
      <w:pPr>
        <w:spacing w:after="0" w:line="14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of March 31, 2007, we had approximately 73.4 million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5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2"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Because we do not expect to pay dividends in the foreseeable future, you must rely on stock appreciation for any return on your investment.</w:t>
      </w:r>
    </w:p>
    <w:p>
      <w:pPr>
        <w:spacing w:after="0" w:line="13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sales of equity securities by us that were not registered under the Securities Act of 1933, as amended, during the first quarter of 2007.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right="5100"/>
        <w:spacing w:after="0" w:line="407" w:lineRule="auto"/>
        <w:rPr>
          <w:sz w:val="20"/>
          <w:szCs w:val="20"/>
          <w:color w:val="auto"/>
        </w:rPr>
      </w:pPr>
      <w:r>
        <w:rPr>
          <w:rFonts w:ascii="Arial" w:cs="Arial" w:eastAsia="Arial" w:hAnsi="Arial"/>
          <w:sz w:val="18"/>
          <w:szCs w:val="18"/>
          <w:b w:val="1"/>
          <w:bCs w:val="1"/>
          <w:color w:val="auto"/>
        </w:rPr>
        <w:t xml:space="preserve">ITEM 4. SUBMISSION OF MATTERS TO A VOTE OF SECURITY HOLDERS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On April 4, 2007, MannKind Corporation entered into a contractor agreement with Torcon, Inc. related to the expansion of our manufacturing facility in Danbury, Connecticut. The sum of the cost of work and the contractor’s fee is guaranteed by the contractor not to exceed $114.0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940" w:type="dxa"/>
            <w:vAlign w:val="bottom"/>
            <w:vMerge w:val="restart"/>
          </w:tcPr>
          <w:p>
            <w:pPr>
              <w:ind w:left="2420"/>
              <w:spacing w:after="0"/>
              <w:rPr>
                <w:sz w:val="20"/>
                <w:szCs w:val="20"/>
                <w:color w:val="auto"/>
              </w:rPr>
            </w:pPr>
            <w:r>
              <w:rPr>
                <w:rFonts w:ascii="Arial" w:cs="Arial" w:eastAsia="Arial" w:hAnsi="Arial"/>
                <w:sz w:val="14"/>
                <w:szCs w:val="14"/>
                <w:b w:val="1"/>
                <w:bCs w:val="1"/>
                <w:color w:val="auto"/>
                <w:w w:val="90"/>
              </w:rPr>
              <w:t>Description of Document</w:t>
            </w:r>
          </w:p>
        </w:tc>
        <w:tc>
          <w:tcPr>
            <w:tcW w:w="0" w:type="dxa"/>
            <w:vAlign w:val="bottom"/>
          </w:tcPr>
          <w:p>
            <w:pPr>
              <w:spacing w:after="0"/>
              <w:rPr>
                <w:sz w:val="1"/>
                <w:szCs w:val="1"/>
                <w:color w:val="auto"/>
              </w:rPr>
            </w:pPr>
          </w:p>
        </w:tc>
      </w:tr>
      <w:tr>
        <w:trPr>
          <w:trHeight w:val="173"/>
        </w:trPr>
        <w:tc>
          <w:tcPr>
            <w:tcW w:w="29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16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Restated Certificate of Incorporation</w:t>
      </w:r>
    </w:p>
    <w:p>
      <w:pPr>
        <w:spacing w:after="0" w:line="209"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Amended and Restated Bylaws.</w:t>
      </w:r>
    </w:p>
    <w:p>
      <w:pPr>
        <w:spacing w:after="0" w:line="225"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Rules 13a-14(a) or 15d-14(a) of the Securities Exchange Act of 1934, as amended.</w:t>
      </w:r>
    </w:p>
    <w:p>
      <w:pPr>
        <w:spacing w:after="0" w:line="225"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Rules 13a-14(a) or 15d-14(a) of the Securities Exchange Act of 1934, as amended.</w:t>
      </w:r>
    </w:p>
    <w:p>
      <w:pPr>
        <w:spacing w:after="0" w:line="225" w:lineRule="exact"/>
        <w:rPr>
          <w:sz w:val="20"/>
          <w:szCs w:val="20"/>
          <w:color w:val="auto"/>
        </w:rPr>
      </w:pPr>
    </w:p>
    <w:p>
      <w:pPr>
        <w:ind w:left="820" w:right="40" w:hanging="411"/>
        <w:spacing w:after="0" w:line="277" w:lineRule="auto"/>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Pursuant to Rules 13a-14(b) or 15d-14(b) of the Securities Exchange Act of 1934, as amended and Section 1350 of Chapter 63 of Title 18 of the United States Code (18 U.S.C. § 1350).</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jc w:val="center"/>
        <w:ind w:left="5620" w:hanging="5612"/>
        <w:spacing w:after="0" w:line="481" w:lineRule="auto"/>
        <w:tabs>
          <w:tab w:leader="none" w:pos="4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MannKind’s registration statement on Form S-1 (File No. 333-115020), filed with the SEC on April 30, 2004, as amended.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Dated: May 10, 2007</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Richard L. Anderson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19"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March 31, 2007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10,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Alfred E. Mann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36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Richard L. Anderson, certify that:</w:t>
      </w:r>
    </w:p>
    <w:p>
      <w:pPr>
        <w:spacing w:after="0" w:line="11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March 31, 2007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10,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Anderson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Richard L. Anderson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368"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March 31, 2007,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MannKind Corporation (the “Company”), and Richard L. Anderson, Chief Financial Officer of the Company, each hereby certifies that to the best of his knowledge:</w:t>
      </w:r>
    </w:p>
    <w:p>
      <w:pPr>
        <w:spacing w:after="0" w:line="64" w:lineRule="exact"/>
        <w:rPr>
          <w:sz w:val="20"/>
          <w:szCs w:val="20"/>
          <w:color w:val="auto"/>
        </w:rPr>
      </w:pPr>
    </w:p>
    <w:p>
      <w:pPr>
        <w:ind w:left="400" w:hanging="167"/>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right="560" w:firstLine="233"/>
        <w:spacing w:after="0" w:line="375" w:lineRule="auto"/>
        <w:tabs>
          <w:tab w:leader="none" w:pos="4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10, 2007</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10</w:t>
      </w:r>
      <w:r>
        <w:rPr>
          <w:rFonts w:ascii="Arial" w:cs="Arial" w:eastAsia="Arial" w:hAnsi="Arial"/>
          <w:sz w:val="15"/>
          <w:szCs w:val="15"/>
          <w:color w:val="auto"/>
        </w:rPr>
        <w:t>th</w:t>
      </w:r>
      <w:r>
        <w:rPr>
          <w:rFonts w:ascii="Arial" w:cs="Arial" w:eastAsia="Arial" w:hAnsi="Arial"/>
          <w:sz w:val="18"/>
          <w:szCs w:val="18"/>
          <w:color w:val="auto"/>
        </w:rPr>
        <w:t xml:space="preserve"> day of May, 2007.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/s/ Alfred E. Mann</w:t>
            </w:r>
          </w:p>
        </w:tc>
        <w:tc>
          <w:tcPr>
            <w:tcW w:w="5820" w:type="dxa"/>
            <w:vAlign w:val="bottom"/>
            <w:gridSpan w:val="2"/>
          </w:tcPr>
          <w:p>
            <w:pPr>
              <w:ind w:left="220"/>
              <w:spacing w:after="0"/>
              <w:rPr>
                <w:sz w:val="20"/>
                <w:szCs w:val="20"/>
                <w:color w:val="auto"/>
              </w:rPr>
            </w:pPr>
            <w:r>
              <w:rPr>
                <w:rFonts w:ascii="Arial" w:cs="Arial" w:eastAsia="Arial" w:hAnsi="Arial"/>
                <w:sz w:val="18"/>
                <w:szCs w:val="18"/>
                <w:color w:val="auto"/>
              </w:rPr>
              <w:t>/s/ Richard L. Anderson</w:t>
            </w:r>
          </w:p>
        </w:tc>
      </w:tr>
      <w:tr>
        <w:trPr>
          <w:trHeight w:val="209"/>
        </w:trPr>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Alfred E. Mann</w:t>
            </w:r>
          </w:p>
        </w:tc>
        <w:tc>
          <w:tcPr>
            <w:tcW w:w="220" w:type="dxa"/>
            <w:vAlign w:val="bottom"/>
          </w:tcPr>
          <w:p>
            <w:pPr>
              <w:spacing w:after="0"/>
              <w:rPr>
                <w:sz w:val="18"/>
                <w:szCs w:val="18"/>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L. Anderson</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82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bl>
    <w:p>
      <w:pPr>
        <w:spacing w:after="0" w:line="9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shall not be deemed filed for purposes of Section 18 of the Securities Exchange Act of 1934, as amended or the Securities Act of 1933, as amended, into any filing of the Company, whether made before or after the date hereof, regardless of any general incorporation language contained in such filing.</w:t>
      </w:r>
    </w:p>
    <w:sectPr>
      <w:pgSz w:w="11900" w:h="16838" w:orient="portrait"/>
      <w:cols w:equalWidth="0" w:num="1">
        <w:col w:w="11420"/>
      </w:cols>
      <w:pgMar w:left="240" w:top="1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lvl w:ilvl="1">
      <w:lvlJc w:val="left"/>
      <w:lvlText w:val="%2"/>
      <w:numFmt w:val="decimal"/>
      <w:start w:val="32"/>
    </w:lvl>
  </w:abstractNum>
  <w:abstractNum w:abstractNumId="13">
    <w:nsid w:val="41A7C4C9"/>
    <w:multiLevelType w:val="hybridMultilevel"/>
    <w:lvl w:ilvl="0">
      <w:lvlJc w:val="left"/>
      <w:lvlText w:val="(%1)"/>
      <w:numFmt w:val="decimal"/>
      <w:start w:val="1"/>
    </w:lvl>
    <w:lvl w:ilvl="1">
      <w:lvlJc w:val="left"/>
      <w:lvlText w:val="%2"/>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2019-12-11T22:21:13Z</dcterms:created>
  <dcterms:modified xsi:type="dcterms:W3CDTF">2019-12-11T22:21:13Z</dcterms:modified>
</cp:coreProperties>
</file>