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42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28903 North Avenue Paine</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Valencia, California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91355</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(661) 775-5300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180"/>
            <w:col w:w="220" w:space="100"/>
            <w:col w:w="28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As of August 4, 2014, there were 402,380,752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120" w:type="dxa"/>
            <w:vAlign w:val="bottom"/>
            <w:gridSpan w:val="11"/>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3"/>
            <w:vMerge w:val="continue"/>
          </w:tcPr>
          <w:p>
            <w:pPr>
              <w:spacing w:after="0"/>
              <w:rPr>
                <w:sz w:val="13"/>
                <w:szCs w:val="13"/>
                <w:color w:val="auto"/>
              </w:rPr>
            </w:pPr>
          </w:p>
        </w:tc>
        <w:tc>
          <w:tcPr>
            <w:tcW w:w="8120" w:type="dxa"/>
            <w:vAlign w:val="bottom"/>
            <w:gridSpan w:val="11"/>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June 30, 2014 and December 31,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six months ended June 30, 2014 and 2013 and the period from February 14, 1991</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(date of inception) to June 30, 2014</w:t>
              </w:r>
            </w:hyperlink>
          </w:p>
        </w:tc>
        <w:tc>
          <w:tcPr>
            <w:tcW w:w="82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Three and six months ended June 30, 2014 and 2013 and the period from</w:t>
              </w:r>
            </w:hyperlink>
          </w:p>
        </w:tc>
        <w:tc>
          <w:tcPr>
            <w:tcW w:w="122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February 14, 1991 (date of inception) to June 30,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Six months ended June 30, 2014 and 2013 and the period from February 14, 1991 (date of</w:t>
              </w:r>
            </w:hyperlink>
          </w:p>
        </w:tc>
        <w:tc>
          <w:tcPr>
            <w:tcW w:w="6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inception) to June 30, 2014</w:t>
              </w:r>
            </w:hyperlink>
          </w:p>
        </w:tc>
        <w:tc>
          <w:tcPr>
            <w:tcW w:w="88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 Controls and Procedures</w:t>
              </w:r>
            </w:hyperlink>
          </w:p>
        </w:tc>
        <w:tc>
          <w:tcPr>
            <w:tcW w:w="866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84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4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17"/>
                <w:szCs w:val="17"/>
                <w:color w:val="auto"/>
              </w:rPr>
            </w:pPr>
          </w:p>
        </w:tc>
        <w:tc>
          <w:tcPr>
            <w:tcW w:w="81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5. Other Information</w:t>
              </w:r>
            </w:hyperlink>
          </w:p>
        </w:tc>
        <w:tc>
          <w:tcPr>
            <w:tcW w:w="914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SIGNATURES</w:t>
              </w:r>
            </w:hyperlink>
          </w:p>
        </w:tc>
        <w:tc>
          <w:tcPr>
            <w:tcW w:w="986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Borders>
              <w:top w:val="single" w:sz="8" w:color="CCEEFF"/>
            </w:tcBorders>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41,214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183,533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5,086</w:t>
            </w:r>
          </w:p>
        </w:tc>
        <w:tc>
          <w:tcPr>
            <w:tcW w:w="3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Facility financing obligation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37,744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liability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55,824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Note payable to principal stockholder</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49,521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282,683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June 30, 2014 and December 31, 2013</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spacing w:after="0" w:line="201" w:lineRule="exact"/>
              <w:rPr>
                <w:sz w:val="20"/>
                <w:szCs w:val="20"/>
                <w:color w:val="auto"/>
              </w:rPr>
            </w:pPr>
            <w:r>
              <w:rPr>
                <w:rFonts w:ascii="Arial" w:cs="Arial" w:eastAsia="Arial" w:hAnsi="Arial"/>
                <w:sz w:val="18"/>
                <w:szCs w:val="18"/>
                <w:color w:val="auto"/>
                <w:w w:val="98"/>
              </w:rPr>
              <w:t>Common stock, $0.01 par value — 550,000,000 shares authorized at June 30, 2014 and December 31, 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394,036,984 and 369,391,972 shares issued and outstanding at June 30, 2014 and December 31, 2013,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2,371,487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(2,421,824)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stockholders’ equity (deficit)</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560"/>
              <w:spacing w:after="0" w:line="158"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1960" w:type="dxa"/>
            <w:vAlign w:val="bottom"/>
            <w:gridSpan w:val="5"/>
          </w:tcPr>
          <w:p>
            <w:pPr>
              <w:jc w:val="right"/>
              <w:ind w:right="520"/>
              <w:spacing w:after="0" w:line="158" w:lineRule="exact"/>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14,533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47,752</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24,572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533,138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111,258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2,345,090</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(69,846)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(41,585)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(111,258)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(78,022)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(73,365)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(46,124)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(125,422)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(87,089)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(73,365)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(46,124)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(125,422)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(87,089)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(2,421,824)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7"/>
              </w:rPr>
              <w:t>Deemed dividend related to beneficial conversion feature of convertible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(46,124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(125,422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(87,089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(2,445,036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share applicable to common stockholders —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4"/>
              </w:rPr>
              <w:t>Shares used to compute basic and diluted net loss per share applicable to</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380,770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284,044</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374,810</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282,062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June 30,</w:t>
            </w:r>
          </w:p>
        </w:tc>
        <w:tc>
          <w:tcPr>
            <w:tcW w:w="2040" w:type="dxa"/>
            <w:vAlign w:val="bottom"/>
            <w:gridSpan w:val="4"/>
          </w:tcPr>
          <w:p>
            <w:pPr>
              <w:ind w:left="6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7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$(73,365)</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$(46,124)</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$(125,422)</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$(87,089)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(2,421,824)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holding gain (loss) during the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ind w:left="700"/>
              <w:spacing w:after="0" w:line="201" w:lineRule="exact"/>
              <w:rPr>
                <w:sz w:val="20"/>
                <w:szCs w:val="20"/>
                <w:color w:val="auto"/>
              </w:rPr>
            </w:pPr>
            <w:r>
              <w:rPr>
                <w:rFonts w:ascii="Arial" w:cs="Arial" w:eastAsia="Arial" w:hAnsi="Arial"/>
                <w:sz w:val="18"/>
                <w:szCs w:val="18"/>
                <w:color w:val="auto"/>
                <w:w w:val="94"/>
              </w:rPr>
              <w:t>Less: reclassification adjustment for gains (losses) included in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ind w:left="88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on investments</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(73,365)</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(46,124)</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(125,422)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(87,091)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Cumulative Period</w:t>
            </w:r>
          </w:p>
        </w:tc>
      </w:tr>
      <w:tr>
        <w:trPr>
          <w:trHeight w:val="149"/>
        </w:trPr>
        <w:tc>
          <w:tcPr>
            <w:tcW w:w="7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 February 14,</w:t>
            </w:r>
          </w:p>
        </w:tc>
      </w:tr>
      <w:tr>
        <w:trPr>
          <w:trHeight w:val="158"/>
        </w:trPr>
        <w:tc>
          <w:tcPr>
            <w:tcW w:w="7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40" w:type="dxa"/>
            <w:vAlign w:val="bottom"/>
            <w:gridSpan w:val="4"/>
          </w:tcPr>
          <w:p>
            <w:pPr>
              <w:jc w:val="right"/>
              <w:ind w:right="780"/>
              <w:spacing w:after="0" w:line="158"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1991 (Date of</w:t>
            </w:r>
          </w:p>
        </w:tc>
      </w:tr>
      <w:tr>
        <w:trPr>
          <w:trHeight w:val="176"/>
        </w:trPr>
        <w:tc>
          <w:tcPr>
            <w:tcW w:w="7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Inception) to</w:t>
            </w:r>
          </w:p>
        </w:tc>
      </w:tr>
      <w:tr>
        <w:trPr>
          <w:trHeight w:val="142"/>
        </w:trPr>
        <w:tc>
          <w:tcPr>
            <w:tcW w:w="7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June 30, 2014</w:t>
            </w: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$(125,422)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$(87,089)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(2,421,824)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Depreciation and accretion</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12,614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153,448</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51,583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15,362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234,687</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Stock expense for shares issued pursuant to research agreement</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(Gain) loss on sale, abandonment/disposal or impairment of property and equipment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Accrued interest on investments, net of amortization of discounts</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Goodwill impairment</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available-for-sale securities</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Write-off of derivative liability</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(363)</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Litigation settlement in stock</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Fair value of forward purchase contract</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State research and development credit exchange receivable</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734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1,789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r>
        <w:trPr>
          <w:trHeight w:val="216"/>
        </w:trPr>
        <w:tc>
          <w:tcPr>
            <w:tcW w:w="7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734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1,567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4,914</w:t>
            </w:r>
          </w:p>
        </w:tc>
      </w:tr>
      <w:tr>
        <w:trPr>
          <w:trHeight w:val="216"/>
        </w:trPr>
        <w:tc>
          <w:tcPr>
            <w:tcW w:w="7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(3,315)</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35,409</w:t>
            </w:r>
          </w:p>
        </w:tc>
      </w:tr>
      <w:tr>
        <w:trPr>
          <w:trHeight w:val="223"/>
        </w:trPr>
        <w:tc>
          <w:tcPr>
            <w:tcW w:w="7340" w:type="dxa"/>
            <w:vAlign w:val="bottom"/>
          </w:tcPr>
          <w:p>
            <w:pPr>
              <w:ind w:left="108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4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(60,408)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(61,771)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(1,785,401)</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(796,779)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Sales and maturities of marketable securities</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796,393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(9,667)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(345,400)</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(9,667)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(345,332)</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20,622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1,564,946</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Payment of 2013 notes</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(115,000)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Proceeds from issuance of facility financing obligation &amp; milestone rights</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119,500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Tranche B of the facility financing obligation</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Facility financing obligation &amp; milestone rights issuance costs</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to principal stockholder</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387,750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5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207,050</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5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(123)</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(17,951)</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40,499</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30,051</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2,171,947</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Cumulative Period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February 14,</w:t>
            </w:r>
          </w:p>
        </w:tc>
        <w:tc>
          <w:tcPr>
            <w:tcW w:w="0" w:type="dxa"/>
            <w:vAlign w:val="bottom"/>
          </w:tcPr>
          <w:p>
            <w:pPr>
              <w:spacing w:after="0"/>
              <w:rPr>
                <w:sz w:val="1"/>
                <w:szCs w:val="1"/>
                <w:color w:val="auto"/>
              </w:rPr>
            </w:pPr>
          </w:p>
        </w:tc>
      </w:tr>
      <w:tr>
        <w:trPr>
          <w:trHeight w:val="158"/>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right"/>
              <w:ind w:right="880"/>
              <w:spacing w:after="0" w:line="158"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1991 (Date of</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2"/>
        </w:trPr>
        <w:tc>
          <w:tcPr>
            <w:tcW w:w="780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(29,576)</w:t>
            </w:r>
          </w:p>
        </w:tc>
        <w:tc>
          <w:tcPr>
            <w:tcW w:w="5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(33,311)</w:t>
            </w: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70,790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61,840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41,214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28,529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Issuance of common stock pursuant to conversion of facility financing obligation</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93,500</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interest on note payable to principal stockholder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22,105</w:t>
            </w:r>
          </w:p>
        </w:tc>
        <w:tc>
          <w:tcPr>
            <w:tcW w:w="0" w:type="dxa"/>
            <w:vAlign w:val="bottom"/>
          </w:tcPr>
          <w:p>
            <w:pPr>
              <w:spacing w:after="0"/>
              <w:rPr>
                <w:sz w:val="1"/>
                <w:szCs w:val="1"/>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7"/>
              </w:rPr>
              <w:t>Reduction of principal on note payable to principal stockholder upon issuance of common stock</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540"/>
              <w:spacing w:after="0"/>
              <w:rPr>
                <w:sz w:val="20"/>
                <w:szCs w:val="20"/>
                <w:color w:val="auto"/>
              </w:rPr>
            </w:pPr>
            <w:r>
              <w:rPr>
                <w:rFonts w:ascii="Arial" w:cs="Arial" w:eastAsia="Arial" w:hAnsi="Arial"/>
                <w:sz w:val="18"/>
                <w:szCs w:val="18"/>
                <w:color w:val="auto"/>
              </w:rPr>
              <w:t>and exercise of warrants</w:t>
            </w:r>
          </w:p>
        </w:tc>
        <w:tc>
          <w:tcPr>
            <w:tcW w:w="10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290,334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purchase contract contribution to APIC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Reclassification of forward purchase contract to APIC</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share-based awards to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(19,926)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(19,926)</w:t>
            </w: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Tranche B Commitment Asset</w:t>
            </w:r>
          </w:p>
        </w:tc>
        <w:tc>
          <w:tcPr>
            <w:tcW w:w="1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MannKind Corporation and its subsidiaries ( “MannKind” or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2013 filed with the SEC on March 3, 2014 (the “Annual Report”).</w:t>
      </w:r>
    </w:p>
    <w:p>
      <w:pPr>
        <w:spacing w:after="0" w:line="17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opinion of management, all adjustments, consisting only of normal, recurring adjustments, considered necessary for a fair presentation of the results of these interim periods have been included. Interim financial results may not be indicative of the results that may be expected for the full year.</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study expenses, valuation of forward purchase contracts,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 xml:space="preserve">Business — </w:t>
      </w:r>
      <w:r>
        <w:rPr>
          <w:rFonts w:ascii="Arial" w:cs="Arial" w:eastAsia="Arial" w:hAnsi="Arial"/>
          <w:sz w:val="18"/>
          <w:szCs w:val="18"/>
          <w:color w:val="auto"/>
        </w:rPr>
        <w:t>The Company is a biopharmaceutical company focused on the discovery and development of therapeutic products for diseases such as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lead product, AFREZZA (insulin human) inhalation powder, is a rapid-acting inhaled insulin that was approved by the U.S. Food and Drug Administration (“FDA”) on June 27, 2014 to improve glycemic control in adult patients with diabetes.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Company is considered to be in the development stage as its primary activities since incorporation have been establishing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studies for these products. From its inception through June 30, 2014, the Company had accumulated net losses of $2.4 billion, which include a goodwill impairment charge of $151.4 million and cumulative negative cash flow from operations of $1.8 billion. At June 30, 2014, the Company’s capital resources consisted of cash and cash equivalents of $41.2 million. These factors raise substantial doubt about the Company’s ability to continue as a going concern. The financial statements do not include any adjustments that might result from the outcome of these uncertainties.</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June 30, 2014, the Company had $30.1 million principal amount of available borrowings under its loan arrangement (the “Loan Arrangement”) with The Mann Group LLC (“The Mann Group”) although the Company anticipates using a portion of these available borrowings to capitalize accrued interest into principal as it becomes due and payable under the Loan Arrangement, upon mutual agreement of the parties. As of June 30, 2014, the Company had accrued $2.0 million of interest related to the Loan Arrangement.</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July 1, 2013, the Company entered into a facility agreement (the “Facility Agreement”) with Deerfield Private Design Fund II, L.P. (“Deerfield Private Design Fund”) and Deerfield Private Design International II, L.P. (collectively, “Deerfield”), providing for the sale of up to $160.0 million of Senior Convertible Notes due 2019 (the “2019 notes”) to Deerfield in four equal tranches of $40.0 million principal amount. As of June 30, 2014, Deerfield had purchased the first three tranches of 2019 notes in the aggregate principal amount of $120.0 million leaving $40.0 million of 2019 notes unsold. On February 28, 2014, the Company entered into a First Amendment to Facility Agreement and Registration Rights Agreement (the “Amendment”). The Amendment modified the terms of the Facility Agreement to provide for the issuance of an additional tranche of notes (the “Tranche B notes”) to Deerfield. Pursuant to the terms of the Amendment and the subsequent occurrence of certain events specified in the Amendment, the Company may issue to Deerfield up to $90.0 million aggregate principal amount of Tranche B notes, subject to the satisfaction of certain conditions. On May 6, 2014, Deerfield purchased $20.0 million aggregate principal amount of the potential $90.0 million Tranche B notes in accordance with the provisions of the Facility Agreement, as amended.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July 18, 2014, Deerfield purchased the fourth and final tranche of 2019 notes in the aggregate principal amount of $40.0 million. Deerfield’s obligation to purchase the fourth tranche of 2019 notes was subject to (i) the Company’s receipt of marketing approval of AFREZZA from the FDA, which occurred June 27, 2014, and (ii) the shares of the Company’s common stock issuable upon conversion of all previously sold 2019 notes being freely tradable pursuant to an effective registration statement filed with the SEC or pursuant to Rule 144 under the Securities Act of 1933, as amended (the “Securities Act”). The Facility Agreement, as amended, contains a financial covenant that requires the Company’s cash and cash equivalents, which include available borrowings under the Loan Arrangement, on the last day of each fiscal quarter to not be less than $25.0 million. On August 11, 2014 the Company entered into a second amendment to the Facility Agreement to provide for a $175.0 million secured loan facility to be provided by an affiliate of Sanofi in connection the Sanofi License Agreement (as defined below).</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 capital resources potentially available to the Company include proceeds from the exercise of warrants issued in its February 2012 public offering, the Company’s at-the-market issuance sales agreements, and up to $70.0 million of additional sales of Tranche B notes to Deerfield (see Note 11 – Facility financing agreement).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August 11, 2014, the Company entered into a license and collaboration agreement (the “Sanofi License Agreement”) with Sanofi-Aventis Deutschland GmbH (“Sanofi”) pursuant to which the Company will receive a $150.0 million upfront fee and may earn up to an aggregate of $775.0 million upon the achievement of certain development, manufacturing, regulatory and sales milestones. Worldwide profits and losses will be shared 65% by Sanofi and 35% by the Company. Pursuant to a separate supply agreement, the Company will manufacture AFREZZA at its manufacturing facility in Danbury, Connecticut to supply Sanofi’s demand for the product. In addition, the Company received a commitment letter from an affiliate of Sanofi to provide the Company with a secured loan facility of up to $175.0 million to fund the Company’s share of net losses under the Sanofi License Agreement (the “Sanofi Loan Facility”).</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its current expectations, the Company believes that its existing capital resources, without considering payments under the collaboration with Sanofi, will enable it to continue planned operations at least into the first quarter of 2015. However, the Company cannot provide assurances that its plans will not change or that changed circumstances will not result in the depletion of its capital resources more rapidly than it currently anticipates. The Company may need to raise additional capital, whether through the sale of equity or debt securities, additional strategic business collaborations, the establishment of other funding facilities, licensing arrangements, asset sales or other means, in order to support its ongoing activities related to the commercialization of AFREZZA and the development of other product candidates. However, the Company cannot provide assurances that such additional capital will be available on favorable terms, or at all.</w:t>
      </w:r>
    </w:p>
    <w:p>
      <w:pPr>
        <w:spacing w:after="0" w:line="18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13, “Fair Value Measurements.”</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July 2013, the FASB issued ASU 2013-11,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Presentation of an Unrecognized Tax</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Benefit when a Net Operating Loss Carryforward, a Similar Tax Loss, or a Tax Credit Carryforward Exists (a consensus of the FASB Emerging Issues Task Force)</w:t>
      </w:r>
      <w:r>
        <w:rPr>
          <w:rFonts w:ascii="Arial" w:cs="Arial" w:eastAsia="Arial" w:hAnsi="Arial"/>
          <w:sz w:val="16"/>
          <w:szCs w:val="16"/>
          <w:color w:val="auto"/>
        </w:rPr>
        <w:t>. The amendments in this ASU provide guidance on the financial statements presentation of an unrecognized tax benefit when a net operating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the Company’s consolidated financial statements.</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U.S.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The Company is evaluating the impact the adoption of ASU 2014-10 will have on its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20,579</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and 2013 was as follows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6860" w:type="dxa"/>
            <w:vAlign w:val="bottom"/>
          </w:tcPr>
          <w:p>
            <w:pPr>
              <w:spacing w:after="0"/>
              <w:rPr>
                <w:sz w:val="14"/>
                <w:szCs w:val="14"/>
                <w:color w:val="auto"/>
              </w:rPr>
            </w:pPr>
          </w:p>
        </w:tc>
        <w:tc>
          <w:tcPr>
            <w:tcW w:w="19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86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40,644</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10,172</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51,583</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three months ended March 31, 2014, the Company issued stock awards to employees primarily with a four-year vesting schedule. The grant date fair value of the 46,400 restricted stock units and 17,700 stock options issued were $296,000 and $81,000, respectively, with a grant date fair value per share of $6.39 and $4.58, respectively.</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three months ended June 30, 2014, the Company issued stock awards to employees primarily with a four-year vesting schedule as well as non-employee directors primarily with a three-year vesting schedule. The grant date fair value of the 158,600 restricted stock units and 252,600 stock options issued were $1.23 million and $1.32 million, respectively. The grant date fair value per share was $7.76 for restricted stock units, $5.31 for employee stock options and $5.22 for non-employee director stock options.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30, 2014, the Company modified certain performance grants to allow 124 employees to withhold in excess of the minimum statutory requirements for performance-based restricted stock units at the employee’s discretion through December 31, 2014. The modification resulted in the reclassification of these performance grants from equity awards to liability awards, which require re-measurement at the end of each reporting period through settlement. Consequently, as of June 30, 2014, the reclassification and re-measurement of these performance-based restricted stock units resulted in an increase in stock-based compensation expense of $35.9 million.</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June 30, 2014, there was $7.5 million of unrecognized compensation cost related to options and $6.7 million and $6.9 million of unrecognized compensation cost related to equity and liability classified restricted stock units, respectively, which are expected to be recognized over the remaining weighted average vesting period of 2.03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June 30, 2014, there were $107,000 and $3.7 million of unrecognized expenses related to performance options and restricted stock units, respectively, for milestones not considered probable of achievement.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June 30, 2014, 9,000,000 shares of the Company’s common stock loaned to Bank of America, N.A. pursuant to the terms of a share lending agreement as described in Note 7,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56,844,341 shares and 129,432,728 shares as of June 30, 2014 and 2013, respectively, and exclude the 9,000,000 shares loaned under the share lending arrangement.</w:t>
      </w:r>
    </w:p>
    <w:p>
      <w:pPr>
        <w:sectPr>
          <w:pgSz w:w="11900" w:h="16838" w:orient="portrait"/>
          <w:cols w:equalWidth="0" w:num="1">
            <w:col w:w="11400"/>
          </w:cols>
          <w:pgMar w:left="240" w:top="459" w:right="259"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There were no current estimated amounts receivable under the program at June 30, 2014 and December 31, 2013, respectively. Long-term estimated amounts receivable under the program were $463,000 and $298,000 at June 30, 2014 and December 31, 2013,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Useful</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39-40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54,948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114,131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81,960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82,189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11,265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26,651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299,332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(115,799)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(111,060)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183,533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2014 and 2013 was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4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$ 2,449</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$ 2,956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4,972</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June 30, 2014 and December 31, 2013, 394,036,984 and 369,391,972 shares of common stock, respectively, were issued and outstanding and no shares of preferred stock were outstanding. Included in the common stock outstanding as of June 30, 2014 and December 31, 2013 are 9,000,000 shares of common stock loaned to Bank of America under a share lending agreement in connection with the offering of $100.0 million aggregate principal amount of 5.75% Senior Convertible Notes due 2015 (the “2015 Notes”) (see Note 10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 2013, the Company entered into the Facility Agreement with Deerfield providing for the sale of up to $160.0 million of 2019 notes to Deerfield in four equal tranches of $40.0 million principal amount.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28, 2014, the Company amended the Facility Agreement to, among other things, allow Deerfield, subject to certain limitations, to convert up to an additional $60.0 million principal amount under the then-outstanding 2019 notes into the Company’s common stock after the effective date of the Amendment. The Company also agreed to register for resale up to 12,000,000 shares of common stock issuable upon conversion of the outstanding 2019 notes, with a minimum conversion price of $5.00 per share unless the Company otherwise consents. The conversion price was determined by the average of the volume weighted average prices per share during the three trading days immediately preceding the election to convert. As of June 30, 2014, Deerfield had converted $100.0 million of 2019 notes into the Company’s common stock (see Note 11 – Facility financing agreement) and no additional principal amount of the 2019 notes is convertible.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certain rights (the “Milestone Rights”) to receive payments of up to $90.0 million upon the occurrence of specified strategic and sales milestones, including the first commercial sale of an AFREZZA product and the achievement of specified net sales figures (see Note 11 – Facility financing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arrangements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June 30, 2014,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June 30, 2014, the Company had accrued $2.0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2014, there were no additional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Principal amount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32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(1,561)</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98,439</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$2.4 million and $2.4 million as of June 30, 2014 and December 31, 2013,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other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39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2015 notes in the accompanying condensed consolidated balance sheets. These costs are being accreted to interest expense using the effective interest method over the term of the 2015 notes.</w:t>
      </w:r>
    </w:p>
    <w:p>
      <w:pPr>
        <w:spacing w:after="0" w:line="12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2015 notes provide that upon an acceleration of certain indebtedness, including the 2019 notes and the Tranche B notes described in Note 11, the holders may elect to accelerate the Company’s repayment obligations under the 2015 notes if such acceleration is not cured, waived, rescinded or annulled. There can be no assurance that the holders would not choose to exercise these rights in the event such events were to occur.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Accretion of debt issuance expense in connection with the 2015 notes during the three and six months ended June 30, 2014 and 2013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7320" w:type="dxa"/>
            <w:vAlign w:val="bottom"/>
          </w:tcPr>
          <w:p>
            <w:pPr>
              <w:spacing w:after="0"/>
              <w:rPr>
                <w:sz w:val="14"/>
                <w:szCs w:val="14"/>
                <w:color w:val="auto"/>
              </w:rPr>
            </w:pPr>
          </w:p>
        </w:tc>
        <w:tc>
          <w:tcPr>
            <w:tcW w:w="100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3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$ 450</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Facility financing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activity related to the facility financing agreement during the six months ended June 30, 2014 consist of the following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Facility financing obligation</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Carrying value at December 31, 2013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Principal converted to equity</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Accretion of debt discount and debt issuance expense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debt discount related to modification of the 2019 notes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Tranche B principal amount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Tranche B purchase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carrying value of facility financing obligation</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 Asset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Commitment asset fair value balance at December 31,2013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Tranche B commitment asset fair value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commitment asset portion associated with the receipt of Tranche B notes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Commitment asset value included in other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and six months ended June 30, 2014 are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20" w:type="dxa"/>
            <w:vAlign w:val="bottom"/>
            <w:gridSpan w:val="3"/>
          </w:tcPr>
          <w:p>
            <w:pPr>
              <w:ind w:left="1240"/>
              <w:spacing w:after="0"/>
              <w:rPr>
                <w:sz w:val="20"/>
                <w:szCs w:val="20"/>
                <w:color w:val="auto"/>
              </w:rPr>
            </w:pPr>
            <w:r>
              <w:rPr>
                <w:rFonts w:ascii="Arial" w:cs="Arial" w:eastAsia="Arial" w:hAnsi="Arial"/>
                <w:sz w:val="14"/>
                <w:szCs w:val="14"/>
                <w:b w:val="1"/>
                <w:bCs w:val="1"/>
                <w:color w:val="auto"/>
                <w:w w:val="91"/>
              </w:rPr>
              <w:t>Three months ended</w:t>
            </w:r>
          </w:p>
        </w:tc>
        <w:tc>
          <w:tcPr>
            <w:tcW w:w="2200" w:type="dxa"/>
            <w:vAlign w:val="bottom"/>
            <w:gridSpan w:val="4"/>
          </w:tcPr>
          <w:p>
            <w:pPr>
              <w:ind w:left="100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3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June 30, 2014</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June 30, 2014</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14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112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July 1, 2013, the Company entered into the Facility Agreement providing for the sale of up to $160.0 million of 2019 notes to Deerfield in four equal tranches of $40.0 million principal amount. The 2019 notes accrue interest at a rate of 9.75% per annum until maturity in 2019 or their earlier repayment, repurchase, or conversion. As of June 30, 2014, Deerfield had purchased the first three tranches of 2019 notes in the aggregate principal amount of $120.0 million. Deerfield’s obligation to purchase the fourth tranche of the 2019 notes was subject to (i) the Company’s receipt of marketing approval of AFREZZA from the FDA, which occurred on June 27, 2014, and (ii) the shares of the Company’s common stock issuable upon conversion of all previously sold 2019 notes being freely tradable pursuant to an effective registration statement filed with the SEC or pursuant to Rule 144 under the Securities Act. Subsequent to June 30, 2014, on July 18, 2014, Deerfield purchased the fourth tranche of 2019 notes in the aggregate principal amount of $40.0 million (See Note 14 — Subsequent Events).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28, 2014, the Company entered into the Amendment, which modified the terms of the Facility Agreement to provide for the issuance of Tranche B notes to Deerfield. Pursuant to the terms of the Amendment and the subsequent occurrence of certain events specified in the Amendment, the Company may issue to Deerfield up to $90.0 million aggregate principal amount of Tranche B notes. The Tranche B notes bear interest at the rate of 9.75% per year, subject to reduction to 8.75% if the Company enters into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collaboration with a third party to commercialize AFREZZA, on the outstanding principal amount, payable in cash quarterly in arrears on the last business day of March, June, September and December of each year. The Company is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can be prepaid without penalty or premium commencing two years after issuance thereof. On May 6, 2014, Deerfield purchased an aggregate principal amount of $20.0 million in Tranche B notes in accordance with the provisions of the Facility Agreement, as amended.</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pursuant to the Amendment, the outstanding first tranche of 2019 notes (the “Tranche 1 notes”) and third tranche of 2019 notes (the “Tranche 3 notes”) held by Deerfield were amended and restated to permit Deerfield to convert up to an additional $60.0 million principal amount under such 2019 notes into the Company’s common stock after the effective date of the Amendment. The Company also agreed to register for resale up to 12,000,000 shares of the Company’s common stock issuable upon conversion of the outstanding 2019 notes, as amended and restated, as of the date of the Amendment. In March 2014, Deerfield elected to convert the full $40.0 million of outstanding principal amount of the Tranche 3 notes and $12.5 million principal amount of the Tranche 1 notes. In April 2014, Deerfield elected to convert the remaining $7.5 million principal amount of the Tranche 1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the Company entered into a second amendment to the Facility Agreement to permit for the Sanofi Loan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Rights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execution of the Facility Agreement, on July 1, 2013, the Company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The payments due under the Milestone Rights are subject to pro rata reduction in the event of certain funding failures by Deerfield under the Facility Agreement.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Milestone Rights were initially recorded as a short-term liability equal to $3.2 million included in Accrued expenses and other current liabilities in the accompanying condensed consolidated balance sheet and a long term liability equal to $13.1 million included in other liabilities. As of June 30, 2014, there have been no material changes to facts and circumstances that would impact the valuation or classification of the Milestone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Asset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issuance of the Tranche 1 notes and the Milestone Rights, the Company recorded a commitment asset (the “Commitment Asset”), on July 1, 2013. As a result of the Amendment, the Company recorded an additional commitment asset with an estimated fair value equal to $2.9 million. The Commitment Asset remaining as of June 30, 2014 represented the right to receive $40.0 million funding under tranche 4 of the 2019 notes (the “Tranche 4 Notes”) and up to $70.0 million of funding remaining under the Facility Agreement, as amended, from the sale of the Tranche B notes. The Commitment Asset is derecognized and recorded as a debt discount on the 2019 notes and Tranche B notes when issued and amortized using the effective interest rate method over the life of the respective notes. Prior to derecognition occurring, the Company monitors the Commitment Asset on an ongoing basis to determine whether an impairment indicator is present that would result in a full or partial write down of the Commitment Asset as a result of events that may lead to the subsequent tranches of notes not being issued. Based on the monitoring procedures performed through June 30, 2014, the Company did not identify any indicators of impairment.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outstanding Tranche 1 notes and Tranche 3 notes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amendment and restatement of the outstanding Tranche 1 notes and Tranche 3 notes, pursuant to the Amendment, did not represent a troubled debt restructuring of the 2019 notes because the Amendment did not result in Deerfield granting a concession to the Company. In addition, the Amendment did not result in a substantial modification to the terms of the Tranche 1 notes and Tranche 3 notes.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impact of the Amendment to the Tranche 1 notes and Tranche 3 notes is being accounted for as a prospective yield adjustment. Specifically, the value of the Tranche B notes commitment asset (the “Tranche B Commitment Asset”) was considered a fee received from the creditor as consideration for the Amendment and is being amortized as an adjustment of interest expense over the remaining term of the Tranche 1 notes and Tranche 3 notes using the effective interest method. Further, the value of the Tranche B Commitment Asset, which decreased the amount of debt discount in the Tranche 1 notes and Tranche 3 notes, was allocated between the Tranche 1 notes and Tranche 3 notes in a manner which resulted in the Tranche 1 notes and Tranche 3 notes having a new effective interest rate of 11.63%.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Option</w:t>
      </w:r>
    </w:p>
    <w:p>
      <w:pPr>
        <w:spacing w:after="0" w:line="11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accounting purposes, the Company evaluated the embedded conversion option in the 2019 notes as a redemption feature because the number of shares issuable upon conversion was based on the volume weighted average prices for specified periods prior to the conversion date (as opposed to being fixed). Accordingly, conversions by Deerfield were treated as redemptions of the 2019 notes and, the Company analyzed whether the conversion option required bifurcation as an embedded redemption feature.</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2013, Deerfield had converted $6.5 million principal amount of the second tranche of the 2019 notes (the “Tranche 2 notes”) for equity, resulting in an issuance of 1,293,224 shares of the Company’s common stock. Upon the conversion, the principal balance of the notes were recorded in equity and an expense was recognized in the Statement of Operations in the amount of $0.6 million for the difference between the principal amount of the notes converted and their carrying amount (which included unamortized discount and debt issuance costs).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January 2014, Deerfield elected to convert the remaining $33.5 million of Tranche 2 notes, which resulted in the issuance of 6,559,251 shares of the Company’s common stock. During the six months ended June 30, 2014, the Company recorded an expense of $3.0 million for the difference between the principal amount of the notes converted and their carrying amount (which included unamortized discount and debt issuance costs).</w:t>
      </w:r>
    </w:p>
    <w:p>
      <w:pPr>
        <w:spacing w:after="0" w:line="166"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March 2014, following the Amendment, which allowed Deerfield to convert up to an additional $60.0 million principal amount under the outstanding Tranche 1 notes and Tranche 3 notes, Deerfield elected to convert the full $40.0 million of outstanding principal amount of the Tranche 3 notes and $12.5 million of principal amount of the Tranche 1 notes, pursuant to which the Company issued Deerfield 7,121,120 and 2,142,709 shares of the Company’s common stock, respectively. As a result of these conversions, the Company recorded the principal balance of the notes in equity and an expense of</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$3.0 million for the difference between the principal amount of the notes converted and their carrying amount (which included the unamortized discount and debt issuance costs) and the write-off of the derivative liability that was previously bifurcated from the Tranche 3 notes.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2014, Deerfield elected to convert the remaining $7.5 million principal amount of the Tranche 1 notes, pursuant to which the Company issued Deerfield 1,500,000 shares of the Company’s common stock. As a result of this conversion, the Company recorded the principal amount being converted under the Tranche 1 notes in equity and an expense of $0.4 million for the difference between the principal amount of the notes converted and their carrying amount (which included the unamortized discount and debt issuance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upon Deerfield converting the remaining $7.5 million principal amount of the Tranche 1 notes, the full $60.0 million principal amount of the Tranche 1 notes and Tranche 3 notes that Deerfield was permitted to convert pursuant to the Amendment was converted. Therefore, as of June 30, 2014, no additional principal amount of the 2019 notes is convertible.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June 30, 2014 and December 31, 2013, the Company held $41.2 million and $70.8 million, respectively, of cash and cash equivalents, consisting primarily of money market funds of $41.1 million and $67.7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2015 notes and the facility financing obligation (i.e.,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June 30, 2014</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2013</w:t>
            </w:r>
          </w:p>
        </w:tc>
      </w:tr>
      <w:tr>
        <w:trPr>
          <w:trHeight w:val="119"/>
        </w:trPr>
        <w:tc>
          <w:tcPr>
            <w:tcW w:w="63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Estimated</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notes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4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107.0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estimated fair value of the 2015 notes was calculated based on model-derived valuations whose inputs were observable, such as the Company’s stock price, and non-observable, such as the Company’s longer-term historical volatility, which was estimated to be 85%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agreement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discussed in Note 11 — Facility financing agreement, in connection with the Facility Agreement, the Company issued 2019 notes and Milestone Rights and recorded the Commitment Asset on July 1, 2013. In addition, on February 28, 2014, the Company entered into the Amendment, and recorded an additional commitment asset, which represented the increase in borrowing capacity that the Company received as consideration for the modifications made to the Facility Agreement and the Tranche 1 notes and Tranche 3 notes.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 12.7% at December 31, 2013 for the 2019 notes and a selected market discount rate of 11.9% at the inception of the Tranche B notes (Level 3 in the fair value hierarchy). On June 30, 2014, the market discount rate was recalculated at 12.4% for the Tranche 1 notes and 12.3% for the Tranche B notes. The Tranche 2 and Tranche 3 notes were fully converted by the end of the first quarter of 2014.</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(17.5%) was selected based on an estimation of required rate of returns for similar investment opportunities using available market data.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the Commitment Asset was estimated using the income approach by estimating the fair value of the future tranches using a market debt rate (12.0%)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June 30, 2014, as there had been no material changes to the established estimates, the carrying value of the Milestone Rights and Commitment Asset approximates their respective estimated fair values.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the Commitment Asset was estimated using a discounted cash flow analysis under the income approach. Specifically, the fair value of the additional Tranche B Commitment Asset was determined by estimating the fair value of the future tranche using a market yield (11.9%) commensurate with the risk of the future tranche and the fair value of the cash expected to be received by the Company and assessing the probability of the commitment being funded in the future based on the operational hurdles required for funding being met as well as consideration of alternative funding options (Level 3 in the fair value hierarchy). As of February 28, 2014, the additional commitment asset was valued at $2.9 million.</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May 6, 2014, Deerfield purchased $20.0 million aggregate principal amount of Tranche B notes in accordance with the provisions of the Facility Agreement, as amended. Accordingly, the $1.2 million portion of the Commitment Asset associated with the $20.0 million purchased was derecognized and recorded as debt discount on the Tranche B notes. Consequently, the remaining carrying value of the Tranche B Commitment Asset was $1.8 million. At June 30, 2014, as there have been no material changes to the established estimates, the carrying value of the Tranche B Commitment Asset approximates its respective estimated fair value.</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were no material re-measurements to fair value during the six months ended June 30, 2014 and 2013 of financial assets and liabilities that are not measured at fair value on a recurring basis. There were no transfers of assets or liabilities between the fair value measurement levels during the six months ended June 30, 2014 and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18, 2014, following receipt of approval of AFFREZZA</w:t>
      </w:r>
      <w:r>
        <w:rPr>
          <w:rFonts w:ascii="Arial" w:cs="Arial" w:eastAsia="Arial" w:hAnsi="Arial"/>
          <w:sz w:val="15"/>
          <w:szCs w:val="15"/>
          <w:color w:val="auto"/>
        </w:rPr>
        <w:t>®</w:t>
      </w:r>
      <w:r>
        <w:rPr>
          <w:rFonts w:ascii="Arial" w:cs="Arial" w:eastAsia="Arial" w:hAnsi="Arial"/>
          <w:sz w:val="18"/>
          <w:szCs w:val="18"/>
          <w:color w:val="auto"/>
        </w:rPr>
        <w:t xml:space="preserve"> from the FDA on June 27, 2014 and the satisfaction of certain other conditions, Deerfield purchased the Tranche 4 notes, which constituted the fourth and final tranche of 2019 notes, in the aggregate principal amount of $40.0 million in accordance with the terms of the Facility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the Company entered into a second amendment to the Facility Agreement to provide for the Sanofi Loan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Agreement with Amphastar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31, 2014, the Company entered into a Supply Agreement with Amphastar France Pharmaceuticals S.A.S., a French corporation (“Amphastar”), pursuant to which Amphastar will manufacture for and supply to the Company certain quantities of recombinant human insulin (“Insulin”) for use in AFREZZA. Under the terms of the Supply Agreement, Amphastar will be responsible for manufacturing the Insulin in accordance with the Company’s specifications and agreed-upon quality standards. The Company has agreed to purchase annual minimum quantities of Insulin under the Supply Agreement of an aggregate of approximately €120.1 million in calendar years 2015 through 2019. The Company may request to purchase additional quantities of Insulin over such annual minimum quantities.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earlier terminated, the term of the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Supply Agreement require the Company to pay the full amount of all unpaid purchase commitments due over the initial term within 60 calendar days of the effective date of such termination.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SANOFI-AVENTIS Deutschland GmbH</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11, 2014, the Company entered into the Sanofi License Agreement pursuant to which it will receive $150.0 million upfront fee and may earn potential payments of up to an aggregate of $775.0 million upon the achievement of certain development, manufacturing, regulatory and sales milestones. Worldwide profits and losses will be shared 65% by Sanofi and 35% by the Company. Pursuant to a separate supply agreement, the Company will manufacture AFREZZA at its manufacturing facility in Danbury, Connecticut to supply Sanofi’s demand for the product. In addition, the Company received a commitment letter from an affiliate of Sanofi to provide the Company with a secured loan facility of up to $175.0 million to fund the Company’s share of net losses under the Sanofi License Agreement. The commitment letter provides that our obligations under the Sanofi Loan Facility would be secured by a first priority mortgage on our facility in Valencia, California, a first priority security interest in certain insulin inventory located at our facility in Danbury, Connecticut and any contractual rights and obligations pursuant to which we purchase or have purchased such insulin, and a second priority security interest in our assets that secure our obligations under the Facility Agreement. The commitment is subject to customary conditions, including the effectiveness of the Sanofi License Agreement, the finalization of loan documentation and the entry into satisfactory intercreditor agreement with Deerfield.</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effectiveness of the Sanofi License Agreement and the Supply Agreement is contingent upon satisfaction of the applicable waiting period under the Hart-Scott-Rodino Antitrust Improvements Act of 1976, as amended, and the entry into the definitive loan documents relating to the Sanofi Loan Facility (unless we terminate the commitment letter for the Sanofi Loan Facility).</w:t>
      </w:r>
    </w:p>
    <w:p>
      <w:pPr>
        <w:sectPr>
          <w:pgSz w:w="11900" w:h="16838" w:orient="portrait"/>
          <w:cols w:equalWidth="0" w:num="1">
            <w:col w:w="11400"/>
          </w:cols>
          <w:pgMar w:left="240" w:top="459" w:right="259" w:bottom="595"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595"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2013 and Management’s Discussion and Analysis of Financial Condition and Results of Operations contained in our Annual Report on Form 10-K, or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are a biopharmaceutical company focused on the discovery and development of therapeutic products for diseases such as diabetes. Our only approved product, AFREZZA, is a rapid-acting inhaled insulin that was approved by the U.S. Food and Drug Administration, or FDA, on June 27, 2014 to improve glycemic control in adult patients with diabetes. On August 11, 2014, we entered into a license and collaboration agreement, or the Sanofi License Agreement, with Sanofi-Aventis Deutschland GmbH, or Sanofi, pursuant to which Sanofi will be responsible for global commercial, regulatory and development activities for AFREZZA. MannKind will manufacture AFREZZA at its manufacturing facility in Danbury, Connecticut to supply Sanofi’s demand for the product. In addition, the companies are planning to collaborate to expand manufacturing capacity to meet global demand as necessary. In connection with the Sanofi License Agreement, we received a commitment letter from an affiliate of Sanofi to provide us with a secured loan facility, or the Sanofi Loan Facility, of up to $175.0 million to fund our share of net losses under the Sanofi License Agreement.</w:t>
      </w:r>
    </w:p>
    <w:p>
      <w:pPr>
        <w:spacing w:after="0" w:line="1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June 30, 2014, we have incurred a cumulative net loss of $2.4 billion and have stockholders’ deficit of $46.4 million. To date, we have not generated any product revenues and have funded our operations through the sale of equity securities and convertible debt securities; through our facility agreement, or the Facility Agreement, with Deerfield Private Design Fund II, L.P. and Deerfield Private Design International II, L.P., referred to collectively as Deerfield; and through borrowings under our loan arrangement with The Mann Group LLC, or the Loan Arrangement. As discussed below in “Liquidity and Capital Resources,” if we are unable to obtain additional funding in the future, there will continue to be substantial doubt about our ability to continue as a going concern.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our marketing partner, Sanofi, have not yet begun to commercialize AFREZZA. We currently do not have the required approvals to market any of our other product candidates, and we may not receive such approvals. We may not be able to achieve positive cash flow from operations even if we succeed in commercializing our product candidates. We expect to make substantial expenditures and to incur additional operating losses for at least the next several years as we:</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 the launch of AFREZZA through our marketing partner;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manufacturing capabilities as dictated by the growth in demand for AFREZZA;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formulation technology for the pulmonary delivery of other drugs.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potential inability to support the commercialization of AFREZZA in a timely manner. Additional significant risks also include the results of our research and development efforts, competition from other products and technologies and uncertainties associated with obtaining and enforcing patent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This includes the salaries, benefits and stock-based compensation of research and development personnel, raw materials,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3"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Clinical development timelines, likelihood of success and total costs vary widely. To date, we have focused on advancing AFREZZA through regulatory approval.</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which was recently approved by the FDA, we are unable to estimate with any certainty the costs that we will incur in the continued development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our Annual Report on Form 10-K for the year ended December 31, 2013. There have been no material changes to our critical accounting policies during the three and six months ended June 30, 2014.</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July 2013, the FASB issued ASU 2013-11,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Presentation of an Unrecognized Tax</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Benefit when a Net Operating Loss Carryforward, a Similar Tax Loss, or a Tax Credit Carryforward Exists (a consensus of the FASB Emerging Issues Task Force)</w:t>
      </w:r>
      <w:r>
        <w:rPr>
          <w:rFonts w:ascii="Arial" w:cs="Arial" w:eastAsia="Arial" w:hAnsi="Arial"/>
          <w:sz w:val="16"/>
          <w:szCs w:val="16"/>
          <w:color w:val="auto"/>
        </w:rPr>
        <w:t>. The amendments in this ASU provide guidance on the financial statements presentation of an unrecognized tax benefit when a net operating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the Company’s consolidated financial statements.</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U.S.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The Company is evaluating the impact the adoption of ASU 2014-10 will have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revenue for the six months ended June 30, 2014 or 2013. We do not anticipate sales of any product prior to the commercialization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AFREZZA.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2014 and 2013 (dollars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$10,978</w:t>
            </w:r>
          </w:p>
        </w:tc>
        <w:tc>
          <w:tcPr>
            <w:tcW w:w="4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(4,242)</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11,102</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9,724</w:t>
            </w:r>
          </w:p>
        </w:tc>
        <w:tc>
          <w:tcPr>
            <w:tcW w:w="4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1,378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17,799</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37,323</w:t>
            </w: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27,052</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10,271</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Six months ended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15,915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$24,260</w:t>
            </w:r>
          </w:p>
        </w:tc>
        <w:tc>
          <w:tcPr>
            <w:tcW w:w="4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(8,345)</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21,850</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19,114</w:t>
            </w:r>
          </w:p>
        </w:tc>
        <w:tc>
          <w:tcPr>
            <w:tcW w:w="4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2,736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(156)</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22,648</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63,506</w:t>
            </w: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53,450</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10,056</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research and development expenses for the three months ended June 30, 2014 compared to the three months ended June 30, 2013 was primarily due to an increase of $13.1 million in stock-based compensation expense resulting from the modification of the settlement terms, or the Modification, for certain performance-based restricted stock units on June 30, 2014. The Modification resulted in the reclassification of these performance grants from equity awards to liability awards, which required re-measurement on the modification date and resulted in incremental stock-based compensation expense. The increase is also due to increased manufacturing spending of $1.4 million for supply and non-capital spare parts purchases related to commercialization preparation. These increases were partially offset by a decrease of $4.2 million in clinical spending as a result of the completion of two Phase 3 studies in the second quarter of 2013.</w:t>
      </w:r>
    </w:p>
    <w:p>
      <w:pPr>
        <w:spacing w:after="0" w:line="18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increase in overall research and development expenses for the six months ended June 30, 2014, compared to the six months ended June 30, 2013, was primarily due to an increase of $15.5 million in stock-based compensation expense resulting from the Modification. In addition, manufacturing spending increased $2.7 million due to supply and non-capital spare parts purchases related to commercialization preparation. These increases were offset by an $8.3 million decrease in clinical spending as a result of the completion of two Phase 3 studies in the second quarter of 2013.</w:t>
      </w:r>
    </w:p>
    <w:p>
      <w:pPr>
        <w:spacing w:after="0" w:line="154"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We anticipate our overall research and development expenses will increase in 2014 compared to 2013 due to the ongoing preparation for the commercialization of AFREZZA and increased stock compensation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2014 and 2013 (dollars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22,845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17,328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32,523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17,990</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vMerge w:val="restart"/>
          </w:tcPr>
          <w:p>
            <w:pPr>
              <w:jc w:val="right"/>
              <w:ind w:right="10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28,934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20,716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47,752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24,572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23,180</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expenses for the three months ended June 30, 2014 increased compared to the three months ended June 30, 2013 primarily due to an increase in stock-based compensation expense of $17.3 million resulting from the Modification.</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General and administrative expenses for the six months ended June 30, 2014 increased compared to the six months ended June 30, 2013 primarily due to an increase of $20.7 million in stock-based compensation driven by the Modification and legal and consulting fees increased by $1.5 million due to costs associated with financing, related filings, and other legal matters.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expect general and administrative expenses overall to be higher in 2014 as compared to 2013 as a result of increased stock compensation expense.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Other income was $15,000 for the three months ended June 30, 2013 and other expense was $0.4 million for the three months ended June 30, 2014. Other income was $37,710 for the six months ended June 30, 2013 and other expense was $6.3 million for the six months ended June 30, 2014. Other expense of $0.4 million for the three months ended June 30, 2014 was the unamortized discount and debt issuance costs upon conversion of the remaining amount available of the Tranche 1 notes. Other expense of $6.4 million for the six months ended June 30, 2014 was the unamortized discount and debt issuance costs upon conversion of the remaining balance of the Tranche 2 notes, the full conversion of the Tranche 3 notes, and the partial conversion of the Tranche 1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decreased by $1.4 million from the three months ended June 30, 2013 compared to the three months ended June 30, 2014 and by $1.2 million from the six months ended June 30, 2013 compared to the six months ended June 30, 2014. The decrease for the three and six months ended June 30, 2014 was due to a lower carrying value in 2014 on the Loan Arrangement with The Mann Group and the repayment of the Senior Convertible Notes due 2013 on December 9,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Loan Arrangement with The Mann Group and the Facility Agreement with Deerfield.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June 30, 2014, the total principal amount outstanding under the Loan Arrangement was $49.5 million, and the amount available for future borrowings was $30.1 million. We anticipate using a portion of these available borrowings to capitalize accrued interest into principal, upon mutual agreement of the parties, as it becomes due and payable under the Loan Arrangement.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1, 2013, we entered into the Facility Agreement with Deerfield providing for the sale of up to $160.0 million of 9.75% Senior Convertible Notes due 2019, or the 2019 notes in four equal tranches of $40.0 million principal amount.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2014, Deerfield had purchased the first three tranches of 2019 notes in the aggregate principal amount of $120.0 million leaving $40.0 million of the 2019 notes unsold. Subsequent to June 30, 2014, Deerfield purchased the fourth tranche of 2019 notes in the aggregate principal amount of $40.0 million.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28, 2014, we amended the Facility Agreement to provide for the issuance of an additional tranche of notes, or the Tranche B notes, to Deerfield. Pursuant to the terms of the amendment and the subsequent occurrence of certain events specified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amendment, we may issue to Deerfield up to $90.0 million aggregate principal amount of Tranche B notes, subject to the satisfaction of certain conditions. The Tranche B notes bear interest at the rate of 9.75% per year, subject to reduction to 8.75% if we enter into a collaboration with a third party to commercialize AFREZZA, on the outstanding principal amount, payable in cash quarterly in arrears on the last business day of March, June, September and December of each year. The amended Facility Agreement also provided Deerfield with the option, subject to certain limitations, to convert up to an additional $60.0 million of the 2019 notes issued and outstanding on the date of the amendment into shares of our common stock following the effective date of the amendment.</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April 2, 2014, Deerfield elected to convert an aggregate of $7.5 million of principal amount of the outstanding first tranche of the 2019 notes, or the Tranche 1 notes, pursuant to which we issued Deerfield 1,500,000 shares of our common stock. As a result of this election, Deerfield has fully exercised the conversion option under the Facility Agreement, as amended, by converting the additional $60.0 million of the Tranche 1 notes and the outstanding third tranche of the 2019 notes, or the Tranche 3 notes, allowable into 10,763,829 shares of our common stock in the aggregate.</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2014, we entered into an At-The-Market Issuance Sales Agreement with MLV &amp; Co. LLC, or MLV, and an At-The-Market Issuance Sales Agreement with Meyers Associates, L.P. (doing business as Brinson Patrick, a division of Meyers Associates, L.P.), or Brinson Patrick. We refer to the foregoing agreements as the “ATM Agreements.” Under each ATM Agreement, we may issue or sell shares of our common stock having an aggregate offering price of up to $50.0 million from time to time through MLV or Brinson Patrick, as our sales agents, provided in no event may we sell more than $50.0 million of common stock under both agreements in the aggregate. We expect that all or substantially all sales of our common stock made under the ATM Agreements will be made in “at the market” offerings as defined in Rule 415 of the Securities Act. We have not yet sold or issued any shares of our common stock under the ATM Agreements. There can be no assurance that we will be able to access capital through the ATM Agreements on a timely basis, or at all.</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six months ended June 30, 2014, we used $60.4 million of cash for our operations and had a net loss of $125.4 million, which included $64.2 million of non-cash charges consisting of depreciation and accretion, and stock-based compensation. By comparison, during the six months ended June 30, 2013, we used $61.8 million of cash for our operations and had a net loss of $87.1 million, which included $22.0 million of non-cash charges consisting of depreciation and accretion, and stock-based compensation. The operating cash outflow decreased by $1.4 million primarily due to a decrease in accrued interest associated with our Loan Arrangement with The Mann Group partially offset by increases in accrued interest related to other financing arrangements. We expect our negative operating cash flow to continue at least until we achieve commercialization of AFREZZA.</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used $9.7 million of cash for investing activities during the six months ended June 30, 2014, compared to $1.6 million for the six months ended June 30, 2013. The $8.1 million increase was primarily due to $9.7 million in purchases of machinery and equipment for the preparation for commercialization of AFREZZA.</w:t>
      </w:r>
    </w:p>
    <w:p>
      <w:pPr>
        <w:spacing w:after="0" w:line="1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financing activities generated $40.5 million of cash for the six months ended June 30, 2014, compared to positive cash flow of $30.1 million for the six months ended June 30, 2013. Cash provided by financing activities during the six months ended June 30, 2014 was comprised of $20.0 million from the sale of Tranche B notes to Deerfield, $14.1 million from warrant exercises, and $6.5 million from the exercise of stock options. For the six months ended June 30, 2013, cash provided by financing activities was primarily from $28.3 million in warrant exercises.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June 30, 2014, we had $41.2 million in cash and cash equivalents. We believe that our existing capital resources will enable us to continue planned operations at least into the first quarter of 2015. However, we cannot provide assurances that our plans will not change or that changed circumstances will not result in the depletion of the capital resources more rapidly than we currently anticipate.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However, we cannot provide assurances that such additional capital will be available through these or other means.</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intend to use our capital resources to support the commercialization of AFREZZA. We are expending a portion of our capital resources to scale up our manufacturing capabilities in our Danbury facilities and to develop our other product candidates. We also intend to use our capital resources for general corporate purposes.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August 11, 2014, we entered into the Sanofi License Agreement with Sanofi pursuant to which we will receive a $150.0 million upfront fee and may earn potential payments of up to an aggregate of $775.0 million upon the achievement of certain development, manufacturing, regulatory and sales milestones. Worldwide profits and losses will be shared 65% by Sanofi and 35% by us. Pursuant to a separate supply agreement, the Company will manufacture AFREZZA at its manufacturing facility in Danbury, Connecticut to supply Sanofi’s demand for the product. In addition, we received a commitment letter from an affiliate of Sanofi to provide us with a secured loan facility of up to $175.0 million to fund our share of net losses under the Sanofi License Agreement. On August 11, 2014, we entered into a second amendment to the Facility Agreement to provide for the $175.0 million secured loan facility to be provided by an affiliate of Sanofi in connection the Sanofi License Agreement.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enter into strategic business collaborations with respect to our other product candidates, we would expect, as part of the transaction, to receive additional capital. In addition, we expect to</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pursue the sale of equity and/or debt securities, including sales of our common stock through the ATM Agreements, or the establishment of other funding facilities, including the Sanofi Loan Facility.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8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may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June 30, 2014, there were no material changes, outside of the ordinary course of business, in our outstanding contractual obligations from those disclosed within “Management’s Discussion and Analysis of Financial Condition and Results of Operations,” as contained in our Annual Report. However, subsequent to June 30, 2014, we incurred additional contractual obligations pursuant to the issuance of the fourth tranche of $40.0 million aggregate principal amount of 2019 notes to Deerfield on July 28, 2014 and the entry into our supply agreement with Amphastar on July 31, 2014, which contains annual minimum purchase obligations of an aggregate of approximately €120.1 million in calendar years 2015 through 2019. We also expect to incur additional contractual obligations pursuant to the Sanofi Loan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Due to the fixed interest rates of our debt, we do not currently have any exposure to changes in our interest expense as a result of changes in interest rates. The interest rate on amounts borrowed under our loan arrangement with The Mann Group for the year ended December 31, 2013 and the six months ended June 30, 2014 was a fixed rate equal to 5.84%. As of December 31, 2013, the total principal amount outstanding under the Loan Arrangement was $49.5 million. We also have debt related to our 5.75% Senior Convertible Notes due 2015, or 2015 notes, at a fixed interest rate of 5.75% and debt related to the Facility Agreement at a fixed interest rate of 9.75%.</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a 10% change in interest rates were to have occurred June 30, 2014, this change would not have had a material effect on the value of our short-term investment portfolio or on our interest expense obligations with respect to outstanding borrowed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and financial officers, evaluated the effectiveness of our disclosure controls and procedures, as defined in Rules 13a-15(e) and 15d-15(e) under the Securities Exchange Act of 1934, as amended, or the Exchange Act,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a reasonable assurance level.</w:t>
      </w:r>
    </w:p>
    <w:p>
      <w:pPr>
        <w:spacing w:after="0" w:line="18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determined that, as of June 30, 2014, there were no changes in our internal control over financial reporting that occurred during the fiscal quarter then ended that have materially affected, or are reasonably likely to materially affect, our internal control over financial reporting.</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date, we have not commercialized any product candidates. We have expended significant time, money and effort in the development of our only approved product, AFREZZA, which was approved by the FDA on June 27, 2014 to improve glycemic control in adult patients with diabetes. Our other product candidates are generally in early clinical or preclinical development. We anticipate that in the near term, our ability to generate revenues will depend on the successful commercialization of AFREZZA in the United States, which we have not yet begun to commercialize. On August 11, 2014, we entered into the Sanofi License Agreement pursuant to which Sanofi will be responsible for global commercial, regulatory and development activities for AFREZZA. MannKind will manufacture Afrezza at its manufacturing facility in Danbury, Connecticut to supply Sanofi’s demand for the product. In addition, the companies are planning to collaborate to expand manufacturing capacity to meet global demand as necessary. We must receive the necessary approvals from foreign regulatory agencies before AFREZZA can be marketed outside of the United States.</w:t>
      </w:r>
    </w:p>
    <w:p>
      <w:pPr>
        <w:spacing w:after="0" w:line="17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Even with regulatory approval, we and our marketing partner, Sanofi,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successfully, our business, financial condition and results of operations will be materially and adversely affected.</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compounds and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commercialize AFREZZA or develop our other product candidates, or if we are significantly delayed in doing so, our business and results of operations will be harmed and the value of our stock could decline.</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Sanofi does not perform satisfactorily under the Sanofi License Agreement or if our collaboration fails, commercialization of AFREZZA may be delayed and our business could be harmed.*</w:t>
      </w:r>
    </w:p>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entered into the Sanofi License Agreement to provide for the future development and commercialization of AFREZZA. However, the effectiveness of the Sanofi License Agreement and the related supply agreement is contingent upon satisfaction of the applicable waiting period under the Hart-Scott-Rodino Antitrust Improvements Act of 1976, as amended, or HSR, and the entry into the definitive loan documents relating to the Sanofi Loan Facility (unless the Company terminates the commitment letter for the Sanofi Loan Facility). There can be no assurance that the HSR conditions will be satisfied and the Sanofi License Agreement may never become effective. If the Sanofi License Agreement does not become effective, our requirements for capital could substantially increase and our commercialization prospects, financial condition and business could be materially harmed. If the Sanofi License Agreement becomes effective, we will have less control over the timing, planning and other aspects of our post-marketing clinical studies, and the sale and marketing of AFREZZA. Sanofi may enter into arrangements that would make it a potential competitor. Sanofi also may breach its agreement with us, exercise at-will termination rights or fail to perform under the agreements, which could delay our progress or harm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been profitable or generated positive cash flow from operations and, as of June 30, 2014, we had incurred a cumulative net loss of $2.4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our supply agreement with Amphastar of an aggregate of approximately €120.1 million in calendar years 2015 through 2019. We may not have the necessary capital resources on hand in order to service this contractual commitment, and we may become obligated to make additional payments under the supply agreement in the event of its termination under certain scenarios. Our cumulative net loss may therefore increase significantly. Our losses have had, and are expected to continue to have, an adverse impact on our working capital, total assets and stockholders’ equity. As of June 30, 2014, we had stockholders’ deficit of $46.4 million. Our ability to achieve and sustain positive cash flow from operations and profitability depends upon successfully commercializing AFREZZA in collaboration with our marketing partner.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2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Based on our current expectations, we believe that our existing capital resources will enable us to continue planned operations at least into the first quarter of 2015. We cannot assure you that our plans will not change or that changed circumstances will not result in the depletion of our capital resources more rapidly than we currently anticipate.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It may be difficult for us to raise additional funds on favorable terms, or at all. As of June 30, 2014, we had stockholders’ deficit of $46.4 million which may raise concerns about our solvency and affect our ability to raise additional capital. The extent of our additional funding requirements will depend on a number of factors, including:</w:t>
      </w:r>
    </w:p>
    <w:p>
      <w:pPr>
        <w:spacing w:after="0" w:line="7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election of any or all of the holders of the 2015 notes or the 2019 notes to require us to repay or repurchase such notes if and when required;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2015 notes which mature in August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2015 notes are converted into shares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Deerfield Private Design Fund II, L.P. and Horizon Santé FLML SÁRL, referred to collectively as the Milestone Purchasers pursuant to our Milestone Rights Purchase Agreement dated July 1, 2013, or the Milestone Agreement;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to bear our share of net losses under the Sanofi License Agreement;</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degree of success in commercializing AFREZZA;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costs of preparing applications for regulatory approvals for our product candidates, either ourselves or with any commercialization partner;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1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have raised capital in the past through the sale of equity and debt securities. We may in the future pursue the sale of additional equity and/or debt securities, including sales of our common stock through the ATM Agreements, or the establishment of other funding facilities including asset based borrowings. There can be no assurances, however, that we will be able to raise additional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do not anticipate generating operating cash flow prior to commercial launch of AFREZZA, and therefore cannot provide assurances that changed or unexpected circumstances, including, among other things, delays in manufacturing on a commercial scale, will not result in the depletion of our capital resources more rapidly than we currently anticipate, in which case we may be required to raise additional capital. There can be no assurances that we will be able to raise additional capital on favorable terms, or at all. If planned operating results are not achieved or we are not successful in raising additional capital through equity or debt financings or entering into strategic business collaborations, we will be required to reduce expenses through the delay, reduction or curtailment of our projects, or further reduction of costs for facilities and administration, and there will be continued substantial doubt about our ability to continue as a going concern.</w:t>
      </w:r>
    </w:p>
    <w:p>
      <w:pPr>
        <w:spacing w:after="0" w:line="2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have a substantial amount of debt pursuant to our 2015 notes, 2019 notes and Tranche B notes, we may incur additional indebtedness in connection with the Sanofi and may be unable to make required payments of interest and principal as they become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had $140.0 million of outstanding debt pursuant to our 2015 notes and 2019 notes, consisting of:</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$20.0 million principal amount of 2019 notes bearing interest at 9.75% per annum and maturing between 2016 and July 1, 2019;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$20.0 million principal amount of Tranche B notes bearing interest at 9.75% per annum and maturing between 2017 and December 31, 2019.</w:t>
      </w:r>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may incur up to an additional $70.0 million principal amount of indebtedness under the Facility Agreement pursuant to the issuance of additional Tranche B notes to Deerfield. In addition, we received a commitment letter from an affiliate of Sanofi to provide the Sanofi Loan Facility, the proceeds of which would be used by us to fund our share of net losses under the Sanofi License Agreement.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2015 notes, 2019 notes or, Tranche B notes when required. Further, if we undergo a fundamental change, as that term is defined in the indentures governing the terms of the 2015 notes, or certain Major Transactions as defined in the Facility Agreement in respect of the 2019 notes and the Tranche B notes, the holders of the respective notes will have the option to require us to repurchase all or any portion of such notes at a repurchase price of 100% of the principal amount of such notes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March, June, September and December of each year. The Tranche B notes bear interest at the rate of 9.75% per year, subject to reduction to 8.75% if we enter into a collaboration with a third party to commercialize AFREZZA, on the outstanding principal amount, payable in cash quarterly in arrears on the last business day of March, June, September and December of each year. We expect that loans under the Sanofi Loan Facility will bear interest at a rate of 8.5% per annum, paid-in-kind on a quarterly basis (2.06% per quarter compounded). While we have been able to timely make our required interest payments to date, we cannot guarantee that we will be able to do so in the future. If we fail to pay interest on the 2015 notes, 2019 notes or Tranche B notes, or if we fail to repay or repurchase the 2015 notes, 2019 notes or Tranche B notes when required, we will be in default under the indenture or other applicable instrument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the agreements governing the Sanofi Loan Agreement is expected to contain, covenants that we may not be able to meet and place restrictions on our operating and financial flexibility.*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indebtedness under the Facility Agreement, including any indebtedness under the 2019 notes and the Tranche B notes and any additional indebtedness we incur as the result of our sale of additional Tranche B notes is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certain mortgages on our facilities in Danbury, Connecticut and Valencia, California, with the mortgage on our facility in Valencia, California expected to be released as a result of issuance of fourth tranche of the 2019 notes. The commitment letter relating to the Sanofi Loan Facility provides that our obligations under the Sanofi Loan Facility will be secured by a first priority mortgage on our facility in Valencia, California, a first priority security interest in certain insulin inventory located at our facility in Danbury, Connecticut and any contractual rights and obligations pursuant to which we purchases or have purchased such insulin, and a second priority security interest in our assets that secure our obligations under the Facility Agreement.</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loan arrangement with The Mann Group,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 The agreements governing the Sanofi Loan Facility are expected to include customary representations, warranties and covenants, including restrictions on our ability to incur additional indebtedness and grant certain liens.</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There can be no assurance that we will be able to comply with the covenants under any of the foregoing agreements, and we cannot predict whether the holders of the 2019 notes or Tranche B notes or, if we obtain the Sanofi Loan Facility, the lender under the Sanofi Loan Facility, would demand repayment of the outstanding balance of the 2019 notes, the Tranche B notes or the loans under the Sanofi Loan Facility as appointed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and if we obtain the Sanofi Loan Facility,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by regulators.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96" w:lineRule="exact"/>
        <w:rPr>
          <w:sz w:val="20"/>
          <w:szCs w:val="20"/>
          <w:color w:val="auto"/>
        </w:rPr>
      </w:pPr>
    </w:p>
    <w:p>
      <w:pPr>
        <w:ind w:right="2640"/>
        <w:spacing w:after="0" w:line="526" w:lineRule="auto"/>
        <w:rPr>
          <w:sz w:val="20"/>
          <w:szCs w:val="20"/>
          <w:color w:val="auto"/>
        </w:rPr>
      </w:pPr>
      <w:r>
        <w:rPr>
          <w:rFonts w:ascii="Arial" w:cs="Arial" w:eastAsia="Arial" w:hAnsi="Arial"/>
          <w:sz w:val="15"/>
          <w:szCs w:val="15"/>
          <w:b w:val="1"/>
          <w:bCs w:val="1"/>
          <w:i w:val="1"/>
          <w:iCs w:val="1"/>
          <w:color w:val="auto"/>
        </w:rPr>
        <w:t xml:space="preserve">We may not be able to compete successfully, and AFREZZA may be rendered obsolete by rapid technological change.* </w:t>
      </w:r>
      <w:r>
        <w:rPr>
          <w:rFonts w:ascii="Arial" w:cs="Arial" w:eastAsia="Arial" w:hAnsi="Arial"/>
          <w:sz w:val="15"/>
          <w:szCs w:val="15"/>
          <w:color w:val="auto"/>
        </w:rPr>
        <w:t>A number of established pharmaceutical companies have or are developing technologies for the treatment of diabetes.</w:t>
      </w:r>
    </w:p>
    <w:p>
      <w:pPr>
        <w:ind w:right="6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2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and results of operations and the market price of our common stock may decline.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cGMPs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Any such events could delay market introduction and subsequent sales of AFREZZA and, if so, our business and results of operations will be harmed and the market price of our common stock may decline.</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never manufactured AFREZZA in commercial quantities, and if we fail to develop an effective manufacturing capability or to engage third-party manufacturers with this capability, we may be unable to commercialize this product.</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two inspections by the FDA, our facility may need to undergo further inspection before we can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effectively commercialize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AFREZZA and our other product candidates may not gain market acceptance among physicians, patients, third-party payors and the healthcare community.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Failure to achieve market acceptance would limit our ability to generate revenue and would adversely affect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3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660" w:right="440" w:hanging="20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these and other factors, AFREZZA any other product that we get approved may not gain market acceptance, which would materially harm our business, financial condition 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limit our ability to generate revenues from sales of AFREZZA or our other product candidates and achieve profitability. Further, to the extent that such reforms have a material adverse effect on the business, financial condition and profitability of our marketing partner for AFREZZA, Sanofi, and companies that are prospective collaborators for our product candidates, our ability to commercialize AFREZZA and our product candidates under development may be adversely affected.</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we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or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4" w:lineRule="exact"/>
        <w:rPr>
          <w:sz w:val="20"/>
          <w:szCs w:val="20"/>
          <w:color w:val="auto"/>
        </w:rPr>
      </w:pPr>
    </w:p>
    <w:p>
      <w:pPr>
        <w:ind w:left="900" w:right="4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20" w:hanging="325"/>
        <w:spacing w:after="0" w:line="27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reporting to the Centers for Medicare &amp; Medicaid Services, or CMS, required by March 31, 2014 and by the 90th day of each subsequent calendar year;</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6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92" w:lineRule="exact"/>
        <w:rPr>
          <w:sz w:val="20"/>
          <w:szCs w:val="20"/>
          <w:color w:val="auto"/>
        </w:rPr>
      </w:pPr>
    </w:p>
    <w:p>
      <w:pPr>
        <w:ind w:left="900" w:right="320" w:hanging="325"/>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51" w:lineRule="exact"/>
        <w:rPr>
          <w:rFonts w:ascii="Arial" w:cs="Arial" w:eastAsia="Arial" w:hAnsi="Arial"/>
          <w:sz w:val="17"/>
          <w:szCs w:val="17"/>
          <w:color w:val="auto"/>
        </w:rPr>
      </w:pPr>
    </w:p>
    <w:p>
      <w:pPr>
        <w:ind w:left="900" w:right="10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liability insurance in the amount of $10.0 million. In addition, we carry local policies per study in each country in which we conduct clinical studies that require us to carry coverage based on local statutory requirements. We intend to obtain product liability coverage for commercial sales of AFREZZA.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Technosphere technology programs.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the FDA is requiring the following post-marketing studies for AFREZZA:</w:t>
      </w:r>
    </w:p>
    <w:p>
      <w:pPr>
        <w:spacing w:after="0" w:line="5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two pharmacokinetic-pharmacodynamic studies, one to characterize dose-response and one to characterize within-subject variability.</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2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our other product candidates.*</w:t>
      </w:r>
    </w:p>
    <w:p>
      <w:pPr>
        <w:spacing w:after="0" w:line="1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5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9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any of our 2015 notes into shares of our common stock; and</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June 30, 2014, our Chairman and Chief Executive Officer, Alfred E. Mann beneficially owned 38.7%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3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conversion of our 2015 notes into common stock or the exercise of our warrants for common stock could negatively affect our stock price.*</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August 4, 2014, we had 402,380,752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2015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including through the ATM Agreements, or additional convertible debt, the market price of our common stock may decline and our existing stockholders may experience significant dilution.</w:t>
      </w:r>
    </w:p>
    <w:p>
      <w:pPr>
        <w:spacing w:after="0" w:line="289"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291" w:lineRule="exact"/>
        <w:rPr>
          <w:sz w:val="20"/>
          <w:szCs w:val="20"/>
          <w:color w:val="auto"/>
        </w:rPr>
      </w:pPr>
    </w:p>
    <w:p>
      <w:pPr>
        <w:ind w:right="432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11, 2014, we entered into the Sanofi License Agreement pursuant to which we granted to Sanofi exclusive, worldwide licenses to certain of our patents, trademarks and know-how for the development and commercialization of AFREZZA.</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the Sanofi License Agreement, upon effectiveness of the Sanofi License Agreement, Sanofi will have the exclusive right and responsibility to develop AFREZZA worldwide, subject to certain development activities that will be performed by us.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Pursuant to the terms of a separate supply agreement that we entered into with Sanofi concurrently with the Sanofi License Agreement, we will be responsible for the manufacture and supply to Sanofi of its requirements of AFREZZA.</w:t>
      </w:r>
    </w:p>
    <w:p>
      <w:pPr>
        <w:spacing w:after="0" w:line="18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consideration for the rights granted to Sanofi by us under the Sanofi License Agreement, upon effectiveness of the Sanofi License Agreement, we will receive an upfront payment of $150.0 million. If certain manufacturing, regulatory and sales milestones are achieved, we will also eligible to receive up to $775.0 million in milestone payments, of which $75.0 million in milestone payments relate to certain development and manufacturing milestone events, $50.0 million in milestone payments relate to the filing and completion of regulatory approvals and $650.0 million in milestone payments relate to the achievement of certain product sales milestones. In addition, worldwide profits and losses be shared 65% by Sanofi and 35% by us.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Sanofi License Agreement, we granted to Sanofi a right of first negotiation in the event we propose to grant to any third party a license to develop or exploit an inhaled glucagon-like peptide-1 agonist. In addition, if our board of directors determines to pursue a change of control of MannKind, we will be required notify Sanofi of such determination within a certain period of time so that Sanofi may, at is discretion, negotiate with us for a potential acquisition of MannKind by Sanofi.</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we received a commitment letter from an affiliate of Sanofi to provide the Sanofi Loan Facility. The commitment letter provides for a $175.0 million secured revolving loan facility to fund our share of net losses under the Sanofi License Agreement. Pursuant to the commitment letter, loans under the Sanofi Loan Facility would bear interest at a rate of 8.5% per annum, paid-in-kind on a quarterly basis (2.06% per quarter compounded) and would become due and payable in full on the tenth anniversary of the effective date of the Sanofi License Agreement. We would be required to prepay any loans with net profits received under the Sanofi License Agreement. The commitment letter provides that our obligations under the Sanofi Loan Facility would be secured by a first priority mortgage on our facility in Valencia, California, a first priority security interest in certain insulin inventory located at our facility in Danbury, Connecticut and any contractual rights and obligations pursuant to which we purchase or have purchased such insulin, and a second priority security interest in our assets that secure our obligations under the Facility Agreement. The commitment is subject to customary conditions, including the effectiveness of the Sanofi License Agreement, the finalization of loan documentation and the entry into satisfactory intercreditor agreement with Deerfield.</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effectiveness of the Sanofi License Agreement and the Supply Agreement is contingent upon satisfaction of the applicable waiting period under the Hart-Scott-Rodino Antitrust Improvements Act of 1976, as amended, and the entry into the definitive loan documents relating to the Sanofi Loan Facility (unless we terminate the commitment letter for the Sanofi Loan Facility).</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Sanofi License Agreement will remain in effect unless either party terminates the Sanofi License Agreement in accordance with its terms. Either party may terminate the Sanofi License Agreement for a material breach the other party if such breach remains uncured for 90 days, or 45 days in the case of a non-payment breach; provided that if Sanofi breaches the Sanofi License Agreement for failure to comply with its obligation to use commercially reasonable efforts to file for, obtain and maintain regulatory approval for AFREZZA in certain major markets and countries and to market, promote and commercialize AFREZZA in countries where regulatory approval has been received, as set forth in the Sanofi License Agreement, with respect to (i) the United States, we may terminate the Sanofi License Agreement in its entirety, and (ii) certain major markets or countries, we may terminate the Sanofi License Agreement only with respect to such markets or countries and not in its entirety. Either party may also terminate the Sanofi License Agreement upon written notice to the other party in the event of the other party’s insolvency. Sanofi may terminate the Sanofi License Agreement at any time on or after January 1, 2016 (a) upon 90 days’ written notice if Sanofi determines in good faith that the commercialization of AFREZZA is no longer economically viable in the United States, and (b) without cause upon six months’ written notice in its entirety or on a country-by-country basis other than with respect to the United States, subject to certain exceptions. In addition, Sanofi may terminate the Sanofi License Agreement on a country-by-country basis upon 30 days’ written notice for certain safety or regulatory reasons.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we entered into a second amendment to the Facility Agreement to provide for the Sanofi Loan Facility.</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description is only a summary of the Sanofi License Agreement and the second amendment to the Facility Agreement and is qualified in its entirety by the terms of the Sanofi License Agreement and the second amendment to the Facility Agreement, copies of which will be filed as exhibits to our</w:t>
      </w:r>
    </w:p>
    <w:p>
      <w:pPr>
        <w:sectPr>
          <w:pgSz w:w="11900" w:h="16838" w:orient="portrait"/>
          <w:cols w:equalWidth="0" w:num="1">
            <w:col w:w="11420"/>
          </w:cols>
          <w:pgMar w:left="240" w:top="459" w:right="239" w:bottom="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Quarterly Report on Form 10-Q for the quarter ended September 30, 2014.</w:t>
      </w:r>
    </w:p>
    <w:p>
      <w:pPr>
        <w:spacing w:after="0" w:line="1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125"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3.5 to MannKind’s Registration Statement on Form</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S-1 (File No. 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3.2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 No. 000-50865), filed with the SEC on August 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3.3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 No. 000-50865), originally filed with the SEC on August 2,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3.4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 No. 000-50865), filed with the SEC on August 4, 2011).</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3.1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 No. 000-50865), filed with the SEC on December 24,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to Exhibit 3.1 to MannKind’s Current Report on Form 8-K (File No. 000-50865),</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November 19,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Form of common stock certificate (incorporated by reference to Exhibit 4.4 to MannKind’s Annual Report on Form 10-K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March 18,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Registration Rights Agreement, dated October 15, 1998 by and among CTL Immuno Therapies Corp., Medical Research Group, LLC, McLean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Watson Advisory Inc. and Alfred E. Mann, as amended (incorporated by reference to Exhibit 4.2 to MannKind’s Registration Statement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S-1 (File No. 333-115020),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Indenture, by and between MannKind and Wells Fargo Bank, N.A., dated August 24, 2010 (incorporated by reference to Exhibit 4.1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Current Report on Form 8-K (File No. 000-50865), 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5.75% Senior Convertible Note due 2015 (incorporated by reference to Exhibit 4.2 to MannKind’s Current Report on Form 8-K (File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000-50865),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Warrant to Purchase Common Stock issued February 8, 2012 (incorporated by reference to Exhibit 4.1 to MannKind’s Current Report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8-K (File No. 000-50865), filed with the SEC on February 6,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Form of 9.75% Senior Secured Convertible Promissory Note due 2019 (incorporated by reference to Exhibit 99.2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Amended and Restated 9.75% Senior Secured Convertible Promissory Note due 2019 (incorporated by reference to Exhibit 4.7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Annual Report on Form 10-K (File No. 000-50865),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Santé FLML SÁRL (incorporated by reference to Exhibit 99.3 to MannKind’s Current Report on Form 8-K (File No. 000-50865), filed with</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Deerfield Private Design International II, L.P. and Horizon Santé FLML SÁRL (incorporated by reference to Exhibit 99.4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Private Design International II, L.P. (incorporated by reference to Exhibit 99.5 to MannKind’s Current Report on Form 8-K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Private Design International II, L.P.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July 1, 2013).</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Deerfield Private Design Fund II, L.P. and Deerfield Private Design International II, L.P. (incorporated by reference to Exhibit 4.12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Annual Report on Form 10-K (File No. 000-50865), filed with the SEC on March 3,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the Chief Financial Officer pursuant to Rules 13a-14(a) and 15d-14(a) of the Securities Exchange Act of 1934, as amended.</w:t>
            </w:r>
          </w:p>
        </w:tc>
      </w:tr>
    </w:tbl>
    <w:p>
      <w:pPr>
        <w:spacing w:after="0" w:line="94" w:lineRule="exact"/>
        <w:rPr>
          <w:sz w:val="20"/>
          <w:szCs w:val="20"/>
          <w:color w:val="auto"/>
        </w:rPr>
      </w:pPr>
    </w:p>
    <w:p>
      <w:pPr>
        <w:ind w:left="1080" w:hanging="1072"/>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11, 2014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240" w:top="459" w:right="4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11, 2014</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11, 2014</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2014,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Chairman of the Board of Directors and Chief Executive Officer of the Company, and Matthew J. Pfeffer, Corporate Vice President and Chief Financial Officer of the Company, each hereby certifies that to the best of his knowledge:</w:t>
      </w:r>
    </w:p>
    <w:p>
      <w:pPr>
        <w:spacing w:after="0" w:line="193"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11, 2014</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11</w:t>
      </w:r>
      <w:r>
        <w:rPr>
          <w:rFonts w:ascii="Arial" w:cs="Arial" w:eastAsia="Arial" w:hAnsi="Arial"/>
          <w:sz w:val="15"/>
          <w:szCs w:val="15"/>
          <w:color w:val="auto"/>
        </w:rPr>
        <w:t>th</w:t>
      </w:r>
      <w:r>
        <w:rPr>
          <w:rFonts w:ascii="Arial" w:cs="Arial" w:eastAsia="Arial" w:hAnsi="Arial"/>
          <w:sz w:val="18"/>
          <w:szCs w:val="18"/>
          <w:color w:val="auto"/>
        </w:rPr>
        <w:t xml:space="preserve"> day of August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2019-12-06T07:42:25Z</dcterms:created>
  <dcterms:modified xsi:type="dcterms:W3CDTF">2019-12-06T07:42:25Z</dcterms:modified>
</cp:coreProperties>
</file>