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1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2011</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5"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6" w:right="239" w:bottom="1440" w:gutter="0" w:footer="0" w:header="0"/>
        </w:sectPr>
      </w:pPr>
    </w:p>
    <w:p>
      <w:pPr>
        <w:spacing w:after="0" w:line="3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sectPr>
          <w:pgSz w:w="11900" w:h="16838" w:orient="portrait"/>
          <w:cols w:equalWidth="0" w:num="2">
            <w:col w:w="2980" w:space="720"/>
            <w:col w:w="7720"/>
          </w:cols>
          <w:pgMar w:left="240" w:top="22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000-50865.</w:t>
      </w:r>
    </w:p>
    <w:p>
      <w:pPr>
        <w:sectPr>
          <w:pgSz w:w="11900" w:h="16838" w:orient="portrait"/>
          <w:cols w:equalWidth="0" w:num="1">
            <w:col w:w="11420"/>
          </w:cols>
          <w:pgMar w:left="240" w:top="226" w:right="239" w:bottom="1440" w:gutter="0" w:footer="0" w:header="0"/>
          <w:type w:val="continuous"/>
        </w:sectPr>
      </w:pP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52" w:lineRule="exact"/>
        <w:rPr>
          <w:sz w:val="24"/>
          <w:szCs w:val="24"/>
          <w:color w:val="auto"/>
        </w:rPr>
      </w:pPr>
    </w:p>
    <w:tbl>
      <w:tblPr>
        <w:tblLayout w:type="fixed"/>
        <w:tblInd w:w="240" w:type="dxa"/>
        <w:tblCellMar>
          <w:top w:w="0" w:type="dxa"/>
          <w:left w:w="0" w:type="dxa"/>
          <w:bottom w:w="0" w:type="dxa"/>
          <w:right w:w="0" w:type="dxa"/>
        </w:tblCellMar>
      </w:tblPr>
      <w:tr>
        <w:trPr>
          <w:trHeight w:val="218"/>
        </w:trPr>
        <w:tc>
          <w:tcPr>
            <w:tcW w:w="2220" w:type="dxa"/>
            <w:vAlign w:val="bottom"/>
          </w:tcPr>
          <w:p>
            <w:pPr>
              <w:spacing w:after="0"/>
              <w:rPr>
                <w:sz w:val="18"/>
                <w:szCs w:val="18"/>
                <w:color w:val="auto"/>
              </w:rPr>
            </w:pPr>
          </w:p>
        </w:tc>
        <w:tc>
          <w:tcPr>
            <w:tcW w:w="2300" w:type="dxa"/>
            <w:vAlign w:val="bottom"/>
            <w:gridSpan w:val="2"/>
          </w:tcPr>
          <w:p>
            <w:pPr>
              <w:jc w:val="center"/>
              <w:ind w:right="12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8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13-3607736</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49"/>
        </w:trPr>
        <w:tc>
          <w:tcPr>
            <w:tcW w:w="4520" w:type="dxa"/>
            <w:vAlign w:val="bottom"/>
            <w:gridSpan w:val="3"/>
          </w:tcPr>
          <w:p>
            <w:pPr>
              <w:jc w:val="center"/>
              <w:ind w:left="760"/>
              <w:spacing w:after="0" w:line="149" w:lineRule="exact"/>
              <w:rPr>
                <w:sz w:val="20"/>
                <w:szCs w:val="20"/>
                <w:color w:val="auto"/>
              </w:rPr>
            </w:pPr>
            <w:r>
              <w:rPr>
                <w:rFonts w:ascii="Times New Roman" w:cs="Times New Roman" w:eastAsia="Times New Roman" w:hAnsi="Times New Roman"/>
                <w:sz w:val="14"/>
                <w:szCs w:val="14"/>
                <w:i w:val="1"/>
                <w:iCs w:val="1"/>
                <w:color w:val="auto"/>
                <w:w w:val="97"/>
              </w:rPr>
              <w:t>(State or other jurisdiction of</w:t>
            </w:r>
          </w:p>
        </w:tc>
        <w:tc>
          <w:tcPr>
            <w:tcW w:w="2520" w:type="dxa"/>
            <w:vAlign w:val="bottom"/>
          </w:tcPr>
          <w:p>
            <w:pPr>
              <w:spacing w:after="0"/>
              <w:rPr>
                <w:sz w:val="12"/>
                <w:szCs w:val="12"/>
                <w:color w:val="auto"/>
              </w:rPr>
            </w:pPr>
          </w:p>
        </w:tc>
        <w:tc>
          <w:tcPr>
            <w:tcW w:w="2160" w:type="dxa"/>
            <w:vAlign w:val="bottom"/>
            <w:gridSpan w:val="2"/>
          </w:tcPr>
          <w:p>
            <w:pPr>
              <w:jc w:val="center"/>
              <w:ind w:left="668"/>
              <w:spacing w:after="0" w:line="149" w:lineRule="exact"/>
              <w:rPr>
                <w:sz w:val="20"/>
                <w:szCs w:val="20"/>
                <w:color w:val="auto"/>
              </w:rPr>
            </w:pPr>
            <w:r>
              <w:rPr>
                <w:rFonts w:ascii="Times New Roman" w:cs="Times New Roman" w:eastAsia="Times New Roman" w:hAnsi="Times New Roman"/>
                <w:sz w:val="14"/>
                <w:szCs w:val="14"/>
                <w:i w:val="1"/>
                <w:iCs w:val="1"/>
                <w:color w:val="auto"/>
                <w:w w:val="96"/>
              </w:rPr>
              <w:t>(I.R.S. Employer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6"/>
        </w:trPr>
        <w:tc>
          <w:tcPr>
            <w:tcW w:w="4520" w:type="dxa"/>
            <w:vAlign w:val="bottom"/>
            <w:gridSpan w:val="3"/>
          </w:tcPr>
          <w:p>
            <w:pPr>
              <w:jc w:val="center"/>
              <w:ind w:left="760"/>
              <w:spacing w:after="0"/>
              <w:rPr>
                <w:sz w:val="20"/>
                <w:szCs w:val="20"/>
                <w:color w:val="auto"/>
              </w:rPr>
            </w:pPr>
            <w:r>
              <w:rPr>
                <w:rFonts w:ascii="Times New Roman" w:cs="Times New Roman" w:eastAsia="Times New Roman" w:hAnsi="Times New Roman"/>
                <w:sz w:val="14"/>
                <w:szCs w:val="14"/>
                <w:i w:val="1"/>
                <w:iCs w:val="1"/>
                <w:color w:val="auto"/>
                <w:w w:val="96"/>
              </w:rPr>
              <w:t>incorporation or organization)</w:t>
            </w:r>
          </w:p>
        </w:tc>
        <w:tc>
          <w:tcPr>
            <w:tcW w:w="2520" w:type="dxa"/>
            <w:vAlign w:val="bottom"/>
          </w:tcPr>
          <w:p>
            <w:pPr>
              <w:spacing w:after="0"/>
              <w:rPr>
                <w:sz w:val="15"/>
                <w:szCs w:val="15"/>
                <w:color w:val="auto"/>
              </w:rPr>
            </w:pPr>
          </w:p>
        </w:tc>
        <w:tc>
          <w:tcPr>
            <w:tcW w:w="216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i w:val="1"/>
                <w:iCs w:val="1"/>
                <w:color w:val="auto"/>
                <w:w w:val="96"/>
              </w:rPr>
              <w:t>Identification No.)</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08"/>
        </w:trPr>
        <w:tc>
          <w:tcPr>
            <w:tcW w:w="4520" w:type="dxa"/>
            <w:vAlign w:val="bottom"/>
            <w:gridSpan w:val="3"/>
          </w:tcPr>
          <w:p>
            <w:pPr>
              <w:jc w:val="center"/>
              <w:ind w:left="760"/>
              <w:spacing w:after="0"/>
              <w:rPr>
                <w:sz w:val="20"/>
                <w:szCs w:val="20"/>
                <w:color w:val="auto"/>
              </w:rPr>
            </w:pPr>
            <w:r>
              <w:rPr>
                <w:rFonts w:ascii="Times New Roman" w:cs="Times New Roman" w:eastAsia="Times New Roman" w:hAnsi="Times New Roman"/>
                <w:sz w:val="18"/>
                <w:szCs w:val="18"/>
                <w:b w:val="1"/>
                <w:bCs w:val="1"/>
                <w:color w:val="auto"/>
                <w:w w:val="97"/>
              </w:rPr>
              <w:t>28903 North Avenue Paine</w:t>
            </w:r>
          </w:p>
        </w:tc>
        <w:tc>
          <w:tcPr>
            <w:tcW w:w="2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1"/>
        </w:trPr>
        <w:tc>
          <w:tcPr>
            <w:tcW w:w="4520" w:type="dxa"/>
            <w:vAlign w:val="bottom"/>
            <w:gridSpan w:val="3"/>
          </w:tcPr>
          <w:p>
            <w:pPr>
              <w:jc w:val="center"/>
              <w:ind w:left="760"/>
              <w:spacing w:after="0"/>
              <w:rPr>
                <w:sz w:val="20"/>
                <w:szCs w:val="20"/>
                <w:color w:val="auto"/>
              </w:rPr>
            </w:pPr>
            <w:r>
              <w:rPr>
                <w:rFonts w:ascii="Times New Roman" w:cs="Times New Roman" w:eastAsia="Times New Roman" w:hAnsi="Times New Roman"/>
                <w:sz w:val="18"/>
                <w:szCs w:val="18"/>
                <w:b w:val="1"/>
                <w:bCs w:val="1"/>
                <w:color w:val="auto"/>
                <w:w w:val="95"/>
              </w:rPr>
              <w:t>Valencia, California</w:t>
            </w:r>
          </w:p>
        </w:tc>
        <w:tc>
          <w:tcPr>
            <w:tcW w:w="468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91355</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6"/>
        </w:trPr>
        <w:tc>
          <w:tcPr>
            <w:tcW w:w="4520" w:type="dxa"/>
            <w:vAlign w:val="bottom"/>
            <w:gridSpan w:val="3"/>
          </w:tcPr>
          <w:p>
            <w:pPr>
              <w:jc w:val="center"/>
              <w:ind w:left="760"/>
              <w:spacing w:after="0"/>
              <w:rPr>
                <w:sz w:val="20"/>
                <w:szCs w:val="20"/>
                <w:color w:val="auto"/>
              </w:rPr>
            </w:pPr>
            <w:r>
              <w:rPr>
                <w:rFonts w:ascii="Times New Roman" w:cs="Times New Roman" w:eastAsia="Times New Roman" w:hAnsi="Times New Roman"/>
                <w:sz w:val="14"/>
                <w:szCs w:val="14"/>
                <w:i w:val="1"/>
                <w:iCs w:val="1"/>
                <w:color w:val="auto"/>
                <w:w w:val="96"/>
              </w:rPr>
              <w:t>(Address of principal executive offices)</w:t>
            </w:r>
          </w:p>
        </w:tc>
        <w:tc>
          <w:tcPr>
            <w:tcW w:w="2520" w:type="dxa"/>
            <w:vAlign w:val="bottom"/>
          </w:tcPr>
          <w:p>
            <w:pPr>
              <w:spacing w:after="0"/>
              <w:rPr>
                <w:sz w:val="15"/>
                <w:szCs w:val="15"/>
                <w:color w:val="auto"/>
              </w:rPr>
            </w:pPr>
          </w:p>
        </w:tc>
        <w:tc>
          <w:tcPr>
            <w:tcW w:w="216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i w:val="1"/>
                <w:iCs w:val="1"/>
                <w:color w:val="auto"/>
                <w:w w:val="98"/>
              </w:rPr>
              <w:t>(Zip Code)</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8"/>
        </w:trPr>
        <w:tc>
          <w:tcPr>
            <w:tcW w:w="2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0" w:type="dxa"/>
            <w:vAlign w:val="bottom"/>
            <w:gridSpan w:val="3"/>
          </w:tcPr>
          <w:p>
            <w:pPr>
              <w:jc w:val="center"/>
              <w:ind w:right="408"/>
              <w:spacing w:after="0"/>
              <w:rPr>
                <w:sz w:val="20"/>
                <w:szCs w:val="20"/>
                <w:color w:val="auto"/>
              </w:rPr>
            </w:pPr>
            <w:r>
              <w:rPr>
                <w:rFonts w:ascii="Times New Roman" w:cs="Times New Roman" w:eastAsia="Times New Roman" w:hAnsi="Times New Roman"/>
                <w:sz w:val="18"/>
                <w:szCs w:val="18"/>
                <w:b w:val="1"/>
                <w:bCs w:val="1"/>
                <w:color w:val="auto"/>
                <w:w w:val="96"/>
              </w:rPr>
              <w:t>Registrant’s telephone number, including area code</w:t>
            </w: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0"/>
        </w:trPr>
        <w:tc>
          <w:tcPr>
            <w:tcW w:w="2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520" w:type="dxa"/>
            <w:vAlign w:val="bottom"/>
          </w:tcPr>
          <w:p>
            <w:pPr>
              <w:jc w:val="center"/>
              <w:ind w:right="536"/>
              <w:spacing w:after="0"/>
              <w:rPr>
                <w:sz w:val="20"/>
                <w:szCs w:val="20"/>
                <w:color w:val="auto"/>
              </w:rPr>
            </w:pPr>
            <w:r>
              <w:rPr>
                <w:rFonts w:ascii="Times New Roman" w:cs="Times New Roman" w:eastAsia="Times New Roman" w:hAnsi="Times New Roman"/>
                <w:sz w:val="18"/>
                <w:szCs w:val="18"/>
                <w:b w:val="1"/>
                <w:bCs w:val="1"/>
                <w:color w:val="auto"/>
                <w:w w:val="97"/>
              </w:rPr>
              <w:t>(661) 775-5300</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97"/>
        </w:trPr>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0" w:type="dxa"/>
            <w:vAlign w:val="bottom"/>
            <w:gridSpan w:val="3"/>
          </w:tcPr>
          <w:p>
            <w:pPr>
              <w:jc w:val="center"/>
              <w:ind w:right="428"/>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2"/>
        </w:trPr>
        <w:tc>
          <w:tcPr>
            <w:tcW w:w="222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520" w:type="dxa"/>
            <w:vAlign w:val="bottom"/>
          </w:tcPr>
          <w:p>
            <w:pPr>
              <w:spacing w:after="0"/>
              <w:rPr>
                <w:sz w:val="20"/>
                <w:szCs w:val="20"/>
                <w:color w:val="auto"/>
              </w:rPr>
            </w:pPr>
          </w:p>
        </w:tc>
        <w:tc>
          <w:tcPr>
            <w:tcW w:w="28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2"/>
        </w:trPr>
        <w:tc>
          <w:tcPr>
            <w:tcW w:w="22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0"/>
              </w:rPr>
              <w:t>Common Stock,</w:t>
            </w:r>
          </w:p>
        </w:tc>
        <w:tc>
          <w:tcPr>
            <w:tcW w:w="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par value</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$0.01 per share</w:t>
            </w:r>
          </w:p>
        </w:tc>
        <w:tc>
          <w:tcPr>
            <w:tcW w:w="2520" w:type="dxa"/>
            <w:vAlign w:val="bottom"/>
          </w:tcPr>
          <w:p>
            <w:pPr>
              <w:spacing w:after="0"/>
              <w:rPr>
                <w:sz w:val="19"/>
                <w:szCs w:val="19"/>
                <w:color w:val="auto"/>
              </w:rPr>
            </w:pPr>
          </w:p>
        </w:tc>
        <w:tc>
          <w:tcPr>
            <w:tcW w:w="2820" w:type="dxa"/>
            <w:vAlign w:val="bottom"/>
            <w:tcBorders>
              <w:top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The NASDAQ Global Market</w:t>
            </w:r>
          </w:p>
        </w:tc>
        <w:tc>
          <w:tcPr>
            <w:tcW w:w="60" w:type="dxa"/>
            <w:vAlign w:val="bottom"/>
          </w:tcPr>
          <w:p>
            <w:pPr>
              <w:spacing w:after="0"/>
              <w:rPr>
                <w:sz w:val="19"/>
                <w:szCs w:val="19"/>
                <w:color w:val="auto"/>
              </w:rPr>
            </w:pPr>
          </w:p>
        </w:tc>
      </w:tr>
      <w:tr>
        <w:trPr>
          <w:trHeight w:val="268"/>
        </w:trPr>
        <w:tc>
          <w:tcPr>
            <w:tcW w:w="2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0" w:type="dxa"/>
            <w:vAlign w:val="bottom"/>
            <w:gridSpan w:val="3"/>
          </w:tcPr>
          <w:p>
            <w:pPr>
              <w:jc w:val="center"/>
              <w:ind w:right="408"/>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18"/>
        </w:trPr>
        <w:tc>
          <w:tcPr>
            <w:tcW w:w="2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900" w:type="dxa"/>
            <w:vAlign w:val="bottom"/>
            <w:gridSpan w:val="2"/>
          </w:tcPr>
          <w:p>
            <w:pPr>
              <w:jc w:val="center"/>
              <w:ind w:right="1928"/>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76"/>
        </w:trPr>
        <w:tc>
          <w:tcPr>
            <w:tcW w:w="2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900" w:type="dxa"/>
            <w:vAlign w:val="bottom"/>
            <w:gridSpan w:val="2"/>
          </w:tcPr>
          <w:p>
            <w:pPr>
              <w:jc w:val="center"/>
              <w:ind w:right="1908"/>
              <w:spacing w:after="0"/>
              <w:rPr>
                <w:sz w:val="20"/>
                <w:szCs w:val="20"/>
                <w:color w:val="auto"/>
              </w:rPr>
            </w:pPr>
            <w:r>
              <w:rPr>
                <w:rFonts w:ascii="Times New Roman" w:cs="Times New Roman" w:eastAsia="Times New Roman" w:hAnsi="Times New Roman"/>
                <w:sz w:val="14"/>
                <w:szCs w:val="14"/>
                <w:i w:val="1"/>
                <w:iCs w:val="1"/>
                <w:color w:val="auto"/>
                <w:w w:val="95"/>
              </w:rPr>
              <w:t>(Title of Class)</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02"/>
        </w:trPr>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20" w:type="dxa"/>
            <w:vAlign w:val="bottom"/>
            <w:gridSpan w:val="2"/>
          </w:tcPr>
          <w:p>
            <w:pPr>
              <w:jc w:val="right"/>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97"/>
        </w:trPr>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7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20" w:type="dxa"/>
            <w:vAlign w:val="bottom"/>
            <w:gridSpan w:val="2"/>
          </w:tcPr>
          <w:p>
            <w:pPr>
              <w:ind w:left="26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r>
    </w:tbl>
    <w:p>
      <w:pPr>
        <w:spacing w:after="0" w:line="49" w:lineRule="exact"/>
        <w:rPr>
          <w:sz w:val="24"/>
          <w:szCs w:val="24"/>
          <w:color w:val="auto"/>
        </w:rPr>
      </w:pPr>
    </w:p>
    <w:p>
      <w:pPr>
        <w:ind w:firstLine="22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22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00" w:firstLine="22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type w:val="continuous"/>
        </w:sectPr>
      </w:pP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spacing w:after="0" w:line="199"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379" w:lineRule="exact"/>
        <w:rPr>
          <w:sz w:val="24"/>
          <w:szCs w:val="24"/>
          <w:color w:val="auto"/>
        </w:rPr>
      </w:pPr>
    </w:p>
    <w:p>
      <w:pPr>
        <w:sectPr>
          <w:pgSz w:w="11900" w:h="16838" w:orient="portrait"/>
          <w:cols w:equalWidth="0" w:num="7">
            <w:col w:w="1580" w:space="100"/>
            <w:col w:w="400" w:space="720"/>
            <w:col w:w="1160" w:space="100"/>
            <w:col w:w="340" w:space="720"/>
            <w:col w:w="3260" w:space="420"/>
            <w:col w:w="1920" w:space="80"/>
            <w:col w:w="620"/>
          </w:cols>
          <w:pgMar w:left="240" w:top="226"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w:t>
      </w:r>
    </w:p>
    <w:p>
      <w:pPr>
        <w:spacing w:after="0" w:line="90" w:lineRule="exact"/>
        <w:rPr>
          <w:sz w:val="24"/>
          <w:szCs w:val="24"/>
          <w:color w:val="auto"/>
        </w:rPr>
      </w:pPr>
    </w:p>
    <w:p>
      <w:pPr>
        <w:sectPr>
          <w:pgSz w:w="11900" w:h="16838" w:orient="portrait"/>
          <w:cols w:equalWidth="0" w:num="3">
            <w:col w:w="7700" w:space="160"/>
            <w:col w:w="260" w:space="600"/>
            <w:col w:w="2700"/>
          </w:cols>
          <w:pgMar w:left="240" w:top="226" w:right="239" w:bottom="1440" w:gutter="0" w:footer="0" w:header="0"/>
          <w:type w:val="continuous"/>
        </w:sect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As of June 30, 2011, the aggregate market value of the voting stock held by non-affiliates of the registrant, computed by reference to the last sale price of such stock as of such date on the NASDAQ Global Market, was approximately $197,471,688.</w:t>
      </w:r>
    </w:p>
    <w:p>
      <w:pPr>
        <w:spacing w:after="0" w:line="3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2, 2012, there were 167,465,888 shares of the registrant’s Common Stock outstanding.</w:t>
      </w:r>
    </w:p>
    <w:p>
      <w:pPr>
        <w:spacing w:after="0" w:line="8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2" w:lineRule="exact"/>
        <w:rPr>
          <w:sz w:val="24"/>
          <w:szCs w:val="24"/>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Portions of the registrant’s definitive Proxy Statement, or the Proxy Statement, for the 2012 Annual Meeting of Stockholders to be filed with the Securities and Exchange Commission pursuant to Regulation 14A not later than 120 days after the end of the fiscal year covered by this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gridSpan w:val="21"/>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7"/>
              </w:rPr>
              <w:t>MANNKIND CORPORATION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0"/>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gridSpan w:val="23"/>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6"/>
              </w:rPr>
              <w:t>For the Fiscal Year Ended December 31, 2011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0"/>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3"/>
            <w:vMerge w:val="restart"/>
          </w:tcPr>
          <w:p>
            <w:pPr>
              <w:jc w:val="center"/>
              <w:ind w:right="4620"/>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1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460" w:type="dxa"/>
            <w:vAlign w:val="bottom"/>
            <w:gridSpan w:val="19"/>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tcPr>
          <w:p>
            <w:pPr>
              <w:spacing w:after="0"/>
              <w:rPr>
                <w:sz w:val="17"/>
                <w:szCs w:val="17"/>
                <w:color w:val="auto"/>
              </w:rPr>
            </w:pPr>
          </w:p>
        </w:tc>
        <w:tc>
          <w:tcPr>
            <w:tcW w:w="46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37">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6"/>
          </w:tcPr>
          <w:p>
            <w:pPr>
              <w:spacing w:after="0"/>
              <w:rPr>
                <w:sz w:val="17"/>
                <w:szCs w:val="17"/>
                <w:color w:val="auto"/>
              </w:rPr>
            </w:pPr>
          </w:p>
        </w:tc>
        <w:tc>
          <w:tcPr>
            <w:tcW w:w="77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3"/>
          </w:tcPr>
          <w:p>
            <w:pPr>
              <w:jc w:val="center"/>
              <w:ind w:right="4640"/>
              <w:spacing w:after="0"/>
              <w:rPr>
                <w:rFonts w:ascii="Times New Roman" w:cs="Times New Roman" w:eastAsia="Times New Roman" w:hAnsi="Times New Roman"/>
                <w:sz w:val="18"/>
                <w:szCs w:val="18"/>
                <w:b w:val="1"/>
                <w:bCs w:val="1"/>
                <w:color w:val="0000EE"/>
                <w:w w:val="94"/>
              </w:rPr>
            </w:pPr>
            <w:hyperlink w:anchor="page39">
              <w:r>
                <w:rPr>
                  <w:rFonts w:ascii="Times New Roman" w:cs="Times New Roman" w:eastAsia="Times New Roman" w:hAnsi="Times New Roman"/>
                  <w:sz w:val="18"/>
                  <w:szCs w:val="18"/>
                  <w:b w:val="1"/>
                  <w:bCs w:val="1"/>
                  <w:color w:val="0000EE"/>
                  <w:w w:val="94"/>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Market for the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Selected Financial Data</w:t>
              </w:r>
            </w:hyperlink>
          </w:p>
        </w:tc>
        <w:tc>
          <w:tcPr>
            <w:tcW w:w="6460" w:type="dxa"/>
            <w:vAlign w:val="bottom"/>
            <w:tcBorders>
              <w:top w:val="single" w:sz="8" w:color="0000EE"/>
            </w:tcBorders>
            <w:gridSpan w:val="25"/>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12"/>
          </w:tcPr>
          <w:p>
            <w:pPr>
              <w:spacing w:after="0"/>
              <w:rPr>
                <w:sz w:val="17"/>
                <w:szCs w:val="17"/>
                <w:color w:val="auto"/>
              </w:rPr>
            </w:pPr>
          </w:p>
        </w:tc>
        <w:tc>
          <w:tcPr>
            <w:tcW w:w="34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Financial Statements and Supplementary Data</w:t>
              </w:r>
            </w:hyperlink>
          </w:p>
        </w:tc>
        <w:tc>
          <w:tcPr>
            <w:tcW w:w="64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REPORT OF INDEPENDENT REGISTERED PUBLIC ACCOUNTING FIRM</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CONSOLIDATED BALANCE SHEETS</w:t>
              </w:r>
            </w:hyperlink>
          </w:p>
        </w:tc>
        <w:tc>
          <w:tcPr>
            <w:tcW w:w="40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5"/>
              </w:rPr>
            </w:pPr>
            <w:hyperlink w:anchor="page64">
              <w:r>
                <w:rPr>
                  <w:rFonts w:ascii="Times New Roman" w:cs="Times New Roman" w:eastAsia="Times New Roman" w:hAnsi="Times New Roman"/>
                  <w:sz w:val="18"/>
                  <w:szCs w:val="18"/>
                  <w:color w:val="0000EE"/>
                  <w:w w:val="95"/>
                </w:rPr>
                <w:t>CONSOLIDATED STATEMENTS OF OPERATIONS</w:t>
              </w:r>
            </w:hyperlink>
          </w:p>
        </w:tc>
        <w:tc>
          <w:tcPr>
            <w:tcW w:w="58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6"/>
              </w:rPr>
            </w:pPr>
            <w:hyperlink w:anchor="page65">
              <w:r>
                <w:rPr>
                  <w:rFonts w:ascii="Times New Roman" w:cs="Times New Roman" w:eastAsia="Times New Roman" w:hAnsi="Times New Roman"/>
                  <w:sz w:val="18"/>
                  <w:szCs w:val="18"/>
                  <w:color w:val="0000EE"/>
                  <w:w w:val="96"/>
                </w:rPr>
                <w:t>CONSOLIDATED STATEMENTS OF STOCKHOLDERS’ EQUITY (DEFICIT)</w:t>
              </w:r>
            </w:hyperlink>
          </w:p>
        </w:tc>
        <w:tc>
          <w:tcPr>
            <w:tcW w:w="39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74">
              <w:r>
                <w:rPr>
                  <w:rFonts w:ascii="Times New Roman" w:cs="Times New Roman" w:eastAsia="Times New Roman" w:hAnsi="Times New Roman"/>
                  <w:sz w:val="18"/>
                  <w:szCs w:val="18"/>
                  <w:color w:val="0000EE"/>
                  <w:w w:val="96"/>
                </w:rPr>
                <w:t>CONSOLIDATED STATEMENTS OF CASH FLOWS</w:t>
              </w:r>
            </w:hyperlink>
          </w:p>
        </w:tc>
        <w:tc>
          <w:tcPr>
            <w:tcW w:w="57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3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3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Controls and Procedures</w:t>
              </w:r>
            </w:hyperlink>
          </w:p>
        </w:tc>
        <w:tc>
          <w:tcPr>
            <w:tcW w:w="79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0000EE"/>
            </w:tcBorders>
            <w:gridSpan w:val="6"/>
          </w:tcPr>
          <w:p>
            <w:pPr>
              <w:jc w:val="center"/>
              <w:ind w:right="20"/>
              <w:spacing w:after="0"/>
              <w:rPr>
                <w:rFonts w:ascii="Times New Roman" w:cs="Times New Roman" w:eastAsia="Times New Roman" w:hAnsi="Times New Roman"/>
                <w:sz w:val="18"/>
                <w:szCs w:val="18"/>
                <w:b w:val="1"/>
                <w:bCs w:val="1"/>
                <w:color w:val="0000EE"/>
                <w:w w:val="93"/>
              </w:rPr>
            </w:pPr>
            <w:hyperlink w:anchor="page54">
              <w:r>
                <w:rPr>
                  <w:rFonts w:ascii="Times New Roman" w:cs="Times New Roman" w:eastAsia="Times New Roman" w:hAnsi="Times New Roman"/>
                  <w:sz w:val="18"/>
                  <w:szCs w:val="18"/>
                  <w:b w:val="1"/>
                  <w:bCs w:val="1"/>
                  <w:color w:val="0000EE"/>
                  <w:w w:val="93"/>
                </w:rPr>
                <w:t>PART III</w:t>
              </w:r>
            </w:hyperlink>
          </w:p>
        </w:tc>
        <w:tc>
          <w:tcPr>
            <w:tcW w:w="458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0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Directors, Executive Officers and Corporate Governance</w:t>
              </w:r>
            </w:hyperlink>
          </w:p>
        </w:tc>
        <w:tc>
          <w:tcPr>
            <w:tcW w:w="57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1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3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Principal Accounting Fees and Services</w:t>
              </w:r>
            </w:hyperlink>
          </w:p>
        </w:tc>
        <w:tc>
          <w:tcPr>
            <w:tcW w:w="43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2"/>
              </w:rPr>
            </w:pPr>
            <w:hyperlink w:anchor="page55">
              <w:r>
                <w:rPr>
                  <w:rFonts w:ascii="Times New Roman" w:cs="Times New Roman" w:eastAsia="Times New Roman" w:hAnsi="Times New Roman"/>
                  <w:sz w:val="18"/>
                  <w:szCs w:val="18"/>
                  <w:b w:val="1"/>
                  <w:bCs w:val="1"/>
                  <w:color w:val="0000EE"/>
                  <w:w w:val="92"/>
                </w:rPr>
                <w:t>PART IV</w:t>
              </w:r>
            </w:hyperlink>
          </w:p>
        </w:tc>
        <w:tc>
          <w:tcPr>
            <w:tcW w:w="46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Exhibits. Financial Statement Schedules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right="20" w:firstLine="228"/>
        <w:spacing w:after="0" w:line="252" w:lineRule="auto"/>
        <w:rPr>
          <w:sz w:val="20"/>
          <w:szCs w:val="20"/>
          <w:color w:val="auto"/>
        </w:rPr>
      </w:pPr>
      <w:r>
        <w:rPr>
          <w:rFonts w:ascii="Times New Roman" w:cs="Times New Roman" w:eastAsia="Times New Roman" w:hAnsi="Times New Roman"/>
          <w:sz w:val="18"/>
          <w:szCs w:val="18"/>
          <w:color w:val="auto"/>
        </w:rPr>
        <w:t>Statements in this report that are not strictly historical in nature are forward-looking statements. These statements include, but are not limited to, statements about: the progress or success of our research, development and clinical programs, including the application for and receipt of regulatory clearances and approvals, and the timing or success of the commercialization of AFREZZA, if approved, or any other products or therapies that we may develop; our ability to market, commercialize and achieve market acceptance for AFREZZA, or any other products or therapies that we may develop; our ability to protect our intellectual property and operate our business without infringing upon the intellectual property rights of others; our estimates for future performance; our estimates regarding anticipated operating losses, future revenues, capital requirements and our needs for additional financing; and scientific studies and the conclusions we draw from them. In some cases, you can identify forward-looking statements by terms such as “anticipates,” “believes,” “could,” “estimates,” “expects,” “goal,” “intends,” “may,” “plans,” “potential,” “predicts,” “projects,” “should,” “will,” “would,” and similar expressions intended to identify forward-looking statements.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“Risks and Uncertainties That May Affect Results” and elsewhere in this report. Except as required by law, we undertake no obligation to publicly update or revise any forward-looking statements, whether as a result of new information, future events or otherwise.</w:t>
      </w:r>
    </w:p>
    <w:p>
      <w:pPr>
        <w:spacing w:after="0" w:line="65"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AFREZZA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MedTone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Dreamboat™ and Technosphere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are our trademarks in the United States. We have also applied for or have registered company trademarks in other jurisdictions, including Europe and Japan. This document also contains trademarks and service marks of other companies that are the property of their respective owners.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94" w:lineRule="exact"/>
        <w:rPr>
          <w:sz w:val="20"/>
          <w:szCs w:val="20"/>
          <w:color w:val="auto"/>
        </w:rPr>
      </w:pPr>
    </w:p>
    <w:p>
      <w:pPr>
        <w:ind w:right="140" w:firstLine="228"/>
        <w:spacing w:after="0" w:line="275" w:lineRule="auto"/>
        <w:rPr>
          <w:sz w:val="20"/>
          <w:szCs w:val="20"/>
          <w:color w:val="auto"/>
        </w:rPr>
      </w:pPr>
      <w:r>
        <w:rPr>
          <w:rFonts w:ascii="Times New Roman" w:cs="Times New Roman" w:eastAsia="Times New Roman" w:hAnsi="Times New Roman"/>
          <w:sz w:val="18"/>
          <w:szCs w:val="18"/>
          <w:color w:val="auto"/>
        </w:rPr>
        <w:t>Unless the context requires otherwise, the words “MannKind,” “we,” “company,” “us” and “our” refer to MannKind Corporation and its subsidiaries. Unless explicitly stated otherwise, AFREZZA refers to the combination of AFREZZA inhalation powder and the AFREZZA inhaler.</w:t>
      </w:r>
    </w:p>
    <w:p>
      <w:pPr>
        <w:spacing w:after="0" w:line="120"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MannKind Corporation is a biopharmaceutical company focused on the discovery, development and commercialization of therapeutic products for diseases such as diabetes and cancer. Our lead product candidate, AFREZZA (insulin human [rDNA origin]) inhalation powder, is an ultra rapid-acting insulin that is in late-stage clinical investigation for the treatment of adults with type 1 or type 2 diabetes for the control of hyperglycemia. Diabetes is a significant health concern. According to the Centers for Disease Control and Prevention, in the United States in 2011, approximately 25.8 million people had diabetes and if current trends continue, one in three adults in the United States are expected to have diabetes by 2050. The International Diabetes Federation has estimated that approximately 366 million people have diabetes today; by 2030 this is expected to have risen to approximately 552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92"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Our lead product candidate, AFREZZA, has a time-action profile unlike other insulin products. In our clinical trials to date, we have consistently observed that AFREZZA inhalation powder is rapidly absorbed into the bloodstream following inhalation, reaching peak levels within 12 to 14 minutes. In this manner, AFREZZA produces a profile of insulin levels in the bloodstream that closely approximates the early insulin secretion normally seen in healthy individuals immediately following the beginning of a meal, but which is absent in patients with diabetes.</w:t>
      </w:r>
    </w:p>
    <w:p>
      <w:pPr>
        <w:spacing w:after="0" w:line="55"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The AFREZZA inhalation powder is centered on a class of pH-sensitive organic molecules that self-assemble into small particles under acidic conditions. We refer to these particles as Technosphere particles. Certain drugs,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such as insulin, can be loaded onto these particles by combining an acidic solution of the drug with a suspension of Technosphere material, which is then dried to a powder. This powder is then filled into plastic cartridges and packaged. To administer AFREZZA inhalation powder, a patient loads a cartridge into our inhaler. By inhaling through this device, air is pulled through the cartridge, which aerosolizes the powder and pulls the particles into the air current and out through the mouthpiece. The individual particles within this aerosol are small and have aerodynamic properties that enable them to fly efficiently deep into the lungs. When the particles contact the moist lung surface with its neutral pH, the Technosphere particles dissolve immediately, releasing the insulin molecules to diffuse across a thin layer of cells into the bloodstream. We believe that the insulin absorption step is a passive process that occurs without any active assistance or enhancement and without disruption of either cell membranes or the tight junctions between cells.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 date, the AFREZZA clinical program has involved 61 different studies of AFREZZA and over 5,600 adult patients. In our clinical studies, we observed that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AFREZZA produces the following clinical benefits:</w:t>
      </w:r>
    </w:p>
    <w:p>
      <w:pPr>
        <w:spacing w:after="0" w:line="76" w:lineRule="exact"/>
        <w:rPr>
          <w:sz w:val="20"/>
          <w:szCs w:val="20"/>
          <w:color w:val="auto"/>
        </w:rPr>
      </w:pPr>
    </w:p>
    <w:p>
      <w:pPr>
        <w:ind w:left="900" w:right="40" w:hanging="446"/>
        <w:spacing w:after="0" w:line="25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Consistent decreases in A1C levels, comparable to current insulin therapies. </w:t>
      </w:r>
      <w:r>
        <w:rPr>
          <w:rFonts w:ascii="Times New Roman" w:cs="Times New Roman" w:eastAsia="Times New Roman" w:hAnsi="Times New Roman"/>
          <w:sz w:val="18"/>
          <w:szCs w:val="18"/>
          <w:color w:val="auto"/>
        </w:rPr>
        <w:t>In a number of clinical studies involving patients with type 1 and type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diabetes, we have evaluated levels of glycosylated hemoglobin, or A1C, which is a measure of average blood glucose. A consistent finding was that AFREZZA produced decreases in A1C levels that were essentially comparable to the decreases observed in the control arm of these studies, including studies that compared AFREZZA to rapid-acting insulin analogs, to pre-mixed insulin analogs and to metformin in combination with a sulfonylurea.</w:t>
      </w:r>
    </w:p>
    <w:p>
      <w:pPr>
        <w:spacing w:after="0" w:line="53" w:lineRule="exact"/>
        <w:rPr>
          <w:rFonts w:ascii="Times New Roman" w:cs="Times New Roman" w:eastAsia="Times New Roman" w:hAnsi="Times New Roman"/>
          <w:sz w:val="18"/>
          <w:szCs w:val="18"/>
          <w:color w:val="auto"/>
        </w:rPr>
      </w:pPr>
    </w:p>
    <w:p>
      <w:pPr>
        <w:ind w:left="900" w:right="80" w:hanging="446"/>
        <w:spacing w:after="0" w:line="259"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Superior post-meal glucose control. </w:t>
      </w:r>
      <w:r>
        <w:rPr>
          <w:rFonts w:ascii="Times New Roman" w:cs="Times New Roman" w:eastAsia="Times New Roman" w:hAnsi="Times New Roman"/>
          <w:sz w:val="18"/>
          <w:szCs w:val="18"/>
          <w:color w:val="auto"/>
        </w:rPr>
        <w:t>Because AFREZZA inhalation powder has a shorter duration of action we believe that its glucose-lowering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better meets a patient’s needs following a meal than other available insulin therapies. Specifically, AFREZZA treatment produces lower blood glucose levels than comparators in the first hour following meal ingestion with comparable levels after two hours. Importantly, AFREZZA does not remain active for an extended period of time, thereby reducing the risk of hypoglycemia between meals.</w:t>
      </w:r>
    </w:p>
    <w:p>
      <w:pPr>
        <w:spacing w:after="0" w:line="51" w:lineRule="exact"/>
        <w:rPr>
          <w:rFonts w:ascii="Times New Roman" w:cs="Times New Roman" w:eastAsia="Times New Roman" w:hAnsi="Times New Roman"/>
          <w:sz w:val="18"/>
          <w:szCs w:val="18"/>
          <w:color w:val="auto"/>
        </w:rPr>
      </w:pPr>
    </w:p>
    <w:p>
      <w:pPr>
        <w:ind w:left="900" w:right="60" w:hanging="446"/>
        <w:spacing w:after="0" w:line="259"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Improved fasting glucose control. </w:t>
      </w:r>
      <w:r>
        <w:rPr>
          <w:rFonts w:ascii="Times New Roman" w:cs="Times New Roman" w:eastAsia="Times New Roman" w:hAnsi="Times New Roman"/>
          <w:sz w:val="18"/>
          <w:szCs w:val="18"/>
          <w:color w:val="auto"/>
        </w:rPr>
        <w:t>In clinical trials of both type 1 and type 2 diabetes, AFREZZA has consistently provided lower fasting blood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glucose levels than comparator insulin therapies. As we reported with external authors in a report of one of our earlier Phase 3 studies that was reported in The Lancet in 2010, this observation might be the result of greater suppression of endogenous glucose production with AFREZZA plus a basal insulin than with a conventional insulin regimen.</w:t>
      </w:r>
    </w:p>
    <w:p>
      <w:pPr>
        <w:spacing w:after="0" w:line="51" w:lineRule="exact"/>
        <w:rPr>
          <w:rFonts w:ascii="Times New Roman" w:cs="Times New Roman" w:eastAsia="Times New Roman" w:hAnsi="Times New Roman"/>
          <w:sz w:val="18"/>
          <w:szCs w:val="18"/>
          <w:color w:val="auto"/>
        </w:rPr>
      </w:pPr>
    </w:p>
    <w:p>
      <w:pPr>
        <w:ind w:left="900" w:right="40" w:hanging="446"/>
        <w:spacing w:after="0" w:line="259"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Less hypoglycemia due to better synchronization with glucose absorption from meals. </w:t>
      </w:r>
      <w:r>
        <w:rPr>
          <w:rFonts w:ascii="Times New Roman" w:cs="Times New Roman" w:eastAsia="Times New Roman" w:hAnsi="Times New Roman"/>
          <w:sz w:val="18"/>
          <w:szCs w:val="18"/>
          <w:color w:val="auto"/>
        </w:rPr>
        <w:t>In clinical trials involving patients with type 2 diabetes,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observed that the incidence and frequency of hypoglycemia was significantly reduced. Similar results were observed in patients with type 1 diabetes. The overall hypoglycemic event rate was lower for AFREZZA at all times of the day, but in particular, there were fewer nocturnal hypoglycemic events, a condition much feared by patients with diabetes.</w:t>
      </w:r>
    </w:p>
    <w:p>
      <w:pPr>
        <w:spacing w:after="0" w:line="51" w:lineRule="exact"/>
        <w:rPr>
          <w:rFonts w:ascii="Times New Roman" w:cs="Times New Roman" w:eastAsia="Times New Roman" w:hAnsi="Times New Roman"/>
          <w:sz w:val="18"/>
          <w:szCs w:val="18"/>
          <w:color w:val="auto"/>
        </w:rPr>
      </w:pPr>
    </w:p>
    <w:p>
      <w:pPr>
        <w:ind w:left="900" w:right="620" w:hanging="446"/>
        <w:spacing w:after="0" w:line="27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Little or no weight gain. </w:t>
      </w:r>
      <w:r>
        <w:rPr>
          <w:rFonts w:ascii="Times New Roman" w:cs="Times New Roman" w:eastAsia="Times New Roman" w:hAnsi="Times New Roman"/>
          <w:sz w:val="18"/>
          <w:szCs w:val="18"/>
          <w:color w:val="auto"/>
        </w:rPr>
        <w:t>In our clinical trials, patients treated with AFREZZA experienced weight reduction or significantly less weight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other insulin therapies.</w:t>
      </w:r>
    </w:p>
    <w:p>
      <w:pPr>
        <w:spacing w:after="0" w:line="37"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There are no assurances, however, that these or any other advantages of AFREZZA will be agreed to by the US Food and Drug Administration, or FDA, or otherwise included in final product labeling or advertising.</w:t>
      </w:r>
    </w:p>
    <w:p>
      <w:pPr>
        <w:spacing w:after="0" w:line="39"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To date, our clinical trials have indicated that AFREZZA has a favorable safety profile. The most common adverse event associated with AFREZZA therapy was a transient, mild and non-productive cough, which occurred early in about 25-30% of subjects and diminished within the first few weeks after initiation of AFREZZA therapy. The occurrence of mild cough is well recognized with inhaled medications. In our studies, the incidence of cough leading to the discontinuation of AFREZZA was low.</w:t>
      </w:r>
    </w:p>
    <w:p>
      <w:pPr>
        <w:spacing w:after="0" w:line="55" w:lineRule="exact"/>
        <w:rPr>
          <w:sz w:val="20"/>
          <w:szCs w:val="20"/>
          <w:color w:val="auto"/>
        </w:rPr>
      </w:pPr>
    </w:p>
    <w:p>
      <w:pPr>
        <w:jc w:val="both"/>
        <w:ind w:right="20" w:firstLine="228"/>
        <w:spacing w:after="0" w:line="262" w:lineRule="auto"/>
        <w:rPr>
          <w:sz w:val="20"/>
          <w:szCs w:val="20"/>
          <w:color w:val="auto"/>
        </w:rPr>
      </w:pPr>
      <w:r>
        <w:rPr>
          <w:rFonts w:ascii="Times New Roman" w:cs="Times New Roman" w:eastAsia="Times New Roman" w:hAnsi="Times New Roman"/>
          <w:sz w:val="18"/>
          <w:szCs w:val="18"/>
          <w:color w:val="auto"/>
        </w:rPr>
        <w:t>After a two-year Phase 3 clinical trial of AFREZZA, we determined that the use of AFREZZA in patients with diabetes was non-inferior to usual diabetes care with respect to a decline in FEV1, a measure of lung function that assesses the volume of air that can be forcibly expired within one second. Similar results were obtained for other measures of lung function.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228"/>
        <w:spacing w:after="0" w:line="262" w:lineRule="auto"/>
        <w:rPr>
          <w:sz w:val="20"/>
          <w:szCs w:val="20"/>
          <w:color w:val="auto"/>
        </w:rPr>
      </w:pPr>
      <w:r>
        <w:rPr>
          <w:rFonts w:ascii="Times New Roman" w:cs="Times New Roman" w:eastAsia="Times New Roman" w:hAnsi="Times New Roman"/>
          <w:sz w:val="18"/>
          <w:szCs w:val="18"/>
          <w:color w:val="auto"/>
        </w:rPr>
        <w:t>Our clinical trials for AFREZZA have not demonstrated an increased risk of pulmonary cancer. In addition, we conducted comprehensive nonclinical studies of AFREZZA and unloaded Technosphere particles, including a two-year rat carcinogenicity study and a six-month transgenic mouse study. These studies indicated that there was no increased risk of cancer, or any other pathological effects.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 Status</w:t>
      </w:r>
    </w:p>
    <w:p>
      <w:pPr>
        <w:spacing w:after="0" w:line="92" w:lineRule="exact"/>
        <w:rPr>
          <w:sz w:val="20"/>
          <w:szCs w:val="20"/>
          <w:color w:val="auto"/>
        </w:rPr>
      </w:pPr>
    </w:p>
    <w:p>
      <w:pPr>
        <w:ind w:right="120" w:firstLine="228"/>
        <w:spacing w:after="0" w:line="254" w:lineRule="auto"/>
        <w:rPr>
          <w:sz w:val="20"/>
          <w:szCs w:val="20"/>
          <w:color w:val="auto"/>
        </w:rPr>
      </w:pPr>
      <w:r>
        <w:rPr>
          <w:rFonts w:ascii="Times New Roman" w:cs="Times New Roman" w:eastAsia="Times New Roman" w:hAnsi="Times New Roman"/>
          <w:sz w:val="18"/>
          <w:szCs w:val="18"/>
          <w:color w:val="auto"/>
        </w:rPr>
        <w:t>In March 2009, we submitted a new drug application, or NDA, for AFREZZA, in which we sought approval of the product using MedTone, our first-generation inhaler. In March 2010, we received a Complete Response letter from the FDA that requested additional information and currently available clinical data to support the clinical utility of AFREZZA as well as information about the comparability of the commercial version of the MedTone inhaler to the earlier version of this device that was used in pivotal clinical trials. After meeting with the FDA in June 2010, we determined that the best way to address the agency’s inhaler-related questions was to submit information regarding the bioequivalence of the MedTone inhaler and our next-generation inhaler, known as Dreamboat, which by that time had become our preferred device from a clinical and commercial perspective, given that it is smaller, easier to use and lower in cost than the MedTone inhaler. In June 2010, we submitted to the FDA the available bioequivalency data for the two devices along with additional evidence of efficacy of AFREZZA as part of our response to the 2010 Complete Response letter.</w:t>
      </w:r>
    </w:p>
    <w:p>
      <w:pPr>
        <w:spacing w:after="0" w:line="57"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In January 2011, we received a second Complete Response letter in which the FDA requested that we conduct two clinical studies with the Dreamboat inhaler (one in patients with type 1 diabetes and one in patients with type 2 diabetes), with at least one trial including a treatment group using the MedTone inhaler in order to obtain a head-to-head comparison of the pulmonary safety data for the two devices. Over the next eight months, we participated in a number of written and verbal exchanges with the FDA in order to clarify the agency’s requirements for approval of AFREZZA, culminating in an in-person meeting in August 2011 in which we confirmed with the FDA the designs of the two requested studies.</w:t>
      </w:r>
    </w:p>
    <w:p>
      <w:pPr>
        <w:spacing w:after="0" w:line="139"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The study in patients with type 1 diabetes, known as study 171, is an open-label study in which all patients are first optimized on their basal insulin regimen before being randomized to one of three arms: a control arm, in which patients utilize an injected insulin analog at mealtimes, or one of two AFREZZA arms, one each for our MedTone device and our Dreamboat device. After the mealtime insulin is titrated, there will be a 12-week observation period on relatively stable doses of the mealtime insulin to assess A1c levels. The primary endpoint is to show non-inferiority of the change in A1c levels in the Dreamboat group compared to the injected insulin analog group. The inclusion of two AFREZZA arms will permit us to perform a head-to-head comparison of the pulmonary safety data for the two devices, which we anticipate will provide a bridge to the extensive safety data that we collected in our earlier clinical studies of the MedTone inhaler. The basic design of this study (comparing different mealtime insulins in combination with a basal insulin regimen) is similar in design to a previous Phase 3 study that we conducted in patients with type 1 diabetes using our MedTone inhaler.</w:t>
      </w:r>
    </w:p>
    <w:p>
      <w:pPr>
        <w:spacing w:after="0" w:line="57"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The other requested study, known as study 175, is a placebo-controlled study in patients with type 2 diabetes who are inadequately controlled on metformin with or without a second or third oral medication. Patients are assigned to treatment with AFREZZA or placebo powder in a randomized fashion. There is a titration period followed by a 12-week observation period to assess A1c levels. The primary objective of this study is to show superiority of the AFREZZA group over the placebo group in lowering A1c levels. We have previously compared AFREZZA to placebo powder in successful Phase 2 studies involving patients with type 2 diabetes using the MedTone inhaler.</w:t>
      </w:r>
    </w:p>
    <w:p>
      <w:pPr>
        <w:spacing w:after="0" w:line="58"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Both studies are currently enrolling subjects. If enrollment continues as expected, we anticipate completing both of these studies by or near the end of 2012. We then would expect to submit the results to the FDA as an amendment to our NDA during the first half of 2013. However, the data collected from these clinical trials may not reach statistical significance or otherwise be sufficient to support an amendment to our NDA, or FDA approval. Moreover, there can be no assurance that we will satisfy all of the FDA’s requirements with these two clinical studies or that the FDA will ultimately find our proposed approach to these clinical studies acceptable. The FDA could also request that we conduct additional clinical studies beyond the currently planned studies in order to provide sufficient data for approval of AFREZZA.</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Product Opportunities</w:t>
      </w:r>
    </w:p>
    <w:p>
      <w:pPr>
        <w:spacing w:after="0" w:line="92"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AFREZZA utilizes our proprietary Technosphere formulation technology; however, this technology is not limited to insulin delivery. We believe it represents a versatile drug delivery platform that may allow pulmonary administration of certain drugs that currently require administration by injection. Beyond convenience, we believe the key advantage of drugs inhaled as Technosphere formulations is that they can be absorbed very rapidly into the arterial circulation, essentially mimicking intra-arterial administration. Currently, we are actively working with several parties to assess the feasibility of formulating different active ingredients on Technosphere particles. Additionally, our inhaler technology has been well received and has the potential to be utilized for the administration of dry powder formulations for various other applications.</w:t>
      </w:r>
    </w:p>
    <w:p>
      <w:pPr>
        <w:spacing w:after="0" w:line="58" w:lineRule="exact"/>
        <w:rPr>
          <w:sz w:val="20"/>
          <w:szCs w:val="20"/>
          <w:color w:val="auto"/>
        </w:rPr>
      </w:pPr>
    </w:p>
    <w:p>
      <w:pPr>
        <w:jc w:val="both"/>
        <w:ind w:right="40" w:firstLine="228"/>
        <w:spacing w:after="0" w:line="262" w:lineRule="auto"/>
        <w:rPr>
          <w:sz w:val="20"/>
          <w:szCs w:val="20"/>
          <w:color w:val="auto"/>
        </w:rPr>
      </w:pPr>
      <w:r>
        <w:rPr>
          <w:rFonts w:ascii="Times New Roman" w:cs="Times New Roman" w:eastAsia="Times New Roman" w:hAnsi="Times New Roman"/>
          <w:sz w:val="18"/>
          <w:szCs w:val="18"/>
          <w:color w:val="auto"/>
        </w:rPr>
        <w:t>In addition to our Technosphere platform, we have evaluated an investigational cancer immunotherapy product, MKC1106-MT, in a Phase 2 clinical trial. We have also conducted preclinical studies of a drug candidate, MKC204, that may have the potential to treat certain malignancies and inflammatory diseases. Due to resource constraints, we have halted most of our internal development activities in our non-AFREZZA programs.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are key elements of our strategy:</w:t>
      </w:r>
    </w:p>
    <w:p>
      <w:pPr>
        <w:spacing w:after="0" w:line="88"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Complete the remaining clinical studies and gain FDA approval of AFREZZA</w:t>
      </w:r>
      <w:r>
        <w:rPr>
          <w:rFonts w:ascii="Times New Roman" w:cs="Times New Roman" w:eastAsia="Times New Roman" w:hAnsi="Times New Roman"/>
          <w:sz w:val="18"/>
          <w:szCs w:val="18"/>
          <w:color w:val="auto"/>
        </w:rPr>
        <w:t>. We have confirmed with the FDA the design of the two requested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studies to evaluate the efficacy and safety of AFREZZA and are actively recruiting patients into these studies. If enrollment continues at current levels, we expect to complete both of these studies by or near the end of 2012. We then would expect to submit the results to the FDA as an amendment to our NDA during the first half of 2013.</w:t>
      </w:r>
    </w:p>
    <w:p>
      <w:pPr>
        <w:spacing w:after="0" w:line="52" w:lineRule="exact"/>
        <w:rPr>
          <w:sz w:val="20"/>
          <w:szCs w:val="20"/>
          <w:color w:val="auto"/>
        </w:rPr>
      </w:pPr>
    </w:p>
    <w:p>
      <w:pPr>
        <w:ind w:right="42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Seek a development and commercialization partner for AFREZZA. </w:t>
      </w:r>
      <w:r>
        <w:rPr>
          <w:rFonts w:ascii="Times New Roman" w:cs="Times New Roman" w:eastAsia="Times New Roman" w:hAnsi="Times New Roman"/>
          <w:sz w:val="18"/>
          <w:szCs w:val="18"/>
          <w:color w:val="auto"/>
        </w:rPr>
        <w:t>We intend to pursue potential collaboration opportunities with large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 the United States, Europe and elsewhere in order to provide the financial and operational resources to develop, commercialize, market and sell AFREZZA. We have not licensed or transferred any of our rights to this product or to our platform technology.</w:t>
      </w:r>
    </w:p>
    <w:p>
      <w:pPr>
        <w:spacing w:after="0" w:line="46"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Capitalize on our proprietary Technosphere and inhaler technology for the delivery of active pharmaceutical ingredients. </w:t>
      </w:r>
      <w:r>
        <w:rPr>
          <w:rFonts w:ascii="Times New Roman" w:cs="Times New Roman" w:eastAsia="Times New Roman" w:hAnsi="Times New Roman"/>
          <w:sz w:val="18"/>
          <w:szCs w:val="18"/>
          <w:color w:val="auto"/>
        </w:rPr>
        <w:t>We are actively exploring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opportunties to out-license our proprietary Technosphere formulation technology. We believe that Technosphere formulations of active pharmaceutical ingredients have the potential to demonstrate clinical advantages over existing therapeutic options in a variety of therapeutic areas. Additionally, our inhaler technology has been well received and has the potential to be utilized for the administration of dry powder formulations for various other applications.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92" w:lineRule="exact"/>
        <w:rPr>
          <w:sz w:val="20"/>
          <w:szCs w:val="20"/>
          <w:color w:val="auto"/>
        </w:rPr>
      </w:pPr>
    </w:p>
    <w:p>
      <w:pPr>
        <w:ind w:right="220" w:firstLine="228"/>
        <w:spacing w:after="0" w:line="258" w:lineRule="auto"/>
        <w:rPr>
          <w:sz w:val="20"/>
          <w:szCs w:val="20"/>
          <w:color w:val="auto"/>
        </w:rPr>
      </w:pPr>
      <w:r>
        <w:rPr>
          <w:rFonts w:ascii="Times New Roman" w:cs="Times New Roman" w:eastAsia="Times New Roman" w:hAnsi="Times New Roman"/>
          <w:sz w:val="18"/>
          <w:szCs w:val="18"/>
          <w:color w:val="auto"/>
        </w:rPr>
        <w:t>Our efforts to date have primarily been directed at developing pharmaceutical products for a number of different markets. We currently have no sales or distribution capabilities and have no experience as a company in marketing or selling pharmaceutical products. However, we have built a small marketing team and are engaged in the planning and market research activities that would normally be undertaken to support the late-stage development of a pharmaceutical product.</w:t>
      </w:r>
    </w:p>
    <w:p>
      <w:pPr>
        <w:spacing w:after="0" w:line="55"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In order to commercially market any of our products, we need either to develop an internal sales team, continue to expand our marketing infrastructure or collaborate with third parties who have greater sales and marketing capabilities and have access to potentially large markets. Although we believe that establishing our own sales and marketing organizations in North America would have substantial advantages, we recognize that this may not be practical for some of our products and that collaborating with companies with established sales and marketing capabilities in a particular market or markets may be a more effective alternative for some products. To date, we have retained worldwide commercialization rights for all of our product candidates, including AFREZZA. We intend to pursue potential collaboration opportunities to assist us in the commercialization of AFREZZA in the United States and other major markets.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92"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We formulate and fill the AFREZZA inhalation powder into plastic cartridges and blister package the cartridges in our Danbury facility. We believe that our Danbury facility has enough capacity to satisfy the initial commercial demand for AFREZZA, if approved, although the facility includes expansion space that can allow production capacity to be increased based on anticipated needs during the initial years of commercialization. The quality management systems of our facility were certified to be in conformance with the ISO 13485 and ISO 9001 standards. In addition, our facility underwent a successful pre-approval inspection by the FDA during the fall of 2009. A portion of this pre-approval inspection was related to our ability to fill and package cartridges for the MedTone inhaler. We anticipate that our facility may need to undergo another successful pre-approval inspection related to our ability to fill and package cartridges for the next-generation inhaler before the FDA will approve the NDA for AFREZZA using the Dreamboat inhaler.</w:t>
      </w:r>
    </w:p>
    <w:p>
      <w:pPr>
        <w:spacing w:after="0" w:line="60" w:lineRule="exact"/>
        <w:rPr>
          <w:sz w:val="20"/>
          <w:szCs w:val="20"/>
          <w:color w:val="auto"/>
        </w:rPr>
      </w:pPr>
    </w:p>
    <w:p>
      <w:pPr>
        <w:ind w:right="20" w:firstLine="228"/>
        <w:spacing w:after="0" w:line="293" w:lineRule="auto"/>
        <w:rPr>
          <w:sz w:val="20"/>
          <w:szCs w:val="20"/>
          <w:color w:val="auto"/>
        </w:rPr>
      </w:pPr>
      <w:r>
        <w:rPr>
          <w:rFonts w:ascii="Times New Roman" w:cs="Times New Roman" w:eastAsia="Times New Roman" w:hAnsi="Times New Roman"/>
          <w:sz w:val="16"/>
          <w:szCs w:val="16"/>
          <w:color w:val="auto"/>
        </w:rPr>
        <w:t>Currently, our insulin inventory is from two sources. In June 2011, we entered into a letter agreement with N.V. Organon, a subsidiary of Merck, to settle a dispute that arose between us and Organon in connection with the termination by us of the insulin supply agreement between us and Organon dated November 2007. Under the terms of the letter agreement, we agreed to pay Organon an aggregate of $16.0 million in two installments, after we received certain quantities of recombinant human insulin manufactured and supplied by Organon. The letter agreement is in full and final settlement of, and we and Organon agreed to release each other from, any and all actions and claims that we and Organon had or may have against each other in connection with the dispute regarding the supply agreement and related matters. As of July 31, 2011, we had received both shipments of recombinant human insulin and had paid the full amount of $16.0 million.</w:t>
      </w:r>
    </w:p>
    <w:p>
      <w:pPr>
        <w:spacing w:after="0" w:line="30" w:lineRule="exact"/>
        <w:rPr>
          <w:sz w:val="20"/>
          <w:szCs w:val="20"/>
          <w:color w:val="auto"/>
        </w:rPr>
      </w:pPr>
    </w:p>
    <w:p>
      <w:pPr>
        <w:ind w:right="220" w:firstLine="228"/>
        <w:spacing w:after="0" w:line="262" w:lineRule="auto"/>
        <w:rPr>
          <w:sz w:val="20"/>
          <w:szCs w:val="20"/>
          <w:color w:val="auto"/>
        </w:rPr>
      </w:pPr>
      <w:r>
        <w:rPr>
          <w:rFonts w:ascii="Times New Roman" w:cs="Times New Roman" w:eastAsia="Times New Roman" w:hAnsi="Times New Roman"/>
          <w:sz w:val="18"/>
          <w:szCs w:val="18"/>
          <w:color w:val="auto"/>
        </w:rPr>
        <w:t>In June 2009, we acquired a quantity of bulk insulin from Pfizer Manufacturing Frankfurt GmbH, a subsidiary of Pfizer Inc., or Pfizer, as well as Pfizer’s rights under a license to manufacture insulin for pulmonary delivery. In addition, we acquired an option to purchase additional insulin inventory, in whole or in part, at a specified price, to the extent it remains available.</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Once we have used our existing supply of insulin, we will need to secure additional insulin from market sources.</w:t>
      </w:r>
    </w:p>
    <w:p>
      <w:pPr>
        <w:spacing w:after="0" w:line="90"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8"/>
          <w:szCs w:val="18"/>
          <w:color w:val="auto"/>
        </w:rPr>
        <w:t>We are in the process of qualifying a manufacturer to supply us with our Dreamboat inhaler and the corresponding cartridges. We rely on our manufacturers to comply with relevant regulatory requirements, including compliance with Quality System Regulations, or QSRs.</w:t>
      </w:r>
    </w:p>
    <w:p>
      <w:pPr>
        <w:spacing w:after="0" w:line="39"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Currently, we purchase the raw material from which we produce Technosphere particles from a major chemical manufacturer with facilities in Europe and North America. We also have the capability of manufacturing this chemical ourselves in our Danbury facility, which is treated as a back-up facility. Like us, our third-party manufacturers are subject to extensive governmental regulation.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PROPRIETARY TECHNOLOGY</w:t>
      </w:r>
    </w:p>
    <w:p>
      <w:pPr>
        <w:spacing w:after="0" w:line="92"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 We have also in-licensed certain technology.</w:t>
      </w:r>
    </w:p>
    <w:p>
      <w:pPr>
        <w:spacing w:after="0" w:line="58" w:lineRule="exact"/>
        <w:rPr>
          <w:sz w:val="20"/>
          <w:szCs w:val="20"/>
          <w:color w:val="auto"/>
        </w:rPr>
      </w:pPr>
    </w:p>
    <w:p>
      <w:pPr>
        <w:ind w:right="220" w:firstLine="228"/>
        <w:spacing w:after="0" w:line="256" w:lineRule="auto"/>
        <w:rPr>
          <w:sz w:val="20"/>
          <w:szCs w:val="20"/>
          <w:color w:val="auto"/>
        </w:rPr>
      </w:pPr>
      <w:r>
        <w:rPr>
          <w:rFonts w:ascii="Times New Roman" w:cs="Times New Roman" w:eastAsia="Times New Roman" w:hAnsi="Times New Roman"/>
          <w:sz w:val="18"/>
          <w:szCs w:val="18"/>
          <w:color w:val="auto"/>
        </w:rPr>
        <w:t>Our Technosphere drug delivery platform, including AFREZZA, enjoys patent protection relating to the particles, their manufacture, and their use for pulmonary delivery of drugs. We have additional patent coverage relating to the treatment of diabetes using AFREZZA. We have been granted patent coverage for our inhaler and cartridges in the form in which we expect our insulin product to be sold to the consumer, if and when approved by the FDA. We have additional pending patent applications, and expect to file further applications, relating to the drug delivery platform, methods of manufacture, the AFREZZA product and its use, and other Technosphere-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products, inhalers and inhaler cartridges. Overall, AFREZZA is protected by over 300 issued patents, and we also have over 300 pending applications in the United States and selected jurisdictions around the world related to our Technosphere platform. These include composition and method of treatment patents providing protection for AFREZZA that will remain in force into 2020. In addition, patents providing protection for our inhaler and cartridges will remain in force into 2023, and we have certain treatment claims that can be maintained in force variously into 2026 and 2029.</w:t>
      </w:r>
    </w:p>
    <w:p>
      <w:pPr>
        <w:spacing w:after="0" w:line="55"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In addition, we own or have in-licensed intellectual property relating to several drug targets of interest in the treatment of cancer and other fields. Patents and patent applications in this area are drawn to drug screening methods, methods of treatment, and chemical structures of inhibitors of these targets. Our cancer immunotherapy program is built on proprietary methods for the selection, design and administration of epitopes, as well as the plasmids and peptides that are the active ingredients of our product candidates.</w:t>
      </w:r>
    </w:p>
    <w:p>
      <w:pPr>
        <w:spacing w:after="0" w:line="55"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The fields of pulmonary drug delivery and cancer therapies are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55"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patent applications in the United States filed before November 29, 2000 are currently maintained in secrecy until the patent issues, although in certain countries, including the United States, for applications filed on or after November 29, 2000,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58" w:lineRule="exact"/>
        <w:rPr>
          <w:sz w:val="20"/>
          <w:szCs w:val="20"/>
          <w:color w:val="auto"/>
        </w:rPr>
      </w:pPr>
    </w:p>
    <w:p>
      <w:pPr>
        <w:ind w:right="60" w:firstLine="228"/>
        <w:spacing w:after="0" w:line="252" w:lineRule="auto"/>
        <w:rPr>
          <w:sz w:val="20"/>
          <w:szCs w:val="20"/>
          <w:color w:val="auto"/>
        </w:rPr>
      </w:pPr>
      <w:r>
        <w:rPr>
          <w:rFonts w:ascii="Times New Roman" w:cs="Times New Roman" w:eastAsia="Times New Roman" w:hAnsi="Times New Roman"/>
          <w:sz w:val="18"/>
          <w:szCs w:val="18"/>
          <w:color w:val="auto"/>
        </w:rPr>
        <w:t>Although we own a number of domestic and foreign patents and patent applications relating to our Technosphere-based investigational products and our cancer products under development, we have identified certain third-party patents having claims relating to pulmonary insulin delivery that may trigger an allegation of infringement upon the commercial manufacture and sale of AFREZZA. We have also identified third-party patents disclosing methods and compositions of matter related to cancer vaccines that also may trigger an allegation of infringement upon the commercial manufacture and sale of our cancer immunotherapy. We believe that we are not infringing any valid claims of any patent owned by a third party. However, if a court were to determine that our inhaled insulin product or cancer immunotherapies were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if the patent holder refuses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United States Patent and Trademark Office, or USPTO, to determine priority of invention. We may be required to participate in interference proceedings involving our issued patents and pending applications.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228"/>
        <w:spacing w:after="0" w:line="254" w:lineRule="auto"/>
        <w:rPr>
          <w:sz w:val="20"/>
          <w:szCs w:val="20"/>
          <w:color w:val="auto"/>
        </w:rPr>
      </w:pPr>
      <w:r>
        <w:rPr>
          <w:rFonts w:ascii="Times New Roman" w:cs="Times New Roman" w:eastAsia="Times New Roman" w:hAnsi="Times New Roman"/>
          <w:sz w:val="18"/>
          <w:szCs w:val="18"/>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60"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The pharmaceutical and biotechnology industries are highly competitive and characterized by rapidly evolving technology and intense research and development efforts. We expect to compete with companies, including the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product ease of use and price.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Diabetes Treatments</w:t>
      </w:r>
    </w:p>
    <w:p>
      <w:pPr>
        <w:spacing w:after="0" w:line="92"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lower cost, than AFREZZA. There can be no assurance that existing or new competitors will not introduce products or processes competitive with or superior to our product candidates.</w:t>
      </w:r>
    </w:p>
    <w:p>
      <w:pPr>
        <w:spacing w:after="0" w:line="55" w:lineRule="exact"/>
        <w:rPr>
          <w:sz w:val="20"/>
          <w:szCs w:val="20"/>
          <w:color w:val="auto"/>
        </w:rPr>
      </w:pPr>
    </w:p>
    <w:p>
      <w:pPr>
        <w:ind w:right="740" w:firstLine="228"/>
        <w:spacing w:after="0" w:line="391" w:lineRule="auto"/>
        <w:rPr>
          <w:sz w:val="20"/>
          <w:szCs w:val="20"/>
          <w:color w:val="auto"/>
        </w:rPr>
      </w:pPr>
      <w:r>
        <w:rPr>
          <w:rFonts w:ascii="Times New Roman" w:cs="Times New Roman" w:eastAsia="Times New Roman" w:hAnsi="Times New Roman"/>
          <w:sz w:val="18"/>
          <w:szCs w:val="18"/>
          <w:color w:val="auto"/>
        </w:rPr>
        <w:t xml:space="preserve">We have set forth below more detailed information about certain of our competitors. The following is based on information currently available to us. </w:t>
      </w:r>
      <w:r>
        <w:rPr>
          <w:rFonts w:ascii="Times New Roman" w:cs="Times New Roman" w:eastAsia="Times New Roman" w:hAnsi="Times New Roman"/>
          <w:sz w:val="18"/>
          <w:szCs w:val="18"/>
          <w:b w:val="1"/>
          <w:bCs w:val="1"/>
          <w:color w:val="auto"/>
        </w:rPr>
        <w:t>Rapid-acting (Injected) Insulin</w:t>
      </w:r>
    </w:p>
    <w:p>
      <w:pPr>
        <w:spacing w:after="0" w:line="1"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Currently, there is no approved insulin product that is absorbed into the bloodstream as rapidly as AFREZZA, i.e., reaching peak levels within 12 to 14 minutes after administration. There are several formulations of “rapid-acting” insulin analogs that claim to reach peak insulin levels within 30 to 90 minutes after injection. The principal products in this category are Humalog</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which was developed by Eli Lilly &amp; Company, or Lilly, NovoLog</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which was developed by Novo Nordisk A/S, or Novo Nordisk, and Apidra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which was developed by sanofi-aventis.</w:t>
      </w:r>
    </w:p>
    <w:p>
      <w:pPr>
        <w:spacing w:after="0" w:line="55"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Several insulin products in development are reported to have a time-action profile that is more rapid than that of the currently available rapid-acting insulin analogs. Halozyme Therapeutics, Inc. has conducted Phase 2 clinical studies to evaluate the safety and efficacy of a formulation of human insulin or an insulin analog that is co-administered with human hyaluronidase enzyme. This enzyme temporarily degrades a naturally occurring, space-filling substance that is a major component of normal tissues throughout the body, thereby facilitating the penetration and diffusion of insulin that is injected under the skin.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0" w:firstLine="228"/>
        <w:spacing w:after="0" w:line="275" w:lineRule="auto"/>
        <w:rPr>
          <w:sz w:val="20"/>
          <w:szCs w:val="20"/>
          <w:color w:val="auto"/>
        </w:rPr>
      </w:pPr>
      <w:r>
        <w:rPr>
          <w:rFonts w:ascii="Times New Roman" w:cs="Times New Roman" w:eastAsia="Times New Roman" w:hAnsi="Times New Roman"/>
          <w:sz w:val="18"/>
          <w:szCs w:val="18"/>
          <w:color w:val="auto"/>
        </w:rPr>
        <w:t>Novo Nordisk has conducted Phase 1 clinical studies of NN1218, an insulin analog that is intended to provide faster onset of action than the currently available rapid-acting insulin analogs.</w:t>
      </w:r>
    </w:p>
    <w:p>
      <w:pPr>
        <w:spacing w:after="0" w:line="39"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Biodel, Inc. is developing ultra-rapid acting insulin formulations, one of which it has selected to study in a Phase 1 clinical trial that is scheduled to start in the first quarter of 2012.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Inhaled Insulin Delivery Systems</w:t>
      </w:r>
    </w:p>
    <w:p>
      <w:pPr>
        <w:spacing w:after="0" w:line="92" w:lineRule="exact"/>
        <w:rPr>
          <w:sz w:val="20"/>
          <w:szCs w:val="20"/>
          <w:color w:val="auto"/>
        </w:rPr>
      </w:pPr>
    </w:p>
    <w:p>
      <w:pPr>
        <w:ind w:right="220" w:firstLine="228"/>
        <w:spacing w:after="0" w:line="258" w:lineRule="auto"/>
        <w:rPr>
          <w:sz w:val="20"/>
          <w:szCs w:val="20"/>
          <w:color w:val="auto"/>
        </w:rPr>
      </w:pPr>
      <w:r>
        <w:rPr>
          <w:rFonts w:ascii="Times New Roman" w:cs="Times New Roman" w:eastAsia="Times New Roman" w:hAnsi="Times New Roman"/>
          <w:sz w:val="18"/>
          <w:szCs w:val="18"/>
          <w:color w:val="auto"/>
        </w:rPr>
        <w:t>In January 2006, Exubera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developed by Pfizer in collaboration with Nektar Therapeutics, was approved for the treatment of adults with type 1 and type 2 diabetes. Exubera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was slow to gain market acceptance and, in October 2007, Pfizer announced that it was discontinuing the product. In September 2008, we announced a collaboration agreement with Pfizer pursuant to which certain patients with a continuing medical need for inhaled insulin were transitioned to AFREZZA on a compassionate use basis. Pfizer subsequently withdrew the NDA for Exubera from the FDA.</w:t>
      </w:r>
    </w:p>
    <w:p>
      <w:pPr>
        <w:spacing w:after="0" w:line="55"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In January 2008, Novo Nordisk announced that it was halting development of its inhaled insulin product, having reached the conclusion that the product did not have adequate commercial potential. Notwithstanding the termination of this program, Novo Nordisk stated that it intended to increase research and development activities targeted at inhalation systems for long-acting formulations of insulin and GLP-1 products.</w:t>
      </w:r>
    </w:p>
    <w:p>
      <w:pPr>
        <w:spacing w:after="0" w:line="51"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In March 2008, Lilly announced that it was terminating the development of its AIR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inhaled insulin system. Lilly stated that this decision resulted from increasing uncertainties in the regulatory environment and after a thorough evaluation of the evolving commercial and clinical potential of its product compared to existing medical therapies.</w:t>
      </w:r>
    </w:p>
    <w:p>
      <w:pPr>
        <w:spacing w:after="0" w:line="51"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In January 2011, Dance Pharma announced that it will develop an inhaled insulin product based on aerosol technology licensed to Dance Pharma by Aerogen Ltd.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Non-insulin Medications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expect that AFREZZA will compete with currently available non-insulin medications for type 2 diabetes. These products include the following:</w:t>
      </w:r>
    </w:p>
    <w:p>
      <w:pPr>
        <w:spacing w:after="0" w:line="90" w:lineRule="exact"/>
        <w:rPr>
          <w:sz w:val="20"/>
          <w:szCs w:val="20"/>
          <w:color w:val="auto"/>
        </w:rPr>
      </w:pPr>
    </w:p>
    <w:p>
      <w:pPr>
        <w:ind w:left="440" w:right="420" w:hanging="216"/>
        <w:spacing w:after="0" w:line="275"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Sulfonylureas, also called oral hypoglycemic agents, prompt the pancreas to secrete insulin. This class of drugs is most effective in individuals whose pancreas still have some working pancreas cells.</w:t>
      </w:r>
    </w:p>
    <w:p>
      <w:pPr>
        <w:spacing w:after="0" w:line="38" w:lineRule="exact"/>
        <w:rPr>
          <w:rFonts w:ascii="Times New Roman" w:cs="Times New Roman" w:eastAsia="Times New Roman" w:hAnsi="Times New Roman"/>
          <w:sz w:val="18"/>
          <w:szCs w:val="18"/>
          <w:color w:val="auto"/>
        </w:rPr>
      </w:pPr>
    </w:p>
    <w:p>
      <w:pPr>
        <w:ind w:left="440" w:right="240" w:hanging="216"/>
        <w:spacing w:after="0" w:line="275"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Meglitinides are taken with meals and reduce the elevation in blood glucose that generally follows eating. If these drugs are not taken with meals, blood glucose will drop dramatically and inappropriately.</w:t>
      </w:r>
    </w:p>
    <w:p>
      <w:pPr>
        <w:spacing w:after="0" w:line="36"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Biguanides lower blood glucose by improving the sensitivity of cells to insulin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diminishing insulin resistance).</w:t>
      </w:r>
    </w:p>
    <w:p>
      <w:pPr>
        <w:spacing w:after="0" w:line="92"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Thiazolidinedione improves the uptake of glucose by cells in the body.</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Alpha-glucosidase inhibitors lower the amount of glucose absorbed from the intestines, thereby reducing the rise in blood glucose that occurs after a meal.</w:t>
      </w:r>
    </w:p>
    <w:p>
      <w:pPr>
        <w:spacing w:after="0" w:line="113" w:lineRule="exact"/>
        <w:rPr>
          <w:rFonts w:ascii="Times New Roman" w:cs="Times New Roman" w:eastAsia="Times New Roman" w:hAnsi="Times New Roman"/>
          <w:sz w:val="16"/>
          <w:szCs w:val="16"/>
          <w:color w:val="auto"/>
        </w:rPr>
      </w:pPr>
    </w:p>
    <w:p>
      <w:pPr>
        <w:ind w:left="440" w:hanging="216"/>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of dipeptidyl peptidase IV are a class of drugs that work by blocking the degradation of GLP-1, which is a naturally occurring incretin.</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Incretin mimetics work by several mechanisms including stimulating the pancreas to secrete insulin when blood glucose levels are high.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92"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or FDCA, and other regulations, regulate research and development activities and the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455" w:right="2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development, testing, manufacture, labeling, storage, shipping, approval, recordkeeping, advertising, promotion, sale and distribution of such products. In addition, if our products are marketed abroad, they also are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steps typically required before an unapproved new drug or biologic product for use in humans may be marketed in the United States include:</w:t>
      </w:r>
    </w:p>
    <w:p>
      <w:pPr>
        <w:spacing w:after="0" w:line="90" w:lineRule="exact"/>
        <w:rPr>
          <w:sz w:val="20"/>
          <w:szCs w:val="20"/>
          <w:color w:val="auto"/>
        </w:rPr>
      </w:pPr>
    </w:p>
    <w:p>
      <w:pPr>
        <w:ind w:left="440" w:right="80" w:hanging="216"/>
        <w:spacing w:after="0" w:line="258"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55" w:lineRule="exact"/>
        <w:rPr>
          <w:rFonts w:ascii="Times New Roman" w:cs="Times New Roman" w:eastAsia="Times New Roman" w:hAnsi="Times New Roman"/>
          <w:sz w:val="18"/>
          <w:szCs w:val="18"/>
          <w:color w:val="auto"/>
        </w:rPr>
      </w:pPr>
    </w:p>
    <w:p>
      <w:pPr>
        <w:jc w:val="both"/>
        <w:ind w:left="440" w:right="60" w:hanging="216"/>
        <w:spacing w:after="0" w:line="262"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51" w:lineRule="exact"/>
        <w:rPr>
          <w:rFonts w:ascii="Times New Roman" w:cs="Times New Roman" w:eastAsia="Times New Roman" w:hAnsi="Times New Roman"/>
          <w:sz w:val="18"/>
          <w:szCs w:val="18"/>
          <w:color w:val="auto"/>
        </w:rPr>
      </w:pPr>
    </w:p>
    <w:p>
      <w:pPr>
        <w:jc w:val="both"/>
        <w:ind w:left="440" w:hanging="216"/>
        <w:spacing w:after="0" w:line="262"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clinical protocols by independent institutional review boards, or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51" w:lineRule="exact"/>
        <w:rPr>
          <w:rFonts w:ascii="Times New Roman" w:cs="Times New Roman" w:eastAsia="Times New Roman" w:hAnsi="Times New Roman"/>
          <w:sz w:val="18"/>
          <w:szCs w:val="18"/>
          <w:color w:val="auto"/>
        </w:rPr>
      </w:pPr>
    </w:p>
    <w:p>
      <w:pPr>
        <w:ind w:left="440" w:hanging="216"/>
        <w:spacing w:after="0" w:line="256"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57" w:lineRule="exact"/>
        <w:rPr>
          <w:rFonts w:ascii="Times New Roman" w:cs="Times New Roman" w:eastAsia="Times New Roman" w:hAnsi="Times New Roman"/>
          <w:sz w:val="18"/>
          <w:szCs w:val="18"/>
          <w:color w:val="auto"/>
        </w:rPr>
      </w:pPr>
    </w:p>
    <w:p>
      <w:pPr>
        <w:ind w:left="660" w:hanging="206"/>
        <w:spacing w:after="0" w:line="254"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60" w:lineRule="exact"/>
        <w:rPr>
          <w:rFonts w:ascii="Times New Roman" w:cs="Times New Roman" w:eastAsia="Times New Roman" w:hAnsi="Times New Roman"/>
          <w:sz w:val="18"/>
          <w:szCs w:val="18"/>
          <w:color w:val="auto"/>
        </w:rPr>
      </w:pPr>
    </w:p>
    <w:p>
      <w:pPr>
        <w:ind w:left="660" w:right="180" w:hanging="206"/>
        <w:spacing w:after="0" w:line="275"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38" w:lineRule="exact"/>
        <w:rPr>
          <w:rFonts w:ascii="Times New Roman" w:cs="Times New Roman" w:eastAsia="Times New Roman" w:hAnsi="Times New Roman"/>
          <w:sz w:val="18"/>
          <w:szCs w:val="18"/>
          <w:color w:val="auto"/>
        </w:rPr>
      </w:pPr>
    </w:p>
    <w:p>
      <w:pPr>
        <w:ind w:left="660" w:right="180" w:hanging="206"/>
        <w:spacing w:after="0" w:line="258"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right="40" w:hanging="206"/>
        <w:spacing w:after="0" w:line="26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candidate and can provide important safety information to augment the FDA’s voluntary adverse drug reaction reporting system.</w:t>
      </w:r>
    </w:p>
    <w:p>
      <w:pPr>
        <w:spacing w:after="0" w:line="51" w:lineRule="exact"/>
        <w:rPr>
          <w:rFonts w:ascii="Times New Roman" w:cs="Times New Roman" w:eastAsia="Times New Roman" w:hAnsi="Times New Roman"/>
          <w:sz w:val="18"/>
          <w:szCs w:val="18"/>
          <w:color w:val="auto"/>
        </w:rPr>
      </w:pPr>
    </w:p>
    <w:p>
      <w:pPr>
        <w:ind w:left="440" w:right="20" w:hanging="216"/>
        <w:spacing w:after="0" w:line="25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with clinical trials and preclinical studies, companies also must develop information about the chemistry and physical characteristics of the drug and finalize a process for manufacturing the product in accordance with the FDA’s current good manufacturing practices, or cGMP, requirements for drug products.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57" w:lineRule="exact"/>
        <w:rPr>
          <w:rFonts w:ascii="Times New Roman" w:cs="Times New Roman" w:eastAsia="Times New Roman" w:hAnsi="Times New Roman"/>
          <w:sz w:val="18"/>
          <w:szCs w:val="18"/>
          <w:color w:val="auto"/>
        </w:rPr>
      </w:pPr>
    </w:p>
    <w:p>
      <w:pPr>
        <w:ind w:left="440" w:right="20" w:hanging="216"/>
        <w:spacing w:after="0" w:line="25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Biologics License Application, or BLA, based on the clinical trials. The results of product development, preclinical studies, and clinical trials are submitted to the FDA in the form of an NDA or BLA for approval of the marketing and commercial shipment of the product. Under the Pediatric Research Equity Act of 2003, NDAs are required to include an assessment, generally based on clinical study data, of the safety and efficacy of drugs for all relevant pediatric populations. The statute provides for waivers or deferrals in certain situations but we can make no assurances that such situations will apply to us or our product candidates.</w:t>
      </w:r>
    </w:p>
    <w:p>
      <w:pPr>
        <w:spacing w:after="0" w:line="58" w:lineRule="exact"/>
        <w:rPr>
          <w:sz w:val="20"/>
          <w:szCs w:val="20"/>
          <w:color w:val="auto"/>
        </w:rPr>
      </w:pPr>
    </w:p>
    <w:p>
      <w:pPr>
        <w:ind w:right="140" w:firstLine="228"/>
        <w:spacing w:after="0" w:line="253" w:lineRule="auto"/>
        <w:rPr>
          <w:sz w:val="20"/>
          <w:szCs w:val="20"/>
          <w:color w:val="auto"/>
        </w:rPr>
      </w:pPr>
      <w:r>
        <w:rPr>
          <w:rFonts w:ascii="Times New Roman" w:cs="Times New Roman" w:eastAsia="Times New Roman" w:hAnsi="Times New Roman"/>
          <w:sz w:val="18"/>
          <w:szCs w:val="18"/>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The determination whether a product is a combination product or two separate products is made by the FDA on a case-by-case basis. The FDA considers AFREZZA to be a drug-device combination product, so the review of our NDA for AFREZZA involves reviews within the Division of Metabolism and Endocrinology Products and the Division of Pulmonary, Allergy and Rheumatology Products, both within the FDA’s Center for Drug Evaluation and Research, or CDER, as well as review within the Center for Devices and Radiological Health, the Center within the FDA that reviews Medical Devices. CDER’s Division of Metabolism and Endocrinology Products is the lead group and obtains consulting reviews from the other two FDA groups.</w:t>
      </w:r>
    </w:p>
    <w:p>
      <w:pPr>
        <w:spacing w:after="0" w:line="60"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Data that we submit are subject to varying interpretations, and the FDA and comparable regulatory authorities in foreign jurisdictions may not agree that our product candidates have been shown to be safe and effective.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the supplier(s) of our Technosphere material and the supplier(s) of our inhaler and cartridges are subject to federal registration and listing requirements and, if applicable, to state licensing requirements. Failure, including those of our suppliers, to obtain and maintain applicable federal registrations or state licenses, or to meet the inspection criteria of the FDA or the other national regulatory bodies, would disrupt our</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manufacturing processes and would harm our business. In complying with standards set forth in these regulations, manufacturers must continue to expend time, money and effort in the area of production and quality control to ensure full compliance. Currently, we believe we are operating under all of the necessary guidelines and permits.</w:t>
      </w:r>
    </w:p>
    <w:p>
      <w:pPr>
        <w:spacing w:after="0" w:line="132" w:lineRule="exact"/>
        <w:rPr>
          <w:sz w:val="20"/>
          <w:szCs w:val="20"/>
          <w:color w:val="auto"/>
        </w:rPr>
      </w:pPr>
    </w:p>
    <w:p>
      <w:pPr>
        <w:ind w:right="120" w:firstLine="228"/>
        <w:spacing w:after="0" w:line="275" w:lineRule="auto"/>
        <w:rPr>
          <w:sz w:val="20"/>
          <w:szCs w:val="20"/>
          <w:color w:val="auto"/>
        </w:rPr>
      </w:pPr>
      <w:r>
        <w:rPr>
          <w:rFonts w:ascii="Times New Roman" w:cs="Times New Roman" w:eastAsia="Times New Roman" w:hAnsi="Times New Roman"/>
          <w:sz w:val="18"/>
          <w:szCs w:val="18"/>
          <w:color w:val="auto"/>
        </w:rPr>
        <w:t>As a drug-device combination, we currently expect that our inhaler will be approved, if at all, as part of the NDA for AFREZZA. However, numerous device regulatory requirements still apply to the device part of the drug-device combination. These include:</w:t>
      </w:r>
    </w:p>
    <w:p>
      <w:pPr>
        <w:spacing w:after="0" w:line="39" w:lineRule="exact"/>
        <w:rPr>
          <w:sz w:val="20"/>
          <w:szCs w:val="20"/>
          <w:color w:val="auto"/>
        </w:rPr>
      </w:pPr>
    </w:p>
    <w:p>
      <w:pPr>
        <w:ind w:left="440" w:hanging="2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regulations;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prohibition against promoting products for unapproved or “off-label” uses;</w:t>
      </w:r>
    </w:p>
    <w:p>
      <w:pPr>
        <w:spacing w:after="0" w:line="8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corrections and removals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recalls);</w:t>
      </w:r>
    </w:p>
    <w:p>
      <w:pPr>
        <w:spacing w:after="0" w:line="92"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prohibitions against the manufacture and distribution of adulterated and misbranded devices; and</w:t>
      </w:r>
    </w:p>
    <w:p>
      <w:pPr>
        <w:spacing w:after="0" w:line="90" w:lineRule="exact"/>
        <w:rPr>
          <w:rFonts w:ascii="Times New Roman" w:cs="Times New Roman" w:eastAsia="Times New Roman" w:hAnsi="Times New Roman"/>
          <w:sz w:val="18"/>
          <w:szCs w:val="18"/>
          <w:color w:val="auto"/>
        </w:rPr>
      </w:pPr>
    </w:p>
    <w:p>
      <w:pPr>
        <w:ind w:left="440" w:right="80" w:hanging="216"/>
        <w:spacing w:after="0" w:line="275"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39" w:lineRule="exact"/>
        <w:rPr>
          <w:sz w:val="20"/>
          <w:szCs w:val="20"/>
          <w:color w:val="auto"/>
        </w:rPr>
      </w:pPr>
    </w:p>
    <w:p>
      <w:pPr>
        <w:ind w:right="40" w:firstLine="228"/>
        <w:spacing w:after="0" w:line="334" w:lineRule="auto"/>
        <w:rPr>
          <w:sz w:val="20"/>
          <w:szCs w:val="20"/>
          <w:color w:val="auto"/>
        </w:rPr>
      </w:pPr>
      <w:r>
        <w:rPr>
          <w:rFonts w:ascii="Times New Roman" w:cs="Times New Roman" w:eastAsia="Times New Roman" w:hAnsi="Times New Roman"/>
          <w:sz w:val="16"/>
          <w:szCs w:val="16"/>
          <w:color w:val="auto"/>
        </w:rPr>
        <w:t>Further, the company we contract with to manufacture our inhaler and cartridges will be subject to the QSR, which requires manufacturers to follow elaborate design, testing, control, documentation and other quality assurance procedures during the manufacturing process of medical devices, among other requirements.</w:t>
      </w:r>
    </w:p>
    <w:p>
      <w:pPr>
        <w:spacing w:after="0" w:line="1"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We cannot predict the likelihood, nature or extent of adverse governmental regulation that might arise from future legislative or administrative action, either in the United States or abroad.</w:t>
      </w:r>
    </w:p>
    <w:p>
      <w:pPr>
        <w:spacing w:after="0" w:line="57" w:lineRule="exact"/>
        <w:rPr>
          <w:sz w:val="20"/>
          <w:szCs w:val="20"/>
          <w:color w:val="auto"/>
        </w:rPr>
      </w:pPr>
    </w:p>
    <w:p>
      <w:pPr>
        <w:ind w:right="120" w:firstLine="228"/>
        <w:spacing w:after="0" w:line="255" w:lineRule="auto"/>
        <w:rPr>
          <w:sz w:val="20"/>
          <w:szCs w:val="20"/>
          <w:color w:val="auto"/>
        </w:rPr>
      </w:pPr>
      <w:r>
        <w:rPr>
          <w:rFonts w:ascii="Times New Roman" w:cs="Times New Roman" w:eastAsia="Times New Roman" w:hAnsi="Times New Roman"/>
          <w:sz w:val="18"/>
          <w:szCs w:val="18"/>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The FDA has very broad enforcement authority under the FDCA, and failure to comply with these regulations can result in penalties, including the issuance of a warning letter directing us to correct deviations from FDA standards, including corrective advertising to healthcare providers, a requirement that future advertising and promotional materials be pre-cleared by the FDA, and state and federal civil and criminal investigations and prosecutions.</w:t>
      </w:r>
    </w:p>
    <w:p>
      <w:pPr>
        <w:spacing w:after="0" w:line="58"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58" w:lineRule="exact"/>
        <w:rPr>
          <w:sz w:val="20"/>
          <w:szCs w:val="20"/>
          <w:color w:val="auto"/>
        </w:rPr>
      </w:pPr>
    </w:p>
    <w:p>
      <w:pPr>
        <w:ind w:right="680" w:firstLine="228"/>
        <w:spacing w:after="0" w:line="275" w:lineRule="auto"/>
        <w:rPr>
          <w:sz w:val="20"/>
          <w:szCs w:val="20"/>
          <w:color w:val="auto"/>
        </w:rPr>
      </w:pPr>
      <w:r>
        <w:rPr>
          <w:rFonts w:ascii="Times New Roman" w:cs="Times New Roman" w:eastAsia="Times New Roman" w:hAnsi="Times New Roman"/>
          <w:sz w:val="18"/>
          <w:szCs w:val="18"/>
          <w:color w:val="auto"/>
        </w:rPr>
        <w:t>Product development and approval within this regulatory framework take a number of years, involve the expenditure of substantial resources and are uncertain. Many drug products ultimately do not reach the market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they are not found to be safe or effective or cannot meet the FDA’s other regulatory requirements. In addition, there can be no assurance that the current regulatory framework will not change or that additional regulation will not arise at any stage of our product development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58"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latter procedure, the holder of a national marketing authorization may submit an application to the remaining member states. Within 90 days of receiving the application and assessment report, each member state must decide whether to recognize approval. We plan to choose the appropriate route of European regulatory filing in an attempt to accomplish the most rapid regulatory approvals. For example, diabetes medication is required to be submitted under the centralized procedure. However, the chosen regulatory strategy may not secure regulatory approvals or approvals of the chosen product indications. In addition, these approvals, if obtained, may take longer than anticipated.</w:t>
      </w:r>
    </w:p>
    <w:p>
      <w:pPr>
        <w:spacing w:after="0" w:line="60" w:lineRule="exact"/>
        <w:rPr>
          <w:sz w:val="20"/>
          <w:szCs w:val="20"/>
          <w:color w:val="auto"/>
        </w:rPr>
      </w:pPr>
    </w:p>
    <w:p>
      <w:pPr>
        <w:ind w:right="20" w:firstLine="228"/>
        <w:spacing w:after="0" w:line="286" w:lineRule="auto"/>
        <w:rPr>
          <w:sz w:val="20"/>
          <w:szCs w:val="20"/>
          <w:color w:val="auto"/>
        </w:rPr>
      </w:pPr>
      <w:r>
        <w:rPr>
          <w:rFonts w:ascii="Times New Roman" w:cs="Times New Roman" w:eastAsia="Times New Roman" w:hAnsi="Times New Roman"/>
          <w:sz w:val="16"/>
          <w:szCs w:val="16"/>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 Further, if a drug product is reimbursed by Medicare, Medicaid or other federal or state health care programs, sales, marketing and scientific/educational grant programs must comply with the Medicare-Medicaid Anti-Fraud and Abuse Act, as amended, the False Claims Act, also as amended, and similar state laws.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Additionally, the Patient Protection and Affordable Care Act, as amended by the Health Care and Education Affordability Reconciliation Act, or collectively the PPACA, enacted in March 2010, substantially changes the way healthcare is financed by both governmental and private insurers. Among other cost containment measures, the PPACA establishes: an annual, nondeductible fee on any entity that manufactures or imports certain branded prescription drugs and biologic agents; a new Medicare Part D coverage gap discount program; and a new formula that increases the rebates a manufacturer must pay under the Medicaid Drug Rebate Program. In the future, there may continue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 We may incur significant costs to comply with those laws and regulations now or in the future.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Restoration and Marketing Exclusivity</w:t>
      </w:r>
    </w:p>
    <w:p>
      <w:pPr>
        <w:spacing w:after="0" w:line="92"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The Drug Price Competition and Patent Term Restoration Act of 1984, known as the Hatch-Waxman Amendments to the Federal Food, Drug, and Cosmetic Act, permits the FDA to approve abbreviated new drug applications, or ANDAs, for generic versions of innovator drugs and also provides certain patent restoration and market exclusivity protections to innovator drug manufacturers. The ANDA process permits competitor companies to obtain marketing approval for a new drug with the same active ingredient for the same uses, dosage form and strength as an innovator drug but does not require the conduct and submission of preclinical or clinical studies demonstrating safety and efficacy for that product. Instead of providing completely new safety and efficacy data, the ANDA applicant only needs to submit manufacturing information and clinical data demonstrating that the copy is bioequivalent to the innovator’s product in order to gain marketing approval from the FDA.</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Another type of marketing application allowed by the Hatch-Waxman Amendments, a Section 505(b)(2) application, may be permitted where a company does not own or have a right to reference all the data required for approval. Section 505(b)(2) applications are often submitted for drug products that contain the same active ingredient as those in first approved drug products and where additional studies are required for approval, such as for changes in routes of administration or dosage forms.</w:t>
      </w:r>
    </w:p>
    <w:p>
      <w:pPr>
        <w:spacing w:after="0" w:line="55"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“listed drug” which can, in turn, be cited by potential competitors in support of approval of an ANDA or a 505(b)(2) application.</w:t>
      </w:r>
    </w:p>
    <w:p>
      <w:pPr>
        <w:spacing w:after="0" w:line="39"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The Hatch-Waxman Amendments provide for a period of three years exclusivity following approval of a listed drug that contains previously approved active ingredients but is approved in a new dosage, dosage form, route of administration or combination, or for a new use, the approval of which was required to be supported by new clinical trials conducted by or for the sponsor. During this period of exclusivity, the FDA cannot grant effective approval of an ANDA or a 505(b)(2) application based on that listed drug.</w:t>
      </w:r>
    </w:p>
    <w:p>
      <w:pPr>
        <w:spacing w:after="0" w:line="55"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The Hatch-Waxman Amendments also provide a period of five years exclusivity following approval of a drug containing no previously approved active ingredients. During this period of exclusivity, ANDAs or 505(b)(2) applications based upon those drugs cannot be submitted unless the submission accompanies a challenge to a listed patent, in which case the submission may be made four years following the original product approval.</w:t>
      </w:r>
    </w:p>
    <w:p>
      <w:pPr>
        <w:spacing w:after="0" w:line="51"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color w:val="auto"/>
        </w:rPr>
        <w:t>Additionally, in the event that the sponsor of the listed drug has informed the FDA of patents covering its listed drug and FDA lists those patents in the Orange Book, applicants submitting an ANDA or a 505(b)(2) application referencing that drug are required to certify whether they intend to market their generic products prior to expiration of those patents. If an ANDA applicant certifies that it believes one or more listed patents is invalid or not infringed, it is required to provide notice of its filing to the NDA sponsor and the patent holder. If either party then initiates a suit for patent infringement against the ANDA sponsor within 45 days of receipt of the notice, the FDA cannot grant effective approval of the ANDA until either 30 months has passed or there has been a court decision holding that the patent in question is invalid or not infringed. If the ANDA applicant certifies that it does not intend to market its generic product before some or all listed patents on the listed drug expire, then the FDA cannot grant effective approval of the ANDA until those patents expire. The first ANDA applicant submitting substantially complete applications certifying that listed patents for a particular product are invalid or not infringed may qualify for a period of 180 days after a court decision of invalidity or non-infringement or after it begins marketing its product, whichever occurs first. During this 180 day period, subsequently submitted ANDAs cannot be granted effective approval.</w:t>
      </w:r>
    </w:p>
    <w:p>
      <w:pPr>
        <w:spacing w:after="0" w:line="60"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Pediatric exclusivity, if granted, provides an additional six months of market exclusivity in the United States for new or currently marketed drugs if certain pediatric studies requested by the FDA are completed by the applicant and the applicant has other existing patent or exclusivity protection for the drug. To obtain this additional six months of exclusivity, it would be necessary for us to first receive a written request from the FDA to conduct pediatric studies and then to conduct the requested studies according to a previously agreed timeframe and submit the report of the study. There can be no assurances that we would receive a written request from the FDA and if so that we would complete the studies in accordance with the requirements for this six-month exclusivity. The current pediatric exclusivity provision is scheduled to end on October 1, 2012, and there can be no assurances that it will be reauthorized.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right="360" w:firstLine="228"/>
        <w:spacing w:after="0" w:line="256" w:lineRule="auto"/>
        <w:rPr>
          <w:sz w:val="20"/>
          <w:szCs w:val="20"/>
          <w:color w:val="auto"/>
        </w:rPr>
      </w:pPr>
      <w:r>
        <w:rPr>
          <w:rFonts w:ascii="Times New Roman" w:cs="Times New Roman" w:eastAsia="Times New Roman" w:hAnsi="Times New Roman"/>
          <w:sz w:val="18"/>
          <w:szCs w:val="18"/>
          <w:color w:val="auto"/>
        </w:rPr>
        <w:t>As of December 31, 2011, we had 250 full-time employees. 12 of these employees were engaged in research and development, 91 in manufacturing, 81 in clinical, regulatory affairs and quality assurance and 65 in administration, finance, management, information systems, marketing, corporate development and human resources. 34 of these employees had a Ph.D. degree and/or M.D. degree and were engaged in activities relating to research and development, manufacturing, quality assurance and business development. A significant percentage of our operating expenses relates to research and development totaling $100.0 million in 2011, $112.3 million in 2010, and $156.3 million in 2009.</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 of our employees is subject to a collective bargaining agreement. We believe relations with our employees are good.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ADVISORS</w:t>
      </w:r>
    </w:p>
    <w:p>
      <w:pPr>
        <w:spacing w:after="0" w:line="92" w:lineRule="exact"/>
        <w:rPr>
          <w:sz w:val="20"/>
          <w:szCs w:val="20"/>
          <w:color w:val="auto"/>
        </w:rPr>
      </w:pPr>
    </w:p>
    <w:p>
      <w:pPr>
        <w:ind w:right="320" w:firstLine="228"/>
        <w:spacing w:after="0" w:line="275" w:lineRule="auto"/>
        <w:rPr>
          <w:sz w:val="20"/>
          <w:szCs w:val="20"/>
          <w:color w:val="auto"/>
        </w:rPr>
      </w:pPr>
      <w:r>
        <w:rPr>
          <w:rFonts w:ascii="Times New Roman" w:cs="Times New Roman" w:eastAsia="Times New Roman" w:hAnsi="Times New Roman"/>
          <w:sz w:val="18"/>
          <w:szCs w:val="18"/>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39" w:lineRule="exact"/>
        <w:rPr>
          <w:sz w:val="20"/>
          <w:szCs w:val="20"/>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implementation of our clinical programs;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and publication strategies;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from a clinical perspective;</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technologies relevant to our research and development programs;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scientific and technical issues relevant to our business.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diabetes program is supported by the following scientific advisors (and their primary affiliations):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40" w:type="dxa"/>
            <w:vAlign w:val="bottom"/>
          </w:tcPr>
          <w:p>
            <w:pPr>
              <w:spacing w:after="0"/>
              <w:rPr>
                <w:sz w:val="14"/>
                <w:szCs w:val="14"/>
                <w:color w:val="auto"/>
              </w:rPr>
            </w:pPr>
          </w:p>
        </w:tc>
        <w:tc>
          <w:tcPr>
            <w:tcW w:w="394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color w:val="auto"/>
              </w:rPr>
              <w:t>University of Perugia</w:t>
            </w: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Primary Affiliation</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Geremia Bolli</w:t>
            </w:r>
          </w:p>
        </w:tc>
        <w:tc>
          <w:tcPr>
            <w:tcW w:w="394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Edelman, MD</w:t>
            </w:r>
          </w:p>
        </w:tc>
        <w:tc>
          <w:tcPr>
            <w:tcW w:w="53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University of California, San Diego</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Frier, MD, FECP, BS</w:t>
            </w:r>
          </w:p>
        </w:tc>
        <w:tc>
          <w:tcPr>
            <w:tcW w:w="53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Edinburgh Royal Infirmary</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Lois Jovanovic, MD</w:t>
            </w:r>
          </w:p>
        </w:tc>
        <w:tc>
          <w:tcPr>
            <w:tcW w:w="53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Sansum Medical Research Institute</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Peyrot, MD</w:t>
            </w:r>
          </w:p>
        </w:tc>
        <w:tc>
          <w:tcPr>
            <w:tcW w:w="53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Loyola College Center</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Porte, MD</w:t>
            </w:r>
          </w:p>
        </w:tc>
        <w:tc>
          <w:tcPr>
            <w:tcW w:w="53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University of California, San Diego</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 Raskin, MD, FACE, FACP</w:t>
            </w:r>
          </w:p>
        </w:tc>
        <w:tc>
          <w:tcPr>
            <w:tcW w:w="53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University of Texas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Julio Rosenstock, MD</w:t>
            </w:r>
          </w:p>
        </w:tc>
        <w:tc>
          <w:tcPr>
            <w:tcW w:w="53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Dallas Diabetes and Endocrinology Center</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Rubin, PhD, CDE</w:t>
            </w:r>
          </w:p>
        </w:tc>
        <w:tc>
          <w:tcPr>
            <w:tcW w:w="53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Johns Hopkins University School of Medicine</w:t>
            </w:r>
          </w:p>
        </w:tc>
        <w:tc>
          <w:tcPr>
            <w:tcW w:w="0" w:type="dxa"/>
            <w:vAlign w:val="bottom"/>
          </w:tcPr>
          <w:p>
            <w:pPr>
              <w:spacing w:after="0"/>
              <w:rPr>
                <w:sz w:val="1"/>
                <w:szCs w:val="1"/>
                <w:color w:val="auto"/>
              </w:rPr>
            </w:pPr>
          </w:p>
        </w:tc>
      </w:tr>
      <w:tr>
        <w:trPr>
          <w:trHeight w:val="22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Skyler, MD, MACP</w:t>
            </w:r>
          </w:p>
        </w:tc>
        <w:tc>
          <w:tcPr>
            <w:tcW w:w="53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w w:val="97"/>
              </w:rPr>
              <w:t>University of Miami, Diabetes Research Institute</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current executive officers and their ages as of December 31, 2011: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28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Alfred E. Mann</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8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Hakan S. Edstrom</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8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Pfeffer</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8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Juergen A. Martens, Ph.D.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8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Corporate Vice President, Technical Operations and Chief Technical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M. Palumbo</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8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Corporate Vice President, Human Resources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 Thomson, Ph.D., J.D.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8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Corporate Vice President, General Counsel and Secretary</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right="180"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Alfred E. Mann </w:t>
      </w:r>
      <w:r>
        <w:rPr>
          <w:rFonts w:ascii="Times New Roman" w:cs="Times New Roman" w:eastAsia="Times New Roman" w:hAnsi="Times New Roman"/>
          <w:sz w:val="18"/>
          <w:szCs w:val="18"/>
          <w:color w:val="auto"/>
        </w:rPr>
        <w:t>has been one of our directors since April 1999, our Chairman of the Board since December 2001 and our Chief Executive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2003. He founded and 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now the Cardiac Rhythm Management Division of St. Jude Medical Corporation. Mr. Mann founded and since 1993, has served as Chairman and until January 2008, as Co-Chief Executive Officer of Advanced Bionics Corporation, a medical device manufacturer focused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on neurostimulation to restore hearing to the deaf and to treat chronic pain and other neural deficits, that was acquired by Boston Scientific Corporation in June 2004. In January 2008, the former stockholders of Advanced Bionics Corporation repurchased certain segments from Boston Scientific Corporation and formed Advanced Bionics LLC for cochlear implants and Infusion Systems LLC for infusion pumps. Mr. Mann was non-executive Chairman of both entities. Advanced Bionics LLC was acquired by Sonova Holdings on December 30, 2009. Infusion Systems LLC was acquired by the Alfred E. Mann Foundation in February 2010. Mr. Mann has also founded and is non-executive Chairman of Second Sight Medical Products, Inc., which is developing a visual prosthesis for the blind; Bioness Inc., which is developing rehabilitation neurostimulation systems; Quallion LLC, which produces batteries for medical products and for the military and aerospace industries; and Stellar Microelectronics Inc., a supplier of electronic assemblies to the medical, military and aerospace industries. Mr. Mann also founded and is the managing member of PerQFlo, LLC, which is developing drug delivery systems. Mr. Mann is the managing member of the Alfred Mann Foundation and is also non-executive Chairman of Alfred Mann Institutes at the University of Southern California, AMI Purdue and AMI Technion, and the Alfred Mann Foundation for Biomedical Engineering, which is establishing additional institutes at other research universities. Mr. Mann holds bachelor’s and master’s degrees in Physics from the University of California at Los Angeles, honorary doctorates from Johns Hopkins University, the University of Southern California, Western University and the Technion-Israel Institute of Technology and is a member of the National Academy of Engineering.</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Hakan S. Edstrom </w:t>
      </w:r>
      <w:r>
        <w:rPr>
          <w:rFonts w:ascii="Times New Roman" w:cs="Times New Roman" w:eastAsia="Times New Roman" w:hAnsi="Times New Roman"/>
          <w:sz w:val="18"/>
          <w:szCs w:val="18"/>
          <w:color w:val="auto"/>
        </w:rPr>
        <w:t>has been our President and Chief Operating Officer since April 2001 and has served as one of our directors since December 2001.</w:t>
      </w:r>
    </w:p>
    <w:p>
      <w:pPr>
        <w:spacing w:after="0" w:line="2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Mr. Edstrom was with Bausch &amp; Lomb, Inc., a health care product company, from January 1998 to April 2001, advancing to the position of Senior Corporate Vice President and President of Bausch &amp; Lomb, Inc. Americas Region. From 1981 to 1997, Mr. Edstrom was with Pharmacia Corporation, where he held various executive positions, including President and Chief Executive Officer of Pharmacia Ophthalmics Inc. Mr. Edstrom was educated in Sweden and holds a master’s degree in Business Administration from the Stockholm School of Economics.</w:t>
      </w:r>
    </w:p>
    <w:p>
      <w:pPr>
        <w:spacing w:after="0" w:line="55" w:lineRule="exact"/>
        <w:rPr>
          <w:sz w:val="20"/>
          <w:szCs w:val="20"/>
          <w:color w:val="auto"/>
        </w:rPr>
      </w:pPr>
    </w:p>
    <w:p>
      <w:pPr>
        <w:ind w:right="40" w:firstLine="228"/>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Matthew J. Pfeffer </w:t>
      </w:r>
      <w:r>
        <w:rPr>
          <w:rFonts w:ascii="Times New Roman" w:cs="Times New Roman" w:eastAsia="Times New Roman" w:hAnsi="Times New Roman"/>
          <w:sz w:val="16"/>
          <w:szCs w:val="16"/>
          <w:color w:val="auto"/>
        </w:rPr>
        <w:t>has been our Corporate Vice President and Chief Financial Officer since April 2008. Previously, Mr. Pfeffer served as Chief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 and Senior Vice President of Finance and Administration of VaxGen, Inc. from March 2006 until April 2008, with responsibility for finance, tax, treasury, human resources, IT, purchasing and facilities functions. Prior to VaxGen, Mr. Pfeffer served as CFO of Cell Genesys, Inc. During his nine year tenure at Cell Genesys, Mr. Pfeffer served as Director of Finance before being named CFO in 1998. Prior to that, Mr. Pfeffer served in a variety of financial management positions at other companies, including roles as Corporate Controller, Manager of Internal Audit and Manager of Financial Reporting. Mr. Pfeffer began his career at Price Waterhouse. Mr. Pfeffer serves on boards and advisory committees of the Biotechnology Industry Organization and the American Institute of Certified Public Accountants. Mr. Pfeffer has a bachelor’s degree in Accounting from the University of California, Berkeley and is a Certified Public Accountant.</w:t>
      </w:r>
    </w:p>
    <w:p>
      <w:pPr>
        <w:spacing w:after="0" w:line="32"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Juergen A. Martens, Ph.D. </w:t>
      </w:r>
      <w:r>
        <w:rPr>
          <w:rFonts w:ascii="Times New Roman" w:cs="Times New Roman" w:eastAsia="Times New Roman" w:hAnsi="Times New Roman"/>
          <w:sz w:val="18"/>
          <w:szCs w:val="18"/>
          <w:color w:val="auto"/>
        </w:rPr>
        <w:t>has been our Corporate Vice President of Operations and Chief Technology Officer since September 2005. From 2000 to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 he was employed by Nektar Therapeutics, Inc., most recently as Vice President of Pharmaceutical Technology Development. Previously, he held technical management positions at Aerojet Fine Chemicals from 1998 to 2000 and at FMC Corporation from 1996 to 1998. From 1987 to 1996, Dr. Martens held a variety of management positions with increased responsibility in R&amp;D, plant management, and business process development at Lonza, in Switzerland and in the United States. Dr. Martens holds a bachelor’s degree in chemical engineering from the Technical College Mannheim/Germany, a bachelor’s and master’s degree in Chemistry and a doctorate in Physical Chemistry from the University of Marburg/Germany.</w:t>
      </w:r>
    </w:p>
    <w:p>
      <w:pPr>
        <w:spacing w:after="0" w:line="5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Diane M. Palumbo </w:t>
      </w:r>
      <w:r>
        <w:rPr>
          <w:rFonts w:ascii="Times New Roman" w:cs="Times New Roman" w:eastAsia="Times New Roman" w:hAnsi="Times New Roman"/>
          <w:sz w:val="18"/>
          <w:szCs w:val="18"/>
          <w:color w:val="auto"/>
        </w:rPr>
        <w:t>has been our Corporate Vice President of Human Resources since November 2004. From July 2003 to November 2004, she was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her own human resources consulting company.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St. John’s University, New York and a bachelor’s degree, magna cum laude, also from St. John’s University.</w:t>
      </w:r>
    </w:p>
    <w:p>
      <w:pPr>
        <w:spacing w:after="0" w:line="88"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David B. Thomson, Ph.D., J.D. </w:t>
      </w:r>
      <w:r>
        <w:rPr>
          <w:rFonts w:ascii="Times New Roman" w:cs="Times New Roman" w:eastAsia="Times New Roman" w:hAnsi="Times New Roman"/>
          <w:sz w:val="18"/>
          <w:szCs w:val="18"/>
          <w:color w:val="auto"/>
        </w:rPr>
        <w:t>has been our Corporate Vice President, General Counsel and Corporate Secretary since January 2002. Prior to joining us,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practiced corporate/commercial and securities law at a major Toronto law firm. Earlier in his career, Dr. Thomson was a post-doctoral fellow at the Rockefeller University. Dr. Thomson obtained his bachelor’s degree, master’s degree and Ph.D. degree from Queens University and obtained his J.D. degree from the University of Toronto.</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Executive officers serve at the discretion of our Board of Directors. There are no family relationships between any of our directors and executive officers.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92" w:lineRule="exact"/>
        <w:rPr>
          <w:sz w:val="20"/>
          <w:szCs w:val="20"/>
          <w:color w:val="auto"/>
        </w:rPr>
      </w:pPr>
    </w:p>
    <w:p>
      <w:pPr>
        <w:ind w:right="140" w:firstLine="228"/>
        <w:spacing w:after="0" w:line="297" w:lineRule="auto"/>
        <w:rPr>
          <w:sz w:val="20"/>
          <w:szCs w:val="20"/>
          <w:color w:val="auto"/>
        </w:rPr>
      </w:pPr>
      <w:r>
        <w:rPr>
          <w:rFonts w:ascii="Times New Roman" w:cs="Times New Roman" w:eastAsia="Times New Roman" w:hAnsi="Times New Roman"/>
          <w:sz w:val="16"/>
          <w:szCs w:val="16"/>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and commercialization of our lead product candidate, AFREZZA, which is not yet approved.</w:t>
      </w:r>
    </w:p>
    <w:p>
      <w:pPr>
        <w:spacing w:after="0" w:line="94" w:lineRule="exact"/>
        <w:rPr>
          <w:sz w:val="20"/>
          <w:szCs w:val="20"/>
          <w:color w:val="auto"/>
        </w:rPr>
      </w:pPr>
    </w:p>
    <w:p>
      <w:pPr>
        <w:ind w:right="280" w:firstLine="228"/>
        <w:spacing w:after="0" w:line="258" w:lineRule="auto"/>
        <w:rPr>
          <w:sz w:val="20"/>
          <w:szCs w:val="20"/>
          <w:color w:val="auto"/>
        </w:rPr>
      </w:pPr>
      <w:r>
        <w:rPr>
          <w:rFonts w:ascii="Times New Roman" w:cs="Times New Roman" w:eastAsia="Times New Roman" w:hAnsi="Times New Roman"/>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solely on the successful development and commercialization of AFREZZA.</w:t>
      </w:r>
    </w:p>
    <w:p>
      <w:pPr>
        <w:spacing w:after="0" w:line="55"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In January 2011, the FDA issued a Complete Response letter and requested that we conduct additional clinical studies of AFREZZA using our next-generation inhaler. In early May 2011, we held an End-of-Review meeting with the agency to discuss the protocols for the additional studies. In August 2011, we confirmed with the FDA the design of two clinical studies to evaluate the efficacy and safety of AFREZZA administered using our Dreamboat inhaler. We plan to continue working closely with the FDA in our effort to ensure that our clinical studies address the agency’s requests for additional information about AFREZZA. There can be no assurance that we will satisfy all of the FDA’s requirements or that the FDA will find our proposed approach to these clinical studies acceptable. The FDA could also again request that we conduct additional clinical trials to provide sufficient data for approval of the NDA. There can be no assurance that we will obtain approval of the NDA in a timely manner or at all.</w:t>
      </w:r>
    </w:p>
    <w:p>
      <w:pPr>
        <w:spacing w:after="0" w:line="60" w:lineRule="exact"/>
        <w:rPr>
          <w:sz w:val="20"/>
          <w:szCs w:val="20"/>
          <w:color w:val="auto"/>
        </w:rPr>
      </w:pPr>
    </w:p>
    <w:p>
      <w:pPr>
        <w:ind w:right="360" w:firstLine="228"/>
        <w:spacing w:after="0" w:line="258" w:lineRule="auto"/>
        <w:rPr>
          <w:sz w:val="20"/>
          <w:szCs w:val="20"/>
          <w:color w:val="auto"/>
        </w:rPr>
      </w:pPr>
      <w:r>
        <w:rPr>
          <w:rFonts w:ascii="Times New Roman" w:cs="Times New Roman" w:eastAsia="Times New Roman" w:hAnsi="Times New Roman"/>
          <w:sz w:val="18"/>
          <w:szCs w:val="18"/>
          <w:color w:val="auto"/>
        </w:rPr>
        <w:t>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55"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228"/>
        <w:spacing w:after="0" w:line="293" w:lineRule="auto"/>
        <w:rPr>
          <w:sz w:val="20"/>
          <w:szCs w:val="20"/>
          <w:color w:val="auto"/>
        </w:rPr>
      </w:pPr>
      <w:r>
        <w:rPr>
          <w:rFonts w:ascii="Times New Roman" w:cs="Times New Roman" w:eastAsia="Times New Roman" w:hAnsi="Times New Roman"/>
          <w:sz w:val="16"/>
          <w:szCs w:val="16"/>
          <w:color w:val="auto"/>
        </w:rPr>
        <w:t>A significant portion of the research that we have conducted involves new and unproven compounds and technologies, including AFREZZA, Technosphere platform technology and immunotherapy product candidates.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continue to incur losses and we may never generate positive cash flow from operations.</w:t>
      </w:r>
    </w:p>
    <w:p>
      <w:pPr>
        <w:spacing w:after="0" w:line="94"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51" w:lineRule="exact"/>
        <w:rPr>
          <w:sz w:val="20"/>
          <w:szCs w:val="20"/>
          <w:color w:val="auto"/>
        </w:rPr>
      </w:pPr>
    </w:p>
    <w:p>
      <w:pPr>
        <w:ind w:right="200" w:firstLine="228"/>
        <w:spacing w:after="0" w:line="256" w:lineRule="auto"/>
        <w:rPr>
          <w:sz w:val="20"/>
          <w:szCs w:val="20"/>
          <w:color w:val="auto"/>
        </w:rPr>
      </w:pPr>
      <w:r>
        <w:rPr>
          <w:rFonts w:ascii="Times New Roman" w:cs="Times New Roman" w:eastAsia="Times New Roman" w:hAnsi="Times New Roman"/>
          <w:sz w:val="18"/>
          <w:szCs w:val="18"/>
          <w:color w:val="auto"/>
        </w:rPr>
        <w:t>We have never been profitable or generated positive cash flow from operations and, as of December 31, 2011, we had incurred a cumulative net loss of $1.9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w:t>
      </w:r>
    </w:p>
    <w:p>
      <w:pPr>
        <w:spacing w:after="0" w:line="58"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Our losses have had, and are expected to continue to have, an adverse impact on our working capital, total assets and stockholders’ equity. As of December 31, 2011, we had a stockholders’ deficit of $313.7 million. Our ability to achieve and sustain positive cash flow from operations and profitability depends upon obtaining regulatory approvals for and successfully commercializing AFREZZA, 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135" w:lineRule="exact"/>
        <w:rPr>
          <w:sz w:val="20"/>
          <w:szCs w:val="20"/>
          <w:color w:val="auto"/>
        </w:rPr>
      </w:pPr>
    </w:p>
    <w:p>
      <w:pPr>
        <w:ind w:lef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34" w:lineRule="exact"/>
        <w:rPr>
          <w:sz w:val="20"/>
          <w:szCs w:val="20"/>
          <w:color w:val="auto"/>
        </w:rPr>
      </w:pPr>
    </w:p>
    <w:p>
      <w:pPr>
        <w:jc w:val="both"/>
        <w:ind w:right="160" w:firstLine="228"/>
        <w:spacing w:after="0" w:line="287" w:lineRule="auto"/>
        <w:rPr>
          <w:sz w:val="20"/>
          <w:szCs w:val="20"/>
          <w:color w:val="auto"/>
        </w:rPr>
      </w:pPr>
      <w:r>
        <w:rPr>
          <w:rFonts w:ascii="Times New Roman" w:cs="Times New Roman" w:eastAsia="Times New Roman" w:hAnsi="Times New Roman"/>
          <w:sz w:val="16"/>
          <w:szCs w:val="16"/>
          <w:color w:val="auto"/>
        </w:rPr>
        <w:t>Based upon our current expectations, we believe that our existing capital resources, including the available borrowings under our loan arrangement with The Mann Group, as amended on January 16, 2012, as well as the net proceeds from the sale of 35,937,500 units, with each unit consisting of one share of common stock and a warrant to purchase 0.6 of a share of common stock in February 2012, will enable us to continue planned operations into the fourth quarter of 2012.</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However, we cannot assure you that our plans will not change or that changed circumstances will not result in the depletion of our capital resources more rapidly than we currently anticipate. We will need to raise additional funds, whether through the sale of equity or debt securities, the entry into strategic business collaborations,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However, it may be difficult for us to raise additional funds through these planned measures. As of December 31, 2011, we had a stockholders’ deficit of $313.7 million which may raise concerns about our solvency and affect our ability to raise additional capital. The amount of additional funds we need will depend on a number of factors, including:</w:t>
      </w:r>
    </w:p>
    <w:p>
      <w:pPr>
        <w:spacing w:after="0" w:line="60" w:lineRule="exact"/>
        <w:rPr>
          <w:sz w:val="20"/>
          <w:szCs w:val="20"/>
          <w:color w:val="auto"/>
        </w:rPr>
      </w:pPr>
    </w:p>
    <w:p>
      <w:pPr>
        <w:ind w:left="440" w:right="300" w:hanging="216"/>
        <w:spacing w:after="0" w:line="275"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progress and costs of our clinical trials and research and development activities, including costs of procuring clinical materials and operating our manufacturing facilities;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right="420" w:hanging="216"/>
        <w:spacing w:after="0" w:line="275"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strategic business collaborations or other sales or licensing of assets, and the timing and amount of any payments we might receive from any such transactions we are able to establish;</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our products and competitive products;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degree of success in commercializing AFREZZA assuming receipt of required regulatory approvals;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adverse market developments;</w:t>
      </w:r>
    </w:p>
    <w:p>
      <w:pPr>
        <w:spacing w:after="0" w:line="90" w:lineRule="exact"/>
        <w:rPr>
          <w:rFonts w:ascii="Times New Roman" w:cs="Times New Roman" w:eastAsia="Times New Roman" w:hAnsi="Times New Roman"/>
          <w:sz w:val="18"/>
          <w:szCs w:val="18"/>
          <w:color w:val="auto"/>
        </w:rPr>
      </w:pPr>
    </w:p>
    <w:p>
      <w:pPr>
        <w:ind w:left="440" w:right="400" w:hanging="216"/>
        <w:spacing w:after="0" w:line="275"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38" w:lineRule="exact"/>
        <w:rPr>
          <w:rFonts w:ascii="Times New Roman" w:cs="Times New Roman" w:eastAsia="Times New Roman" w:hAnsi="Times New Roman"/>
          <w:sz w:val="18"/>
          <w:szCs w:val="18"/>
          <w:color w:val="auto"/>
        </w:rPr>
      </w:pPr>
    </w:p>
    <w:p>
      <w:pPr>
        <w:ind w:left="440" w:right="220" w:hanging="216"/>
        <w:spacing w:after="0" w:line="275"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expenses, including those expenses associated with the securities class actions and derivative lawsuits filed against us and certain of our executive officers and directors and any settlement or damages payments associated with litigation;</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decommissioning existing facilities, if we undertake such activities.</w:t>
      </w:r>
    </w:p>
    <w:p>
      <w:pPr>
        <w:spacing w:after="0" w:line="90"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We have raised capital in the past primarily through the sale of equity and debt securities. We may in the future pursue the sale of additional equity and/or debt securities, or the establishment of other funding facilities including asset based borrowings. There can be no assurances, however, that we will be able to raise additional capital through such an offering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58"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including AFREZZA development activities,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60"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Because we will not be able to generate operating cash flow before AFREZZA is commercialized, which we expect will require us to reach an agreement with a commercialization partner, we cannot provide assurances that changed or unexpected circumstances, 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acceptable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continued substantial doubt about our ability to continue as a going concern.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Deteriorating global economic conditions may have an adverse impact on our loan facility with The Mann Group.</w:t>
      </w:r>
    </w:p>
    <w:p>
      <w:pPr>
        <w:spacing w:after="0" w:line="94" w:lineRule="exact"/>
        <w:rPr>
          <w:sz w:val="20"/>
          <w:szCs w:val="20"/>
          <w:color w:val="auto"/>
        </w:rPr>
      </w:pPr>
    </w:p>
    <w:p>
      <w:pPr>
        <w:ind w:right="60" w:firstLine="228"/>
        <w:spacing w:after="0" w:line="256" w:lineRule="auto"/>
        <w:rPr>
          <w:sz w:val="20"/>
          <w:szCs w:val="20"/>
          <w:color w:val="auto"/>
        </w:rPr>
      </w:pPr>
      <w:r>
        <w:rPr>
          <w:rFonts w:ascii="Times New Roman" w:cs="Times New Roman" w:eastAsia="Times New Roman" w:hAnsi="Times New Roman"/>
          <w:sz w:val="18"/>
          <w:szCs w:val="18"/>
          <w:color w:val="auto"/>
        </w:rPr>
        <w:t>As widely reported, financial markets in the United States, Europe and Asia have experienced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our loan facility with The Mann Group. If we are unable to draw on The Mann Group loan facility, our business and financial condition may be adversely affected.</w:t>
      </w:r>
    </w:p>
    <w:p>
      <w:pPr>
        <w:spacing w:after="0" w:line="135" w:lineRule="exact"/>
        <w:rPr>
          <w:sz w:val="20"/>
          <w:szCs w:val="20"/>
          <w:color w:val="auto"/>
        </w:rPr>
      </w:pPr>
    </w:p>
    <w:p>
      <w:pPr>
        <w:ind w:lef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34"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58" w:lineRule="exact"/>
        <w:rPr>
          <w:sz w:val="20"/>
          <w:szCs w:val="20"/>
          <w:color w:val="auto"/>
        </w:rPr>
      </w:pPr>
    </w:p>
    <w:p>
      <w:pPr>
        <w:ind w:left="440" w:right="240" w:hanging="216"/>
        <w:spacing w:after="0" w:line="275"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 and research and development activities, which will be impacted by the level of proficiency and experience of our clinical staff;</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90" w:lineRule="exact"/>
        <w:rPr>
          <w:rFonts w:ascii="Times New Roman" w:cs="Times New Roman" w:eastAsia="Times New Roman" w:hAnsi="Times New Roman"/>
          <w:sz w:val="18"/>
          <w:szCs w:val="18"/>
          <w:color w:val="auto"/>
        </w:rPr>
      </w:pPr>
    </w:p>
    <w:p>
      <w:pPr>
        <w:ind w:left="440" w:right="360" w:hanging="216"/>
        <w:spacing w:after="0" w:line="275"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 including insulin and other materials for AFREZZA;</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scheduling conflicts with participating clinicians and clinical institutions;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approvals by our competitors and by us from the FDA and other regulatory agencies;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sales and marketing collaborations for AFREZZA;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by regulators.</w:t>
      </w:r>
    </w:p>
    <w:p>
      <w:pPr>
        <w:spacing w:after="0" w:line="90"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will decline.</w:t>
      </w:r>
    </w:p>
    <w:p>
      <w:pPr>
        <w:spacing w:after="0" w:line="135" w:lineRule="exact"/>
        <w:rPr>
          <w:sz w:val="20"/>
          <w:szCs w:val="20"/>
          <w:color w:val="auto"/>
        </w:rPr>
      </w:pPr>
    </w:p>
    <w:p>
      <w:pPr>
        <w:ind w:left="120"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34"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39" w:lineRule="exact"/>
        <w:rPr>
          <w:sz w:val="20"/>
          <w:szCs w:val="20"/>
          <w:color w:val="auto"/>
        </w:rPr>
      </w:pPr>
    </w:p>
    <w:p>
      <w:pPr>
        <w:ind w:right="140" w:firstLine="228"/>
        <w:spacing w:after="0" w:line="262" w:lineRule="auto"/>
        <w:rPr>
          <w:sz w:val="20"/>
          <w:szCs w:val="20"/>
          <w:color w:val="auto"/>
        </w:rPr>
      </w:pPr>
      <w:r>
        <w:rPr>
          <w:rFonts w:ascii="Times New Roman" w:cs="Times New Roman" w:eastAsia="Times New Roman" w:hAnsi="Times New Roman"/>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success of AFREZZA. Many of our competitors have existing infrastructure and relationships with managed care organizations and reimbursement authorities which can be used to their advantage.</w:t>
      </w:r>
    </w:p>
    <w:p>
      <w:pPr>
        <w:spacing w:after="0" w:line="39"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55"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enter into a strategic collaboration with respect to AFREZZA, we may not be able to execute on our business model.</w:t>
      </w:r>
    </w:p>
    <w:p>
      <w:pPr>
        <w:spacing w:after="0" w:line="94" w:lineRule="exact"/>
        <w:rPr>
          <w:sz w:val="20"/>
          <w:szCs w:val="20"/>
          <w:color w:val="auto"/>
        </w:rPr>
      </w:pPr>
    </w:p>
    <w:p>
      <w:pPr>
        <w:ind w:right="80" w:firstLine="228"/>
        <w:spacing w:after="0" w:line="288" w:lineRule="auto"/>
        <w:rPr>
          <w:sz w:val="20"/>
          <w:szCs w:val="20"/>
          <w:color w:val="auto"/>
        </w:rPr>
      </w:pPr>
      <w:r>
        <w:rPr>
          <w:rFonts w:ascii="Times New Roman" w:cs="Times New Roman" w:eastAsia="Times New Roman" w:hAnsi="Times New Roman"/>
          <w:sz w:val="16"/>
          <w:szCs w:val="16"/>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 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332" w:lineRule="exact"/>
        <w:rPr>
          <w:sz w:val="20"/>
          <w:szCs w:val="20"/>
          <w:color w:val="auto"/>
        </w:rPr>
      </w:pPr>
    </w:p>
    <w:p>
      <w:pPr>
        <w:ind w:left="120" w:right="10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34"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55" w:lineRule="exact"/>
        <w:rPr>
          <w:sz w:val="20"/>
          <w:szCs w:val="20"/>
          <w:color w:val="auto"/>
        </w:rPr>
      </w:pPr>
    </w:p>
    <w:p>
      <w:pPr>
        <w:ind w:right="400" w:firstLine="228"/>
        <w:spacing w:after="0" w:line="262" w:lineRule="auto"/>
        <w:rPr>
          <w:sz w:val="20"/>
          <w:szCs w:val="20"/>
          <w:color w:val="auto"/>
        </w:rPr>
      </w:pPr>
      <w:r>
        <w:rPr>
          <w:rFonts w:ascii="Times New Roman" w:cs="Times New Roman" w:eastAsia="Times New Roman" w:hAnsi="Times New Roman"/>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128" w:lineRule="exact"/>
        <w:rPr>
          <w:sz w:val="20"/>
          <w:szCs w:val="20"/>
          <w:color w:val="auto"/>
        </w:rPr>
      </w:pPr>
    </w:p>
    <w:p>
      <w:pPr>
        <w:ind w:left="120" w:right="10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34" w:lineRule="exact"/>
        <w:rPr>
          <w:sz w:val="20"/>
          <w:szCs w:val="20"/>
          <w:color w:val="auto"/>
        </w:rPr>
      </w:pPr>
    </w:p>
    <w:p>
      <w:pPr>
        <w:ind w:right="600" w:firstLine="228"/>
        <w:spacing w:after="0" w:line="275"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AFREZZA and our other product candidates through extensive nonclinical and clinical testing. We may experience numerous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unforeseen events during, or as a result of, the testing process that could delay or prevent commercialization of AFREZZA or any of our other product candidates, including the following:</w:t>
      </w:r>
    </w:p>
    <w:p>
      <w:pPr>
        <w:spacing w:after="0" w:line="39" w:lineRule="exact"/>
        <w:rPr>
          <w:sz w:val="20"/>
          <w:szCs w:val="20"/>
          <w:color w:val="auto"/>
        </w:rPr>
      </w:pPr>
    </w:p>
    <w:p>
      <w:pPr>
        <w:ind w:left="440" w:right="160" w:hanging="216"/>
        <w:spacing w:after="0" w:line="275"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for AFREZZA obtained in our nonclinical and previous clinical testing may be inconclusive or may not be predictive of results that we may obtain in our future clinical trials or following long-term use, and we may as a result be forced to stop developing AFREZZA;</w:t>
      </w:r>
    </w:p>
    <w:p>
      <w:pPr>
        <w:spacing w:after="0" w:line="38" w:lineRule="exact"/>
        <w:rPr>
          <w:rFonts w:ascii="Times New Roman" w:cs="Times New Roman" w:eastAsia="Times New Roman" w:hAnsi="Times New Roman"/>
          <w:sz w:val="18"/>
          <w:szCs w:val="18"/>
          <w:color w:val="auto"/>
        </w:rPr>
      </w:pPr>
    </w:p>
    <w:p>
      <w:pPr>
        <w:ind w:left="440" w:right="480" w:hanging="216"/>
        <w:spacing w:after="0" w:line="275"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AFREZZA or our other product candidates may not reach statistical significance or otherwise be sufficient to support FDA or other regulatory approval;</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or any potential collaborators may abandon projects that we previously believed were promising; and</w:t>
      </w:r>
    </w:p>
    <w:p>
      <w:pPr>
        <w:spacing w:after="0" w:line="90" w:lineRule="exact"/>
        <w:rPr>
          <w:rFonts w:ascii="Times New Roman" w:cs="Times New Roman" w:eastAsia="Times New Roman" w:hAnsi="Times New Roman"/>
          <w:sz w:val="18"/>
          <w:szCs w:val="18"/>
          <w:color w:val="auto"/>
        </w:rPr>
      </w:pPr>
    </w:p>
    <w:p>
      <w:pPr>
        <w:ind w:left="440" w:right="80" w:hanging="216"/>
        <w:spacing w:after="0" w:line="275"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39"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55" w:lineRule="exact"/>
        <w:rPr>
          <w:sz w:val="20"/>
          <w:szCs w:val="20"/>
          <w:color w:val="auto"/>
        </w:rPr>
      </w:pPr>
    </w:p>
    <w:p>
      <w:pPr>
        <w:ind w:right="140" w:firstLine="228"/>
        <w:spacing w:after="0" w:line="262"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128" w:lineRule="exact"/>
        <w:rPr>
          <w:sz w:val="20"/>
          <w:szCs w:val="20"/>
          <w:color w:val="auto"/>
        </w:rPr>
      </w:pPr>
    </w:p>
    <w:p>
      <w:pPr>
        <w:ind w:left="120"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 .</w:t>
      </w:r>
    </w:p>
    <w:p>
      <w:pPr>
        <w:spacing w:after="0" w:line="34"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 The supply of any of these materials may be limited or any of the manufacturers may not meet relevant regulatory requirements, and if we are unable to obtain any of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34" w:lineRule="exact"/>
        <w:rPr>
          <w:sz w:val="20"/>
          <w:szCs w:val="20"/>
          <w:color w:val="auto"/>
        </w:rPr>
      </w:pPr>
    </w:p>
    <w:p>
      <w:pPr>
        <w:ind w:left="120" w:right="32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We use our Danbury, Connecticut facility to formulate AFREZZA inhalation powder, fill plastic cartridges with the powder, package the cartridges in blister packs, place the two blister packs into foil pouches and package three pouches plus two inhalers and the package insert as units in 90-unit boxes (and single blister pouch packs for trials). Although this facility has been qualified and undergone an inspection by the FDA in connection with our original NDA submission that sought approval of AFREZZA using our MedTone inhaler, we anticipate that our facility will need to undergo further inspection related to our ability to fill and package cartridges for the next-generation Dreamboat inhaler before we can be approved to distribute the manufactured products commercially. The manufacture of pharmaceutical products requires significant expertise and capital investment,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58" w:lineRule="exact"/>
        <w:rPr>
          <w:sz w:val="20"/>
          <w:szCs w:val="20"/>
          <w:color w:val="auto"/>
        </w:rPr>
      </w:pPr>
    </w:p>
    <w:p>
      <w:pPr>
        <w:ind w:right="180" w:firstLine="228"/>
        <w:spacing w:after="0" w:line="256" w:lineRule="auto"/>
        <w:rPr>
          <w:sz w:val="20"/>
          <w:szCs w:val="20"/>
          <w:color w:val="auto"/>
        </w:rPr>
      </w:pPr>
      <w:r>
        <w:rPr>
          <w:rFonts w:ascii="Times New Roman" w:cs="Times New Roman" w:eastAsia="Times New Roman" w:hAnsi="Times New Roman"/>
          <w:sz w:val="18"/>
          <w:szCs w:val="18"/>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35" w:lineRule="exact"/>
        <w:rPr>
          <w:sz w:val="20"/>
          <w:szCs w:val="20"/>
          <w:color w:val="auto"/>
        </w:rPr>
      </w:pPr>
    </w:p>
    <w:p>
      <w:pPr>
        <w:ind w:left="120"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executive officers and directors have been named as defendants in ongoing securities class actions and derivative lawsuits that could result in substantial costs and divert management’s attention.</w:t>
      </w:r>
    </w:p>
    <w:p>
      <w:pPr>
        <w:spacing w:after="0" w:line="34"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We and certain of our executive officers, have been sued for alleged violations of federal securities laws related to alleged false and misleading statements regarding AFREZZA. We have also been named in state and federal derivative lawsuits that have been filed against certain of our directors and executive officers. We intend to engage in a vigorous defense of such litigation. If we are not successful in our defense of such litigation,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or financial condition.</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94" w:lineRule="exact"/>
        <w:rPr>
          <w:sz w:val="20"/>
          <w:szCs w:val="20"/>
          <w:color w:val="auto"/>
        </w:rPr>
      </w:pPr>
    </w:p>
    <w:p>
      <w:pPr>
        <w:ind w:right="140" w:firstLine="228"/>
        <w:spacing w:after="0" w:line="289" w:lineRule="auto"/>
        <w:rPr>
          <w:sz w:val="20"/>
          <w:szCs w:val="20"/>
          <w:color w:val="auto"/>
        </w:rPr>
      </w:pPr>
      <w:r>
        <w:rPr>
          <w:rFonts w:ascii="Times New Roman" w:cs="Times New Roman" w:eastAsia="Times New Roman" w:hAnsi="Times New Roman"/>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94" w:lineRule="exact"/>
        <w:rPr>
          <w:sz w:val="20"/>
          <w:szCs w:val="20"/>
          <w:color w:val="auto"/>
        </w:rPr>
      </w:pPr>
    </w:p>
    <w:p>
      <w:pPr>
        <w:ind w:firstLine="228"/>
        <w:spacing w:after="0" w:line="287" w:lineRule="auto"/>
        <w:rPr>
          <w:sz w:val="20"/>
          <w:szCs w:val="20"/>
          <w:color w:val="auto"/>
        </w:rPr>
      </w:pPr>
      <w:r>
        <w:rPr>
          <w:rFonts w:ascii="Times New Roman" w:cs="Times New Roman" w:eastAsia="Times New Roman" w:hAnsi="Times New Roman"/>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220" w:firstLine="8"/>
        <w:spacing w:after="0" w:line="261"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liability for costs of cleaning up, and damages to natural resources from past spills, waste disposals on and off-site, or other releases of hazardous materials or regulated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60"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When we purchased the facilities located in Danbury, Connecticut in 2001, there was a soil and groundwater investigation and remediation being conducted by a former site operator (the responsible party) under the oversight of the Connecticut Department of Environmental Protection, or CT DEP, which is continuing. As part of the purchase, we obtained an indemnification from the seller for all known environmental conditions that existed at the time the seller acquired the property. The seller was, in turn, indemnified for these known environmental conditions by the previous owner and its operator (responsible party). We also received an indemnification from the seller for environmental conditions created during its ownership of the property and for environmental problems unknown at the time that the seller acquired the property. These additional indemnities have since expired and were limited to the purchase price we paid for the Danbury facilities.</w:t>
      </w:r>
    </w:p>
    <w:p>
      <w:pPr>
        <w:spacing w:after="0" w:line="60" w:lineRule="exact"/>
        <w:rPr>
          <w:sz w:val="20"/>
          <w:szCs w:val="20"/>
          <w:color w:val="auto"/>
        </w:rPr>
      </w:pPr>
    </w:p>
    <w:p>
      <w:pPr>
        <w:ind w:right="180" w:firstLine="228"/>
        <w:spacing w:after="0" w:line="255" w:lineRule="auto"/>
        <w:rPr>
          <w:sz w:val="20"/>
          <w:szCs w:val="20"/>
          <w:color w:val="auto"/>
        </w:rPr>
      </w:pPr>
      <w:r>
        <w:rPr>
          <w:rFonts w:ascii="Times New Roman" w:cs="Times New Roman" w:eastAsia="Times New Roman" w:hAnsi="Times New Roman"/>
          <w:sz w:val="18"/>
          <w:szCs w:val="18"/>
          <w:color w:val="auto"/>
        </w:rPr>
        <w:t>During the construction of our expanded manufacturing facility, we excavated contaminated soil under the footprint of our building expansion location, at a cost of approximately $2.25 million. The responsible party reimbursed us for our increased excavation and disposal costs of contaminated soil in the amount of $1.625 million in July 2010. The responsible party has further agreed to conduct at its expense all work and make all filings necessary to achieve closure for the environmental investigation and remediation being conducted at the site and agreed to pay for or indemnify us for any future costs and expenses we may incur that are directly related to the final closure of the environmental remediation. If we are unable to collect these future costs and expenses, if any, from the responsible party, our business and results of operations may be harmed.</w:t>
      </w:r>
    </w:p>
    <w:p>
      <w:pPr>
        <w:spacing w:after="0" w:line="135" w:lineRule="exact"/>
        <w:rPr>
          <w:sz w:val="20"/>
          <w:szCs w:val="20"/>
          <w:color w:val="auto"/>
        </w:rPr>
      </w:pPr>
    </w:p>
    <w:p>
      <w:pPr>
        <w:ind w:left="120"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34" w:lineRule="exact"/>
        <w:rPr>
          <w:sz w:val="20"/>
          <w:szCs w:val="20"/>
          <w:color w:val="auto"/>
        </w:rPr>
      </w:pPr>
    </w:p>
    <w:p>
      <w:pPr>
        <w:ind w:right="40" w:firstLine="228"/>
        <w:spacing w:after="0" w:line="287" w:lineRule="auto"/>
        <w:rPr>
          <w:sz w:val="20"/>
          <w:szCs w:val="20"/>
          <w:color w:val="auto"/>
        </w:rPr>
      </w:pPr>
      <w:r>
        <w:rPr>
          <w:rFonts w:ascii="Times New Roman" w:cs="Times New Roman" w:eastAsia="Times New Roman" w:hAnsi="Times New Roman"/>
          <w:sz w:val="16"/>
          <w:szCs w:val="16"/>
          <w:color w:val="auto"/>
        </w:rPr>
        <w:t>Our product candidates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our primary strategy is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15" w:lineRule="exact"/>
        <w:rPr>
          <w:sz w:val="20"/>
          <w:szCs w:val="20"/>
          <w:color w:val="auto"/>
        </w:rPr>
      </w:pPr>
    </w:p>
    <w:p>
      <w:pPr>
        <w:ind w:left="120"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34" w:lineRule="exact"/>
        <w:rPr>
          <w:sz w:val="20"/>
          <w:szCs w:val="20"/>
          <w:color w:val="auto"/>
        </w:rPr>
      </w:pPr>
    </w:p>
    <w:p>
      <w:pPr>
        <w:ind w:right="460" w:firstLine="228"/>
        <w:spacing w:after="0" w:line="275" w:lineRule="auto"/>
        <w:rPr>
          <w:sz w:val="20"/>
          <w:szCs w:val="20"/>
          <w:color w:val="auto"/>
        </w:rPr>
      </w:pPr>
      <w:r>
        <w:rPr>
          <w:rFonts w:ascii="Times New Roman" w:cs="Times New Roman" w:eastAsia="Times New Roman" w:hAnsi="Times New Roman"/>
          <w:sz w:val="18"/>
          <w:szCs w:val="18"/>
          <w:color w:val="auto"/>
        </w:rPr>
        <w:t>AFREZZA and our other product candidates are new and unproven. Even if any of our product candidates obtain regulatory approval, they may not gain market acceptance among physicians, patients, third-party payers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and the healthcare community. Failure to achieve market acceptance would limit our ability to generate revenue and would adversely affect our results of operations.</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which FDA approval can be obtained, including superiority claims;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advantages and disadvantages of competitive products;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90" w:lineRule="exact"/>
        <w:rPr>
          <w:rFonts w:ascii="Times New Roman" w:cs="Times New Roman" w:eastAsia="Times New Roman" w:hAnsi="Times New Roman"/>
          <w:sz w:val="18"/>
          <w:szCs w:val="18"/>
          <w:color w:val="auto"/>
        </w:rPr>
      </w:pPr>
    </w:p>
    <w:p>
      <w:pPr>
        <w:ind w:left="440" w:right="520" w:hanging="216"/>
        <w:spacing w:after="0" w:line="275"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reimbursement relative to other treatment therapeutics and methods;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90" w:lineRule="exact"/>
        <w:rPr>
          <w:sz w:val="20"/>
          <w:szCs w:val="20"/>
          <w:color w:val="auto"/>
        </w:rPr>
      </w:pPr>
    </w:p>
    <w:p>
      <w:pPr>
        <w:ind w:right="260" w:firstLine="228"/>
        <w:spacing w:after="0" w:line="275" w:lineRule="auto"/>
        <w:rPr>
          <w:sz w:val="20"/>
          <w:szCs w:val="20"/>
          <w:color w:val="auto"/>
        </w:rPr>
      </w:pPr>
      <w:r>
        <w:rPr>
          <w:rFonts w:ascii="Times New Roman" w:cs="Times New Roman" w:eastAsia="Times New Roman" w:hAnsi="Times New Roman"/>
          <w:sz w:val="18"/>
          <w:szCs w:val="18"/>
          <w:color w:val="auto"/>
        </w:rPr>
        <w:t>Because of these and other factors, any product that we may develop may not gain market acceptance, which would materially harm our business, financial condition and results of operations.</w:t>
      </w:r>
    </w:p>
    <w:p>
      <w:pPr>
        <w:spacing w:after="0" w:line="116" w:lineRule="exact"/>
        <w:rPr>
          <w:sz w:val="20"/>
          <w:szCs w:val="20"/>
          <w:color w:val="auto"/>
        </w:rPr>
      </w:pPr>
    </w:p>
    <w:p>
      <w:pPr>
        <w:ind w:left="120" w:right="6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reimburse consumers for our products, our products might not be used or purchased, which would adversely affect our revenues.</w:t>
      </w:r>
    </w:p>
    <w:p>
      <w:pPr>
        <w:spacing w:after="0" w:line="34"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62" w:lineRule="exact"/>
        <w:rPr>
          <w:sz w:val="20"/>
          <w:szCs w:val="20"/>
          <w:color w:val="auto"/>
        </w:rPr>
      </w:pPr>
    </w:p>
    <w:p>
      <w:pPr>
        <w:ind w:right="40" w:firstLine="228"/>
        <w:spacing w:after="0" w:line="291" w:lineRule="auto"/>
        <w:rPr>
          <w:sz w:val="20"/>
          <w:szCs w:val="20"/>
          <w:color w:val="auto"/>
        </w:rPr>
      </w:pPr>
      <w:r>
        <w:rPr>
          <w:rFonts w:ascii="Times New Roman" w:cs="Times New Roman" w:eastAsia="Times New Roman" w:hAnsi="Times New Roman"/>
          <w:sz w:val="16"/>
          <w:szCs w:val="16"/>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94" w:lineRule="exact"/>
        <w:rPr>
          <w:sz w:val="20"/>
          <w:szCs w:val="20"/>
          <w:color w:val="auto"/>
        </w:rPr>
      </w:pPr>
    </w:p>
    <w:p>
      <w:pPr>
        <w:ind w:right="180" w:firstLine="228"/>
        <w:spacing w:after="0" w:line="262" w:lineRule="auto"/>
        <w:rPr>
          <w:sz w:val="20"/>
          <w:szCs w:val="20"/>
          <w:color w:val="auto"/>
        </w:rPr>
      </w:pPr>
      <w:r>
        <w:rPr>
          <w:rFonts w:ascii="Times New Roman" w:cs="Times New Roman" w:eastAsia="Times New Roman" w:hAnsi="Times New Roman"/>
          <w:sz w:val="18"/>
          <w:szCs w:val="18"/>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 injury to our reputation, withdrawal of clinical trial volunteers and loss of revenues. We currently carry worldwide liability insurance in the amount of $10.0 million.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or scientific advisors, our operations and our ability to execute our business strategy could be materially harmed.</w:t>
      </w:r>
    </w:p>
    <w:p>
      <w:pPr>
        <w:spacing w:after="0" w:line="94" w:lineRule="exact"/>
        <w:rPr>
          <w:sz w:val="20"/>
          <w:szCs w:val="20"/>
          <w:color w:val="auto"/>
        </w:rPr>
      </w:pPr>
    </w:p>
    <w:p>
      <w:pPr>
        <w:ind w:right="160" w:firstLine="228"/>
        <w:spacing w:after="0" w:line="301" w:lineRule="auto"/>
        <w:rPr>
          <w:sz w:val="20"/>
          <w:szCs w:val="20"/>
          <w:color w:val="auto"/>
        </w:rPr>
      </w:pPr>
      <w:r>
        <w:rPr>
          <w:rFonts w:ascii="Times New Roman" w:cs="Times New Roman" w:eastAsia="Times New Roman" w:hAnsi="Times New Roman"/>
          <w:sz w:val="16"/>
          <w:szCs w:val="16"/>
          <w:color w:val="auto"/>
        </w:rPr>
        <w:t>In order to commercialize our product candidates successfully, we will be required to expand our work force, particularly in the areas of manufacturing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22"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58" w:lineRule="exact"/>
        <w:rPr>
          <w:sz w:val="20"/>
          <w:szCs w:val="20"/>
          <w:color w:val="auto"/>
        </w:rPr>
      </w:pPr>
    </w:p>
    <w:p>
      <w:pPr>
        <w:ind w:right="120" w:firstLine="228"/>
        <w:spacing w:after="0" w:line="255"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35" w:lineRule="exact"/>
        <w:rPr>
          <w:sz w:val="20"/>
          <w:szCs w:val="20"/>
          <w:color w:val="auto"/>
        </w:rPr>
      </w:pPr>
    </w:p>
    <w:p>
      <w:pPr>
        <w:ind w:left="120"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34"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and stock price could be adversely affected.</w:t>
      </w:r>
    </w:p>
    <w:p>
      <w:pPr>
        <w:spacing w:after="0" w:line="94"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APPROVALS</w:t>
      </w:r>
    </w:p>
    <w:p>
      <w:pPr>
        <w:spacing w:after="0" w:line="88" w:lineRule="exact"/>
        <w:rPr>
          <w:sz w:val="20"/>
          <w:szCs w:val="20"/>
          <w:color w:val="auto"/>
        </w:rPr>
      </w:pPr>
    </w:p>
    <w:p>
      <w:pPr>
        <w:ind w:left="120"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34" w:lineRule="exact"/>
        <w:rPr>
          <w:sz w:val="20"/>
          <w:szCs w:val="20"/>
          <w:color w:val="auto"/>
        </w:rPr>
      </w:pPr>
    </w:p>
    <w:p>
      <w:pPr>
        <w:ind w:right="180" w:firstLine="228"/>
        <w:spacing w:after="0" w:line="262" w:lineRule="auto"/>
        <w:rPr>
          <w:sz w:val="20"/>
          <w:szCs w:val="20"/>
          <w:color w:val="auto"/>
        </w:rPr>
      </w:pPr>
      <w:r>
        <w:rPr>
          <w:rFonts w:ascii="Times New Roman" w:cs="Times New Roman" w:eastAsia="Times New Roman" w:hAnsi="Times New Roman"/>
          <w:sz w:val="18"/>
          <w:szCs w:val="18"/>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1" w:lineRule="exact"/>
        <w:rPr>
          <w:sz w:val="20"/>
          <w:szCs w:val="20"/>
          <w:color w:val="auto"/>
        </w:rPr>
      </w:pPr>
    </w:p>
    <w:p>
      <w:pPr>
        <w:ind w:left="440" w:hanging="2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90"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57" w:lineRule="exact"/>
        <w:rPr>
          <w:sz w:val="20"/>
          <w:szCs w:val="20"/>
          <w:color w:val="auto"/>
        </w:rPr>
      </w:pPr>
    </w:p>
    <w:p>
      <w:pPr>
        <w:ind w:right="480" w:firstLine="228"/>
        <w:spacing w:after="0" w:line="262" w:lineRule="auto"/>
        <w:rPr>
          <w:sz w:val="20"/>
          <w:szCs w:val="20"/>
          <w:color w:val="auto"/>
        </w:rPr>
      </w:pPr>
      <w:r>
        <w:rPr>
          <w:rFonts w:ascii="Times New Roman" w:cs="Times New Roman" w:eastAsia="Times New Roman" w:hAnsi="Times New Roman"/>
          <w:sz w:val="18"/>
          <w:szCs w:val="18"/>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58" w:lineRule="exact"/>
        <w:rPr>
          <w:sz w:val="20"/>
          <w:szCs w:val="20"/>
          <w:color w:val="auto"/>
        </w:rPr>
      </w:pPr>
    </w:p>
    <w:p>
      <w:pPr>
        <w:ind w:right="60" w:firstLine="228"/>
        <w:spacing w:after="0" w:line="255" w:lineRule="auto"/>
        <w:rPr>
          <w:sz w:val="20"/>
          <w:szCs w:val="20"/>
          <w:color w:val="auto"/>
        </w:rPr>
      </w:pPr>
      <w:r>
        <w:rPr>
          <w:rFonts w:ascii="Times New Roman" w:cs="Times New Roman" w:eastAsia="Times New Roman" w:hAnsi="Times New Roman"/>
          <w:sz w:val="18"/>
          <w:szCs w:val="18"/>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58" w:lineRule="exact"/>
        <w:rPr>
          <w:sz w:val="20"/>
          <w:szCs w:val="20"/>
          <w:color w:val="auto"/>
        </w:rPr>
      </w:pPr>
    </w:p>
    <w:p>
      <w:pPr>
        <w:ind w:right="60" w:firstLine="228"/>
        <w:spacing w:after="0" w:line="255" w:lineRule="auto"/>
        <w:rPr>
          <w:sz w:val="20"/>
          <w:szCs w:val="20"/>
          <w:color w:val="auto"/>
        </w:rPr>
      </w:pPr>
      <w:r>
        <w:rPr>
          <w:rFonts w:ascii="Times New Roman" w:cs="Times New Roman" w:eastAsia="Times New Roman" w:hAnsi="Times New Roman"/>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Other product candidates that we may develop could face similar obstacles and costs.</w:t>
      </w:r>
    </w:p>
    <w:p>
      <w:pPr>
        <w:spacing w:after="0" w:line="135" w:lineRule="exact"/>
        <w:rPr>
          <w:sz w:val="20"/>
          <w:szCs w:val="20"/>
          <w:color w:val="auto"/>
        </w:rPr>
      </w:pPr>
    </w:p>
    <w:p>
      <w:pPr>
        <w:ind w:left="120"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34" w:lineRule="exact"/>
        <w:rPr>
          <w:sz w:val="20"/>
          <w:szCs w:val="20"/>
          <w:color w:val="auto"/>
        </w:rPr>
      </w:pPr>
    </w:p>
    <w:p>
      <w:pPr>
        <w:ind w:right="280" w:firstLine="228"/>
        <w:spacing w:after="0" w:line="258" w:lineRule="auto"/>
        <w:rPr>
          <w:sz w:val="20"/>
          <w:szCs w:val="20"/>
          <w:color w:val="auto"/>
        </w:rPr>
      </w:pPr>
      <w:r>
        <w:rPr>
          <w:rFonts w:ascii="Times New Roman" w:cs="Times New Roman" w:eastAsia="Times New Roman" w:hAnsi="Times New Roman"/>
          <w:sz w:val="18"/>
          <w:szCs w:val="18"/>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32" w:lineRule="exact"/>
        <w:rPr>
          <w:sz w:val="20"/>
          <w:szCs w:val="20"/>
          <w:color w:val="auto"/>
        </w:rPr>
      </w:pPr>
    </w:p>
    <w:p>
      <w:pPr>
        <w:ind w:left="120" w:right="2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48" w:lineRule="exact"/>
        <w:rPr>
          <w:sz w:val="20"/>
          <w:szCs w:val="20"/>
          <w:color w:val="auto"/>
        </w:rPr>
      </w:pPr>
    </w:p>
    <w:p>
      <w:pPr>
        <w:ind w:right="60" w:firstLine="228"/>
        <w:spacing w:after="0" w:line="256"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20"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34"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There are no assurances that any advantages of AFREZZA will be agreed to by the FDA or otherwise included in product labeling or advertising and, as a result, AFREZZA may not have our expected competitive advantages when compared to other insulin products.</w:t>
      </w:r>
    </w:p>
    <w:p>
      <w:pPr>
        <w:spacing w:after="0" w:line="58"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55"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suppliers will be subject to FDA inspection before the agency approves an NDA for AFREZZA.</w:t>
      </w:r>
    </w:p>
    <w:p>
      <w:pPr>
        <w:spacing w:after="0" w:line="94"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34" w:lineRule="exact"/>
        <w:rPr>
          <w:sz w:val="20"/>
          <w:szCs w:val="20"/>
          <w:color w:val="auto"/>
        </w:rPr>
      </w:pPr>
    </w:p>
    <w:p>
      <w:pPr>
        <w:ind w:left="120" w:right="6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34"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At present, there are a number of clinical trials being conducted by us and other pharmaceutical companies involving insulin delivery systems. If we discover that AFREZZA is associated with a significantly increased</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455"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frequency of adverse events, or if other pharmaceutical companies announce that they observed frequent adverse events in their trials involving insulin therapies, we could encounter delays in the timing of our clinical trials, difficulties in obtaining approval of AFREZZA or be subject to class warnings in the label for AFREZZA, if approved.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55"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94"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60"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For example, although some patents providing protection for our AFREZZA inhalation powder expire in 2012, other patents providing similar protection will remain in force into 2020. In addition, patents providing protection for our inhaler and cartridges will remain in force into 2023, and we have broad method of treatment claims that can be maintained in force into 2020 as well as narrower treatment claims that can be maintained in force variously into 2026 and 2029. As and when these different patents expire, AFREZZA could become subject to increased competition. As a consequence, we may not be able to recover our development costs.</w:t>
      </w:r>
    </w:p>
    <w:p>
      <w:pPr>
        <w:spacing w:after="0" w:line="58" w:lineRule="exact"/>
        <w:rPr>
          <w:sz w:val="20"/>
          <w:szCs w:val="20"/>
          <w:color w:val="auto"/>
        </w:rPr>
      </w:pPr>
    </w:p>
    <w:p>
      <w:pPr>
        <w:jc w:val="both"/>
        <w:ind w:right="80" w:firstLine="228"/>
        <w:spacing w:after="0" w:line="258" w:lineRule="auto"/>
        <w:rPr>
          <w:sz w:val="20"/>
          <w:szCs w:val="20"/>
          <w:color w:val="auto"/>
        </w:rPr>
      </w:pPr>
      <w:r>
        <w:rPr>
          <w:rFonts w:ascii="Times New Roman" w:cs="Times New Roman" w:eastAsia="Times New Roman" w:hAnsi="Times New Roman"/>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55"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and may also affect patent litigation. The USPTO is currently developing regulations and procedures to govern administration of the Leahy-Smith Act, and many of the substantive changes to patent law associated with the Leahy-Smith Act will not become effective until one year or 18 months after its enactment.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60" w:lineRule="exact"/>
        <w:rPr>
          <w:sz w:val="20"/>
          <w:szCs w:val="20"/>
          <w:color w:val="auto"/>
        </w:rPr>
      </w:pPr>
    </w:p>
    <w:p>
      <w:pPr>
        <w:ind w:right="100" w:firstLine="228"/>
        <w:spacing w:after="0" w:line="275"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32" w:lineRule="exact"/>
        <w:rPr>
          <w:sz w:val="20"/>
          <w:szCs w:val="20"/>
          <w:color w:val="auto"/>
        </w:rPr>
      </w:pPr>
    </w:p>
    <w:p>
      <w:pPr>
        <w:ind w:left="120" w:right="7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34"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58" w:lineRule="exact"/>
        <w:rPr>
          <w:sz w:val="20"/>
          <w:szCs w:val="20"/>
          <w:color w:val="auto"/>
        </w:rPr>
      </w:pPr>
    </w:p>
    <w:p>
      <w:pPr>
        <w:ind w:right="80" w:firstLine="228"/>
        <w:spacing w:after="0" w:line="296" w:lineRule="auto"/>
        <w:rPr>
          <w:sz w:val="20"/>
          <w:szCs w:val="20"/>
          <w:color w:val="auto"/>
        </w:rPr>
      </w:pPr>
      <w:r>
        <w:rPr>
          <w:rFonts w:ascii="Times New Roman" w:cs="Times New Roman" w:eastAsia="Times New Roman" w:hAnsi="Times New Roman"/>
          <w:sz w:val="16"/>
          <w:szCs w:val="16"/>
          <w:color w:val="auto"/>
        </w:rPr>
        <w:t>Interference proceedings brought by the United States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27"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32" w:lineRule="exact"/>
        <w:rPr>
          <w:sz w:val="20"/>
          <w:szCs w:val="20"/>
          <w:color w:val="auto"/>
        </w:rPr>
      </w:pPr>
    </w:p>
    <w:p>
      <w:pPr>
        <w:ind w:left="120"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34"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51"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39" w:lineRule="exact"/>
        <w:rPr>
          <w:sz w:val="20"/>
          <w:szCs w:val="20"/>
          <w:color w:val="auto"/>
        </w:rPr>
      </w:pPr>
    </w:p>
    <w:p>
      <w:pPr>
        <w:ind w:right="60" w:firstLine="228"/>
        <w:spacing w:after="0" w:line="296" w:lineRule="auto"/>
        <w:rPr>
          <w:sz w:val="20"/>
          <w:szCs w:val="20"/>
          <w:color w:val="auto"/>
        </w:rPr>
      </w:pPr>
      <w:r>
        <w:rPr>
          <w:rFonts w:ascii="Times New Roman" w:cs="Times New Roman" w:eastAsia="Times New Roman" w:hAnsi="Times New Roman"/>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39" w:lineRule="exact"/>
        <w:rPr>
          <w:sz w:val="20"/>
          <w:szCs w:val="20"/>
          <w:color w:val="auto"/>
        </w:rPr>
      </w:pPr>
    </w:p>
    <w:p>
      <w:pPr>
        <w:ind w:right="100" w:firstLine="228"/>
        <w:spacing w:after="0" w:line="254" w:lineRule="auto"/>
        <w:rPr>
          <w:sz w:val="20"/>
          <w:szCs w:val="20"/>
          <w:color w:val="auto"/>
        </w:rPr>
      </w:pPr>
      <w:r>
        <w:rPr>
          <w:rFonts w:ascii="Times New Roman" w:cs="Times New Roman" w:eastAsia="Times New Roman" w:hAnsi="Times New Roman"/>
          <w:sz w:val="18"/>
          <w:szCs w:val="18"/>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57"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as well as third-party patents disclosing methods of use and compositions of matter related to cancer vaccines that also may trigger an allegation of infringement upon the commercial manufacture and sale of our cancer immunotherapy.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58"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55"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94" w:lineRule="exact"/>
        <w:rPr>
          <w:sz w:val="20"/>
          <w:szCs w:val="20"/>
          <w:color w:val="auto"/>
        </w:rPr>
      </w:pPr>
    </w:p>
    <w:p>
      <w:pPr>
        <w:ind w:right="100" w:firstLine="228"/>
        <w:spacing w:after="0" w:line="296" w:lineRule="auto"/>
        <w:rPr>
          <w:sz w:val="20"/>
          <w:szCs w:val="20"/>
          <w:color w:val="auto"/>
        </w:rPr>
      </w:pPr>
      <w:r>
        <w:rPr>
          <w:rFonts w:ascii="Times New Roman" w:cs="Times New Roman" w:eastAsia="Times New Roman" w:hAnsi="Times New Roman"/>
          <w:sz w:val="16"/>
          <w:szCs w:val="16"/>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94"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1" w:lineRule="exact"/>
        <w:rPr>
          <w:sz w:val="20"/>
          <w:szCs w:val="20"/>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90" w:lineRule="exact"/>
        <w:rPr>
          <w:rFonts w:ascii="Times New Roman" w:cs="Times New Roman" w:eastAsia="Times New Roman" w:hAnsi="Times New Roman"/>
          <w:sz w:val="18"/>
          <w:szCs w:val="18"/>
          <w:color w:val="auto"/>
        </w:rPr>
      </w:pPr>
    </w:p>
    <w:p>
      <w:pPr>
        <w:ind w:left="440" w:right="500" w:hanging="216"/>
        <w:spacing w:after="0" w:line="275"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AFREZZA or other product candidates;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fluctuations for emerging growth and pharmaceutical market sectors;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litigation against us and certain of our executive officers and directors;</w:t>
      </w:r>
    </w:p>
    <w:p>
      <w:pPr>
        <w:spacing w:after="0" w:line="90" w:lineRule="exact"/>
        <w:rPr>
          <w:rFonts w:ascii="Times New Roman" w:cs="Times New Roman" w:eastAsia="Times New Roman" w:hAnsi="Times New Roman"/>
          <w:sz w:val="18"/>
          <w:szCs w:val="18"/>
          <w:color w:val="auto"/>
        </w:rPr>
      </w:pPr>
    </w:p>
    <w:p>
      <w:pPr>
        <w:ind w:left="440" w:right="20" w:hanging="216"/>
        <w:spacing w:after="0" w:line="257"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and the issuance of shares of our common stock pursuant to, the share lending agreement and the short sales of our common stock effected in connection with the sale of our 5.75% convertible notes due 2015; and</w:t>
      </w:r>
    </w:p>
    <w:p>
      <w:pPr>
        <w:spacing w:after="0" w:line="1" w:lineRule="exact"/>
        <w:rPr>
          <w:rFonts w:ascii="Times New Roman" w:cs="Times New Roman" w:eastAsia="Times New Roman" w:hAnsi="Times New Roman"/>
          <w:sz w:val="18"/>
          <w:szCs w:val="18"/>
          <w:color w:val="auto"/>
        </w:rPr>
      </w:pPr>
    </w:p>
    <w:p>
      <w:pPr>
        <w:ind w:left="440" w:hanging="216"/>
        <w:spacing w:after="0" w:line="25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price of our common stock to decline.</w:t>
      </w:r>
    </w:p>
    <w:p>
      <w:pPr>
        <w:spacing w:after="0" w:line="167" w:lineRule="exact"/>
        <w:rPr>
          <w:sz w:val="20"/>
          <w:szCs w:val="20"/>
          <w:color w:val="auto"/>
        </w:rPr>
      </w:pPr>
    </w:p>
    <w:p>
      <w:pPr>
        <w:ind w:left="120"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34" w:lineRule="exact"/>
        <w:rPr>
          <w:sz w:val="20"/>
          <w:szCs w:val="20"/>
          <w:color w:val="auto"/>
        </w:rPr>
      </w:pPr>
    </w:p>
    <w:p>
      <w:pPr>
        <w:jc w:val="both"/>
        <w:ind w:right="180" w:firstLine="228"/>
        <w:spacing w:after="0" w:line="262" w:lineRule="auto"/>
        <w:rPr>
          <w:sz w:val="20"/>
          <w:szCs w:val="20"/>
          <w:color w:val="auto"/>
        </w:rPr>
      </w:pPr>
      <w:r>
        <w:rPr>
          <w:rFonts w:ascii="Times New Roman" w:cs="Times New Roman" w:eastAsia="Times New Roman" w:hAnsi="Times New Roman"/>
          <w:sz w:val="18"/>
          <w:szCs w:val="18"/>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55" w:lineRule="exact"/>
        <w:rPr>
          <w:sz w:val="20"/>
          <w:szCs w:val="20"/>
          <w:color w:val="auto"/>
        </w:rPr>
      </w:pPr>
    </w:p>
    <w:p>
      <w:pPr>
        <w:ind w:right="220" w:firstLine="228"/>
        <w:spacing w:after="0" w:line="262"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28" w:lineRule="exact"/>
        <w:rPr>
          <w:sz w:val="20"/>
          <w:szCs w:val="20"/>
          <w:color w:val="auto"/>
        </w:rPr>
      </w:pPr>
    </w:p>
    <w:p>
      <w:pPr>
        <w:ind w:left="120"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48"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At December 31, 2011, Mr. Mann beneficially owned approximately 39.4% of our outstanding shares of capital stock, after giving effect to the issuance of shares of our common stock in February 2012, excluding the 21,562,500 shares of common stock that may be issued from time to time upon exercise of the warrants issued in the offering. If further effect is given to the issuance of 31,250,000 restricted shares of our common stock in the concurrent private placement issuable upon receipt of stockholder approval to increase the number of our authorized shares, as of March 2, 2012, Mr. Mann would have beneficially owned approximately 41.8%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57"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09" w:lineRule="exact"/>
        <w:rPr>
          <w:sz w:val="20"/>
          <w:szCs w:val="20"/>
          <w:color w:val="auto"/>
        </w:rPr>
      </w:pPr>
    </w:p>
    <w:p>
      <w:pPr>
        <w:ind w:left="120"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future sale of our common stock, the conversion of our senior convertible notes into common stock or the exercise of our warrants for common stock could negatively affect our stock price.</w:t>
      </w:r>
    </w:p>
    <w:p>
      <w:pPr>
        <w:spacing w:after="0" w:line="34"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As of December 31, 2011, we had 131,522,945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or upon the exercise of some or all of the warrants we issued in February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those shares could impair our ability to raise needed capital by depressing the price at which we could sell our common stock.</w:t>
      </w:r>
    </w:p>
    <w:p>
      <w:pPr>
        <w:spacing w:after="0" w:line="90" w:lineRule="exact"/>
        <w:rPr>
          <w:sz w:val="20"/>
          <w:szCs w:val="20"/>
          <w:color w:val="auto"/>
        </w:rPr>
      </w:pPr>
    </w:p>
    <w:p>
      <w:pPr>
        <w:ind w:right="80" w:firstLine="228"/>
        <w:spacing w:after="0" w:line="339" w:lineRule="auto"/>
        <w:rPr>
          <w:sz w:val="20"/>
          <w:szCs w:val="20"/>
          <w:color w:val="auto"/>
        </w:rPr>
      </w:pPr>
      <w:r>
        <w:rPr>
          <w:rFonts w:ascii="Times New Roman" w:cs="Times New Roman" w:eastAsia="Times New Roman" w:hAnsi="Times New Roman"/>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70" w:lineRule="exact"/>
        <w:rPr>
          <w:sz w:val="20"/>
          <w:szCs w:val="20"/>
          <w:color w:val="auto"/>
        </w:rPr>
      </w:pPr>
    </w:p>
    <w:p>
      <w:pPr>
        <w:ind w:left="120"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reserved for future issuance substantially all of our authorized but unissued shares of common stock, which may impair our ability to conduct future financing and other transactions.</w:t>
      </w:r>
    </w:p>
    <w:p>
      <w:pPr>
        <w:spacing w:after="0" w:line="34" w:lineRule="exact"/>
        <w:rPr>
          <w:sz w:val="20"/>
          <w:szCs w:val="20"/>
          <w:color w:val="auto"/>
        </w:rPr>
      </w:pPr>
    </w:p>
    <w:p>
      <w:pPr>
        <w:ind w:right="220" w:firstLine="228"/>
        <w:spacing w:after="0" w:line="287" w:lineRule="auto"/>
        <w:rPr>
          <w:sz w:val="20"/>
          <w:szCs w:val="20"/>
          <w:color w:val="auto"/>
        </w:rPr>
      </w:pPr>
      <w:r>
        <w:rPr>
          <w:rFonts w:ascii="Times New Roman" w:cs="Times New Roman" w:eastAsia="Times New Roman" w:hAnsi="Times New Roman"/>
          <w:sz w:val="16"/>
          <w:szCs w:val="16"/>
          <w:color w:val="auto"/>
        </w:rPr>
        <w:t>Our certificate of incorporation currently authorizes us to issue up to 250,000,000 shares of common stock and 10,000,000 shares of preferred stock. As of December 31, 2011, we had a total of 118,477,055 shares of common stock that were authorized but unissued. We have reserved substantially all of our authorized but unissued shares for future issuance pursuant to outstanding equity awards, our equity plans, our 3.75% senior convertible notes due 2013, our</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5.75% senior convertible notes due 2015, warrants with a term of 4 years expiring on February 8, 2016 and the Common Stock Purchase Agreement we entered into with The Mann Group LLC concurrently with our February 2012 offering of common stock and warrants. As a result, our ability to issue shares of common stock other than pursuant to existing arrangements will be limited until such time, if ever, that we are able to amend our certificate of incorporation to further increase our authorized shares of common stock or shares currently reserved for issuance otherwise become available (for example, due to the termination of the underlying agreement to issue the shares).</w:t>
      </w:r>
    </w:p>
    <w:p>
      <w:pPr>
        <w:spacing w:after="0" w:line="58" w:lineRule="exact"/>
        <w:rPr>
          <w:sz w:val="20"/>
          <w:szCs w:val="20"/>
          <w:color w:val="auto"/>
        </w:rPr>
      </w:pPr>
    </w:p>
    <w:p>
      <w:pPr>
        <w:ind w:firstLine="228"/>
        <w:spacing w:after="0" w:line="288" w:lineRule="auto"/>
        <w:rPr>
          <w:sz w:val="20"/>
          <w:szCs w:val="20"/>
          <w:color w:val="auto"/>
        </w:rPr>
      </w:pPr>
      <w:r>
        <w:rPr>
          <w:rFonts w:ascii="Times New Roman" w:cs="Times New Roman" w:eastAsia="Times New Roman" w:hAnsi="Times New Roman"/>
          <w:sz w:val="16"/>
          <w:szCs w:val="16"/>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327" w:lineRule="exact"/>
        <w:rPr>
          <w:sz w:val="20"/>
          <w:szCs w:val="20"/>
          <w:color w:val="auto"/>
        </w:rPr>
      </w:pPr>
    </w:p>
    <w:p>
      <w:pPr>
        <w:ind w:left="120"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34" w:lineRule="exact"/>
        <w:rPr>
          <w:sz w:val="20"/>
          <w:szCs w:val="20"/>
          <w:color w:val="auto"/>
        </w:rPr>
      </w:pPr>
    </w:p>
    <w:p>
      <w:pPr>
        <w:ind w:firstLine="228"/>
        <w:spacing w:after="0" w:line="290" w:lineRule="auto"/>
        <w:rPr>
          <w:sz w:val="20"/>
          <w:szCs w:val="20"/>
          <w:color w:val="auto"/>
        </w:rPr>
      </w:pPr>
      <w:r>
        <w:rPr>
          <w:rFonts w:ascii="Times New Roman" w:cs="Times New Roman" w:eastAsia="Times New Roman" w:hAnsi="Times New Roman"/>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20"/>
          </w:cols>
          <w:pgMar w:left="24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your investment.</w:t>
      </w:r>
    </w:p>
    <w:p>
      <w:pPr>
        <w:spacing w:after="0" w:line="94"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ind w:right="160" w:firstLine="228"/>
        <w:spacing w:after="0" w:line="256" w:lineRule="auto"/>
        <w:rPr>
          <w:sz w:val="20"/>
          <w:szCs w:val="20"/>
          <w:color w:val="auto"/>
        </w:rPr>
      </w:pPr>
      <w:r>
        <w:rPr>
          <w:rFonts w:ascii="Times New Roman" w:cs="Times New Roman" w:eastAsia="Times New Roman" w:hAnsi="Times New Roman"/>
          <w:sz w:val="18"/>
          <w:szCs w:val="18"/>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administrative and manufacturing functions, primarily for AFREZZA, filling and packaging. We believe the Danbury facility will have sufficient space to satisfy potential commercial demand for the launch of AFREZZA and, with the expansion completed, the first few years thereafter for AFREZZA and other AFREZZA-related products.</w:t>
      </w:r>
    </w:p>
    <w:p>
      <w:pPr>
        <w:spacing w:after="0" w:line="58" w:lineRule="exact"/>
        <w:rPr>
          <w:sz w:val="20"/>
          <w:szCs w:val="20"/>
          <w:color w:val="auto"/>
        </w:rPr>
      </w:pPr>
    </w:p>
    <w:p>
      <w:pPr>
        <w:ind w:right="200" w:firstLine="228"/>
        <w:spacing w:after="0" w:line="262" w:lineRule="auto"/>
        <w:rPr>
          <w:sz w:val="20"/>
          <w:szCs w:val="20"/>
          <w:color w:val="auto"/>
        </w:rPr>
      </w:pPr>
      <w:r>
        <w:rPr>
          <w:rFonts w:ascii="Times New Roman" w:cs="Times New Roman" w:eastAsia="Times New Roman" w:hAnsi="Times New Roman"/>
          <w:sz w:val="18"/>
          <w:szCs w:val="18"/>
          <w:color w:val="auto"/>
        </w:rPr>
        <w:t>We own and occupy approximately 142,000 square feet of laboratory, office and warehouse space in Valencia, California. The facility contains our principal executive offices and houses our research and development laboratories for our cancer and other programs. We also use this facility to provide support for the development of our AFREZZA programs.</w:t>
      </w:r>
    </w:p>
    <w:p>
      <w:pPr>
        <w:spacing w:after="0" w:line="51" w:lineRule="exact"/>
        <w:rPr>
          <w:sz w:val="20"/>
          <w:szCs w:val="20"/>
          <w:color w:val="auto"/>
        </w:rPr>
      </w:pPr>
    </w:p>
    <w:p>
      <w:pPr>
        <w:ind w:right="2180" w:firstLine="228"/>
        <w:spacing w:after="0" w:line="391" w:lineRule="auto"/>
        <w:rPr>
          <w:sz w:val="20"/>
          <w:szCs w:val="20"/>
          <w:color w:val="auto"/>
        </w:rPr>
      </w:pPr>
      <w:r>
        <w:rPr>
          <w:rFonts w:ascii="Times New Roman" w:cs="Times New Roman" w:eastAsia="Times New Roman" w:hAnsi="Times New Roman"/>
          <w:sz w:val="18"/>
          <w:szCs w:val="18"/>
          <w:color w:val="auto"/>
        </w:rPr>
        <w:t xml:space="preserve">We lease approximately 23,000 square feet of office space in Paramus, New Jersey pursuant to a lease that expires in May 2012. </w:t>
      </w: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On December 13, 2011, we announced that we reached a final resolution of the arbitration proceedings initiated by John Arditi, our former Senior Director— GCP—Regulatory Affairs. In connection with the resolution of the matter, Mr. Arditi withdrew his wrongful discharge and related claims against us. In return, we withdrew our claims against Mr. Arditi. Neither party paid any monetary consideration to the other party in connection with the resolution of the arbitration proceedings.</w:t>
      </w:r>
    </w:p>
    <w:p>
      <w:pPr>
        <w:spacing w:after="0" w:line="55" w:lineRule="exact"/>
        <w:rPr>
          <w:sz w:val="20"/>
          <w:szCs w:val="20"/>
          <w:color w:val="auto"/>
        </w:rPr>
      </w:pPr>
    </w:p>
    <w:p>
      <w:pPr>
        <w:ind w:firstLine="228"/>
        <w:spacing w:after="0" w:line="288" w:lineRule="auto"/>
        <w:rPr>
          <w:sz w:val="20"/>
          <w:szCs w:val="20"/>
          <w:color w:val="auto"/>
        </w:rPr>
      </w:pPr>
      <w:r>
        <w:rPr>
          <w:rFonts w:ascii="Times New Roman" w:cs="Times New Roman" w:eastAsia="Times New Roman" w:hAnsi="Times New Roman"/>
          <w:sz w:val="16"/>
          <w:szCs w:val="16"/>
          <w:color w:val="auto"/>
        </w:rPr>
        <w:t>Beginning January 31, 2011, several complaints were filed in the U.S. District Court for the Central District of California against us and four of our officers – Alfred E. Mann, Hakan S. Edstrom, Dr. Peter C. Richardson and Matthew J. Pfeffer – on behalf of certain purchasers of our common stock. The complaints include claims asserted under Sections 10(b) and 20(a) of the Securities Exchange Act of 1934, as amended, and have been brought as purported shareholder class actions. In general, the complaints allege that the defendants violated federal securities laws by making materially false and misleading statements regarding our business and prospects for AFREZZA, thereby artificially inflating the price of our common stock. The plaintiffs are seeking unspecified monetary damages and other relief. The complaints have been transferred to a single court and consolidated for all purposes. The court appointed a lead plaintiff and lead counsel and a consolidated complaint was filed on June 27, 2011. On August 12, 2011, we filed a motion to dismiss the complaint and a motion to strike the expert report attached to that complaint. On December 16, 2011, the court denied both motions. On January 27, 2012, defendants filed a motion to stay the action and certify the court’s December 16 order for interlocutory appeal, or in the alternative to reconsider. On March 2, 2012, the court denied both motions. Discovery has commenced, and we will vigorously defend against the claims advanced. The parties have also agreed to mediation, which is set for April 30, 2012.</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228"/>
        <w:spacing w:after="0" w:line="296" w:lineRule="auto"/>
        <w:rPr>
          <w:sz w:val="20"/>
          <w:szCs w:val="20"/>
          <w:color w:val="auto"/>
        </w:rPr>
      </w:pPr>
      <w:r>
        <w:rPr>
          <w:rFonts w:ascii="Times New Roman" w:cs="Times New Roman" w:eastAsia="Times New Roman" w:hAnsi="Times New Roman"/>
          <w:sz w:val="16"/>
          <w:szCs w:val="16"/>
          <w:color w:val="auto"/>
        </w:rPr>
        <w:t>In February 2011, shareholder derivative complaints were filed in the Superior Court of California for the County of Los Angeles and in the U.S. District Court for the Central District of California against all of our directors and certain of our officers. The complaints in the shareholder derivative actions allege breaches of fiduciary duties by the defendants and other violations of law. In general, the complaints allege that the defendants caused or allowed for the dissemination of materially false and misleading statements regarding our business and prospects for AFREZZA, thereby artificially inflating the price of our common stock. The plaintiffs are seeking unspecified monetary damages and other relief, including reforms to our corporate governance and internal procedures.</w:t>
      </w:r>
    </w:p>
    <w:p>
      <w:pPr>
        <w:spacing w:after="0" w:line="27" w:lineRule="exact"/>
        <w:rPr>
          <w:sz w:val="20"/>
          <w:szCs w:val="20"/>
          <w:color w:val="auto"/>
        </w:rPr>
      </w:pPr>
    </w:p>
    <w:p>
      <w:pPr>
        <w:jc w:val="both"/>
        <w:ind w:firstLine="228"/>
        <w:spacing w:after="0" w:line="262" w:lineRule="auto"/>
        <w:rPr>
          <w:sz w:val="20"/>
          <w:szCs w:val="20"/>
          <w:color w:val="auto"/>
        </w:rPr>
      </w:pPr>
      <w:r>
        <w:rPr>
          <w:rFonts w:ascii="Times New Roman" w:cs="Times New Roman" w:eastAsia="Times New Roman" w:hAnsi="Times New Roman"/>
          <w:sz w:val="18"/>
          <w:szCs w:val="18"/>
          <w:color w:val="auto"/>
        </w:rPr>
        <w:t>The Superior Court of California for the County of Los Angeles has consolidated the actions pending before it and appointed lead counsel. The Superior Court of California for the County of Los Angeles has stayed the litigation until September 5, 2012, consistent with the parties’ stipulation. A status conference is set for September 5, 2012.</w:t>
      </w:r>
    </w:p>
    <w:p>
      <w:pPr>
        <w:spacing w:after="0" w:line="51" w:lineRule="exact"/>
        <w:rPr>
          <w:sz w:val="20"/>
          <w:szCs w:val="20"/>
          <w:color w:val="auto"/>
        </w:rPr>
      </w:pPr>
    </w:p>
    <w:p>
      <w:pPr>
        <w:ind w:right="40" w:firstLine="228"/>
        <w:spacing w:after="0" w:line="293" w:lineRule="auto"/>
        <w:rPr>
          <w:sz w:val="20"/>
          <w:szCs w:val="20"/>
          <w:color w:val="auto"/>
        </w:rPr>
      </w:pPr>
      <w:r>
        <w:rPr>
          <w:rFonts w:ascii="Times New Roman" w:cs="Times New Roman" w:eastAsia="Times New Roman" w:hAnsi="Times New Roman"/>
          <w:sz w:val="16"/>
          <w:szCs w:val="16"/>
          <w:color w:val="auto"/>
        </w:rPr>
        <w:t>Likewise, the U.S. District Court for the Central District of California has consolidated the derivative actions pending before it. The U.S. District Court for the Central District of California has also appointed lead plaintiffs and lead counsel and a consolidated complaint was filed on August 12, 2011. We filed a motion to dismiss this complaint on September 26, 2011 and the parties subsequently stipulated to stay the litigation. That stay expired on January 10, 2012, and on January 20, 2012, the Court issued a minute order setting a briefing schedule regarding defendants’ motion to dismiss. Plaintiff opposed the motion on February 6, and defendants filed a reply on February 13. On February 14, 2012, the Court granted defendants’ motion to dismiss without prejudice. Plaintiff filed an amended complaint on March 5, 2012. The Court has stayed the litigation pending the outcome of mediation, consistent with the parties’ stipulation.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9" w:lineRule="exact"/>
        <w:rPr>
          <w:sz w:val="20"/>
          <w:szCs w:val="20"/>
          <w:color w:val="auto"/>
        </w:rPr>
      </w:pPr>
    </w:p>
    <w:p>
      <w:pPr>
        <w:ind w:right="244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the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Common Stock Market Price</w:t>
      </w:r>
    </w:p>
    <w:p>
      <w:pPr>
        <w:spacing w:after="0" w:line="1" w:lineRule="exact"/>
        <w:rPr>
          <w:sz w:val="20"/>
          <w:szCs w:val="20"/>
          <w:color w:val="auto"/>
        </w:rPr>
      </w:pPr>
    </w:p>
    <w:p>
      <w:pPr>
        <w:ind w:right="300" w:firstLine="228"/>
        <w:spacing w:after="0" w:line="275" w:lineRule="auto"/>
        <w:rPr>
          <w:sz w:val="20"/>
          <w:szCs w:val="20"/>
          <w:color w:val="auto"/>
        </w:rPr>
      </w:pPr>
      <w:r>
        <w:rPr>
          <w:rFonts w:ascii="Times New Roman" w:cs="Times New Roman" w:eastAsia="Times New Roman" w:hAnsi="Times New Roman"/>
          <w:sz w:val="18"/>
          <w:szCs w:val="18"/>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Year ended December 31, 2010</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11.12</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7.33</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7.36</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9.23</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8"/>
                <w:szCs w:val="18"/>
                <w:color w:val="auto"/>
              </w:rPr>
            </w:pPr>
          </w:p>
        </w:tc>
      </w:tr>
      <w:tr>
        <w:trPr>
          <w:trHeight w:val="37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10.05</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4.75</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8"/>
                <w:szCs w:val="18"/>
                <w:color w:val="auto"/>
              </w:rPr>
            </w:pPr>
          </w:p>
        </w:tc>
      </w:tr>
      <w:tr>
        <w:trPr>
          <w:trHeight w:val="228"/>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r>
    </w:tbl>
    <w:p>
      <w:pPr>
        <w:spacing w:after="0" w:line="108" w:lineRule="exact"/>
        <w:rPr>
          <w:sz w:val="20"/>
          <w:szCs w:val="20"/>
          <w:color w:val="auto"/>
        </w:rPr>
      </w:pPr>
    </w:p>
    <w:p>
      <w:pPr>
        <w:jc w:val="both"/>
        <w:ind w:right="120" w:firstLine="228"/>
        <w:spacing w:after="0" w:line="275" w:lineRule="auto"/>
        <w:rPr>
          <w:sz w:val="20"/>
          <w:szCs w:val="20"/>
          <w:color w:val="auto"/>
        </w:rPr>
      </w:pPr>
      <w:r>
        <w:rPr>
          <w:rFonts w:ascii="Times New Roman" w:cs="Times New Roman" w:eastAsia="Times New Roman" w:hAnsi="Times New Roman"/>
          <w:sz w:val="18"/>
          <w:szCs w:val="18"/>
          <w:color w:val="auto"/>
        </w:rPr>
        <w:t>The closing sales price of our common stock on the NASDAQ Global Market was $2.28 on March 2, 2012 and there were 193 registered holders of record as of that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Measurement Comparison</w:t>
      </w:r>
    </w:p>
    <w:p>
      <w:pPr>
        <w:spacing w:after="0" w:line="90" w:lineRule="exact"/>
        <w:rPr>
          <w:sz w:val="20"/>
          <w:szCs w:val="20"/>
          <w:color w:val="auto"/>
        </w:rPr>
      </w:pPr>
    </w:p>
    <w:p>
      <w:pPr>
        <w:ind w:right="4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of 1933, as amended, or the Securities Act, or the Exchange Act of 1934, as amended, or the Exchange Act, except to the extent we specifically incorporate this section by reference.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Measurement Comparison</w:t>
      </w:r>
    </w:p>
    <w:p>
      <w:pPr>
        <w:spacing w:after="0" w:line="92" w:lineRule="exact"/>
        <w:rPr>
          <w:sz w:val="20"/>
          <w:szCs w:val="20"/>
          <w:color w:val="auto"/>
        </w:rPr>
      </w:pPr>
    </w:p>
    <w:p>
      <w:pPr>
        <w:jc w:val="both"/>
        <w:ind w:firstLine="228"/>
        <w:spacing w:after="0" w:line="262" w:lineRule="auto"/>
        <w:rPr>
          <w:sz w:val="20"/>
          <w:szCs w:val="20"/>
          <w:color w:val="auto"/>
        </w:rPr>
      </w:pPr>
      <w:r>
        <w:rPr>
          <w:rFonts w:ascii="Times New Roman" w:cs="Times New Roman" w:eastAsia="Times New Roman" w:hAnsi="Times New Roman"/>
          <w:sz w:val="18"/>
          <w:szCs w:val="18"/>
          <w:color w:val="auto"/>
        </w:rPr>
        <w:t>The following graph illustrates a comparison of the cumulative total stockholder return (change in stock price plus reinvested dividends) of our common stock with (i) the NASDAQ Composite Index and (ii) the NASDAQ Biotechnology Index. 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221615</wp:posOffset>
            </wp:positionV>
            <wp:extent cx="4347845" cy="3001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4784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40" w:firstLine="228"/>
        <w:spacing w:after="0" w:line="275" w:lineRule="auto"/>
        <w:rPr>
          <w:sz w:val="20"/>
          <w:szCs w:val="20"/>
          <w:color w:val="auto"/>
        </w:rPr>
      </w:pPr>
      <w:r>
        <w:rPr>
          <w:rFonts w:ascii="Times New Roman" w:cs="Times New Roman" w:eastAsia="Times New Roman" w:hAnsi="Times New Roman"/>
          <w:sz w:val="18"/>
          <w:szCs w:val="18"/>
          <w:color w:val="auto"/>
        </w:rPr>
        <w:t>Assumes a $100 investment, on December 31, 2006, in (i) our common stock, (ii) the securities comprising the NASDAQ Composite Index and (iii) the securities comprising the NASDAQ Biotechnology Index.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92" w:lineRule="exact"/>
        <w:rPr>
          <w:sz w:val="20"/>
          <w:szCs w:val="20"/>
          <w:color w:val="auto"/>
        </w:rPr>
      </w:pPr>
    </w:p>
    <w:p>
      <w:pPr>
        <w:jc w:val="both"/>
        <w:ind w:right="120" w:firstLine="228"/>
        <w:spacing w:after="0" w:line="26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list sets forth information regarding all securities sold by us during the fiscal year ended December 31, 2011 without registration under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78" w:lineRule="exact"/>
        <w:rPr>
          <w:sz w:val="20"/>
          <w:szCs w:val="20"/>
          <w:color w:val="auto"/>
        </w:rPr>
      </w:pPr>
    </w:p>
    <w:p>
      <w:pPr>
        <w:ind w:left="700" w:hanging="240"/>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12, 2011, we issued 700,000 shares of our common stock to The Mann Group.</w:t>
      </w:r>
    </w:p>
    <w:p>
      <w:pPr>
        <w:spacing w:after="0" w:line="90" w:lineRule="exact"/>
        <w:rPr>
          <w:rFonts w:ascii="Times New Roman" w:cs="Times New Roman" w:eastAsia="Times New Roman" w:hAnsi="Times New Roman"/>
          <w:sz w:val="18"/>
          <w:szCs w:val="18"/>
          <w:color w:val="auto"/>
        </w:rPr>
      </w:pPr>
    </w:p>
    <w:p>
      <w:pPr>
        <w:ind w:left="700" w:hanging="240"/>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26, 2011, we issued 700,000 shares of our common stock to The Mann Group.</w:t>
      </w:r>
    </w:p>
    <w:p>
      <w:pPr>
        <w:spacing w:after="0" w:line="90"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The aggregate purchase price of the above transactions was approximately $11.1 million, which was paid by cancelling an equal amount of the outstanding principal under an existing $350.0 million revolving loan arrangement provided by The Mann Group. The offers, sales, and issuances of the securities described above were deemed to be exempt from registration under the Securities Act in reliance on Section 4(2) of the Securities Act and/or Rule 506 of Regulation D in that the issuance of securities to the accredited investors did not involve a public offering. The Mann Group was an accredited investor under Rule 501 of Regulation D. The Mann Group acquired the securities for investment only and not with a view to or for sale in connection with any distribution thereof and appropriate legends were affixed to the securities issued in these transactions.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94" w:lineRule="exact"/>
        <w:rPr>
          <w:sz w:val="20"/>
          <w:szCs w:val="20"/>
          <w:color w:val="auto"/>
        </w:rPr>
      </w:pPr>
    </w:p>
    <w:p>
      <w:pPr>
        <w:ind w:right="140" w:firstLine="228"/>
        <w:spacing w:after="0" w:line="339" w:lineRule="auto"/>
        <w:rPr>
          <w:sz w:val="20"/>
          <w:szCs w:val="20"/>
          <w:color w:val="auto"/>
        </w:rPr>
      </w:pPr>
      <w:r>
        <w:rPr>
          <w:rFonts w:ascii="Times New Roman" w:cs="Times New Roman" w:eastAsia="Times New Roman" w:hAnsi="Times New Roman"/>
          <w:sz w:val="16"/>
          <w:szCs w:val="16"/>
          <w:color w:val="auto"/>
        </w:rPr>
        <w:t>The following selected consolidated financial data should be read in conjunction with our consolidated financial statements and notes thereto and with “Management’s Discussion and Analysis of Financial Condition and Results of Operations,” which are included elsewhere in this Annual Report on Form 10-K.</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58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2008</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2010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980" w:type="dxa"/>
            <w:vAlign w:val="bottom"/>
            <w:tcBorders>
              <w:top w:val="single" w:sz="8" w:color="auto"/>
            </w:tcBorders>
            <w:gridSpan w:val="9"/>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thousands, except per share amounts)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1"/>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112,279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53,447</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140,589</w:t>
            </w:r>
          </w:p>
        </w:tc>
        <w:tc>
          <w:tcPr>
            <w:tcW w:w="0" w:type="dxa"/>
            <w:vAlign w:val="bottom"/>
          </w:tcPr>
          <w:p>
            <w:pPr>
              <w:spacing w:after="0"/>
              <w:rPr>
                <w:sz w:val="1"/>
                <w:szCs w:val="1"/>
                <w:color w:val="auto"/>
              </w:rPr>
            </w:pPr>
          </w:p>
        </w:tc>
      </w:tr>
      <w:tr>
        <w:trPr>
          <w:trHeight w:val="222"/>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(209,778)</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(152,498)</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on note payable to principal stockholder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(10,249)</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senior convertible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(293,187)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(303,037)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(220,104)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(170,560)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(293,190)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(303,039)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(220,104)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(170,560)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(160,804)</w:t>
            </w:r>
          </w:p>
        </w:tc>
        <w:tc>
          <w:tcPr>
            <w:tcW w:w="0" w:type="dxa"/>
            <w:vAlign w:val="bottom"/>
          </w:tcPr>
          <w:p>
            <w:pPr>
              <w:spacing w:after="0"/>
              <w:rPr>
                <w:sz w:val="1"/>
                <w:szCs w:val="1"/>
                <w:color w:val="auto"/>
              </w:rPr>
            </w:pPr>
          </w:p>
        </w:tc>
      </w:tr>
      <w:tr>
        <w:trPr>
          <w:trHeight w:val="20"/>
        </w:trPr>
        <w:tc>
          <w:tcPr>
            <w:tcW w:w="4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113,672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4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58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2008</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2010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368,285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46,492</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payable to related party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(1,081,039)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(1,384,078)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(1,604,182)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(1,774,742)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(1,935,546)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(59,221)</w:t>
            </w: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(185,532)</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(313,652)</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380" w:firstLine="228"/>
        <w:spacing w:after="0" w:line="275"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jc w:val="both"/>
        <w:ind w:right="240" w:firstLine="228"/>
        <w:spacing w:after="0" w:line="262" w:lineRule="auto"/>
        <w:rPr>
          <w:sz w:val="20"/>
          <w:szCs w:val="20"/>
          <w:color w:val="auto"/>
        </w:rPr>
      </w:pPr>
      <w:r>
        <w:rPr>
          <w:rFonts w:ascii="Times New Roman" w:cs="Times New Roman" w:eastAsia="Times New Roman" w:hAnsi="Times New Roman"/>
          <w:sz w:val="18"/>
          <w:szCs w:val="18"/>
          <w:color w:val="auto"/>
        </w:rPr>
        <w:t>We are a biopharmaceutical company focused on the discovery and development of therapeutic products for diseases such as diabetes and cancer. Our lead product candidate, AFREZZA, is an ultra rapid-acting insulin therapy that is in late-stage clinical investigation for the treatment of adults with type 1 or type 2 diabetes for the control of hyperglycemia.</w:t>
      </w:r>
    </w:p>
    <w:p>
      <w:pPr>
        <w:spacing w:after="0" w:line="51" w:lineRule="exact"/>
        <w:rPr>
          <w:sz w:val="20"/>
          <w:szCs w:val="20"/>
          <w:color w:val="auto"/>
        </w:rPr>
      </w:pPr>
    </w:p>
    <w:p>
      <w:pPr>
        <w:ind w:right="420" w:firstLine="228"/>
        <w:spacing w:after="0" w:line="256" w:lineRule="auto"/>
        <w:rPr>
          <w:sz w:val="20"/>
          <w:szCs w:val="20"/>
          <w:color w:val="auto"/>
        </w:rPr>
      </w:pPr>
      <w:r>
        <w:rPr>
          <w:rFonts w:ascii="Times New Roman" w:cs="Times New Roman" w:eastAsia="Times New Roman" w:hAnsi="Times New Roman"/>
          <w:sz w:val="18"/>
          <w:szCs w:val="18"/>
          <w:color w:val="auto"/>
        </w:rPr>
        <w:t>We are a development stage enterprise and have incurred significant losses since our inception in 1991. As of December 31, 2011, we have incurred a cumulative net loss of $1.9 billion and a stockholders’ deficit of $313.7 million. To date, we have not generated any product revenues and have funded our operations primarily through the sale of equity securities and convertible debt securities and borrowings under a loan arrangement provided by our principal stockholder. As discussed below in “Liquidity and Capital Resources,” if we are unable to obtain additional funding in the future, there will continue to be substantial doubt about our ability to continue as a going concern.</w:t>
      </w:r>
    </w:p>
    <w:p>
      <w:pPr>
        <w:spacing w:after="0" w:line="58"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We do not expect to record sales of any product prior to regulatory approval and commercialization of AFREZZA. We currently do not have the required approvals to market any of our product candidates, and we may not receive such approvals. We may not be able to achieve positive cash flow from operations even if we succeed in commercializing any of our product candidates. We expect to make substantial expenditures and to incur additional operating losses for at least the next several years as we:</w:t>
      </w:r>
    </w:p>
    <w:p>
      <w:pPr>
        <w:spacing w:after="0" w:line="55" w:lineRule="exact"/>
        <w:rPr>
          <w:sz w:val="20"/>
          <w:szCs w:val="20"/>
          <w:color w:val="auto"/>
        </w:rPr>
      </w:pPr>
    </w:p>
    <w:p>
      <w:pPr>
        <w:ind w:left="440" w:hanging="2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AFREZZA and new inhalation systems for the treatment of diabetes;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to sell AFREZZA in the United States and other markets;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development and commercialization collaborations for AFREZZA;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applications of our proprietary Technosphere formulation technology for the pulmonary delivery of other drugs.</w:t>
      </w:r>
    </w:p>
    <w:p>
      <w:pPr>
        <w:spacing w:after="0" w:line="90" w:lineRule="exact"/>
        <w:rPr>
          <w:sz w:val="20"/>
          <w:szCs w:val="20"/>
          <w:color w:val="auto"/>
        </w:rPr>
      </w:pPr>
    </w:p>
    <w:p>
      <w:pPr>
        <w:jc w:val="both"/>
        <w:ind w:firstLine="228"/>
        <w:spacing w:after="0" w:line="262"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the risks inherent in our ongoing clinical trials and the regulatory approval process, our potential inability to enter into sales and marketing collaborations or to commercialize AFREZZA in a timely manner, the results of our research and development efforts, competition from other products and technologies and uncertainties associated with obtaining and enforcing patent rights.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92"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Included in research and development expenses for the year ended December 31, 2011 were purchases of insulin totaling $8.4 million.</w:t>
      </w:r>
    </w:p>
    <w:p>
      <w:pPr>
        <w:spacing w:after="0" w:line="60"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51" w:lineRule="exact"/>
        <w:rPr>
          <w:sz w:val="20"/>
          <w:szCs w:val="20"/>
          <w:color w:val="auto"/>
        </w:rPr>
      </w:pPr>
    </w:p>
    <w:p>
      <w:pPr>
        <w:ind w:right="460" w:firstLine="228"/>
        <w:spacing w:after="0" w:line="275" w:lineRule="auto"/>
        <w:rPr>
          <w:sz w:val="20"/>
          <w:szCs w:val="20"/>
          <w:color w:val="auto"/>
        </w:rPr>
      </w:pPr>
      <w:r>
        <w:rPr>
          <w:rFonts w:ascii="Times New Roman" w:cs="Times New Roman" w:eastAsia="Times New Roman" w:hAnsi="Times New Roman"/>
          <w:sz w:val="18"/>
          <w:szCs w:val="18"/>
          <w:color w:val="auto"/>
        </w:rPr>
        <w:t>Clinical development timelines, likelihood of success and total costs vary widely. We are focused primarily on advancing AFREZZA through regulatory filings.</w:t>
      </w:r>
    </w:p>
    <w:p>
      <w:pPr>
        <w:spacing w:after="0" w:line="39"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8"/>
          <w:szCs w:val="18"/>
          <w:color w:val="auto"/>
        </w:rPr>
        <w:t>At this time, due to the risks inherent in the clinical trial process and given the early stage of development of our product candidates other than AFREZZA, we are unable to estimate with any certainty the costs that we will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39"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During the first quarter of 2011, we implemented a restructuring to streamline operations, reduce operating expenses, extend our cash runway and focus our resources on securing FDA approval of the NDA for AFREZZA. In connection with the restructuring, we recorded charges to research and development expenses of approximately $4.7 million for employee severance and other related termination benefits. The restructuring resulted in research and development operating cost savings of approximately $9.5 million in 2011. These savings were partially offset by increased costs associated with the additional trials required by the FDA.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92" w:lineRule="exact"/>
        <w:rPr>
          <w:sz w:val="20"/>
          <w:szCs w:val="20"/>
          <w:color w:val="auto"/>
        </w:rPr>
      </w:pPr>
    </w:p>
    <w:p>
      <w:pPr>
        <w:ind w:right="240" w:firstLine="228"/>
        <w:spacing w:after="0" w:line="262"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51" w:lineRule="exact"/>
        <w:rPr>
          <w:sz w:val="20"/>
          <w:szCs w:val="20"/>
          <w:color w:val="auto"/>
        </w:rPr>
      </w:pPr>
    </w:p>
    <w:p>
      <w:pPr>
        <w:jc w:val="both"/>
        <w:ind w:right="200"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the restructuring, we recorded charges to general and administrative expenses of approximately $1.6 million for employee severance and other related termination benefits. The restructuring resulted in general and administrative operating cost savings of approximately $2.8 million in 2011. These savings were offset primarily by increased professional fees.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92" w:lineRule="exact"/>
        <w:rPr>
          <w:sz w:val="20"/>
          <w:szCs w:val="20"/>
          <w:color w:val="auto"/>
        </w:rPr>
      </w:pPr>
    </w:p>
    <w:p>
      <w:pPr>
        <w:ind w:right="300" w:firstLine="228"/>
        <w:spacing w:after="0" w:line="258" w:lineRule="auto"/>
        <w:rPr>
          <w:sz w:val="20"/>
          <w:szCs w:val="20"/>
          <w:color w:val="auto"/>
        </w:rPr>
      </w:pPr>
      <w:r>
        <w:rPr>
          <w:rFonts w:ascii="Times New Roman" w:cs="Times New Roman" w:eastAsia="Times New Roman" w:hAnsi="Times New Roman"/>
          <w:sz w:val="18"/>
          <w:szCs w:val="18"/>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55" w:lineRule="exact"/>
        <w:rPr>
          <w:sz w:val="20"/>
          <w:szCs w:val="20"/>
          <w:color w:val="auto"/>
        </w:rPr>
      </w:pPr>
    </w:p>
    <w:p>
      <w:pPr>
        <w:ind w:left="440" w:hanging="2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our strategic business objectives and utilization of the assets;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carrying value of such assets cannot be recovered through undiscounted cash flows;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legal ownership or title to the assets;</w:t>
      </w:r>
    </w:p>
    <w:p>
      <w:pPr>
        <w:spacing w:after="0" w:line="90" w:lineRule="exact"/>
        <w:rPr>
          <w:rFonts w:ascii="Times New Roman" w:cs="Times New Roman" w:eastAsia="Times New Roman" w:hAnsi="Times New Roman"/>
          <w:sz w:val="18"/>
          <w:szCs w:val="18"/>
          <w:color w:val="auto"/>
        </w:rPr>
      </w:pPr>
    </w:p>
    <w:p>
      <w:pPr>
        <w:ind w:left="440" w:right="240" w:hanging="216"/>
        <w:spacing w:after="0" w:line="275"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significant negative industry or economic trends.</w:t>
      </w:r>
    </w:p>
    <w:p>
      <w:pPr>
        <w:spacing w:after="0" w:line="90"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useful lives and related amortization or depreciation expense on our estimate of the useful lives of the assets. If a change were to occur in any of the above-mentioned factors or estimates, our reported results could materially change.</w:t>
      </w:r>
    </w:p>
    <w:p>
      <w:pPr>
        <w:spacing w:after="0" w:line="39" w:lineRule="exact"/>
        <w:rPr>
          <w:sz w:val="20"/>
          <w:szCs w:val="20"/>
          <w:color w:val="auto"/>
        </w:rPr>
      </w:pPr>
    </w:p>
    <w:p>
      <w:pPr>
        <w:ind w:right="460" w:firstLine="228"/>
        <w:spacing w:after="0" w:line="275" w:lineRule="auto"/>
        <w:rPr>
          <w:sz w:val="20"/>
          <w:szCs w:val="20"/>
          <w:color w:val="auto"/>
        </w:rPr>
      </w:pPr>
      <w:r>
        <w:rPr>
          <w:rFonts w:ascii="Times New Roman" w:cs="Times New Roman" w:eastAsia="Times New Roman" w:hAnsi="Times New Roman"/>
          <w:sz w:val="18"/>
          <w:szCs w:val="18"/>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expenses</w:t>
      </w:r>
    </w:p>
    <w:p>
      <w:pPr>
        <w:spacing w:after="0" w:line="92" w:lineRule="exact"/>
        <w:rPr>
          <w:sz w:val="20"/>
          <w:szCs w:val="20"/>
          <w:color w:val="auto"/>
        </w:rPr>
      </w:pPr>
    </w:p>
    <w:p>
      <w:pPr>
        <w:ind w:firstLine="228"/>
        <w:spacing w:after="0" w:line="288" w:lineRule="auto"/>
        <w:rPr>
          <w:sz w:val="20"/>
          <w:szCs w:val="20"/>
          <w:color w:val="auto"/>
        </w:rPr>
      </w:pPr>
      <w:r>
        <w:rPr>
          <w:rFonts w:ascii="Times New Roman" w:cs="Times New Roman" w:eastAsia="Times New Roman" w:hAnsi="Times New Roman"/>
          <w:sz w:val="16"/>
          <w:szCs w:val="16"/>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92"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 xml:space="preserve">We account for stock-based compensation in accordance with Financial Accounting Standards Board (“FASB”) Accounting Standards Codification (“ASC”) 718 (“ASC 718”) </w:t>
      </w:r>
      <w:r>
        <w:rPr>
          <w:rFonts w:ascii="Times New Roman" w:cs="Times New Roman" w:eastAsia="Times New Roman" w:hAnsi="Times New Roman"/>
          <w:sz w:val="18"/>
          <w:szCs w:val="18"/>
          <w:i w:val="1"/>
          <w:iCs w:val="1"/>
          <w:color w:val="auto"/>
        </w:rPr>
        <w:t>Compensation- Stock Compensation</w:t>
      </w:r>
      <w:r>
        <w:rPr>
          <w:rFonts w:ascii="Times New Roman" w:cs="Times New Roman" w:eastAsia="Times New Roman" w:hAnsi="Times New Roman"/>
          <w:sz w:val="18"/>
          <w:szCs w:val="18"/>
          <w:color w:val="auto"/>
        </w:rPr>
        <w:t xml:space="preserve">, previously FASB Statement No. 123R,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ASC 718 requires all share-based payments to employees, including grants of stock options, restricted stock units, performance-based awards and the compensatory elements of employee stock purchase plans, to be recognized in the income statement based upon the fair value of the awards at the grant date. We use the Black-Scholes option valuation model to estimate the grant date fair value of employee stock options and the compensatory elements of employee stock purchase plans. Restricted stock units are valued based on the market price on the grant date. We evaluate stock awards with performance conditions as to the probability that the performance conditions will be met and estimate the date at which the performance conditions will be met in order to properly recognize stock-based compensation expense over the requisite service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92" w:lineRule="exact"/>
        <w:rPr>
          <w:sz w:val="20"/>
          <w:szCs w:val="20"/>
          <w:color w:val="auto"/>
        </w:rPr>
      </w:pPr>
    </w:p>
    <w:p>
      <w:pPr>
        <w:ind w:right="120" w:firstLine="228"/>
        <w:spacing w:after="0" w:line="255" w:lineRule="auto"/>
        <w:rPr>
          <w:sz w:val="20"/>
          <w:szCs w:val="20"/>
          <w:color w:val="auto"/>
        </w:rPr>
      </w:pPr>
      <w:r>
        <w:rPr>
          <w:rFonts w:ascii="Times New Roman" w:cs="Times New Roman" w:eastAsia="Times New Roman" w:hAnsi="Times New Roman"/>
          <w:sz w:val="18"/>
          <w:szCs w:val="18"/>
          <w:color w:val="auto"/>
        </w:rPr>
        <w:t>We must make management judgments when determining our provision for income taxes, our deferred tax assets and liabilities and any valuation allowance recorded against our net deferred tax assets. At December 31, 2011, we have established a valuation allowance of $689.4 million against all of our net deferred tax asset balance,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2010 and 2011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92" w:lineRule="exact"/>
        <w:rPr>
          <w:sz w:val="20"/>
          <w:szCs w:val="20"/>
          <w:color w:val="auto"/>
        </w:rPr>
      </w:pPr>
    </w:p>
    <w:p>
      <w:pPr>
        <w:ind w:right="120" w:firstLine="228"/>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2011 we recognized $50,000 in revenue, and during the year ended December 31, 2010, we recognized $93,000 under a license agreement. We do not anticipate sales of any product prior to regulatory approval and commercialization of AFREZZA.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92"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provides a comparison of the research and development expense categories for the years ended December 31, 2010 and 2011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1"/>
              </w:rPr>
              <w:t>Year Ended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2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52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23,558</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$25,280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67,146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(8,623)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14,034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(2,635)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(385)</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(224)</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7,926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(2,560)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2"/>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112,279</w:t>
            </w:r>
          </w:p>
        </w:tc>
        <w:tc>
          <w:tcPr>
            <w:tcW w:w="5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$99,959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2"/>
              </w:rPr>
              <w:t>$ (12,320)</w:t>
            </w:r>
          </w:p>
        </w:tc>
        <w:tc>
          <w:tcPr>
            <w:tcW w:w="5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right="20" w:firstLine="228"/>
        <w:spacing w:after="0" w:line="287" w:lineRule="auto"/>
        <w:rPr>
          <w:sz w:val="20"/>
          <w:szCs w:val="20"/>
          <w:color w:val="auto"/>
        </w:rPr>
      </w:pPr>
      <w:r>
        <w:rPr>
          <w:rFonts w:ascii="Times New Roman" w:cs="Times New Roman" w:eastAsia="Times New Roman" w:hAnsi="Times New Roman"/>
          <w:sz w:val="16"/>
          <w:szCs w:val="16"/>
          <w:color w:val="auto"/>
        </w:rPr>
        <w:t>The decrease in research and development expenses for the year ended December 31, 2011, as compared to the year ended December 31, 2010, was primarily due to lower purchases of raw materials as a result of the termination of our insulin supply agreement with Organon. We purchased $8.4 million of insulin in 2011 compared to $16.3 million in 2010. In connection with the termination of our insulin supply agreement, we recorded $7.6 million for a contract cancellation fee.</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Restructuring costs of $4.7 million incurred for the February 2011 reduction in force were offset by reduced salary and other compensation expenses of $2.8 million, including reduced stock-based compensation expense of $2.6 million. These decreases were partially offset by an increase in clinical spending related to the initiation of clinical trials related to AFREZZA. We anticipate that our research and development expenses will increase in 2012 as a result of our ongoing clinical trials to be completed during the year as part of our amended NDA for AFREZZA to be filed with the FDA.</w:t>
      </w:r>
    </w:p>
    <w:p>
      <w:pPr>
        <w:spacing w:after="0" w:line="57"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The research and development tax credit recognized for the years ended December 31, 2011 and 2010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2011 and 2010, research and development expenses were offset by $0.6 million and $0.4 million, respectively, in connection with the program.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92" w:lineRule="exact"/>
        <w:rPr>
          <w:sz w:val="20"/>
          <w:szCs w:val="20"/>
          <w:color w:val="auto"/>
        </w:rPr>
      </w:pPr>
    </w:p>
    <w:p>
      <w:pPr>
        <w:ind w:right="20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provides a comparison of the general and administrative expense categories for the years ended December 31, 2010 and 2011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34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4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60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employee related and other general expenses</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$34,658</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$34,792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$40,312</w:t>
            </w:r>
          </w:p>
        </w:tc>
        <w:tc>
          <w:tcPr>
            <w:tcW w:w="17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$40,630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38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year ended December 31, 2011, as compared to the year ended December 31, 2010, was primarily due to an increase of $2.1 million in legal fees incurred in defense of the Company in various legal proceedings and other matters. Restructuring costs of $1.6 million incurred for the February 2011 reduction in force were offset by $2.0 million in savings in salary related costs. Overall salary and employee related expenses increased in 2011 by $0.8 million compared to the prior year as we did not record a bonus accrual for 2010. These increases were offset by the non-recurrence in 2011 of projects conducted in 2010, including market research studies. Stock-based compensation expense increased in 2011 over the prior year due to retention grants awarded in the first quarter of 2011. We expect general and administrative expenses to be lower in 2012 as a result of the reduction of force implemented in 2011.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92"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Other income for the year ended December 31, 2011 was $1.5 million, which was primarily due to realized gains of $1.3 million on the termination of foreign exchange hedging contracts related to our supply agreement with Organon. We terminated these contracts during the quarter ended March 31, 2011. For the year ended December 31, 2010, we recorded $0.7 million of other expense, as we recognized a $0.6 million other-than-temporary impairment loss on our common stock investment due to the length of time and the extent to which the fair value has been less than the amortized cost basis. In addition, we recorded a loss of $1.6 million on the execution of quarterly foreign exchange hedging contracts, offset by a reimbursement of $1.6 million received in connection with a soil cleanup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Expense</w:t>
      </w:r>
    </w:p>
    <w:p>
      <w:pPr>
        <w:spacing w:after="0" w:line="92" w:lineRule="exact"/>
        <w:rPr>
          <w:sz w:val="20"/>
          <w:szCs w:val="20"/>
          <w:color w:val="auto"/>
        </w:rPr>
      </w:pPr>
    </w:p>
    <w:p>
      <w:pPr>
        <w:ind w:right="320" w:firstLine="228"/>
        <w:spacing w:after="0" w:line="262" w:lineRule="auto"/>
        <w:rPr>
          <w:sz w:val="20"/>
          <w:szCs w:val="20"/>
          <w:color w:val="auto"/>
        </w:rPr>
      </w:pPr>
      <w:r>
        <w:rPr>
          <w:rFonts w:ascii="Times New Roman" w:cs="Times New Roman" w:eastAsia="Times New Roman" w:hAnsi="Times New Roman"/>
          <w:sz w:val="18"/>
          <w:szCs w:val="18"/>
          <w:color w:val="auto"/>
        </w:rPr>
        <w:t>Interest expense for the year ended December 31, 2011 increased compared to the year ended December 31, 2010, due to a full year of interest expense recorded on the convertible notes issued in August 2010 and related amortization of the debt issuance costs. Interest expense for the year ended December 31, 2011 also included interest related to additional amounts borrowed under the loan agreement with our principal stockholder.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2009 and 2010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92"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2010 we recognized $93,000 in revenue, and during the year ended December 31, 2009, we recognized no revenue under a license agreement. We do not anticipate sales of any product prior to regulatory approval and commercialization of AFREZZA.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92"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provides a comparison of the research and development expense categories for the years ended December 31, 2009 and 2010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4"/>
                <w:szCs w:val="14"/>
                <w:color w:val="auto"/>
              </w:rPr>
            </w:pPr>
          </w:p>
        </w:tc>
        <w:tc>
          <w:tcPr>
            <w:tcW w:w="11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gridSpan w:val="2"/>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44,163</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 (20,605)</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82,116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67,146</w:t>
            </w:r>
          </w:p>
        </w:tc>
        <w:tc>
          <w:tcPr>
            <w:tcW w:w="30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(14,970)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19,259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(5,225)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w:t>
            </w:r>
          </w:p>
        </w:tc>
        <w:tc>
          <w:tcPr>
            <w:tcW w:w="13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937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12,115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(4,189)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156,331</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112,279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2"/>
              </w:rPr>
              <w:t>$ (44,052)</w:t>
            </w:r>
          </w:p>
        </w:tc>
        <w:tc>
          <w:tcPr>
            <w:tcW w:w="5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right="80" w:firstLine="228"/>
        <w:spacing w:after="0" w:line="262" w:lineRule="auto"/>
        <w:rPr>
          <w:sz w:val="20"/>
          <w:szCs w:val="20"/>
          <w:color w:val="auto"/>
        </w:rPr>
      </w:pPr>
      <w:r>
        <w:rPr>
          <w:rFonts w:ascii="Times New Roman" w:cs="Times New Roman" w:eastAsia="Times New Roman" w:hAnsi="Times New Roman"/>
          <w:sz w:val="18"/>
          <w:szCs w:val="18"/>
          <w:color w:val="auto"/>
        </w:rPr>
        <w:t>The decrease in research and development expenses for the year ended December 31, 2010, as compared to the year ended December 31, 2009, was primarily due to decreased costs associated with the clinical development of AFREZZA, including decreased raw material purchases and clinical supplies costs, offset by a loss on disposal of approximately $12.8 million in manufacturing expense related to the abandonment of MedTone specific assets,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which would no longer be used as we pursue the commercialization of the next-generation device in 2010, reduced salary-related and other research costs as a result of a reduction in force that we implemented in April 2009 and decreased stock-based compensation expense related to reduced number of restricted stock units vesting in 2010 as compared to 2009. We anticipate that our research and development expenses will increase in 2011 as a result of our obligation to purchase an increased amount of insulin as well as increased costs associated with the development of our commercial inhaler.</w:t>
      </w:r>
    </w:p>
    <w:p>
      <w:pPr>
        <w:spacing w:after="0" w:line="55" w:lineRule="exact"/>
        <w:rPr>
          <w:sz w:val="20"/>
          <w:szCs w:val="20"/>
          <w:color w:val="auto"/>
        </w:rPr>
      </w:pPr>
    </w:p>
    <w:p>
      <w:pPr>
        <w:ind w:firstLine="228"/>
        <w:spacing w:after="0" w:line="296" w:lineRule="auto"/>
        <w:rPr>
          <w:sz w:val="20"/>
          <w:szCs w:val="20"/>
          <w:color w:val="auto"/>
        </w:rPr>
      </w:pPr>
      <w:r>
        <w:rPr>
          <w:rFonts w:ascii="Times New Roman" w:cs="Times New Roman" w:eastAsia="Times New Roman" w:hAnsi="Times New Roman"/>
          <w:sz w:val="16"/>
          <w:szCs w:val="16"/>
          <w:color w:val="auto"/>
        </w:rPr>
        <w:t>The research and development tax credit recognized for the years ended December 31, 2010 and 2009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2010 and 2009, research and development expenses were offset by $0.4 million and $1.3 million, respectively, in connection with the program. The decrease in the offset of research and development expenses resulted from reduced spending in Connecticut.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92"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provides a comparison of the general and administrative expense categories for the years ended December 31, 2009 and 2010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9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2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employee related and other general expenses</w:t>
            </w: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$45,343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$34,658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 (10,685)</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8,104</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5,654</w:t>
            </w: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(2,450)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$53,447</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$40,312</w:t>
            </w:r>
          </w:p>
        </w:tc>
        <w:tc>
          <w:tcPr>
            <w:tcW w:w="14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(13,135)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The decrease in general and administrative expenses for the year ended December 31, 2010, as compared to the year ended December 31, 2009, was primarily due to decreased salary related costs resulting from the April 2009 reduction in force as well as non-recurrence of costs related to the Pfizer transaction during the first half of 2009 and decreased professional fees related to market studies conducted in 2009. Additionally, stock-based compensation expense decreased as a result of reduced number of restricted stock units vesting in 2010 as compared to 2009. We expect general and administrative expenses to decrease in 2011 as a result of the reduction of force implemented in February 2011.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92"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Other expense for the year ended December 31, 2010 increased, as compared to the year ended December 31, 2009, as we recognized a $0.6 million other-than-temporary impairment loss on our common stock investment due to the length of time and the extent to which the fair value has been less than the amortized cost basis. In addition, we recorded a loss of $1.6 million on the execution of quarterly window forward contracts, offset by a reimbursement of $1.6 million received in connection with a soil cleanup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Expense</w:t>
      </w:r>
    </w:p>
    <w:p>
      <w:pPr>
        <w:spacing w:after="0" w:line="92"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8"/>
          <w:szCs w:val="18"/>
          <w:color w:val="auto"/>
        </w:rPr>
        <w:t>Interest expense for the year ended December 31, 2010 increased due to the convertible notes issued in August 2010 and related amortization of the debt issuance costs. Interest expense for the year ended December 31, 2010 also included interest related to additional amounts borrowed under the loan agreement with our principal stockholder.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We have funded our operations primarily through the sale of equity securities and convertible debt securities and borrowings under our loan arrangement with our principal stockholder.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 xml:space="preserve">In October 2007, we entered into a loan arrangement with our principal stockholder allowing us to borrow up to a total of $350.0 million.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will accrue on each outstanding advance at a fixed rate equal to the one-year LIBOR rate as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of such advance plus 3% per annum and is payable quarterly in arrears. In August 2010, we amended and restated the existing promissory note evidencing the loan arrangement with The Mann Group to extend the maturity date from December 31, 2011 to December 31, 2012. In January, 2012, we amended the note with The Mann Group to extend the maturity date of the $350.0 million loan arrangement from December 31, 2012 to March 31, 2013. We can continue to borrow under the amended terms of the note until June 30, 2012. Under the amended and restated promissory note,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In August 2010, we entered into a letter agreement confirming a previous commitment by The Mann Group to not require us to prepay amounts outstanding under the amended and restated promissory note if the prepayment would require us to use our working capital resources, including the proceeds from the sale of our 5.75% Senior Convertible Notes due 2015.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As of December 31, 2011, the amount borrowed and outstanding under the arrangement was $277.2 million and we had $45.0 million of available borrowings under the arrangement.</w:t>
      </w:r>
    </w:p>
    <w:p>
      <w:pPr>
        <w:spacing w:after="0" w:line="61"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In August 2010, we completed a Rule 144A offering of $100.0 million aggregate principal amount of 5.75% Senior Convertible Notes due 2015. The net proceeds to us from the sale of the notes were approximately $95.8 million, after deducting the discount to the initial purchasers of $3.3 million and the offering expenses paid by us.</w:t>
      </w:r>
    </w:p>
    <w:p>
      <w:pPr>
        <w:spacing w:after="0" w:line="51"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In connection with the offering of the notes, in August 2010, we entered into a share lending agreement with Bank of America, pursuant to which we lent 9,000,000 shares of our common stock to Bank of America, which is obligated to return the borrowed shares (or, in certain circumstances, the cash value thereof) to us on or about the 45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business day following the date as of which the entire principal amount of the notes ceases to be outstanding, subject to extension or acceleration in certain circumstances or early termination at Bank of America’s option.</w:t>
      </w:r>
    </w:p>
    <w:p>
      <w:pPr>
        <w:spacing w:after="0" w:line="55"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Also in August 2010, we entered into an underwriting agreement with Merrill Lynch and Bank of America, pursuant to which the borrowed shares were offered and sold to the public at a fixed price of $5.55 per share. We did not receive any proceeds from the sale of the borrowed shares to the public, but received a lending fee of $90,000 pursuant to the share lending agreement for the use by Bank of America of the borrowed shares. Bank of America received all of the net proceeds from the sale of the borrowed shares to the public.</w:t>
      </w:r>
    </w:p>
    <w:p>
      <w:pPr>
        <w:spacing w:after="0" w:line="55" w:lineRule="exact"/>
        <w:rPr>
          <w:sz w:val="20"/>
          <w:szCs w:val="20"/>
          <w:color w:val="auto"/>
        </w:rPr>
      </w:pPr>
    </w:p>
    <w:p>
      <w:pPr>
        <w:ind w:right="60" w:firstLine="228"/>
        <w:spacing w:after="0" w:line="256" w:lineRule="auto"/>
        <w:rPr>
          <w:sz w:val="20"/>
          <w:szCs w:val="20"/>
          <w:color w:val="auto"/>
        </w:rPr>
      </w:pPr>
      <w:r>
        <w:rPr>
          <w:rFonts w:ascii="Times New Roman" w:cs="Times New Roman" w:eastAsia="Times New Roman" w:hAnsi="Times New Roman"/>
          <w:sz w:val="18"/>
          <w:szCs w:val="18"/>
          <w:color w:val="auto"/>
        </w:rPr>
        <w:t>On February 8, 2012, we sold $86.3 million worth of units in an underwritten public offering, with each unit consisting of one share of common stock and a warrant to purchase 0.6 of a share of common stock, and reflects the full exercise of an over-allotment option granted to the underwriters. Net proceeds from this offering were approximately $80.6 million, excluding any warrant exercises. Concurrent with this public offering, The Mann Group LLC agreed to purchase $77.2 million worth of restricted shares of common stock which will be paid by cancellation of principal indebtedness under the amended loan arrangement, subject to stockholder approval to increase the number of our authorized shares.</w:t>
      </w:r>
    </w:p>
    <w:p>
      <w:pPr>
        <w:spacing w:after="0" w:line="58"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2011, we used $123.9 million of cash for our operations and had a net loss of $160.8 million for the year ended December 31, 2011, of which $27.1 million consisted of non-cash charges such as depreciation and amortization, and stock-based compensation. By comparison, during the year ended December 31, 2010, we used $148.7 million of cash for our operations and had a net loss of $170.6 million, of which $30.9 million consisted of non-cash charges such as depreciation and amortization, and stock-based compensation. Cash used for our operations for the year ended December 31, 2011 decreased by $24.8</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million compared to cash used for our operations for the year ended December 31, 2010 due primarily to reduced salary-related costs and the positive impact of cost cutting measures on operating costs as a result of our February 2011 restructuring. Additionally, the change in accounts payable and accrued expenses and other current liabilities increased over the prior year due to an increase in current liabilities primarily related to clinical trial activities. We expect our negative operating cash flow to continue at least until we obtain regulatory approval and achieve commercialization of AFREZZA.</w:t>
      </w:r>
    </w:p>
    <w:p>
      <w:pPr>
        <w:spacing w:after="0" w:line="55" w:lineRule="exact"/>
        <w:rPr>
          <w:sz w:val="20"/>
          <w:szCs w:val="20"/>
          <w:color w:val="auto"/>
        </w:rPr>
      </w:pPr>
    </w:p>
    <w:p>
      <w:pPr>
        <w:ind w:right="60" w:firstLine="228"/>
        <w:spacing w:after="0" w:line="253" w:lineRule="auto"/>
        <w:rPr>
          <w:sz w:val="20"/>
          <w:szCs w:val="20"/>
          <w:color w:val="auto"/>
        </w:rPr>
      </w:pPr>
      <w:r>
        <w:rPr>
          <w:rFonts w:ascii="Times New Roman" w:cs="Times New Roman" w:eastAsia="Times New Roman" w:hAnsi="Times New Roman"/>
          <w:sz w:val="18"/>
          <w:szCs w:val="18"/>
          <w:color w:val="auto"/>
        </w:rPr>
        <w:t>We used $2.9 million of cash for investing activities during the year ended December 31, 2011, compared to $11.7 million of cash used for the year ended December 31, 2010. For the year ended December 31, 2011 and 2010, $6.9 million and $9.5 million, respectively, were used to purchase machinery and equipment to expand our manufacturing operations and our quality systems that support clinical trials for AFREZZA. Cash used in investing activities for the year ended December 31, 2011 decreased $8.8 million compared to the same period in prior year due to the purchase of $4.2 million of marketable securities during the year ended December 31, 2010 compared to none in the current year. We received an increase of $1.8 million in proceeds received from sales and maturities of marketable securities compared to the same period in the prior year. We received cash of $3.8 million for the year ended December 31, 2011 related to the early termination of certificates of deposit that were previously held as collateral for foreign exchange hedging instruments compared to $2.0 million received in the same period in prior year as a certificate of deposit matured. Cash used to purchase machinery and equipment decreased $2.8 million compared to the same period in the prior year.</w:t>
      </w:r>
    </w:p>
    <w:p>
      <w:pPr>
        <w:spacing w:after="0" w:line="62"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Our financing activities generated $63.4 million of cash for the year ended December 31, 2011, compared to $196.4 million for the same period in 2010. For the year ended December 31, 2011, cash from financing activities was primarily from $53.0 million of related party borrowings and $10.9 million related to the sale of common stock to Seaside during the first quarter of 2011 as well as the vesting of restricted stock units, exercise of stock options, and shares purchased through the employee stock purchase plan. For the year ended December 31, 2010, cash from financing activities was primarily from the issuance of $95.8 million of 5.75% Senior Convertible Notes due 2015 in August 2010, $87.0 million of related party borrowings, $14.1 million related to the sale of common stock to Seaside during the fourth quarter of 2010 and $2.9 million related to the sale of common stock as well as the vesting of restricted stock units, exercise of stock options, and shares purchased through the employee stock purchase plan. Cash from financing activities for the year ended December 31, 2011 decreased by $133.0 million compared to cash from financing for the same period in the prior year due to proceeds from the issuance of the 5.75% Senior Convertible Notes due 2015 in August 2010 as well as decreased related party borrowings, and decreased sales of common stock primarily to Seaside.</w:t>
      </w:r>
    </w:p>
    <w:p>
      <w:pPr>
        <w:spacing w:after="0" w:line="62" w:lineRule="exact"/>
        <w:rPr>
          <w:sz w:val="20"/>
          <w:szCs w:val="20"/>
          <w:color w:val="auto"/>
        </w:rPr>
      </w:pPr>
    </w:p>
    <w:p>
      <w:pPr>
        <w:jc w:val="both"/>
        <w:ind w:right="380" w:firstLine="228"/>
        <w:spacing w:after="0" w:line="258" w:lineRule="auto"/>
        <w:rPr>
          <w:sz w:val="20"/>
          <w:szCs w:val="20"/>
          <w:color w:val="auto"/>
        </w:rPr>
      </w:pPr>
      <w:r>
        <w:rPr>
          <w:rFonts w:ascii="Times New Roman" w:cs="Times New Roman" w:eastAsia="Times New Roman" w:hAnsi="Times New Roman"/>
          <w:sz w:val="18"/>
          <w:szCs w:val="18"/>
          <w:color w:val="auto"/>
        </w:rPr>
        <w:t>As of December 31, 2011, we had $3.2 million in cash, cash equivalents and marketable securities (including $0.4 million of certificate of deposit held as collateral for commercial credit card program). On February 8, 2012, we sold $86.3 million worth of units in an underwritten public offering, with each unit consisting of one share of common stock and a warrant to purchase 0.6 of a share of common stock, and reflects the full exercise of an over-allotment option granted to the underwriters. Net proceeds from this offering were approximately $80.6 million, excluding any warrant exercises.</w:t>
      </w:r>
    </w:p>
    <w:p>
      <w:pPr>
        <w:spacing w:after="0" w:line="55"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We believe our existing cash resources, including the $45.0 million remaining available under our loan arrangement with The Mann Group, will be sufficient to fund our anticipated cash requirements into the fourth quarter of 2012. Accordingly,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This raises substantial doubt about our ability to continue as a going concern.</w:t>
      </w:r>
    </w:p>
    <w:p>
      <w:pPr>
        <w:spacing w:after="0" w:line="58" w:lineRule="exact"/>
        <w:rPr>
          <w:sz w:val="20"/>
          <w:szCs w:val="20"/>
          <w:color w:val="auto"/>
        </w:rPr>
      </w:pPr>
    </w:p>
    <w:p>
      <w:pPr>
        <w:ind w:right="400" w:firstLine="228"/>
        <w:spacing w:after="0" w:line="262" w:lineRule="auto"/>
        <w:rPr>
          <w:sz w:val="20"/>
          <w:szCs w:val="20"/>
          <w:color w:val="auto"/>
        </w:rPr>
      </w:pPr>
      <w:r>
        <w:rPr>
          <w:rFonts w:ascii="Times New Roman" w:cs="Times New Roman" w:eastAsia="Times New Roman" w:hAnsi="Times New Roman"/>
          <w:sz w:val="18"/>
          <w:szCs w:val="18"/>
          <w:color w:val="auto"/>
        </w:rPr>
        <w:t>We intend to use our capital resources to continue the development and commercialization of AFREZZA, if approved. In addition, portions of our capital resources will be devoted to expanding our other product development programs. We are expending a portion of our capital to scale up our manufacturing capabilities in our Danbury facilities. We also intend to use our capital resources for general corporate purposes.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firstLine="228"/>
        <w:spacing w:after="0" w:line="262" w:lineRule="auto"/>
        <w:rPr>
          <w:sz w:val="20"/>
          <w:szCs w:val="20"/>
          <w:color w:val="auto"/>
        </w:rPr>
      </w:pPr>
      <w:r>
        <w:rPr>
          <w:rFonts w:ascii="Times New Roman" w:cs="Times New Roman" w:eastAsia="Times New Roman" w:hAnsi="Times New Roman"/>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51"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32"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continue to be substantial doubt about our ability to continue as a going concern.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2011, we did not have any off-balance sheet arrangements.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92"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below is estimated based on current information. Future payments relate to operating lease obligations (including facility leases executed in November 2010), the senior convertible notes, and open purchase order and supply commitments consisted of the following at December 31, 2011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440" w:type="dxa"/>
            <w:vAlign w:val="bottom"/>
            <w:vMerge w:val="restart"/>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Less Than</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More Than</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480" w:type="dxa"/>
            <w:vAlign w:val="bottom"/>
            <w:tcBorders>
              <w:bottom w:val="single" w:sz="8" w:color="auto"/>
            </w:tcBorders>
            <w:gridSpan w:val="2"/>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6"/>
              </w:rPr>
              <w:t>One Year</w:t>
            </w:r>
          </w:p>
        </w:tc>
        <w:tc>
          <w:tcPr>
            <w:tcW w:w="420" w:type="dxa"/>
            <w:vAlign w:val="bottom"/>
          </w:tcPr>
          <w:p>
            <w:pPr>
              <w:spacing w:after="0"/>
              <w:rPr>
                <w:sz w:val="14"/>
                <w:szCs w:val="14"/>
                <w:color w:val="auto"/>
              </w:rPr>
            </w:pPr>
          </w:p>
        </w:tc>
        <w:tc>
          <w:tcPr>
            <w:tcW w:w="820" w:type="dxa"/>
            <w:vAlign w:val="bottom"/>
            <w:gridSpan w:val="3"/>
          </w:tcPr>
          <w:p>
            <w:pPr>
              <w:ind w:left="80"/>
              <w:spacing w:after="0" w:line="152" w:lineRule="exact"/>
              <w:rPr>
                <w:sz w:val="20"/>
                <w:szCs w:val="20"/>
                <w:color w:val="auto"/>
              </w:rPr>
            </w:pPr>
            <w:r>
              <w:rPr>
                <w:rFonts w:ascii="Times New Roman" w:cs="Times New Roman" w:eastAsia="Times New Roman" w:hAnsi="Times New Roman"/>
                <w:sz w:val="14"/>
                <w:szCs w:val="14"/>
                <w:b w:val="1"/>
                <w:bCs w:val="1"/>
                <w:color w:val="auto"/>
              </w:rPr>
              <w:t>1-3 Years</w:t>
            </w:r>
          </w:p>
        </w:tc>
        <w:tc>
          <w:tcPr>
            <w:tcW w:w="280" w:type="dxa"/>
            <w:vAlign w:val="bottom"/>
          </w:tcPr>
          <w:p>
            <w:pPr>
              <w:spacing w:after="0"/>
              <w:rPr>
                <w:sz w:val="14"/>
                <w:szCs w:val="14"/>
                <w:color w:val="auto"/>
              </w:rPr>
            </w:pPr>
          </w:p>
        </w:tc>
        <w:tc>
          <w:tcPr>
            <w:tcW w:w="1080" w:type="dxa"/>
            <w:vAlign w:val="bottom"/>
            <w:gridSpan w:val="3"/>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Pr>
          <w:p>
            <w:pPr>
              <w:spacing w:after="0"/>
              <w:rPr>
                <w:sz w:val="14"/>
                <w:szCs w:val="14"/>
                <w:color w:val="auto"/>
              </w:rPr>
            </w:pPr>
          </w:p>
        </w:tc>
        <w:tc>
          <w:tcPr>
            <w:tcW w:w="56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5 Years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Open purchase order and supply commitments(1)</w:t>
            </w:r>
          </w:p>
        </w:tc>
        <w:tc>
          <w:tcPr>
            <w:tcW w:w="1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1"/>
              </w:rPr>
              <w:t>$ 17,796</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12,471</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30,357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convertible notes(2)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131,032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105,830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247,092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to principal stockholder(3)</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288,999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303,935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$ 43,231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432,518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105,920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581,669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both"/>
        <w:ind w:left="460" w:right="140" w:hanging="452"/>
        <w:spacing w:after="0" w:line="310" w:lineRule="auto"/>
        <w:tabs>
          <w:tab w:leader="none" w:pos="4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our clinical trials, the acquisition of manufacturing equipment, and commitments related to the expansion of our manufacturing plant.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convertible notes obligations include the Senior Notes due 2013 and the Senior Notes due 2015. The amounts include future interest payments at fixed rates of 3.75% and 5.75%, respectively, and payment of the notes in full upon maturity in 2013 and 2015, respectively.</w:t>
      </w:r>
    </w:p>
    <w:p>
      <w:pPr>
        <w:spacing w:after="0" w:line="11" w:lineRule="exact"/>
        <w:rPr>
          <w:rFonts w:ascii="Times New Roman" w:cs="Times New Roman" w:eastAsia="Times New Roman" w:hAnsi="Times New Roman"/>
          <w:sz w:val="18"/>
          <w:szCs w:val="18"/>
          <w:color w:val="auto"/>
        </w:rPr>
      </w:pPr>
    </w:p>
    <w:p>
      <w:pPr>
        <w:jc w:val="both"/>
        <w:ind w:left="460" w:right="80" w:hanging="452"/>
        <w:spacing w:after="0" w:line="26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for the note payable to the principal stockholder includes future principal and interest payments related to the $277.2 million of borrowings as of December 31, 2011. Interest is paid based on a fixed rate equal to the one-year LIBOR rate on the date of advance plus 3% and the principal payment is due on March 31, 2013.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 description of our related party transactions see Note 17 — Related Party Transactions in the notes to our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In June 2011, the FASB issued Accounting Standards Update No. 2011-05 for Comprehensive Income (Topic 220): “Presentation of Comprehensive Income”. This update improves the comparability, consistency and transparency of financial reporting and increases the prominence of items reported in other comprehensive income. This update is effective for interim and annual periods beginning after December 15, 2011. The adoption of this update will have an impact on the disclosure of comprehensive income on the Company’s consolidated financial statements.</w:t>
      </w:r>
    </w:p>
    <w:p>
      <w:pPr>
        <w:spacing w:after="0" w:line="55"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In May 2011, the FASB issued Accounting Standards Update No. 2011-04 for Fair Value Measurement (Topic 820): “Amendments to Achieve Common Fair Value Measurement and Disclosure Requirements in U.S. GAAP and IFRSs”. This update addresses how to measure fair value and requires new disclosures about fair value measurements. The amendments in this update are effective for interim and annual periods beginning after December 15, 2011. The Company is currently evaluating the impact the adoption of this update will have on its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94"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color w:val="auto"/>
        </w:rPr>
        <w:t xml:space="preserve">We are exposed to market risk related to changes in interest rates impacting our short-term investment portfolio as well as the interest rate on our credit facility with an entity controlled by our principal stockholder. The interest rate on our credit facility with our principal stockholder is a fixed rate equal to the one-year LIBOR rate as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December 31, 2011 are comprised mainly of a certificate of deposit and a common stock investment. We continue to utilize our $350.0 million credit facility to fund operations. As of December 31, 2011, the amount borrowed and outstanding under the credit facility was $277.2 million. The interest rate is fixed at the time of the draw. If interest rates were to increase from levels at December 31, 2011 we could experience a higher level of interest expense than assumed in our current operating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information required by this Item is included in Items 15(a)(1) and (2) of Part IV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92"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8" w:lineRule="exact"/>
        <w:rPr>
          <w:sz w:val="20"/>
          <w:szCs w:val="20"/>
          <w:color w:val="auto"/>
        </w:rPr>
      </w:pPr>
    </w:p>
    <w:p>
      <w:pPr>
        <w:jc w:val="both"/>
        <w:ind w:right="360" w:firstLine="228"/>
        <w:spacing w:after="0" w:line="310" w:lineRule="auto"/>
        <w:rPr>
          <w:sz w:val="20"/>
          <w:szCs w:val="20"/>
          <w:color w:val="auto"/>
        </w:rPr>
      </w:pPr>
      <w:r>
        <w:rPr>
          <w:rFonts w:ascii="Times New Roman" w:cs="Times New Roman" w:eastAsia="Times New Roman" w:hAnsi="Times New Roman"/>
          <w:sz w:val="16"/>
          <w:szCs w:val="16"/>
          <w:color w:val="auto"/>
        </w:rPr>
        <w:t>Our chief executive officer and chief financial officer performed an evaluation under the supervision and with the participation of our management, of our disclosure controls and procedures (as defined in Rule 13a-15(e) and 15d-15(e) of the Exchange Act) as of December 31, 2011. Based on that evaluation, our chief executive officer and chief financial officer concluded that our disclosure controls and procedures were effective at the reasonable assurance level.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2" w:lineRule="exact"/>
        <w:rPr>
          <w:sz w:val="20"/>
          <w:szCs w:val="20"/>
          <w:color w:val="auto"/>
        </w:rPr>
      </w:pPr>
    </w:p>
    <w:p>
      <w:pPr>
        <w:ind w:right="180" w:firstLine="228"/>
        <w:spacing w:after="0" w:line="254"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Based on our evaluation under the framework set forth in</w:t>
      </w:r>
      <w:r>
        <w:rPr>
          <w:rFonts w:ascii="Times New Roman" w:cs="Times New Roman" w:eastAsia="Times New Roman" w:hAnsi="Times New Roman"/>
          <w:sz w:val="18"/>
          <w:szCs w:val="18"/>
          <w:i w:val="1"/>
          <w:iCs w:val="1"/>
          <w:color w:val="auto"/>
        </w:rPr>
        <w:t xml:space="preserve"> 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December 31,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Deloitte &amp; Touche LLP, the independent registered public accounting firm that audited the financial statements included in this 2011 Form 10-K, has issued an attestation report on our internal control over financial reporting as of December 31, 2011, which is included herein.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2" w:lineRule="exact"/>
        <w:rPr>
          <w:sz w:val="20"/>
          <w:szCs w:val="20"/>
          <w:color w:val="auto"/>
        </w:rPr>
      </w:pPr>
    </w:p>
    <w:p>
      <w:pPr>
        <w:ind w:right="580" w:firstLine="228"/>
        <w:spacing w:after="0" w:line="275"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three month period ended December 31, 2011 which have materially affected, or are reasonably likely to materially affect, the Company’s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MannKind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California</w:t>
      </w:r>
    </w:p>
    <w:p>
      <w:pPr>
        <w:spacing w:after="0" w:line="78"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MannKind Corporation and subsidiaries (the “Company”) as of December 31, 2011,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8"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8"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5" w:lineRule="exact"/>
        <w:rPr>
          <w:sz w:val="20"/>
          <w:szCs w:val="20"/>
          <w:color w:val="auto"/>
        </w:rPr>
      </w:pPr>
    </w:p>
    <w:p>
      <w:pPr>
        <w:ind w:right="380" w:firstLine="228"/>
        <w:spacing w:after="0" w:line="334" w:lineRule="auto"/>
        <w:rPr>
          <w:sz w:val="20"/>
          <w:szCs w:val="20"/>
          <w:color w:val="auto"/>
        </w:rPr>
      </w:pPr>
      <w:r>
        <w:rPr>
          <w:rFonts w:ascii="Times New Roman" w:cs="Times New Roman" w:eastAsia="Times New Roman" w:hAnsi="Times New Roman"/>
          <w:sz w:val="16"/>
          <w:szCs w:val="16"/>
          <w:color w:val="auto"/>
        </w:rPr>
        <w:t xml:space="preserve">In our opinion, the Company maintained, in all material respects, effective internal control over financial reporting as of December 31, 2011, based on the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issued by the Committee of Sponsoring Organizations of the Treadway Commission.</w:t>
      </w:r>
    </w:p>
    <w:p>
      <w:pPr>
        <w:spacing w:after="0" w:line="1" w:lineRule="exact"/>
        <w:rPr>
          <w:sz w:val="20"/>
          <w:szCs w:val="20"/>
          <w:color w:val="auto"/>
        </w:rPr>
      </w:pPr>
    </w:p>
    <w:p>
      <w:pPr>
        <w:ind w:right="460" w:firstLine="228"/>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as of and for the year ended December 31, 2011 of the Company and our report dated March 15, 2012 expressed an unqualified opinion on those financial statements and includes an explanatory paragraph relating to the Company’s ability to continue as a going concern.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2012</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OtherInformation.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3"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because we will file our Proxy Statement within 120 days after the end of our fiscal year pursuant to Regulations 14A for our 2012 Annual Meeting of Stockholders, and the information included in the Proxy Statement is incorporated herein by reference.</w:t>
      </w:r>
    </w:p>
    <w:p>
      <w:pPr>
        <w:spacing w:after="0" w:line="16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Executive Officers and Corporate Governance.</w:t>
      </w:r>
    </w:p>
    <w:p>
      <w:pPr>
        <w:spacing w:after="0" w:line="92" w:lineRule="exact"/>
        <w:rPr>
          <w:sz w:val="20"/>
          <w:szCs w:val="20"/>
          <w:color w:val="auto"/>
        </w:rPr>
      </w:pPr>
    </w:p>
    <w:p>
      <w:pPr>
        <w:ind w:right="360" w:firstLine="236"/>
        <w:spacing w:after="0" w:line="277" w:lineRule="auto"/>
        <w:tabs>
          <w:tab w:leader="none" w:pos="4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Officers — </w:t>
      </w:r>
      <w:r>
        <w:rPr>
          <w:rFonts w:ascii="Times New Roman" w:cs="Times New Roman" w:eastAsia="Times New Roman" w:hAnsi="Times New Roman"/>
          <w:sz w:val="18"/>
          <w:szCs w:val="18"/>
          <w:color w:val="auto"/>
        </w:rPr>
        <w:t>For information regarding the identification and business experience of our executive officers, see “Executive Officers” in Part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1 of this Annual Report on Form 10-K.</w:t>
      </w:r>
    </w:p>
    <w:p>
      <w:pPr>
        <w:spacing w:after="0" w:line="35" w:lineRule="exact"/>
        <w:rPr>
          <w:rFonts w:ascii="Times New Roman" w:cs="Times New Roman" w:eastAsia="Times New Roman" w:hAnsi="Times New Roman"/>
          <w:sz w:val="18"/>
          <w:szCs w:val="18"/>
          <w:color w:val="auto"/>
        </w:rPr>
      </w:pPr>
    </w:p>
    <w:p>
      <w:pPr>
        <w:ind w:right="120" w:firstLine="236"/>
        <w:spacing w:after="0" w:line="264" w:lineRule="auto"/>
        <w:tabs>
          <w:tab w:leader="none" w:pos="4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 </w:t>
      </w:r>
      <w:r>
        <w:rPr>
          <w:rFonts w:ascii="Times New Roman" w:cs="Times New Roman" w:eastAsia="Times New Roman" w:hAnsi="Times New Roman"/>
          <w:sz w:val="18"/>
          <w:szCs w:val="18"/>
          <w:color w:val="auto"/>
        </w:rPr>
        <w:t>The information required by this Item regarding the identification and business experience of our directors and corporate governance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contained in the section entitled “Proposal 1- Election of Directors” and “Corporate Governance Principles and Board and Committee Matters” in the Proxy Statement, and is incorporated herein by reference.</w:t>
      </w:r>
    </w:p>
    <w:p>
      <w:pPr>
        <w:spacing w:after="0" w:line="48" w:lineRule="exact"/>
        <w:rPr>
          <w:sz w:val="20"/>
          <w:szCs w:val="20"/>
          <w:color w:val="auto"/>
        </w:rPr>
      </w:pPr>
    </w:p>
    <w:p>
      <w:pPr>
        <w:ind w:right="620" w:firstLine="228"/>
        <w:spacing w:after="0" w:line="275" w:lineRule="auto"/>
        <w:rPr>
          <w:sz w:val="20"/>
          <w:szCs w:val="20"/>
          <w:color w:val="auto"/>
        </w:rPr>
      </w:pPr>
      <w:r>
        <w:rPr>
          <w:rFonts w:ascii="Times New Roman" w:cs="Times New Roman" w:eastAsia="Times New Roman" w:hAnsi="Times New Roman"/>
          <w:sz w:val="18"/>
          <w:szCs w:val="18"/>
          <w:color w:val="auto"/>
        </w:rPr>
        <w:t>Additional information required by this Item is incorporated herein by reference to the section entitled “Section 16(a) Beneficial Ownership Reporting Compliance” in the Proxy Statement.</w:t>
      </w:r>
    </w:p>
    <w:p>
      <w:pPr>
        <w:spacing w:after="0" w:line="39"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t>
      </w:r>
      <w:r>
        <w:rPr>
          <w:rFonts w:ascii="Times New Roman" w:cs="Times New Roman" w:eastAsia="Times New Roman" w:hAnsi="Times New Roman"/>
          <w:sz w:val="18"/>
          <w:szCs w:val="18"/>
          <w:i w:val="1"/>
          <w:iCs w:val="1"/>
          <w:color w:val="auto"/>
        </w:rPr>
        <w:t>www.mannkindcorp.com</w:t>
      </w:r>
      <w:r>
        <w:rPr>
          <w:rFonts w:ascii="Times New Roman" w:cs="Times New Roman" w:eastAsia="Times New Roman" w:hAnsi="Times New Roman"/>
          <w:sz w:val="18"/>
          <w:szCs w:val="18"/>
          <w:color w:val="auto"/>
        </w:rPr>
        <w:t>) in connection with “Investors”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7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94"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 “Executive Compensation,” “Compensation of Directors,” “Compensation Committee Interlocks and Insider Participation” and “Compensation Committee Report” in the Proxy Statement is incorporated herein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460" w:firstLine="228"/>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captions “Security Ownership of Certain Beneficial Owners and Management” and “Securities Authorized for Issuance under Equity Compensation Plans” in the Proxy Statement is incorporated herein by this reference.</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Related Transactions and Director Independence</w:t>
      </w:r>
    </w:p>
    <w:p>
      <w:pPr>
        <w:spacing w:after="0" w:line="94"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 “Certain Transactions” and “Corporate Governance Principles and Board and Committee Matters” in the Proxy Statement is incorporated herein by reference.</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 Accounting Fees and Services</w:t>
      </w:r>
    </w:p>
    <w:p>
      <w:pPr>
        <w:spacing w:after="0" w:line="94" w:lineRule="exact"/>
        <w:rPr>
          <w:sz w:val="20"/>
          <w:szCs w:val="20"/>
          <w:color w:val="auto"/>
        </w:rPr>
      </w:pPr>
    </w:p>
    <w:p>
      <w:pPr>
        <w:ind w:right="800" w:firstLine="228"/>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 “Principal Accounting Fees and Services” and “Pre-Approval Policies and Procedures” in the Proxy Statement is incorporated herein by reference.</w:t>
      </w:r>
    </w:p>
    <w:p>
      <w:pPr>
        <w:spacing w:after="0" w:line="120" w:lineRule="exact"/>
        <w:rPr>
          <w:sz w:val="20"/>
          <w:szCs w:val="20"/>
          <w:color w:val="auto"/>
        </w:rPr>
      </w:pPr>
    </w:p>
    <w:p>
      <w:pPr>
        <w:ind w:right="600" w:firstLine="228"/>
        <w:spacing w:after="0" w:line="262" w:lineRule="auto"/>
        <w:rPr>
          <w:sz w:val="20"/>
          <w:szCs w:val="20"/>
          <w:color w:val="auto"/>
        </w:rPr>
      </w:pPr>
      <w:r>
        <w:rPr>
          <w:rFonts w:ascii="Times New Roman" w:cs="Times New Roman" w:eastAsia="Times New Roman" w:hAnsi="Times New Roman"/>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The following documents are filed as part of, or incorporated by reference into, this Annual Report on Form 10-K:</w:t>
      </w:r>
    </w:p>
    <w:p>
      <w:pPr>
        <w:spacing w:after="0" w:line="90" w:lineRule="exact"/>
        <w:rPr>
          <w:sz w:val="20"/>
          <w:szCs w:val="20"/>
          <w:color w:val="auto"/>
        </w:rPr>
      </w:pPr>
    </w:p>
    <w:p>
      <w:pPr>
        <w:ind w:left="460" w:right="60" w:firstLine="438"/>
        <w:spacing w:after="0" w:line="339" w:lineRule="auto"/>
        <w:rPr>
          <w:sz w:val="20"/>
          <w:szCs w:val="20"/>
          <w:color w:val="auto"/>
        </w:rPr>
      </w:pPr>
      <w:r>
        <w:rPr>
          <w:rFonts w:ascii="Times New Roman" w:cs="Times New Roman" w:eastAsia="Times New Roman" w:hAnsi="Times New Roman"/>
          <w:sz w:val="16"/>
          <w:szCs w:val="16"/>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62:</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Report of Independent Registered Public Accounting Firm</w:t>
              </w:r>
            </w:hyperlink>
          </w:p>
        </w:tc>
        <w:tc>
          <w:tcPr>
            <w:tcW w:w="3500" w:type="dxa"/>
            <w:vAlign w:val="bottom"/>
          </w:tcPr>
          <w:p>
            <w:pPr>
              <w:spacing w:after="0"/>
              <w:rPr>
                <w:sz w:val="17"/>
                <w:szCs w:val="17"/>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196"/>
        </w:trPr>
        <w:tc>
          <w:tcPr>
            <w:tcW w:w="7640" w:type="dxa"/>
            <w:vAlign w:val="bottom"/>
            <w:gridSpan w:val="7"/>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Consolidated Balance Sheets</w:t>
              </w:r>
            </w:hyperlink>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Consolidated Statements of Operations</w:t>
              </w:r>
            </w:hyperlink>
          </w:p>
        </w:tc>
        <w:tc>
          <w:tcPr>
            <w:tcW w:w="4880" w:type="dxa"/>
            <w:vAlign w:val="bottom"/>
            <w:gridSpan w:val="5"/>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4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Consolidated Statements of Stockholders’ Equity (Deficit)</w:t>
              </w:r>
            </w:hyperlink>
          </w:p>
        </w:tc>
        <w:tc>
          <w:tcPr>
            <w:tcW w:w="3520" w:type="dxa"/>
            <w:vAlign w:val="bottom"/>
            <w:gridSpan w:val="2"/>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7640" w:type="dxa"/>
            <w:vAlign w:val="bottom"/>
            <w:gridSpan w:val="7"/>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Consolidated Statements of Cash Flows</w:t>
              </w:r>
            </w:hyperlink>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7640" w:type="dxa"/>
            <w:vAlign w:val="bottom"/>
            <w:gridSpan w:val="7"/>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Notes to Consolidated Financial Statements</w:t>
              </w:r>
            </w:hyperlink>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94" w:lineRule="exact"/>
        <w:rPr>
          <w:sz w:val="20"/>
          <w:szCs w:val="20"/>
          <w:color w:val="auto"/>
        </w:rPr>
      </w:pPr>
    </w:p>
    <w:p>
      <w:pPr>
        <w:ind w:right="660" w:firstLine="228"/>
        <w:spacing w:after="0" w:line="275"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39" w:lineRule="exact"/>
        <w:rPr>
          <w:sz w:val="20"/>
          <w:szCs w:val="20"/>
          <w:color w:val="auto"/>
        </w:rPr>
      </w:pPr>
    </w:p>
    <w:p>
      <w:pPr>
        <w:ind w:firstLine="236"/>
        <w:spacing w:after="0" w:line="275" w:lineRule="auto"/>
        <w:tabs>
          <w:tab w:leader="none" w:pos="4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39" w:lineRule="exact"/>
        <w:rPr>
          <w:sz w:val="20"/>
          <w:szCs w:val="20"/>
          <w:color w:val="auto"/>
        </w:rPr>
      </w:pPr>
    </w:p>
    <w:p>
      <w:pPr>
        <w:ind w:left="5620" w:right="1460" w:hanging="5384"/>
        <w:spacing w:after="0" w:line="447" w:lineRule="auto"/>
        <w:tabs>
          <w:tab w:leader="none" w:pos="4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filed or furnished as part of, or incorporated by reference into, this Annual Report on Form 10-K: 53</w:t>
      </w:r>
    </w:p>
    <w:p>
      <w:pPr>
        <w:sectPr>
          <w:pgSz w:w="11900" w:h="16838" w:orient="portrait"/>
          <w:cols w:equalWidth="0" w:num="1">
            <w:col w:w="11360"/>
          </w:cols>
          <w:pgMar w:left="240" w:top="455" w:right="2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3.</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5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5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222"/>
        </w:trPr>
        <w:tc>
          <w:tcPr>
            <w:tcW w:w="140" w:type="dxa"/>
            <w:vAlign w:val="bottom"/>
            <w:vMerge w:val="continue"/>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3.2(12)</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3.3(17)</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3.3(20)</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3.4(9)</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4.1(10)</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4.2(3)</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4.3(3)</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3.75% Senior Convertible Note due 2013.</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4.4(1)</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0" w:type="dxa"/>
            <w:vAlign w:val="bottom"/>
          </w:tcPr>
          <w:p>
            <w:pPr>
              <w:spacing w:after="0"/>
              <w:rPr>
                <w:sz w:val="1"/>
                <w:szCs w:val="1"/>
                <w:color w:val="auto"/>
              </w:rPr>
            </w:pPr>
          </w:p>
        </w:tc>
      </w:tr>
      <w:tr>
        <w:trPr>
          <w:trHeight w:val="3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4.5(1)</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Registration Rights Agreement, dated October 15, 1998 by and among CTL ImmunoTherapies Corp., Medical Research Group, LLC,</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McLean Watson Advisory Inc. and Alfred E. Mann, as amended.</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4.6(19)</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Indenture, by and between MannKind and Wells Fargo Bank, N.A., dated August 24, 2010.</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4.7(19)</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5.75% Senior Convertible Note due 2015.</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4.8(22)</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Warrant to Purchase Common Stock issued February 8, 2012.</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10.1(18)</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Amended and Restated Promissory Note made by MannKind in favor of The Mann Group LLC, dated August 10, 2010.</w:t>
            </w:r>
          </w:p>
        </w:tc>
        <w:tc>
          <w:tcPr>
            <w:tcW w:w="0" w:type="dxa"/>
            <w:vAlign w:val="bottom"/>
          </w:tcPr>
          <w:p>
            <w:pPr>
              <w:spacing w:after="0"/>
              <w:rPr>
                <w:sz w:val="1"/>
                <w:szCs w:val="1"/>
                <w:color w:val="auto"/>
              </w:rPr>
            </w:pPr>
          </w:p>
        </w:tc>
      </w:tr>
      <w:tr>
        <w:trPr>
          <w:trHeight w:val="3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10.2(19)</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7"/>
              </w:rPr>
              <w:t>Letter Agreement, dated August 18, 2010, related to Amended and Restated Promissory Note made by MannKind in favor of The Mann</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Group LLC, dated August 10, 2010.</w:t>
            </w:r>
          </w:p>
        </w:tc>
        <w:tc>
          <w:tcPr>
            <w:tcW w:w="0" w:type="dxa"/>
            <w:vAlign w:val="bottom"/>
          </w:tcPr>
          <w:p>
            <w:pPr>
              <w:spacing w:after="0"/>
              <w:rPr>
                <w:sz w:val="1"/>
                <w:szCs w:val="1"/>
                <w:color w:val="auto"/>
              </w:rPr>
            </w:pPr>
          </w:p>
        </w:tc>
      </w:tr>
      <w:tr>
        <w:trPr>
          <w:trHeight w:val="3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10.3(21)</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7"/>
              </w:rPr>
              <w:t>Amendment, dated January 16, 2012 to Amended and Restated Promissory Note made by MannKind in favor of The Mann Group LLC,</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dated August 10, 2010.</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10.4(12)</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Agreement, dated September 13, 2006, between MannKind and Torcon,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10.5(2)</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Securities Purchase Agreement, dated August 2, 2005 by and among MannKind and the purchasers listed on Exhibit A thereto.</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10.6**(4)</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Supply Agreement, dated December 31, 2004, between MannKind and Vaupell,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10.7*(1)</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Indemnity Agreement entered into between MannKind and each of its directors and officers.</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10.8*(8)</w:t>
            </w:r>
          </w:p>
        </w:tc>
        <w:tc>
          <w:tcPr>
            <w:tcW w:w="50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Description of Officers’ Incentive Program.</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10.9*(11)</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Executive Severance Agreement, dated October 10, 2007, between MannKind and Hakan Edstrom.</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10.10*(11)</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Executive Severance Agreement, dated October 10, 2007, between MannKind and David Thomson.</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10.11*(20)</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27, 2011, between MannKind and Peter Richardson.</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10.12*(11)</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Executive Severance Agreement, dated October 10, 2007, between MannKind and Juergen Martens.</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10.13*(11)</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Executive Severance Agreement, dated October 10, 2007, between MannKind and Diane Palumbo.</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10.14*(11)</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Executive Severance Agreement, dated April 21, 2008, between MannKind and Matthew J. Pfeffer.</w:t>
            </w: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54</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5" w:right="5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120" w:type="dxa"/>
            <w:vAlign w:val="bottom"/>
          </w:tcPr>
          <w:p>
            <w:pPr>
              <w:spacing w:after="0"/>
              <w:rPr>
                <w:sz w:val="13"/>
                <w:szCs w:val="13"/>
                <w:color w:val="auto"/>
              </w:rPr>
            </w:pPr>
          </w:p>
        </w:tc>
      </w:tr>
      <w:tr>
        <w:trPr>
          <w:trHeight w:val="165"/>
        </w:trPr>
        <w:tc>
          <w:tcPr>
            <w:tcW w:w="18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Description of Document</w:t>
            </w:r>
          </w:p>
        </w:tc>
        <w:tc>
          <w:tcPr>
            <w:tcW w:w="4120" w:type="dxa"/>
            <w:vAlign w:val="bottom"/>
          </w:tcPr>
          <w:p>
            <w:pPr>
              <w:spacing w:after="0"/>
              <w:rPr>
                <w:sz w:val="14"/>
                <w:szCs w:val="14"/>
                <w:color w:val="auto"/>
              </w:rPr>
            </w:pPr>
          </w:p>
        </w:tc>
      </w:tr>
      <w:tr>
        <w:trPr>
          <w:trHeight w:val="22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70"/>
              </w:rPr>
              <w:t>10.</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0"/>
              </w:rPr>
              <w:t>15*(11)</w:t>
            </w:r>
          </w:p>
        </w:tc>
        <w:tc>
          <w:tcPr>
            <w:tcW w:w="540" w:type="dxa"/>
            <w:vAlign w:val="bottom"/>
          </w:tcPr>
          <w:p>
            <w:pPr>
              <w:spacing w:after="0"/>
              <w:rPr>
                <w:sz w:val="19"/>
                <w:szCs w:val="19"/>
                <w:color w:val="auto"/>
              </w:rPr>
            </w:pPr>
          </w:p>
        </w:tc>
        <w:tc>
          <w:tcPr>
            <w:tcW w:w="6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Change of Control Agreement, dated October 10, 2007, between MannKind and</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Hakan Edstrom.</w:t>
            </w:r>
          </w:p>
        </w:tc>
      </w:tr>
      <w:tr>
        <w:trPr>
          <w:trHeight w:val="3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10.16*(11)</w:t>
            </w: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Change of Control Agreement, dated October 10, 2007, between MannKind and David Thomson.</w:t>
            </w:r>
          </w:p>
        </w:tc>
      </w:tr>
      <w:tr>
        <w:trPr>
          <w:trHeight w:val="32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10.17*(11)</w:t>
            </w: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Change of Control Agreement, dated October 10, 2007, between MannKind and Peter Richardson.</w:t>
            </w:r>
          </w:p>
        </w:tc>
      </w:tr>
      <w:tr>
        <w:trPr>
          <w:trHeight w:val="32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10.18*(11)</w:t>
            </w: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Change of Control Agreement, dated October 10, 2007, between MannKind and Juergen Martens.</w:t>
            </w:r>
          </w:p>
        </w:tc>
      </w:tr>
      <w:tr>
        <w:trPr>
          <w:trHeight w:val="32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10.19*(11)</w:t>
            </w: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Change of Control Agreement, dated October 10, 2007, between MannKind and Diane Palumbo.</w:t>
            </w:r>
          </w:p>
        </w:tc>
      </w:tr>
      <w:tr>
        <w:trPr>
          <w:trHeight w:val="32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10.20*(11)</w:t>
            </w: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Change of Control Agreement, dated April 21, 2008, between MannKind and Matthew J. Pfeffer.</w:t>
            </w:r>
          </w:p>
        </w:tc>
      </w:tr>
      <w:tr>
        <w:trPr>
          <w:trHeight w:val="32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10.21*(13)</w:t>
            </w: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Agreement dated December 20, 2007, between MannKind and Richard L. Anderson.</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10.22*(7)</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2004 Equity Incentive Plan, as amended.</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10.23*(1)</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Form of Stock Option Agreement under the 2004 Equity Incentive Plan.</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10.24*(6)</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Form of Phantom Stock Award Agreement under the 2004 Equity Incentive Plan.</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10.25*(8)</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2004 Non-Employee Directors’ Stock Option Plan and form of stock option agreement there under.</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10.26*(1)</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2004 Employee Stock Purchase Plan and form of offering document there under.</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10.27*(1)</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Pharmaceutical Discovery Corporation 1991 Stock Option Plan.</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10.28*(1)</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Pharmaceutical Discovery Corporation 1999 Stock Plan and form of stock option plan there under.</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10.29*(1)</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AlleCure Corp. 2000 Stock Option and Stock Plan.</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10.30*(1)</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CTL Immunotherapies Corp. 2000 Stock Option and Stock Plan.</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10.31*(1)</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2001 Stock Awards Plan.</w:t>
            </w:r>
          </w:p>
        </w:tc>
      </w:tr>
      <w:tr>
        <w:trPr>
          <w:trHeight w:val="32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10.32**(20)</w:t>
            </w: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4, 2011, between MannKind and N.V. Organon.</w:t>
            </w:r>
          </w:p>
        </w:tc>
      </w:tr>
      <w:tr>
        <w:trPr>
          <w:trHeight w:val="31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10.33**(14)</w:t>
            </w: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Insulin Maintenance and Call-Option Agreement, dated June 19, 2009, by and among Pfizer Manufacturing Frankfurt GmbH, Pfizer Inc.</w:t>
            </w:r>
          </w:p>
        </w:tc>
      </w:tr>
      <w:tr>
        <w:trPr>
          <w:trHeight w:val="228"/>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and MannKind.</w:t>
            </w:r>
          </w:p>
        </w:tc>
      </w:tr>
      <w:tr>
        <w:trPr>
          <w:trHeight w:val="312"/>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10.34(19)</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Purchase Agreement, dated August 18, 2010, by and between MannKind and Merrill Lynch, Pierce, Fenner &amp; Smith Incorporated, as</w:t>
            </w:r>
          </w:p>
        </w:tc>
      </w:tr>
      <w:tr>
        <w:trPr>
          <w:trHeight w:val="228"/>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representative for the initial purchasers named therein.</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10.35(19)</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Share Lending Agreement, dated August 18, 2010, by and between MannKind and Bank of America, N.A.</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10.36(18)</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Letter Agreement, dated August 10, 2010, by and between MannKind and Omni Capital Corporation.</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10.37(22)</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Common Stock Purchase Agreement by and between MannKind and The Mann Group LLC, dated February 2, 2012.</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12"/>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Rules 13a-14(a) and 15d-14(a) of the Securities Exchange Act of 1934, as</w:t>
            </w:r>
          </w:p>
        </w:tc>
      </w:tr>
      <w:tr>
        <w:trPr>
          <w:trHeight w:val="228"/>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amended.</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7"/>
              </w:rPr>
              <w:t>Certification of the Chief Financial Officer pursuant to Rules 13a-14(a) and 15d-14(a) of the Securities Exchange Act of 1934, as amended.</w:t>
            </w:r>
          </w:p>
        </w:tc>
      </w:tr>
      <w:tr>
        <w:trPr>
          <w:trHeight w:val="31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32</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Certifications of the Chief Executive Officer and Chief Financial Officer pursuant to Rules 13a-14(b) and 15d-14(b) of the Securities</w:t>
            </w:r>
          </w:p>
        </w:tc>
      </w:tr>
      <w:tr>
        <w:trPr>
          <w:trHeight w:val="228"/>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Exchange Act of 1934, as amended and Section 1350 of Chapter 63 of Title 18 of the United States Code (18 U.S.C. §1350)</w:t>
            </w: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10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580" w:hanging="572"/>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this exhibit. Omitted portions have been filed separately with the SEC.</w:t>
      </w:r>
    </w:p>
    <w:p>
      <w:pPr>
        <w:spacing w:after="0" w:line="21"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MannKind’s Registration Statement on Form S-1 (File No. 333-115020) filed with the SEC on April 30, 2004, as amended.</w:t>
      </w:r>
    </w:p>
    <w:p>
      <w:pPr>
        <w:spacing w:after="0" w:line="32" w:lineRule="exact"/>
        <w:rPr>
          <w:rFonts w:ascii="Times New Roman" w:cs="Times New Roman" w:eastAsia="Times New Roman" w:hAnsi="Times New Roman"/>
          <w:sz w:val="16"/>
          <w:szCs w:val="16"/>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August 5, 2005.</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December 12, 2006.</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February 23, 2005.</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February 22, 2006.</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December 14, 2005.</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June 8, 2011.</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Annual Report on Form 10-K (File No. 000-50865) filed with the SEC on March 16, 2006.</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November 19, 2007.</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Registration Statement on Form S-3 (File No. 333-138373) filed with the SEC on November 2, 2006.</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as amended, filed with the SEC on October 16, 2007.</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Quarterly Report on Form 10-Q (File No. 000-50865) filed with the SEC on August 9, 2007.</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Quarterly Report on Form 10-Q (File No. 000-50865) filed with the SEC on December 20, 2007.</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Quarterly Report on Form 10-Q (File No. 000-50865) filed with the SEC on May 4, 2009.</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Annual Report on Form 10-K (File No. 000-50865) filed with the SEC on February 27, 2009.</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Annual Report on Form 10-K (File No. 000-50865) filed with the SEC on March 14, 2008.</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Quarterly report on Form 10-Q (File No. 000-50865), filed with the SEC on August 2, 2010.</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August 11, 2010.</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August 24, 2010.</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Quarterly report on Form 10-Q (File No. 000-50865), filed with the SEC on August 4, 2011.</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January 20, 2011.</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February 6, 2011.</w:t>
      </w:r>
    </w:p>
    <w:p>
      <w:pPr>
        <w:spacing w:after="0" w:line="1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80"/>
          </w:cols>
          <w:pgMar w:left="240" w:top="455" w:right="3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2"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ANN</w:t>
      </w: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IND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225" w:lineRule="exact"/>
        <w:rPr>
          <w:sz w:val="20"/>
          <w:szCs w:val="20"/>
          <w:color w:val="auto"/>
        </w:rPr>
      </w:pPr>
    </w:p>
    <w:p>
      <w:pPr>
        <w:ind w:left="6860"/>
        <w:spacing w:after="0"/>
        <w:tabs>
          <w:tab w:leader="none" w:pos="75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6"/>
          <w:szCs w:val="16"/>
          <w:color w:val="auto"/>
        </w:rPr>
        <w:t>Alfred E. Mann</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15, 2012</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2"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Hakan S. Edstrom, Matthew Pfeffer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60" w:lineRule="exact"/>
        <w:rPr>
          <w:sz w:val="20"/>
          <w:szCs w:val="20"/>
          <w:color w:val="auto"/>
        </w:rPr>
      </w:pPr>
    </w:p>
    <w:p>
      <w:pPr>
        <w:ind w:right="140" w:firstLine="22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8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420" w:type="dxa"/>
            <w:vAlign w:val="bottom"/>
          </w:tcPr>
          <w:p>
            <w:pPr>
              <w:spacing w:after="0"/>
              <w:rPr>
                <w:sz w:val="14"/>
                <w:szCs w:val="14"/>
                <w:color w:val="auto"/>
              </w:rPr>
            </w:pPr>
          </w:p>
        </w:tc>
      </w:tr>
      <w:tr>
        <w:trPr>
          <w:trHeight w:val="424"/>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Alfred E. Mann</w:t>
            </w:r>
          </w:p>
        </w:tc>
        <w:tc>
          <w:tcPr>
            <w:tcW w:w="174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Chief Executive Officer and Chairman of the Board of Directors</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March 15, 2012</w:t>
            </w:r>
          </w:p>
        </w:tc>
      </w:tr>
      <w:tr>
        <w:trPr>
          <w:trHeight w:val="22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Alfred E. Mann</w:t>
            </w:r>
          </w:p>
        </w:tc>
        <w:tc>
          <w:tcPr>
            <w:tcW w:w="1740" w:type="dxa"/>
            <w:vAlign w:val="bottom"/>
          </w:tcPr>
          <w:p>
            <w:pPr>
              <w:spacing w:after="0"/>
              <w:rPr>
                <w:sz w:val="19"/>
                <w:szCs w:val="19"/>
                <w:color w:val="auto"/>
              </w:rPr>
            </w:pPr>
          </w:p>
        </w:tc>
        <w:tc>
          <w:tcPr>
            <w:tcW w:w="5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7"/>
              </w:rPr>
              <w:t>(Principal Executive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2"/>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Hakan S. Edstrom</w:t>
            </w:r>
          </w:p>
        </w:tc>
        <w:tc>
          <w:tcPr>
            <w:tcW w:w="174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President, Chief Operating Officer and 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March 15, 2012</w:t>
            </w: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Hakan S. Edstrom</w:t>
            </w:r>
          </w:p>
        </w:tc>
        <w:tc>
          <w:tcPr>
            <w:tcW w:w="1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Matthew J. Pfeffer</w:t>
            </w:r>
          </w:p>
        </w:tc>
        <w:tc>
          <w:tcPr>
            <w:tcW w:w="174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Corporate Vice President and Chief Financial Officer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March 15, 2012</w:t>
            </w:r>
          </w:p>
        </w:tc>
      </w:tr>
      <w:tr>
        <w:trPr>
          <w:trHeight w:val="22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Pfeffer</w:t>
            </w:r>
          </w:p>
        </w:tc>
        <w:tc>
          <w:tcPr>
            <w:tcW w:w="1740" w:type="dxa"/>
            <w:vAlign w:val="bottom"/>
          </w:tcPr>
          <w:p>
            <w:pPr>
              <w:spacing w:after="0"/>
              <w:rPr>
                <w:sz w:val="19"/>
                <w:szCs w:val="19"/>
                <w:color w:val="auto"/>
              </w:rPr>
            </w:pPr>
          </w:p>
        </w:tc>
        <w:tc>
          <w:tcPr>
            <w:tcW w:w="5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7"/>
              </w:rPr>
              <w:t>(Principal Financial and Accounting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2"/>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 E. Cohen</w:t>
            </w:r>
          </w:p>
        </w:tc>
        <w:tc>
          <w:tcPr>
            <w:tcW w:w="174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March 15, 2012</w:t>
            </w: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E. Cohen</w:t>
            </w:r>
          </w:p>
        </w:tc>
        <w:tc>
          <w:tcPr>
            <w:tcW w:w="1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2"/>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Ronald J. Consiglio</w:t>
            </w:r>
          </w:p>
        </w:tc>
        <w:tc>
          <w:tcPr>
            <w:tcW w:w="174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March 15, 2012</w:t>
            </w: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J. Consiglio</w:t>
            </w:r>
          </w:p>
        </w:tc>
        <w:tc>
          <w:tcPr>
            <w:tcW w:w="1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2"/>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Friedman</w:t>
            </w:r>
          </w:p>
        </w:tc>
        <w:tc>
          <w:tcPr>
            <w:tcW w:w="174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March 15, 2012</w:t>
            </w: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Friedman, M.D.</w:t>
            </w:r>
          </w:p>
        </w:tc>
        <w:tc>
          <w:tcPr>
            <w:tcW w:w="1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2"/>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Kent Kresa</w:t>
            </w:r>
          </w:p>
        </w:tc>
        <w:tc>
          <w:tcPr>
            <w:tcW w:w="174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March 15, 2012</w:t>
            </w: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 Kresa</w:t>
            </w:r>
          </w:p>
        </w:tc>
        <w:tc>
          <w:tcPr>
            <w:tcW w:w="1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4"/>
        </w:trPr>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40" w:type="dxa"/>
            <w:vAlign w:val="bottom"/>
            <w:gridSpan w:val="2"/>
          </w:tcPr>
          <w:p>
            <w:pPr>
              <w:jc w:val="right"/>
              <w:ind w:right="732"/>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8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420" w:type="dxa"/>
            <w:vAlign w:val="bottom"/>
          </w:tcPr>
          <w:p>
            <w:pPr>
              <w:spacing w:after="0"/>
              <w:rPr>
                <w:sz w:val="14"/>
                <w:szCs w:val="14"/>
                <w:color w:val="auto"/>
              </w:rPr>
            </w:pPr>
          </w:p>
        </w:tc>
      </w:tr>
      <w:tr>
        <w:trPr>
          <w:trHeight w:val="425"/>
        </w:trPr>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David H. MacCallum</w:t>
            </w:r>
          </w:p>
        </w:tc>
        <w:tc>
          <w:tcPr>
            <w:tcW w:w="4320" w:type="dxa"/>
            <w:vAlign w:val="bottom"/>
            <w:gridSpan w:val="3"/>
          </w:tcPr>
          <w:p>
            <w:pPr>
              <w:jc w:val="center"/>
              <w:ind w:left="852"/>
              <w:spacing w:after="0"/>
              <w:rPr>
                <w:sz w:val="20"/>
                <w:szCs w:val="20"/>
                <w:color w:val="auto"/>
              </w:rPr>
            </w:pPr>
            <w:r>
              <w:rPr>
                <w:rFonts w:ascii="Times New Roman" w:cs="Times New Roman" w:eastAsia="Times New Roman" w:hAnsi="Times New Roman"/>
                <w:sz w:val="18"/>
                <w:szCs w:val="18"/>
                <w:color w:val="auto"/>
                <w:w w:val="96"/>
              </w:rPr>
              <w:t>Director</w:t>
            </w:r>
          </w:p>
        </w:tc>
        <w:tc>
          <w:tcPr>
            <w:tcW w:w="2520" w:type="dxa"/>
            <w:vAlign w:val="bottom"/>
            <w:gridSpan w:val="3"/>
          </w:tcPr>
          <w:p>
            <w:pPr>
              <w:jc w:val="center"/>
              <w:ind w:left="1312"/>
              <w:spacing w:after="0"/>
              <w:rPr>
                <w:sz w:val="20"/>
                <w:szCs w:val="20"/>
                <w:color w:val="auto"/>
              </w:rPr>
            </w:pPr>
            <w:r>
              <w:rPr>
                <w:rFonts w:ascii="Times New Roman" w:cs="Times New Roman" w:eastAsia="Times New Roman" w:hAnsi="Times New Roman"/>
                <w:sz w:val="18"/>
                <w:szCs w:val="18"/>
                <w:color w:val="auto"/>
                <w:w w:val="97"/>
              </w:rPr>
              <w:t>March 15, 2012</w:t>
            </w:r>
          </w:p>
        </w:tc>
      </w:tr>
      <w:tr>
        <w:trPr>
          <w:trHeight w:val="223"/>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H. MacCallum</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2"/>
        </w:trPr>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Henry L. Nordhoff</w:t>
            </w:r>
          </w:p>
        </w:tc>
        <w:tc>
          <w:tcPr>
            <w:tcW w:w="4320" w:type="dxa"/>
            <w:vAlign w:val="bottom"/>
            <w:gridSpan w:val="3"/>
          </w:tcPr>
          <w:p>
            <w:pPr>
              <w:jc w:val="center"/>
              <w:ind w:left="852"/>
              <w:spacing w:after="0"/>
              <w:rPr>
                <w:sz w:val="20"/>
                <w:szCs w:val="20"/>
                <w:color w:val="auto"/>
              </w:rPr>
            </w:pPr>
            <w:r>
              <w:rPr>
                <w:rFonts w:ascii="Times New Roman" w:cs="Times New Roman" w:eastAsia="Times New Roman" w:hAnsi="Times New Roman"/>
                <w:sz w:val="18"/>
                <w:szCs w:val="18"/>
                <w:color w:val="auto"/>
                <w:w w:val="96"/>
              </w:rPr>
              <w:t>Director</w:t>
            </w:r>
          </w:p>
        </w:tc>
        <w:tc>
          <w:tcPr>
            <w:tcW w:w="2520" w:type="dxa"/>
            <w:vAlign w:val="bottom"/>
            <w:gridSpan w:val="3"/>
          </w:tcPr>
          <w:p>
            <w:pPr>
              <w:jc w:val="center"/>
              <w:ind w:left="1312"/>
              <w:spacing w:after="0"/>
              <w:rPr>
                <w:sz w:val="20"/>
                <w:szCs w:val="20"/>
                <w:color w:val="auto"/>
              </w:rPr>
            </w:pPr>
            <w:r>
              <w:rPr>
                <w:rFonts w:ascii="Times New Roman" w:cs="Times New Roman" w:eastAsia="Times New Roman" w:hAnsi="Times New Roman"/>
                <w:sz w:val="18"/>
                <w:szCs w:val="18"/>
                <w:color w:val="auto"/>
                <w:w w:val="97"/>
              </w:rPr>
              <w:t>March 15, 2012</w:t>
            </w:r>
          </w:p>
        </w:tc>
      </w:tr>
      <w:tr>
        <w:trPr>
          <w:trHeight w:val="223"/>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Henry L. Nordhoff</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2"/>
        </w:trPr>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James S. Shannon</w:t>
            </w:r>
          </w:p>
        </w:tc>
        <w:tc>
          <w:tcPr>
            <w:tcW w:w="4320" w:type="dxa"/>
            <w:vAlign w:val="bottom"/>
            <w:gridSpan w:val="3"/>
          </w:tcPr>
          <w:p>
            <w:pPr>
              <w:jc w:val="center"/>
              <w:ind w:left="852"/>
              <w:spacing w:after="0"/>
              <w:rPr>
                <w:sz w:val="20"/>
                <w:szCs w:val="20"/>
                <w:color w:val="auto"/>
              </w:rPr>
            </w:pPr>
            <w:r>
              <w:rPr>
                <w:rFonts w:ascii="Times New Roman" w:cs="Times New Roman" w:eastAsia="Times New Roman" w:hAnsi="Times New Roman"/>
                <w:sz w:val="18"/>
                <w:szCs w:val="18"/>
                <w:color w:val="auto"/>
                <w:w w:val="96"/>
              </w:rPr>
              <w:t>Director</w:t>
            </w:r>
          </w:p>
        </w:tc>
        <w:tc>
          <w:tcPr>
            <w:tcW w:w="2520" w:type="dxa"/>
            <w:vAlign w:val="bottom"/>
            <w:gridSpan w:val="3"/>
          </w:tcPr>
          <w:p>
            <w:pPr>
              <w:jc w:val="center"/>
              <w:ind w:left="1312"/>
              <w:spacing w:after="0"/>
              <w:rPr>
                <w:sz w:val="20"/>
                <w:szCs w:val="20"/>
                <w:color w:val="auto"/>
              </w:rPr>
            </w:pPr>
            <w:r>
              <w:rPr>
                <w:rFonts w:ascii="Times New Roman" w:cs="Times New Roman" w:eastAsia="Times New Roman" w:hAnsi="Times New Roman"/>
                <w:sz w:val="18"/>
                <w:szCs w:val="18"/>
                <w:color w:val="auto"/>
                <w:w w:val="97"/>
              </w:rPr>
              <w:t>March 15, 2012</w:t>
            </w:r>
          </w:p>
        </w:tc>
      </w:tr>
      <w:tr>
        <w:trPr>
          <w:trHeight w:val="223"/>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S. Shannon, M.D., MRCP(UK)</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4"/>
        </w:trPr>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0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0"/>
          </w:cols>
          <w:pgMar w:left="240" w:top="455" w:right="6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Report of Independent Registered Public Accounting Firm</w:t>
              </w:r>
            </w:hyperlink>
          </w:p>
        </w:tc>
        <w:tc>
          <w:tcPr>
            <w:tcW w:w="740" w:type="dxa"/>
            <w:vAlign w:val="bottom"/>
          </w:tcPr>
          <w:p>
            <w:pPr>
              <w:spacing w:after="0"/>
              <w:rPr>
                <w:sz w:val="17"/>
                <w:szCs w:val="17"/>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196"/>
        </w:trPr>
        <w:tc>
          <w:tcPr>
            <w:tcW w:w="4880" w:type="dxa"/>
            <w:vAlign w:val="bottom"/>
            <w:gridSpan w:val="7"/>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Consolidated Balance Sheets</w:t>
              </w:r>
            </w:hyperlink>
          </w:p>
        </w:tc>
        <w:tc>
          <w:tcPr>
            <w:tcW w:w="6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Consolidated Statements of Operations</w:t>
              </w:r>
            </w:hyperlink>
          </w:p>
        </w:tc>
        <w:tc>
          <w:tcPr>
            <w:tcW w:w="2120" w:type="dxa"/>
            <w:vAlign w:val="bottom"/>
            <w:gridSpan w:val="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4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Consolidated Statements of Stockholders’ Equity (Deficit)</w:t>
              </w:r>
            </w:hyperlink>
          </w:p>
        </w:tc>
        <w:tc>
          <w:tcPr>
            <w:tcW w:w="760" w:type="dxa"/>
            <w:vAlign w:val="bottom"/>
            <w:gridSpan w:val="2"/>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4880" w:type="dxa"/>
            <w:vAlign w:val="bottom"/>
            <w:gridSpan w:val="7"/>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Consolidated Statements of Cash Flows</w:t>
              </w:r>
            </w:hyperlink>
          </w:p>
        </w:tc>
        <w:tc>
          <w:tcPr>
            <w:tcW w:w="6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880" w:type="dxa"/>
            <w:vAlign w:val="bottom"/>
            <w:gridSpan w:val="7"/>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Notes to Consolidated Financial Statements</w:t>
              </w:r>
            </w:hyperlink>
          </w:p>
        </w:tc>
        <w:tc>
          <w:tcPr>
            <w:tcW w:w="6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40" w:type="dxa"/>
            <w:vAlign w:val="bottom"/>
          </w:tcPr>
          <w:p>
            <w:pPr>
              <w:jc w:val="right"/>
              <w:ind w:right="5432"/>
              <w:spacing w:after="0"/>
              <w:rPr>
                <w:sz w:val="20"/>
                <w:szCs w:val="20"/>
                <w:color w:val="auto"/>
              </w:rPr>
            </w:pPr>
            <w:r>
              <w:rPr>
                <w:rFonts w:ascii="Times New Roman" w:cs="Times New Roman" w:eastAsia="Times New Roman" w:hAnsi="Times New Roman"/>
                <w:sz w:val="18"/>
                <w:szCs w:val="18"/>
                <w:color w:val="auto"/>
              </w:rPr>
              <w:t>59</w:t>
            </w:r>
          </w:p>
        </w:tc>
      </w:tr>
    </w:tbl>
    <w:p>
      <w:pPr>
        <w:sectPr>
          <w:pgSz w:w="11900" w:h="16838" w:orient="portrait"/>
          <w:cols w:equalWidth="0" w:num="1">
            <w:col w:w="11320"/>
          </w:cols>
          <w:pgMar w:left="240" w:top="455"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MannKind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California</w:t>
      </w:r>
    </w:p>
    <w:p>
      <w:pPr>
        <w:spacing w:after="0" w:line="78" w:lineRule="exact"/>
        <w:rPr>
          <w:sz w:val="20"/>
          <w:szCs w:val="20"/>
          <w:color w:val="auto"/>
        </w:rPr>
      </w:pPr>
    </w:p>
    <w:p>
      <w:pPr>
        <w:ind w:right="40" w:firstLine="228"/>
        <w:spacing w:after="0" w:line="30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MannKind Corporation and subsidiaries (a development stage company) (the “Company”) as of December 31, 2010 and 2011 and the related consolidated statements of operations, stockholders’ equity (deficit), and cash flows for each of the three years in the period ended December 31, 2011 and for the period from February 14, 1991 (date of inception) to December 31, 2011. These financial statements are the responsibility of the Company’s management. Our responsibility is to express an opinion on the financial statements based on our audits.</w:t>
      </w:r>
    </w:p>
    <w:p>
      <w:pPr>
        <w:spacing w:after="0" w:line="22"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58" w:lineRule="exact"/>
        <w:rPr>
          <w:sz w:val="20"/>
          <w:szCs w:val="20"/>
          <w:color w:val="auto"/>
        </w:rPr>
      </w:pPr>
    </w:p>
    <w:p>
      <w:pPr>
        <w:ind w:right="240" w:firstLine="228"/>
        <w:spacing w:after="0" w:line="258" w:lineRule="auto"/>
        <w:rPr>
          <w:sz w:val="20"/>
          <w:szCs w:val="20"/>
          <w:color w:val="auto"/>
        </w:rPr>
      </w:pPr>
      <w:r>
        <w:rPr>
          <w:rFonts w:ascii="Times New Roman" w:cs="Times New Roman" w:eastAsia="Times New Roman" w:hAnsi="Times New Roman"/>
          <w:sz w:val="18"/>
          <w:szCs w:val="18"/>
          <w:color w:val="auto"/>
        </w:rPr>
        <w:t>In our opinion, such financial statements present fairly, in all material respects, the financial position of MannKind Corporation and subsidiaries as of December 31, 2010 and 2011, and the results of its operations and its cash flows for each of the three years in the period ended December 31, 2011 and for the period from February 14, 1991 (date of inception) to December 31, 2011, in conformity with accounting principles generally accepted in the United States of America.</w:t>
      </w:r>
    </w:p>
    <w:p>
      <w:pPr>
        <w:spacing w:after="0" w:line="55"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for the year ended December 31, 2011 have been prepared assuming that the Company will continue as a going concern. As discussed in Note 1 to the financial statements, the Company’s existing cash resources and its operating losses since inception raise substantial doubt about its ability to continue as a going concern. Management’s plans concerning these matters are also described in Note 1 to the financial statements. The financial statements do not include any adjustments that might result from the outcome of these uncertainties.</w:t>
      </w:r>
    </w:p>
    <w:p>
      <w:pPr>
        <w:spacing w:after="0" w:line="55"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15, 2012 expressed an unqualified opinion on the Company’s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2012</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455" w:right="2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8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5"/>
          </w:tcPr>
          <w:p>
            <w:pPr>
              <w:jc w:val="center"/>
              <w:ind w:right="33"/>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 data)</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66,061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16"/>
        </w:trPr>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 —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73,954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5,821</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202,356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193,029</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 —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3"/>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277,256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199,553</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3,294</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14,840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20,736</w:t>
            </w:r>
          </w:p>
        </w:tc>
        <w:tc>
          <w:tcPr>
            <w:tcW w:w="0" w:type="dxa"/>
            <w:vAlign w:val="bottom"/>
          </w:tcPr>
          <w:p>
            <w:pPr>
              <w:spacing w:after="0"/>
              <w:rPr>
                <w:sz w:val="1"/>
                <w:szCs w:val="1"/>
                <w:color w:val="auto"/>
              </w:rPr>
            </w:pPr>
          </w:p>
        </w:tc>
      </w:tr>
      <w:tr>
        <w:trPr>
          <w:trHeight w:val="222"/>
        </w:trPr>
        <w:tc>
          <w:tcPr>
            <w:tcW w:w="8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209,335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210,642</w:t>
            </w:r>
          </w:p>
        </w:tc>
        <w:tc>
          <w:tcPr>
            <w:tcW w:w="0" w:type="dxa"/>
            <w:vAlign w:val="bottom"/>
          </w:tcPr>
          <w:p>
            <w:pPr>
              <w:spacing w:after="0"/>
              <w:rPr>
                <w:sz w:val="1"/>
                <w:szCs w:val="1"/>
                <w:color w:val="auto"/>
              </w:rPr>
            </w:pPr>
          </w:p>
        </w:tc>
      </w:tr>
      <w:tr>
        <w:trPr>
          <w:trHeight w:val="223"/>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to related party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235,319</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462,788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513,205</w:t>
            </w:r>
          </w:p>
        </w:tc>
        <w:tc>
          <w:tcPr>
            <w:tcW w:w="0" w:type="dxa"/>
            <w:vAlign w:val="bottom"/>
          </w:tcPr>
          <w:p>
            <w:pPr>
              <w:spacing w:after="0"/>
              <w:rPr>
                <w:sz w:val="1"/>
                <w:szCs w:val="1"/>
                <w:color w:val="auto"/>
              </w:rPr>
            </w:pPr>
          </w:p>
        </w:tc>
      </w:tr>
      <w:tr>
        <w:trPr>
          <w:trHeight w:val="221"/>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Undesignated preferred stock, $0.01 par value — 10,000,000 shares authorized; no shares issued or outstanding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2010 and 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88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Common stock, $0.01 par value —200,000,000 and 250,000,000 shares authorized at December 31, 2010 and 2011,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 127,793,178 and 131,522,945 shares issued and outstanding at December 31, 2010 and 2011,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1,278</w:t>
            </w: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1,587,858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1,620,535</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ind w:right="612"/>
              <w:spacing w:after="0"/>
              <w:rPr>
                <w:sz w:val="20"/>
                <w:szCs w:val="20"/>
                <w:color w:val="auto"/>
              </w:rPr>
            </w:pPr>
            <w:r>
              <w:rPr>
                <w:rFonts w:ascii="Times New Roman" w:cs="Times New Roman" w:eastAsia="Times New Roman" w:hAnsi="Times New Roman"/>
                <w:sz w:val="18"/>
                <w:szCs w:val="18"/>
                <w:color w:val="auto"/>
                <w:w w:val="95"/>
              </w:rPr>
              <w:t>(1,774,742)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(1,935,546)</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(185,532)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(313,652)</w:t>
            </w:r>
          </w:p>
        </w:tc>
        <w:tc>
          <w:tcPr>
            <w:tcW w:w="0" w:type="dxa"/>
            <w:vAlign w:val="bottom"/>
          </w:tcPr>
          <w:p>
            <w:pPr>
              <w:spacing w:after="0"/>
              <w:rPr>
                <w:sz w:val="1"/>
                <w:szCs w:val="1"/>
                <w:color w:val="auto"/>
              </w:rPr>
            </w:pPr>
          </w:p>
        </w:tc>
      </w:tr>
      <w:tr>
        <w:trPr>
          <w:trHeight w:val="223"/>
        </w:trPr>
        <w:tc>
          <w:tcPr>
            <w:tcW w:w="8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277,256</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Period from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3"/>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February 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gridSpan w:val="3"/>
            <w:vMerge w:val="restart"/>
          </w:tcPr>
          <w:p>
            <w:pPr>
              <w:jc w:val="center"/>
              <w:ind w:right="18"/>
              <w:spacing w:after="0" w:line="118" w:lineRule="exact"/>
              <w:rPr>
                <w:sz w:val="20"/>
                <w:szCs w:val="20"/>
                <w:color w:val="auto"/>
              </w:rPr>
            </w:pPr>
            <w:r>
              <w:rPr>
                <w:rFonts w:ascii="Times New Roman" w:cs="Times New Roman" w:eastAsia="Times New Roman" w:hAnsi="Times New Roman"/>
                <w:sz w:val="12"/>
                <w:szCs w:val="12"/>
                <w:b w:val="1"/>
                <w:bCs w:val="1"/>
                <w:color w:val="auto"/>
              </w:rPr>
              <w:t>1991 (Date of</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2010</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20" w:type="dxa"/>
            <w:vAlign w:val="bottom"/>
            <w:gridSpan w:val="8"/>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112,279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99,959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1,366,051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53,447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40,312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40,630</w:t>
            </w: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380,231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152,591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140,589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1,917,436</w:t>
            </w: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(209,778)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(152,498)</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(140,539)</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(1,914,305)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(725)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note payable to related party</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(10,249)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(10,883)</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(7,128)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36,989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(220,104)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3"/>
              </w:rPr>
              <w:t>(170,560)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6"/>
              </w:rPr>
              <w:t>(160,804)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(1,935,520)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(220,104)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3"/>
              </w:rPr>
              <w:t>(170,560)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6"/>
              </w:rPr>
              <w:t>(160,804)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related to beneficial conversion feature of convertible preferred stock</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(220,104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(170,560</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(160,804</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(1,958,758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 applicable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106,534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113,672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121,817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4" w:name="page65"/>
    <w:bookmarkEnd w:id="6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Series C</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Series B</w:t>
            </w:r>
          </w:p>
        </w:tc>
        <w:tc>
          <w:tcPr>
            <w:tcW w:w="120" w:type="dxa"/>
            <w:vAlign w:val="bottom"/>
          </w:tcPr>
          <w:p>
            <w:pPr>
              <w:spacing w:after="0"/>
              <w:rPr>
                <w:sz w:val="12"/>
                <w:szCs w:val="1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C</w:t>
            </w: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80" w:type="dxa"/>
            <w:vAlign w:val="bottom"/>
          </w:tcPr>
          <w:p>
            <w:pPr>
              <w:spacing w:after="0"/>
              <w:rPr>
                <w:sz w:val="4"/>
                <w:szCs w:val="4"/>
                <w:color w:val="auto"/>
              </w:rPr>
            </w:pPr>
          </w:p>
        </w:tc>
        <w:tc>
          <w:tcPr>
            <w:tcW w:w="560" w:type="dxa"/>
            <w:vAlign w:val="bottom"/>
            <w:vMerge w:val="restart"/>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20" w:type="dxa"/>
            <w:vAlign w:val="bottom"/>
          </w:tcPr>
          <w:p>
            <w:pPr>
              <w:spacing w:after="0"/>
              <w:rPr>
                <w:sz w:val="8"/>
                <w:szCs w:val="8"/>
                <w:color w:val="auto"/>
              </w:rPr>
            </w:pPr>
          </w:p>
        </w:tc>
        <w:tc>
          <w:tcPr>
            <w:tcW w:w="1060" w:type="dxa"/>
            <w:vAlign w:val="bottom"/>
            <w:gridSpan w:val="4"/>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6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restart"/>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During the</w:t>
            </w: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120" w:type="dxa"/>
            <w:vAlign w:val="bottom"/>
          </w:tcPr>
          <w:p>
            <w:pPr>
              <w:spacing w:after="0"/>
              <w:rPr>
                <w:sz w:val="8"/>
                <w:szCs w:val="8"/>
                <w:color w:val="auto"/>
              </w:rPr>
            </w:pPr>
          </w:p>
        </w:tc>
        <w:tc>
          <w:tcPr>
            <w:tcW w:w="106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8"/>
                <w:szCs w:val="8"/>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460" w:type="dxa"/>
            <w:vAlign w:val="bottom"/>
            <w:gridSpan w:val="2"/>
            <w:vMerge w:val="continue"/>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6"/>
                <w:szCs w:val="6"/>
                <w:color w:val="auto"/>
              </w:rPr>
            </w:pPr>
          </w:p>
        </w:tc>
        <w:tc>
          <w:tcPr>
            <w:tcW w:w="920" w:type="dxa"/>
            <w:vAlign w:val="bottom"/>
            <w:gridSpan w:val="3"/>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Subscriptions</w:t>
            </w:r>
          </w:p>
        </w:tc>
        <w:tc>
          <w:tcPr>
            <w:tcW w:w="10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80" w:type="dxa"/>
            <w:vAlign w:val="bottom"/>
          </w:tcPr>
          <w:p>
            <w:pPr>
              <w:spacing w:after="0"/>
              <w:rPr>
                <w:sz w:val="6"/>
                <w:szCs w:val="6"/>
                <w:color w:val="auto"/>
              </w:rPr>
            </w:pPr>
          </w:p>
        </w:tc>
        <w:tc>
          <w:tcPr>
            <w:tcW w:w="560" w:type="dxa"/>
            <w:vAlign w:val="bottom"/>
            <w:vMerge w:val="restart"/>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120" w:type="dxa"/>
            <w:vAlign w:val="bottom"/>
          </w:tcPr>
          <w:p>
            <w:pPr>
              <w:spacing w:after="0"/>
              <w:rPr>
                <w:sz w:val="6"/>
                <w:szCs w:val="6"/>
                <w:color w:val="auto"/>
              </w:rPr>
            </w:pPr>
          </w:p>
        </w:tc>
        <w:tc>
          <w:tcPr>
            <w:tcW w:w="9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Comprehensive</w:t>
            </w:r>
          </w:p>
        </w:tc>
        <w:tc>
          <w:tcPr>
            <w:tcW w:w="120" w:type="dxa"/>
            <w:vAlign w:val="bottom"/>
          </w:tcPr>
          <w:p>
            <w:pPr>
              <w:spacing w:after="0"/>
              <w:rPr>
                <w:sz w:val="6"/>
                <w:szCs w:val="6"/>
                <w:color w:val="auto"/>
              </w:rPr>
            </w:pPr>
          </w:p>
        </w:tc>
        <w:tc>
          <w:tcPr>
            <w:tcW w:w="86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Development</w:t>
            </w: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3"/>
              </w:rPr>
              <w:t>Issuable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Stockholders</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Officers</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Stage</w:t>
            </w:r>
          </w:p>
        </w:tc>
        <w:tc>
          <w:tcPr>
            <w:tcW w:w="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tcBorders>
              <w:top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2"/>
                <w:szCs w:val="12"/>
                <w:color w:val="auto"/>
              </w:rPr>
              <w:t>Issuance of common</w:t>
            </w: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for cash</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998</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5"/>
              </w:rPr>
              <w:t>$890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900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(911)</w:t>
            </w:r>
          </w:p>
        </w:tc>
        <w:tc>
          <w:tcPr>
            <w:tcW w:w="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FEBRUARY 29,</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1992</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998</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890</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(911)</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for cash</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and services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887</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Capital contribution</w:t>
            </w: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FEBRUARY 28,</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1993</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1,071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1,797</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(2,086)</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 for cash</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526</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stock for</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notes receivable</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400</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FEBRUARY 28,</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1994</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2,723</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(3,242)</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for cash</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and services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1,805</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1,805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Collection of stock</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subscription</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1994</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1,126</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4,528</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(5,246)</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 for services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options</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compensation</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(2,815)</w:t>
            </w:r>
          </w:p>
        </w:tc>
        <w:tc>
          <w:tcPr>
            <w:tcW w:w="5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143"/>
        </w:trPr>
        <w:tc>
          <w:tcPr>
            <w:tcW w:w="146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1995</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1,127</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4,942</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(8,061)</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(3,108)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for cash</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and services</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options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compensation</w:t>
            </w: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(2,570)</w:t>
            </w:r>
          </w:p>
        </w:tc>
        <w:tc>
          <w:tcPr>
            <w:tcW w:w="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(2,570)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1996</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1,131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5,139</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(10,631)</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(5,481)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for cash</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and services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548</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190</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compensation</w:t>
            </w: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options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135</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Conversion of notes</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payable</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(2,280)</w:t>
            </w:r>
          </w:p>
        </w:tc>
        <w:tc>
          <w:tcPr>
            <w:tcW w:w="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(2,280)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1997</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1,718</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5,526</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(12,911)</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(7,368)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for cash</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and services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2,253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12,703</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12,726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compensation</w:t>
            </w: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options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Conversion of notes</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payable</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215</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1,200</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1998</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4,254</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19,603</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(16,242)</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532</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Conversion of notes</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payable</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994</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(5,679)</w:t>
            </w:r>
          </w:p>
        </w:tc>
        <w:tc>
          <w:tcPr>
            <w:tcW w:w="5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(5,679)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1999</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4,496</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21,129</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(21,921)</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Conversion of notes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payable</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1,073</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1,074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Series B</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for cash</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for cash,</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services and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notes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4,690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33,945</w:t>
            </w:r>
          </w:p>
        </w:tc>
        <w:tc>
          <w:tcPr>
            <w:tcW w:w="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(2,358)</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31,633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5" w:right="2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Discount on notes</w:t>
            </w: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241</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241</w:t>
            </w:r>
          </w:p>
        </w:tc>
      </w:tr>
      <w:tr>
        <w:trPr>
          <w:trHeight w:val="149"/>
        </w:trPr>
        <w:tc>
          <w:tcPr>
            <w:tcW w:w="15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below market</w:t>
            </w: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61"/>
        </w:trPr>
        <w:tc>
          <w:tcPr>
            <w:tcW w:w="1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rate</w:t>
            </w:r>
          </w:p>
        </w:tc>
        <w:tc>
          <w:tcPr>
            <w:tcW w:w="5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36"/>
        </w:trPr>
        <w:tc>
          <w:tcPr>
            <w:tcW w:w="15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Accrued interest on</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61"/>
        </w:trPr>
        <w:tc>
          <w:tcPr>
            <w:tcW w:w="15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notes</w:t>
            </w: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(117)</w:t>
            </w: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36"/>
        </w:trPr>
        <w:tc>
          <w:tcPr>
            <w:tcW w:w="15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Purchase of Series A</w:t>
            </w:r>
          </w:p>
        </w:tc>
        <w:tc>
          <w:tcPr>
            <w:tcW w:w="5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49"/>
        </w:trPr>
        <w:tc>
          <w:tcPr>
            <w:tcW w:w="15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9"/>
        </w:trPr>
        <w:tc>
          <w:tcPr>
            <w:tcW w:w="15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61"/>
        </w:trPr>
        <w:tc>
          <w:tcPr>
            <w:tcW w:w="1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preferred stock</w:t>
            </w: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(993)</w:t>
            </w:r>
          </w:p>
        </w:tc>
        <w:tc>
          <w:tcPr>
            <w:tcW w:w="9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r>
      <w:tr>
        <w:trPr>
          <w:trHeight w:val="136"/>
        </w:trPr>
        <w:tc>
          <w:tcPr>
            <w:tcW w:w="15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Amount in excess of</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49"/>
        </w:trPr>
        <w:tc>
          <w:tcPr>
            <w:tcW w:w="15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74"/>
        </w:trPr>
        <w:tc>
          <w:tcPr>
            <w:tcW w:w="15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obligation</w:t>
            </w: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999</w:t>
            </w: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999</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4"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 — (Continued)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Series C</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Series B</w:t>
            </w: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Series C</w:t>
            </w: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C</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9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76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gridSpan w:val="4"/>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100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9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9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760" w:type="dxa"/>
            <w:vAlign w:val="bottom"/>
            <w:gridSpan w:val="2"/>
            <w:vMerge w:val="restart"/>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Receivable</w:t>
            </w:r>
          </w:p>
        </w:tc>
        <w:tc>
          <w:tcPr>
            <w:tcW w:w="900" w:type="dxa"/>
            <w:vAlign w:val="bottom"/>
            <w:vMerge w:val="restart"/>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During the</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1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9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340" w:type="dxa"/>
            <w:vAlign w:val="bottom"/>
            <w:gridSpan w:val="2"/>
            <w:vMerge w:val="continue"/>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9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Subscriptions</w:t>
            </w:r>
          </w:p>
        </w:tc>
        <w:tc>
          <w:tcPr>
            <w:tcW w:w="1140" w:type="dxa"/>
            <w:vAlign w:val="bottom"/>
            <w:gridSpan w:val="4"/>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76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9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Comprehensive</w:t>
            </w:r>
          </w:p>
        </w:tc>
        <w:tc>
          <w:tcPr>
            <w:tcW w:w="120" w:type="dxa"/>
            <w:vAlign w:val="bottom"/>
          </w:tcPr>
          <w:p>
            <w:pPr>
              <w:spacing w:after="0"/>
              <w:rPr>
                <w:sz w:val="6"/>
                <w:szCs w:val="6"/>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Development</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Issuable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Officers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1"/>
              </w:rPr>
              <w:t>Stage</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320" w:type="dxa"/>
            <w:vAlign w:val="bottom"/>
            <w:tcBorders>
              <w:top w:val="single" w:sz="8" w:color="CCEEFF"/>
            </w:tcBorders>
            <w:shd w:val="clear" w:color="auto" w:fill="CCEEFF"/>
          </w:tcPr>
          <w:p>
            <w:pPr>
              <w:ind w:left="200"/>
              <w:spacing w:after="0" w:line="116" w:lineRule="exact"/>
              <w:rPr>
                <w:sz w:val="20"/>
                <w:szCs w:val="20"/>
                <w:color w:val="auto"/>
              </w:rPr>
            </w:pPr>
            <w:r>
              <w:rPr>
                <w:rFonts w:ascii="Times New Roman" w:cs="Times New Roman" w:eastAsia="Times New Roman" w:hAnsi="Times New Roman"/>
                <w:sz w:val="12"/>
                <w:szCs w:val="12"/>
                <w:color w:val="auto"/>
              </w:rPr>
              <w:t>Accretion to</w:t>
            </w: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value on Series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 redeemable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9,609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(24,661)</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(24,661)</w:t>
            </w:r>
          </w:p>
        </w:tc>
        <w:tc>
          <w:tcPr>
            <w:tcW w:w="0" w:type="dxa"/>
            <w:vAlign w:val="bottom"/>
          </w:tcPr>
          <w:p>
            <w:pPr>
              <w:spacing w:after="0"/>
              <w:rPr>
                <w:sz w:val="1"/>
                <w:szCs w:val="1"/>
                <w:color w:val="auto"/>
              </w:rPr>
            </w:pPr>
          </w:p>
        </w:tc>
      </w:tr>
      <w:tr>
        <w:trPr>
          <w:trHeight w:val="143"/>
        </w:trPr>
        <w:tc>
          <w:tcPr>
            <w:tcW w:w="13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2000</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9,249</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93</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65,613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(2,234)</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(46,582)</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31,890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for cash</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78,000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78,030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Cash received for</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 be issued</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3,900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for services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options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Accrued interest</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on notes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Payments on notes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receivable</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Accretion to</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value on Series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 redeemable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(239)</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1,565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1,565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put</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option by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stockholder</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(2,949)</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(2,949)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Record merger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entities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171,154</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171,154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(48,245)</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(48,245)</w:t>
            </w:r>
          </w:p>
        </w:tc>
        <w:tc>
          <w:tcPr>
            <w:tcW w:w="0" w:type="dxa"/>
            <w:vAlign w:val="bottom"/>
          </w:tcPr>
          <w:p>
            <w:pPr>
              <w:spacing w:after="0"/>
              <w:rPr>
                <w:sz w:val="1"/>
                <w:szCs w:val="1"/>
                <w:color w:val="auto"/>
              </w:rPr>
            </w:pPr>
          </w:p>
        </w:tc>
      </w:tr>
      <w:tr>
        <w:trPr>
          <w:trHeight w:val="143"/>
        </w:trPr>
        <w:tc>
          <w:tcPr>
            <w:tcW w:w="13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2001</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12,305</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123</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317,117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(2,395)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(94,827)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235,018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for cash</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58,775</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58,815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for cash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already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received</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award to</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employee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84</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Cash received for</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issuable</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Accrued interest</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on notes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Payments on notes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receivable</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1,314</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Beneficial</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conversion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feature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1,421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Deemed dividend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related to</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beneficial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conversion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feature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Accretion to</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value on Series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 redeemable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Put option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redemption by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stockholder</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1,921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(206,265)</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8"/>
              </w:rPr>
              <w:t>(206,265)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16,464</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378,010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(301,092)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90,773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Series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50,000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 convertible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subscriptions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6"/>
        </w:trPr>
        <w:tc>
          <w:tcPr>
            <w:tcW w:w="13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Cash collected 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C</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subscriptions</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31,847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31,847</w:t>
            </w:r>
          </w:p>
        </w:tc>
      </w:tr>
      <w:tr>
        <w:trPr>
          <w:trHeight w:val="136"/>
        </w:trPr>
        <w:tc>
          <w:tcPr>
            <w:tcW w:w="13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for cash</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49,965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50,000</w:t>
            </w:r>
          </w:p>
        </w:tc>
      </w:tr>
      <w:tr>
        <w:trPr>
          <w:trHeight w:val="136"/>
        </w:trPr>
        <w:tc>
          <w:tcPr>
            <w:tcW w:w="13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Non-cash</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expense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officer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resulting from</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stockholder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contribution</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w:t>
            </w:r>
          </w:p>
        </w:tc>
      </w:tr>
      <w:tr>
        <w:trPr>
          <w:trHeight w:val="136"/>
        </w:trPr>
        <w:tc>
          <w:tcPr>
            <w:tcW w:w="13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for cash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already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received</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36"/>
        </w:trPr>
        <w:tc>
          <w:tcPr>
            <w:tcW w:w="13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Notes receivable</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by stockholder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issued to</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officers</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(225)</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36"/>
        </w:trPr>
        <w:tc>
          <w:tcPr>
            <w:tcW w:w="13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Accrued interest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on notes</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w:t>
            </w:r>
          </w:p>
        </w:tc>
      </w:tr>
      <w:tr>
        <w:trPr>
          <w:trHeight w:val="136"/>
        </w:trPr>
        <w:tc>
          <w:tcPr>
            <w:tcW w:w="13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Beneficial</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conversion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feature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1,017</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1,017</w:t>
            </w:r>
          </w:p>
        </w:tc>
      </w:tr>
      <w:tr>
        <w:trPr>
          <w:trHeight w:val="136"/>
        </w:trPr>
        <w:tc>
          <w:tcPr>
            <w:tcW w:w="13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Deemed dividend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related to</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beneficial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conversion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feature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(1,017)</w:t>
            </w:r>
          </w:p>
        </w:tc>
      </w:tr>
      <w:tr>
        <w:trPr>
          <w:trHeight w:val="136"/>
        </w:trPr>
        <w:tc>
          <w:tcPr>
            <w:tcW w:w="13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Accretion to</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value on Series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 redeemable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preferred stock</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(253)</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(253)</w:t>
            </w:r>
          </w:p>
        </w:tc>
      </w:tr>
      <w:tr>
        <w:trPr>
          <w:trHeight w:val="136"/>
        </w:trPr>
        <w:tc>
          <w:tcPr>
            <w:tcW w:w="13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4,501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4,501</w:t>
            </w:r>
          </w:p>
        </w:tc>
      </w:tr>
      <w:tr>
        <w:trPr>
          <w:trHeight w:val="136"/>
        </w:trPr>
        <w:tc>
          <w:tcPr>
            <w:tcW w:w="13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Put shares sold to</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majority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stockholder</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623</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623</w:t>
            </w:r>
          </w:p>
        </w:tc>
      </w:tr>
      <w:tr>
        <w:trPr>
          <w:trHeight w:val="149"/>
        </w:trPr>
        <w:tc>
          <w:tcPr>
            <w:tcW w:w="1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8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10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(65,879)</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(65,879)</w:t>
            </w:r>
          </w:p>
        </w:tc>
      </w:tr>
      <w:tr>
        <w:trPr>
          <w:trHeight w:val="20"/>
        </w:trPr>
        <w:tc>
          <w:tcPr>
            <w:tcW w:w="1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 — (Continued)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Series C</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1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11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Series C</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C</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9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76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140" w:type="dxa"/>
            <w:vAlign w:val="bottom"/>
            <w:gridSpan w:val="4"/>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160" w:type="dxa"/>
            <w:vAlign w:val="bottom"/>
            <w:gridSpan w:val="4"/>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8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9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9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7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102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During the</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1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1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8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1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9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240" w:type="dxa"/>
            <w:vAlign w:val="bottom"/>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9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Subscriptions</w:t>
            </w:r>
          </w:p>
        </w:tc>
        <w:tc>
          <w:tcPr>
            <w:tcW w:w="1180" w:type="dxa"/>
            <w:vAlign w:val="bottom"/>
            <w:gridSpan w:val="4"/>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76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1020" w:type="dxa"/>
            <w:vAlign w:val="bottom"/>
            <w:gridSpan w:val="2"/>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Comprehensive</w:t>
            </w:r>
          </w:p>
        </w:tc>
        <w:tc>
          <w:tcPr>
            <w:tcW w:w="9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Development</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2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Issuable</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Officers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1"/>
              </w:rPr>
              <w:t>Stage</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6"/>
        </w:trPr>
        <w:tc>
          <w:tcPr>
            <w:tcW w:w="1240" w:type="dxa"/>
            <w:vAlign w:val="bottom"/>
            <w:tcBorders>
              <w:top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2"/>
                <w:szCs w:val="12"/>
                <w:color w:val="auto"/>
              </w:rPr>
              <w:t>BALANCE,</w:t>
            </w: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2003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(18,153)</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19,975</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433,141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(1,412)</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(366,971)</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111,577</w:t>
            </w:r>
          </w:p>
        </w:tc>
        <w:tc>
          <w:tcPr>
            <w:tcW w:w="0" w:type="dxa"/>
            <w:vAlign w:val="bottom"/>
          </w:tcPr>
          <w:p>
            <w:pPr>
              <w:spacing w:after="0"/>
              <w:rPr>
                <w:sz w:val="1"/>
                <w:szCs w:val="1"/>
                <w:color w:val="auto"/>
              </w:rPr>
            </w:pP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C</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 for cash</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18,153</w:t>
            </w: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(18,153)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18,153</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18,153</w:t>
            </w: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C</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 for cash</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already</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received</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31,847</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(31,847)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options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71"/>
              </w:rPr>
              <w:t>86</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1,079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Exercise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warrants</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Accrued interest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on notes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Repayment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notes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receivable by</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stockholder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issued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officers</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Repayment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 note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receivable</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(90)</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1,519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Conversion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A</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5,239</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Conversion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(193)</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(15,000)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14,992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Conversion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C</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71"/>
              </w:rPr>
              <w:t>45</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49,955</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 in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exchange for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warrants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71"/>
              </w:rPr>
              <w:t>22</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 under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Employee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Plan</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71"/>
              </w:rPr>
              <w:t>36</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Net proceeds</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from initial</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public</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offering</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w:t>
            </w:r>
          </w:p>
        </w:tc>
        <w:tc>
          <w:tcPr>
            <w:tcW w:w="140" w:type="dxa"/>
            <w:vAlign w:val="bottom"/>
          </w:tcPr>
          <w:p>
            <w:pPr>
              <w:spacing w:after="0"/>
              <w:rPr>
                <w:sz w:val="14"/>
                <w:szCs w:val="14"/>
                <w:color w:val="auto"/>
              </w:rPr>
            </w:pPr>
          </w:p>
        </w:tc>
        <w:tc>
          <w:tcPr>
            <w:tcW w:w="48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71"/>
              </w:rPr>
              <w:t>66</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83,110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83,176</w:t>
            </w: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Beneficial</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conversion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feature of</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19,822</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19,822</w:t>
            </w:r>
          </w:p>
        </w:tc>
        <w:tc>
          <w:tcPr>
            <w:tcW w:w="0" w:type="dxa"/>
            <w:vAlign w:val="bottom"/>
          </w:tcPr>
          <w:p>
            <w:pPr>
              <w:spacing w:after="0"/>
              <w:rPr>
                <w:sz w:val="1"/>
                <w:szCs w:val="1"/>
                <w:color w:val="auto"/>
              </w:rPr>
            </w:pP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Deemed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dividends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related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beneficial</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conversion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feature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B and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C</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(19,822)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(19,822)</w:t>
            </w: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Accretion to</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value 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Series A</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3"/>
                <w:szCs w:val="13"/>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6,810</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6,810</w:t>
            </w: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(75,992)</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(75,992)</w:t>
            </w:r>
          </w:p>
        </w:tc>
      </w:tr>
      <w:tr>
        <w:trPr>
          <w:trHeight w:val="143"/>
        </w:trPr>
        <w:tc>
          <w:tcPr>
            <w:tcW w:w="12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2004</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32,756</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592,999</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(442,963)</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150,363</w:t>
            </w: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 in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exchange for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warrants</w:t>
            </w: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245</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245</w:t>
            </w: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 under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Employee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Plan</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494</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495</w:t>
            </w: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options</w:t>
            </w: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1,948</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1,951</w:t>
            </w: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awards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consultants</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(146)</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(145)</w:t>
            </w: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and warrants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for cash</w:t>
            </w: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17,132</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170,063</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170,234</w:t>
            </w: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(1,828)</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(1,828)</w:t>
            </w:r>
          </w:p>
        </w:tc>
      </w:tr>
      <w:tr>
        <w:trPr>
          <w:trHeight w:val="149"/>
        </w:trPr>
        <w:tc>
          <w:tcPr>
            <w:tcW w:w="1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(114,338)</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8"/>
              </w:rPr>
              <w:t>(114,338)</w:t>
            </w:r>
          </w:p>
        </w:tc>
      </w:tr>
      <w:tr>
        <w:trPr>
          <w:trHeight w:val="143"/>
        </w:trPr>
        <w:tc>
          <w:tcPr>
            <w:tcW w:w="12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2005</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50,314</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763,775</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(557,301)</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206,977</w:t>
            </w: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Exercise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warrants</w:t>
            </w: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2,691</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2,694</w:t>
            </w: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 under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Employee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Plan</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980</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981</w:t>
            </w: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options</w:t>
            </w: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2,309</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2,312</w:t>
            </w: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Cancellation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 for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 notes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receivable</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(844)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for cash</w:t>
            </w: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384,440</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384,670</w:t>
            </w: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 from</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the release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restricted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 units</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(341)</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(340)</w:t>
            </w: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pursuant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research</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agreement</w:t>
            </w: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2,073</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2,074</w:t>
            </w: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14,667</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14,667</w:t>
            </w:r>
          </w:p>
        </w:tc>
      </w:tr>
      <w:tr>
        <w:trPr>
          <w:trHeight w:val="149"/>
        </w:trPr>
        <w:tc>
          <w:tcPr>
            <w:tcW w:w="1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(230,548)</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8"/>
              </w:rPr>
              <w:t>(230,548)</w:t>
            </w:r>
          </w:p>
        </w:tc>
      </w:tr>
      <w:tr>
        <w:trPr>
          <w:trHeight w:val="143"/>
        </w:trPr>
        <w:tc>
          <w:tcPr>
            <w:tcW w:w="12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2006</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73,360</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1,170,602</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(787,849)</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383,487</w:t>
            </w: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 under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Employee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Plan</w:t>
            </w: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1,064</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1,065</w:t>
            </w:r>
          </w:p>
        </w:tc>
      </w:tr>
      <w:tr>
        <w:trPr>
          <w:trHeight w:val="136"/>
        </w:trPr>
        <w:tc>
          <w:tcPr>
            <w:tcW w:w="1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options</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4,917</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4,923</w:t>
            </w:r>
          </w:p>
        </w:tc>
      </w:tr>
      <w:tr>
        <w:trPr>
          <w:trHeight w:val="136"/>
        </w:trPr>
        <w:tc>
          <w:tcPr>
            <w:tcW w:w="12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2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awards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consultants</w:t>
            </w: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123</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123</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4" w:right="239" w:bottom="1440" w:gutter="0" w:footer="0" w:header="0"/>
        </w:sectPr>
      </w:pPr>
    </w:p>
    <w:bookmarkStart w:id="70" w:name="page71"/>
    <w:bookmarkEnd w:id="70"/>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 — (Continued)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Series C</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Series B</w:t>
            </w:r>
          </w:p>
        </w:tc>
        <w:tc>
          <w:tcPr>
            <w:tcW w:w="100" w:type="dxa"/>
            <w:vAlign w:val="bottom"/>
          </w:tcPr>
          <w:p>
            <w:pPr>
              <w:spacing w:after="0"/>
              <w:rPr>
                <w:sz w:val="12"/>
                <w:szCs w:val="12"/>
                <w:color w:val="auto"/>
              </w:rPr>
            </w:pPr>
          </w:p>
        </w:tc>
        <w:tc>
          <w:tcPr>
            <w:tcW w:w="11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Series C</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C</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800" w:type="dxa"/>
            <w:vAlign w:val="bottom"/>
            <w:gridSpan w:val="2"/>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Convertible</w:t>
            </w: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restart"/>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3"/>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00" w:type="dxa"/>
            <w:vAlign w:val="bottom"/>
          </w:tcPr>
          <w:p>
            <w:pPr>
              <w:spacing w:after="0"/>
              <w:rPr>
                <w:sz w:val="8"/>
                <w:szCs w:val="8"/>
                <w:color w:val="auto"/>
              </w:rPr>
            </w:pPr>
          </w:p>
        </w:tc>
        <w:tc>
          <w:tcPr>
            <w:tcW w:w="1100" w:type="dxa"/>
            <w:vAlign w:val="bottom"/>
            <w:gridSpan w:val="4"/>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Additional</w:t>
            </w: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120" w:type="dxa"/>
            <w:vAlign w:val="bottom"/>
          </w:tcPr>
          <w:p>
            <w:pPr>
              <w:spacing w:after="0"/>
              <w:rPr>
                <w:sz w:val="4"/>
                <w:szCs w:val="4"/>
                <w:color w:val="auto"/>
              </w:rPr>
            </w:pPr>
          </w:p>
        </w:tc>
        <w:tc>
          <w:tcPr>
            <w:tcW w:w="700" w:type="dxa"/>
            <w:vAlign w:val="bottom"/>
            <w:gridSpan w:val="3"/>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980" w:type="dxa"/>
            <w:vAlign w:val="bottom"/>
            <w:gridSpan w:val="3"/>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During the</w:t>
            </w: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0" w:type="dxa"/>
            <w:vAlign w:val="bottom"/>
          </w:tcPr>
          <w:p>
            <w:pPr>
              <w:spacing w:after="0"/>
              <w:rPr>
                <w:sz w:val="8"/>
                <w:szCs w:val="8"/>
                <w:color w:val="auto"/>
              </w:rPr>
            </w:pPr>
          </w:p>
        </w:tc>
        <w:tc>
          <w:tcPr>
            <w:tcW w:w="11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8"/>
                <w:szCs w:val="8"/>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34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8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Subscriptions</w:t>
            </w:r>
          </w:p>
        </w:tc>
        <w:tc>
          <w:tcPr>
            <w:tcW w:w="12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60" w:type="dxa"/>
            <w:vAlign w:val="bottom"/>
          </w:tcPr>
          <w:p>
            <w:pPr>
              <w:spacing w:after="0"/>
              <w:rPr>
                <w:sz w:val="6"/>
                <w:szCs w:val="6"/>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980" w:type="dxa"/>
            <w:vAlign w:val="bottom"/>
            <w:gridSpan w:val="3"/>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Development</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Issuable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12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Stockholders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Officers</w:t>
            </w:r>
          </w:p>
        </w:tc>
        <w:tc>
          <w:tcPr>
            <w:tcW w:w="6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Stage</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320" w:type="dxa"/>
            <w:vAlign w:val="bottom"/>
            <w:tcBorders>
              <w:top w:val="single" w:sz="8" w:color="CCEEFF"/>
            </w:tcBorders>
            <w:shd w:val="clear" w:color="auto" w:fill="CCEEFF"/>
          </w:tcPr>
          <w:p>
            <w:pPr>
              <w:ind w:left="200"/>
              <w:spacing w:after="0" w:line="116" w:lineRule="exact"/>
              <w:rPr>
                <w:sz w:val="20"/>
                <w:szCs w:val="20"/>
                <w:color w:val="auto"/>
              </w:rPr>
            </w:pPr>
            <w:r>
              <w:rPr>
                <w:rFonts w:ascii="Times New Roman" w:cs="Times New Roman" w:eastAsia="Times New Roman" w:hAnsi="Times New Roman"/>
                <w:sz w:val="12"/>
                <w:szCs w:val="12"/>
                <w:color w:val="auto"/>
              </w:rPr>
              <w:t>Issuance of stock</w:t>
            </w: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for cash</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27,014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249,750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from the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release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units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pursuant to</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research</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agreement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(293,190)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1"/>
              </w:rPr>
              <w:t>(293,190)</w:t>
            </w:r>
          </w:p>
        </w:tc>
        <w:tc>
          <w:tcPr>
            <w:tcW w:w="0" w:type="dxa"/>
            <w:vAlign w:val="bottom"/>
          </w:tcPr>
          <w:p>
            <w:pPr>
              <w:spacing w:after="0"/>
              <w:rPr>
                <w:sz w:val="1"/>
                <w:szCs w:val="1"/>
                <w:color w:val="auto"/>
              </w:rPr>
            </w:pPr>
          </w:p>
        </w:tc>
      </w:tr>
      <w:tr>
        <w:trPr>
          <w:trHeight w:val="143"/>
        </w:trPr>
        <w:tc>
          <w:tcPr>
            <w:tcW w:w="13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2007</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101,381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1,444,125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(1,081,039)</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364,100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Employee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Purchase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Plan</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awards to</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consultants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from the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release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units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24,811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24,811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Comprehensive</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loss:</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(303,039)</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1"/>
              </w:rPr>
              <w:t>(303,039)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Unrealized gain 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available-for-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sale securities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295</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2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loss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1"/>
              </w:rPr>
              <w:t>(302,744)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102,008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1,469,497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295</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(1,384,078)</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86,734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Employee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Purchase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Plan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323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for cash</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8,360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59,724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from the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release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units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2,240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(7,023)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(7,001)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options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20,219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Comprehensive</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loss:</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(220,104)</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1"/>
              </w:rPr>
              <w:t>(220,104)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Unrealized loss 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available-for-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sale securities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(581)</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Unrealized gain on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translation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Comprehensive</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loss</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1"/>
              </w:rPr>
              <w:t>(220,680)</w:t>
            </w:r>
          </w:p>
        </w:tc>
        <w:tc>
          <w:tcPr>
            <w:tcW w:w="0" w:type="dxa"/>
            <w:vAlign w:val="bottom"/>
          </w:tcPr>
          <w:p>
            <w:pPr>
              <w:spacing w:after="0"/>
              <w:rPr>
                <w:sz w:val="1"/>
                <w:szCs w:val="1"/>
                <w:color w:val="auto"/>
              </w:rPr>
            </w:pPr>
          </w:p>
        </w:tc>
      </w:tr>
      <w:tr>
        <w:trPr>
          <w:trHeight w:val="143"/>
        </w:trPr>
        <w:tc>
          <w:tcPr>
            <w:tcW w:w="13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2009</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113,025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1,130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$ 1,544,112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(1,604,182)  $</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0"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Employee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Purchase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Plan</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for cash</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16,681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 exchange for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396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96240"/>
                    </a:xfrm>
                    <a:prstGeom prst="rect">
                      <a:avLst/>
                    </a:prstGeom>
                    <a:noFill/>
                  </pic:spPr>
                </pic:pic>
              </a:graphicData>
            </a:graphic>
          </wp:anchor>
        </w:drawing>
      </w:r>
    </w:p>
    <w:p>
      <w:pPr>
        <w:ind w:left="440"/>
        <w:spacing w:after="0" w:line="221" w:lineRule="auto"/>
        <w:rPr>
          <w:sz w:val="20"/>
          <w:szCs w:val="20"/>
          <w:color w:val="auto"/>
        </w:rPr>
      </w:pPr>
      <w:r>
        <w:rPr>
          <w:rFonts w:ascii="Times New Roman" w:cs="Times New Roman" w:eastAsia="Times New Roman" w:hAnsi="Times New Roman"/>
          <w:sz w:val="14"/>
          <w:szCs w:val="14"/>
          <w:color w:val="auto"/>
        </w:rPr>
        <w:t>cancelling an</w:t>
      </w:r>
    </w:p>
    <w:p>
      <w:pPr>
        <w:ind w:left="440"/>
        <w:spacing w:after="0"/>
        <w:rPr>
          <w:sz w:val="20"/>
          <w:szCs w:val="20"/>
          <w:color w:val="auto"/>
        </w:rPr>
      </w:pPr>
      <w:r>
        <w:rPr>
          <w:rFonts w:ascii="Times New Roman" w:cs="Times New Roman" w:eastAsia="Times New Roman" w:hAnsi="Times New Roman"/>
          <w:sz w:val="14"/>
          <w:szCs w:val="14"/>
          <w:color w:val="auto"/>
        </w:rPr>
        <w:t>equal amount</w:t>
      </w:r>
    </w:p>
    <w:p>
      <w:pPr>
        <w:sectPr>
          <w:pgSz w:w="11900" w:h="16884" w:orient="portrait"/>
          <w:cols w:equalWidth="0" w:num="1">
            <w:col w:w="11420"/>
          </w:cols>
          <w:pgMar w:left="240" w:top="455" w:right="239"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of note payable</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 related party</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under share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lending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agreement</w:t>
            </w:r>
          </w:p>
        </w:tc>
        <w:tc>
          <w:tcPr>
            <w:tcW w:w="7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9,000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from the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release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units</w:t>
            </w:r>
          </w:p>
        </w:tc>
        <w:tc>
          <w:tcPr>
            <w:tcW w:w="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(3,402)</w:t>
            </w:r>
          </w:p>
        </w:tc>
        <w:tc>
          <w:tcPr>
            <w:tcW w:w="3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(3,392)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options</w:t>
            </w:r>
          </w:p>
        </w:tc>
        <w:tc>
          <w:tcPr>
            <w:tcW w:w="7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318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13,580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Comprehensive</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loss: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(170,560)</w:t>
            </w: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(170,560)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Unrealized gain on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available-for-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sale securities</w:t>
            </w:r>
          </w:p>
        </w:tc>
        <w:tc>
          <w:tcPr>
            <w:tcW w:w="7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Unrealized loss 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translation</w:t>
            </w:r>
          </w:p>
        </w:tc>
        <w:tc>
          <w:tcPr>
            <w:tcW w:w="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2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loss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(170,205)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2010</w:t>
            </w:r>
          </w:p>
        </w:tc>
        <w:tc>
          <w:tcPr>
            <w:tcW w:w="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127,793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1,278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1,587,858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(1,774,742)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(185,532)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Employee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Purchase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Plan</w:t>
            </w:r>
          </w:p>
        </w:tc>
        <w:tc>
          <w:tcPr>
            <w:tcW w:w="7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283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for cash</w:t>
            </w:r>
          </w:p>
        </w:tc>
        <w:tc>
          <w:tcPr>
            <w:tcW w:w="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9,540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4"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 — (Continued)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Series C</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40" w:type="dxa"/>
            <w:vAlign w:val="bottom"/>
            <w:gridSpan w:val="3"/>
            <w:vMerge w:val="restart"/>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4"/>
              </w:rPr>
              <w:t>Series B</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Series 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C</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Convertible</w:t>
            </w: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restart"/>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840" w:type="dxa"/>
            <w:vAlign w:val="bottom"/>
            <w:gridSpan w:val="3"/>
            <w:vMerge w:val="restart"/>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3"/>
            <w:vMerge w:val="restart"/>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Additional</w:t>
            </w: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120" w:type="dxa"/>
            <w:vAlign w:val="bottom"/>
          </w:tcPr>
          <w:p>
            <w:pPr>
              <w:spacing w:after="0"/>
              <w:rPr>
                <w:sz w:val="4"/>
                <w:szCs w:val="4"/>
                <w:color w:val="auto"/>
              </w:rPr>
            </w:pPr>
          </w:p>
        </w:tc>
        <w:tc>
          <w:tcPr>
            <w:tcW w:w="700" w:type="dxa"/>
            <w:vAlign w:val="bottom"/>
            <w:gridSpan w:val="3"/>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9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During the</w:t>
            </w: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0" w:type="dxa"/>
            <w:vAlign w:val="bottom"/>
          </w:tcPr>
          <w:p>
            <w:pPr>
              <w:spacing w:after="0"/>
              <w:rPr>
                <w:sz w:val="8"/>
                <w:szCs w:val="8"/>
                <w:color w:val="auto"/>
              </w:rPr>
            </w:pPr>
          </w:p>
        </w:tc>
        <w:tc>
          <w:tcPr>
            <w:tcW w:w="11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8"/>
                <w:szCs w:val="8"/>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3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8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Subscriptions</w:t>
            </w:r>
          </w:p>
        </w:tc>
        <w:tc>
          <w:tcPr>
            <w:tcW w:w="12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60" w:type="dxa"/>
            <w:vAlign w:val="bottom"/>
          </w:tcPr>
          <w:p>
            <w:pPr>
              <w:spacing w:after="0"/>
              <w:rPr>
                <w:sz w:val="6"/>
                <w:szCs w:val="6"/>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9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Development</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1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Issuable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12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Stockholders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Officers</w:t>
            </w:r>
          </w:p>
        </w:tc>
        <w:tc>
          <w:tcPr>
            <w:tcW w:w="6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Stage</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6"/>
        </w:trPr>
        <w:tc>
          <w:tcPr>
            <w:tcW w:w="1340" w:type="dxa"/>
            <w:vAlign w:val="bottom"/>
            <w:tcBorders>
              <w:top w:val="single" w:sz="8" w:color="CCEEFF"/>
            </w:tcBorders>
            <w:shd w:val="clear" w:color="auto" w:fill="CCEEFF"/>
          </w:tcPr>
          <w:p>
            <w:pPr>
              <w:ind w:left="220"/>
              <w:spacing w:after="0" w:line="116" w:lineRule="exact"/>
              <w:rPr>
                <w:sz w:val="20"/>
                <w:szCs w:val="20"/>
                <w:color w:val="auto"/>
              </w:rPr>
            </w:pPr>
            <w:r>
              <w:rPr>
                <w:rFonts w:ascii="Times New Roman" w:cs="Times New Roman" w:eastAsia="Times New Roman" w:hAnsi="Times New Roman"/>
                <w:sz w:val="12"/>
                <w:szCs w:val="12"/>
                <w:color w:val="auto"/>
              </w:rPr>
              <w:t>Issuance of stock</w:t>
            </w: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 exchange for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cancelling an equal</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amount of note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payable to related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party</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11,102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11,116</w:t>
            </w:r>
          </w:p>
        </w:tc>
        <w:tc>
          <w:tcPr>
            <w:tcW w:w="0" w:type="dxa"/>
            <w:vAlign w:val="bottom"/>
          </w:tcPr>
          <w:p>
            <w:pPr>
              <w:spacing w:after="0"/>
              <w:rPr>
                <w:sz w:val="1"/>
                <w:szCs w:val="1"/>
                <w:color w:val="auto"/>
              </w:rPr>
            </w:pPr>
          </w:p>
        </w:tc>
      </w:tr>
      <w:tr>
        <w:trPr>
          <w:trHeight w:val="136"/>
        </w:trPr>
        <w:tc>
          <w:tcPr>
            <w:tcW w:w="13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from the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release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units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433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36"/>
        </w:trPr>
        <w:tc>
          <w:tcPr>
            <w:tcW w:w="13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Exercise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options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36"/>
        </w:trPr>
        <w:tc>
          <w:tcPr>
            <w:tcW w:w="13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11,204</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11,204</w:t>
            </w:r>
          </w:p>
        </w:tc>
        <w:tc>
          <w:tcPr>
            <w:tcW w:w="0" w:type="dxa"/>
            <w:vAlign w:val="bottom"/>
          </w:tcPr>
          <w:p>
            <w:pPr>
              <w:spacing w:after="0"/>
              <w:rPr>
                <w:sz w:val="1"/>
                <w:szCs w:val="1"/>
                <w:color w:val="auto"/>
              </w:rPr>
            </w:pPr>
          </w:p>
        </w:tc>
      </w:tr>
      <w:tr>
        <w:trPr>
          <w:trHeight w:val="136"/>
        </w:trPr>
        <w:tc>
          <w:tcPr>
            <w:tcW w:w="13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Comprehensive</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(160,804)</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(160,804)</w:t>
            </w:r>
          </w:p>
        </w:tc>
        <w:tc>
          <w:tcPr>
            <w:tcW w:w="0" w:type="dxa"/>
            <w:vAlign w:val="bottom"/>
          </w:tcPr>
          <w:p>
            <w:pPr>
              <w:spacing w:after="0"/>
              <w:rPr>
                <w:sz w:val="1"/>
                <w:szCs w:val="1"/>
                <w:color w:val="auto"/>
              </w:rPr>
            </w:pPr>
          </w:p>
        </w:tc>
      </w:tr>
      <w:tr>
        <w:trPr>
          <w:trHeight w:val="136"/>
        </w:trPr>
        <w:tc>
          <w:tcPr>
            <w:tcW w:w="13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Unrealized loss 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available-for-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sale securities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36"/>
        </w:trPr>
        <w:tc>
          <w:tcPr>
            <w:tcW w:w="13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Unrealized loss on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translation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6"/>
        </w:trPr>
        <w:tc>
          <w:tcPr>
            <w:tcW w:w="13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Comprehensive</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(160,834)</w:t>
            </w:r>
          </w:p>
        </w:tc>
        <w:tc>
          <w:tcPr>
            <w:tcW w:w="0" w:type="dxa"/>
            <w:vAlign w:val="bottom"/>
          </w:tcPr>
          <w:p>
            <w:pPr>
              <w:spacing w:after="0"/>
              <w:rPr>
                <w:sz w:val="1"/>
                <w:szCs w:val="1"/>
                <w:color w:val="auto"/>
              </w:rPr>
            </w:pPr>
          </w:p>
        </w:tc>
      </w:tr>
      <w:tr>
        <w:trPr>
          <w:trHeight w:val="143"/>
        </w:trPr>
        <w:tc>
          <w:tcPr>
            <w:tcW w:w="13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2011</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131,523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1,315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1,620,535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44</w:t>
            </w: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w w:val="99"/>
              </w:rPr>
              <w:t xml:space="preserve">$  (1,935,546)  </w:t>
            </w: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(313,652)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Period from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40" w:type="dxa"/>
            <w:vAlign w:val="bottom"/>
            <w:gridSpan w:val="6"/>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February 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gridSpan w:val="2"/>
            <w:vMerge w:val="restart"/>
          </w:tcPr>
          <w:p>
            <w:pPr>
              <w:jc w:val="center"/>
              <w:ind w:right="18"/>
              <w:spacing w:after="0" w:line="118" w:lineRule="exact"/>
              <w:rPr>
                <w:sz w:val="20"/>
                <w:szCs w:val="20"/>
                <w:color w:val="auto"/>
              </w:rPr>
            </w:pPr>
            <w:r>
              <w:rPr>
                <w:rFonts w:ascii="Times New Roman" w:cs="Times New Roman" w:eastAsia="Times New Roman" w:hAnsi="Times New Roman"/>
                <w:sz w:val="12"/>
                <w:szCs w:val="12"/>
                <w:b w:val="1"/>
                <w:bCs w:val="1"/>
                <w:color w:val="auto"/>
              </w:rPr>
              <w:t>1991 (Date of</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0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Pr>
          <w:p>
            <w:pPr>
              <w:spacing w:after="0"/>
              <w:rPr>
                <w:sz w:val="14"/>
                <w:szCs w:val="14"/>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63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$(220,104)</w:t>
            </w:r>
          </w:p>
        </w:tc>
        <w:tc>
          <w:tcPr>
            <w:tcW w:w="106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w w:val="95"/>
              </w:rPr>
              <w:t>$(170,560)</w:t>
            </w: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w w:val="95"/>
              </w:rPr>
              <w:t>$(160,804)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$(1,935,546)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gridSpan w:val="3"/>
          </w:tcPr>
          <w:p>
            <w:pPr>
              <w:jc w:val="right"/>
              <w:ind w:right="262"/>
              <w:spacing w:after="0"/>
              <w:rPr>
                <w:sz w:val="20"/>
                <w:szCs w:val="20"/>
                <w:color w:val="auto"/>
              </w:rPr>
            </w:pPr>
            <w:r>
              <w:rPr>
                <w:rFonts w:ascii="Times New Roman" w:cs="Times New Roman" w:eastAsia="Times New Roman" w:hAnsi="Times New Roman"/>
                <w:sz w:val="18"/>
                <w:szCs w:val="18"/>
                <w:color w:val="auto"/>
              </w:rPr>
              <w:t>18,725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320" w:type="dxa"/>
            <w:vAlign w:val="bottom"/>
          </w:tcPr>
          <w:p>
            <w:pPr>
              <w:spacing w:after="0"/>
              <w:rPr>
                <w:sz w:val="18"/>
                <w:szCs w:val="18"/>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112,375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0" w:type="dxa"/>
            <w:vAlign w:val="bottom"/>
            <w:gridSpan w:val="3"/>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20,219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124,626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expense for shares issued pursuant to research agreement</w:t>
            </w:r>
          </w:p>
        </w:tc>
        <w:tc>
          <w:tcPr>
            <w:tcW w:w="560" w:type="dxa"/>
            <w:vAlign w:val="bottom"/>
          </w:tcPr>
          <w:p>
            <w:pPr>
              <w:spacing w:after="0"/>
              <w:rPr>
                <w:sz w:val="18"/>
                <w:szCs w:val="18"/>
                <w:color w:val="auto"/>
              </w:rPr>
            </w:pPr>
          </w:p>
        </w:tc>
        <w:tc>
          <w:tcPr>
            <w:tcW w:w="10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(gain) on sale, abandonment/disposal or impairment of property and equipment</w:t>
            </w:r>
          </w:p>
        </w:tc>
        <w:tc>
          <w:tcPr>
            <w:tcW w:w="1600" w:type="dxa"/>
            <w:vAlign w:val="bottom"/>
            <w:gridSpan w:val="3"/>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12,869</w:t>
            </w:r>
          </w:p>
        </w:tc>
        <w:tc>
          <w:tcPr>
            <w:tcW w:w="10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on investments, net of amortization of premiums (discounts)</w:t>
            </w:r>
          </w:p>
        </w:tc>
        <w:tc>
          <w:tcPr>
            <w:tcW w:w="160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560" w:type="dxa"/>
            <w:vAlign w:val="bottom"/>
          </w:tcPr>
          <w:p>
            <w:pPr>
              <w:spacing w:after="0"/>
              <w:rPr>
                <w:sz w:val="18"/>
                <w:szCs w:val="18"/>
                <w:color w:val="auto"/>
              </w:rPr>
            </w:pPr>
          </w:p>
        </w:tc>
        <w:tc>
          <w:tcPr>
            <w:tcW w:w="10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available-for-sale securities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600" w:type="dxa"/>
            <w:vAlign w:val="bottom"/>
            <w:gridSpan w:val="3"/>
          </w:tcPr>
          <w:p>
            <w:pPr>
              <w:jc w:val="right"/>
              <w:ind w:right="262"/>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w:t>
            </w:r>
          </w:p>
        </w:tc>
        <w:tc>
          <w:tcPr>
            <w:tcW w:w="1600" w:type="dxa"/>
            <w:vAlign w:val="bottom"/>
            <w:gridSpan w:val="3"/>
          </w:tcPr>
          <w:p>
            <w:pPr>
              <w:jc w:val="right"/>
              <w:ind w:right="262"/>
              <w:spacing w:after="0"/>
              <w:rPr>
                <w:sz w:val="20"/>
                <w:szCs w:val="20"/>
                <w:color w:val="auto"/>
              </w:rPr>
            </w:pPr>
            <w:r>
              <w:rPr>
                <w:rFonts w:ascii="Times New Roman" w:cs="Times New Roman" w:eastAsia="Times New Roman" w:hAnsi="Times New Roman"/>
                <w:sz w:val="18"/>
                <w:szCs w:val="18"/>
                <w:color w:val="auto"/>
              </w:rPr>
              <w:t>582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0" w:type="dxa"/>
            <w:vAlign w:val="bottom"/>
            <w:gridSpan w:val="3"/>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2,311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60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gridSpan w:val="3"/>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(6,371)</w:t>
            </w:r>
          </w:p>
        </w:tc>
        <w:tc>
          <w:tcPr>
            <w:tcW w:w="10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(4,287)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(12,271)</w:t>
            </w:r>
          </w:p>
        </w:tc>
        <w:tc>
          <w:tcPr>
            <w:tcW w:w="106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(7,554)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320" w:type="dxa"/>
            <w:vAlign w:val="bottom"/>
          </w:tcPr>
          <w:p>
            <w:pPr>
              <w:spacing w:after="0"/>
              <w:rPr>
                <w:sz w:val="18"/>
                <w:szCs w:val="18"/>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19,974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(184,083</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(148,654</w:t>
            </w:r>
          </w:p>
        </w:tc>
        <w:tc>
          <w:tcPr>
            <w:tcW w:w="320" w:type="dxa"/>
            <w:vAlign w:val="bottom"/>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(123,837</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(1,476,401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60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(2,000)</w:t>
            </w:r>
          </w:p>
        </w:tc>
        <w:tc>
          <w:tcPr>
            <w:tcW w:w="106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(4,178)</w:t>
            </w:r>
          </w:p>
        </w:tc>
        <w:tc>
          <w:tcPr>
            <w:tcW w:w="10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600" w:type="dxa"/>
            <w:vAlign w:val="bottom"/>
            <w:gridSpan w:val="3"/>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17,800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796,393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(18,852)</w:t>
            </w:r>
          </w:p>
        </w:tc>
        <w:tc>
          <w:tcPr>
            <w:tcW w:w="106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(9,542)</w:t>
            </w: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(6,858)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warrants</w:t>
            </w:r>
          </w:p>
        </w:tc>
        <w:tc>
          <w:tcPr>
            <w:tcW w:w="1600" w:type="dxa"/>
            <w:vAlign w:val="bottom"/>
            <w:gridSpan w:val="3"/>
          </w:tcPr>
          <w:p>
            <w:pPr>
              <w:jc w:val="right"/>
              <w:ind w:right="262"/>
              <w:spacing w:after="0"/>
              <w:rPr>
                <w:sz w:val="20"/>
                <w:szCs w:val="20"/>
                <w:color w:val="auto"/>
              </w:rPr>
            </w:pPr>
            <w:r>
              <w:rPr>
                <w:rFonts w:ascii="Times New Roman" w:cs="Times New Roman" w:eastAsia="Times New Roman" w:hAnsi="Times New Roman"/>
                <w:sz w:val="18"/>
                <w:szCs w:val="18"/>
                <w:color w:val="auto"/>
              </w:rPr>
              <w:t>61,507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320" w:type="dxa"/>
            <w:vAlign w:val="bottom"/>
          </w:tcPr>
          <w:p>
            <w:pPr>
              <w:spacing w:after="0"/>
              <w:rPr>
                <w:sz w:val="18"/>
                <w:szCs w:val="18"/>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1,230,021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Series C convertible preferred stock subscriptions receivable</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B convertible preferred stock for cash</w:t>
            </w:r>
          </w:p>
        </w:tc>
        <w:tc>
          <w:tcPr>
            <w:tcW w:w="560" w:type="dxa"/>
            <w:vAlign w:val="bottom"/>
          </w:tcPr>
          <w:p>
            <w:pPr>
              <w:spacing w:after="0"/>
              <w:rPr>
                <w:sz w:val="18"/>
                <w:szCs w:val="18"/>
                <w:color w:val="auto"/>
              </w:rPr>
            </w:pPr>
          </w:p>
        </w:tc>
        <w:tc>
          <w:tcPr>
            <w:tcW w:w="10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for common stock to be issued</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60" w:type="dxa"/>
            <w:vAlign w:val="bottom"/>
          </w:tcPr>
          <w:p>
            <w:pPr>
              <w:spacing w:after="0"/>
              <w:rPr>
                <w:sz w:val="18"/>
                <w:szCs w:val="18"/>
                <w:color w:val="auto"/>
              </w:rPr>
            </w:pPr>
          </w:p>
        </w:tc>
        <w:tc>
          <w:tcPr>
            <w:tcW w:w="10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shares sold to majority stockholder</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560" w:type="dxa"/>
            <w:vAlign w:val="bottom"/>
          </w:tcPr>
          <w:p>
            <w:pPr>
              <w:spacing w:after="0"/>
              <w:rPr>
                <w:sz w:val="18"/>
                <w:szCs w:val="18"/>
                <w:color w:val="auto"/>
              </w:rPr>
            </w:pPr>
          </w:p>
        </w:tc>
        <w:tc>
          <w:tcPr>
            <w:tcW w:w="10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receivables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notes payable from related party</w:t>
            </w:r>
          </w:p>
        </w:tc>
        <w:tc>
          <w:tcPr>
            <w:tcW w:w="1600" w:type="dxa"/>
            <w:vAlign w:val="bottom"/>
            <w:gridSpan w:val="3"/>
          </w:tcPr>
          <w:p>
            <w:pPr>
              <w:jc w:val="right"/>
              <w:ind w:right="262"/>
              <w:spacing w:after="0"/>
              <w:rPr>
                <w:sz w:val="20"/>
                <w:szCs w:val="20"/>
                <w:color w:val="auto"/>
              </w:rPr>
            </w:pPr>
            <w:r>
              <w:rPr>
                <w:rFonts w:ascii="Times New Roman" w:cs="Times New Roman" w:eastAsia="Times New Roman" w:hAnsi="Times New Roman"/>
                <w:sz w:val="18"/>
                <w:szCs w:val="18"/>
                <w:color w:val="auto"/>
              </w:rPr>
              <w:t>135,000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320" w:type="dxa"/>
            <w:vAlign w:val="bottom"/>
          </w:tcPr>
          <w:p>
            <w:pPr>
              <w:spacing w:after="0"/>
              <w:rPr>
                <w:sz w:val="18"/>
                <w:szCs w:val="18"/>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notes payable to principal stockholder</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560" w:type="dxa"/>
            <w:vAlign w:val="bottom"/>
          </w:tcPr>
          <w:p>
            <w:pPr>
              <w:spacing w:after="0"/>
              <w:rPr>
                <w:sz w:val="18"/>
                <w:szCs w:val="18"/>
                <w:color w:val="auto"/>
              </w:rPr>
            </w:pPr>
          </w:p>
        </w:tc>
        <w:tc>
          <w:tcPr>
            <w:tcW w:w="10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senior convertible notes</w:t>
            </w:r>
          </w:p>
        </w:tc>
        <w:tc>
          <w:tcPr>
            <w:tcW w:w="560" w:type="dxa"/>
            <w:vAlign w:val="bottom"/>
          </w:tcPr>
          <w:p>
            <w:pPr>
              <w:spacing w:after="0"/>
              <w:rPr>
                <w:sz w:val="18"/>
                <w:szCs w:val="18"/>
                <w:color w:val="auto"/>
              </w:rPr>
            </w:pPr>
          </w:p>
        </w:tc>
        <w:tc>
          <w:tcPr>
            <w:tcW w:w="10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95,783</w:t>
            </w:r>
          </w:p>
        </w:tc>
        <w:tc>
          <w:tcPr>
            <w:tcW w:w="320" w:type="dxa"/>
            <w:vAlign w:val="bottom"/>
          </w:tcPr>
          <w:p>
            <w:pPr>
              <w:spacing w:after="0"/>
              <w:rPr>
                <w:sz w:val="18"/>
                <w:szCs w:val="18"/>
                <w:color w:val="auto"/>
              </w:rPr>
            </w:pPr>
          </w:p>
        </w:tc>
        <w:tc>
          <w:tcPr>
            <w:tcW w:w="10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207,050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employment taxes related to vested restricted stock units</w:t>
            </w:r>
          </w:p>
        </w:tc>
        <w:tc>
          <w:tcPr>
            <w:tcW w:w="1600" w:type="dxa"/>
            <w:vAlign w:val="bottom"/>
            <w:gridSpan w:val="3"/>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(7,001)</w:t>
            </w:r>
          </w:p>
        </w:tc>
        <w:tc>
          <w:tcPr>
            <w:tcW w:w="10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(3,392)</w:t>
            </w:r>
          </w:p>
        </w:tc>
        <w:tc>
          <w:tcPr>
            <w:tcW w:w="10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(547)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189,506</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196,416</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63,394</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674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gridSpan w:val="3"/>
            <w:vMerge w:val="restart"/>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1991 (Date of</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2009</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36,042</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4"/>
              </w:rPr>
              <w:t>(63,380)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27,648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66,061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30,019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66,061</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2,681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FLOWS DISCLOSURES:</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Interest paid in cash, net of amounts capitalized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8,131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13,662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17,248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Accretion on redeemable convertible preferred stock</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Issuance of common stock upon conversion of notes payable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Increase in additional paid-in capital resulting from merger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Issuance of common stock for notes receivable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Issuance of put option by stockholder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Put option redemption by stockholder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Issuance of Series C convertible preferred stock subscriptions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Issuance of Series A redeemable convertible preferred stock</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Conversion of Series A redeemable convertible preferred stock</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Non-cash construction in progress and property and equipment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Cancellation of principal on note payable to related party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11,116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60" w:firstLine="228"/>
        <w:spacing w:after="0" w:line="275" w:lineRule="auto"/>
        <w:rPr>
          <w:sz w:val="20"/>
          <w:szCs w:val="20"/>
          <w:color w:val="auto"/>
        </w:rPr>
      </w:pPr>
      <w:r>
        <w:rPr>
          <w:rFonts w:ascii="Times New Roman" w:cs="Times New Roman" w:eastAsia="Times New Roman" w:hAnsi="Times New Roman"/>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90"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 MannKind Corporation and subsidiaries (the “Company”) is a biopharmaceutical company focused on the discovery and development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 products for diseases such as diabetes and cancer. The Company’s lead product candidate, AFREZZA, (insulin human [rDNA origin]) inhalation powder, is an ultra rapid-acting insulin therapy in late-stage clinical investigation for the treatment of adults with type 1 or type 2 diabetes for the control of hyperglycemia.</w:t>
      </w:r>
    </w:p>
    <w:p>
      <w:pPr>
        <w:spacing w:after="0" w:line="54"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AFREZZA consists of the Company’s proprietary Technosphere particles onto which insulin molecules are loaded. These loaded particles are then aerosolized and inhaled deep into the lung using the Company’s AFREZZA inhaler.</w:t>
      </w:r>
    </w:p>
    <w:p>
      <w:pPr>
        <w:spacing w:after="0" w:line="37" w:lineRule="exact"/>
        <w:rPr>
          <w:sz w:val="20"/>
          <w:szCs w:val="20"/>
          <w:color w:val="auto"/>
        </w:rPr>
      </w:pPr>
    </w:p>
    <w:p>
      <w:pPr>
        <w:ind w:right="40" w:firstLine="22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Company is considered to be in the development stage as its primary activities since incorporation have been establishing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recruiting personnel, conducting research and development, business development, business and financial planning, and raising capital. Since its inception through December 31, 2011 the Company has reported accumulated net losses of $1.9 billion, which include a goodwill impairment charge of $151.4 million (see Note 2), and cumulative negative cash flow from operations of $1.5 billion. At December 31, 2011 the Company’s capital resources consisted of cash, cash equivalents, and marketable securities of $3.2 million and $45.0 million of available borrowings under the loan agreement with an entity controlled by the Company’s principal stockholder (see Note 7). On February 8, 2012, the Company sold $86.3 million worth of units in an underwritten public offering, with each unit consisting of one share of common stock and a warrant to purchase 0.6 of a share of common stock, and reflects the full exercise of an over-allotment option granted to the underwriters. Net proceeds from this offering were approximately $80.6 million, excluding any warrant exercises. Based upon the Company’s current expectations, management believes the Company’s existing capital resources will enable it to continue planned operations into the fourth quarter of 2012. However, the Company cannot provide assurances that its plans will not change or that changed circumstances will not result in the depletion of its capital resources more rapidly than it currently anticipates. The Company will need to raise additional capital, whether through the sale of equity or debt securities, a strategic business collaboration with a pharmaceutical company, the establishment of other funding facilities, licensing arrangements, asset sales or other means, or an increase in the borrowings available under the loan arrangement with its related party, in order to continue the development and commercialization of AFREZZA and other product candidates and to support its other ongoing activities. This raises substantial doubt about the Company’s ability to continue as a going concern.</w:t>
      </w:r>
    </w:p>
    <w:p>
      <w:pPr>
        <w:spacing w:after="0" w:line="64"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6"/>
          <w:szCs w:val="16"/>
          <w:color w:val="auto"/>
        </w:rPr>
        <w:t>On December 12, 2001, the stockholders of AlleCure Corp. (“AlleCure”) and CTL ImmunoTherapies Corp. (“CTL”) voted to exchange their shares for shares of Pharmaceutical Discovery Corporation (“PDC”). Upon approval of the merger, PDC then changed its name to MannKind Corporation. PDC was incorporated in the State of Delaware on February 14, 1991. The stockholders of PDC did not vote on the merger. At the date of the merger, Mr. Alfred Mann owned 76% of PDC, 59% of AlleCure and 69% of CTL. Accordingly, only the minority interest of AlleCure and CTL was stepped up to fair value using the purchase method of accounting. As a result of this purchase accounting, in-process research and development of $19.7 million and goodwill of $151.4 million were recorded at the entity level. The historical basis of PDC and the historical basis relating to the ownership interests of Mr. Mann in AlleCure and CTL have been reflected in the financial statements. For periods prior to December 12, 2001, the results of operations have been presented on a combined basis. All references in the accompanying financial statements and notes to the financial statements to number of shares, sales price and per share amounts of the Company’s capital stock have been retroactively restated to reflect the share exchange ratios for each of the entities that participated in the merger.</w:t>
      </w:r>
    </w:p>
    <w:p>
      <w:pPr>
        <w:spacing w:after="0" w:line="32" w:lineRule="exact"/>
        <w:rPr>
          <w:sz w:val="20"/>
          <w:szCs w:val="20"/>
          <w:color w:val="auto"/>
        </w:rPr>
      </w:pPr>
    </w:p>
    <w:p>
      <w:pPr>
        <w:ind w:right="260" w:firstLine="228"/>
        <w:spacing w:after="0" w:line="333" w:lineRule="auto"/>
        <w:rPr>
          <w:sz w:val="20"/>
          <w:szCs w:val="20"/>
          <w:color w:val="auto"/>
        </w:rPr>
      </w:pPr>
      <w:r>
        <w:rPr>
          <w:rFonts w:ascii="Times New Roman" w:cs="Times New Roman" w:eastAsia="Times New Roman" w:hAnsi="Times New Roman"/>
          <w:sz w:val="16"/>
          <w:szCs w:val="16"/>
          <w:color w:val="auto"/>
        </w:rPr>
        <w:t>For periods subsequent to December 12, 2001, the accompanying financial statements have been presented on a consolidated basis and include the wholly-owned subsidiaries, AlleCure and CTL. On December 31, 2002, AlleCure and CTL merged with and into MannKind and ceased to be separate entities.</w:t>
      </w:r>
    </w:p>
    <w:p>
      <w:pPr>
        <w:spacing w:after="0" w:line="1" w:lineRule="exact"/>
        <w:rPr>
          <w:sz w:val="20"/>
          <w:szCs w:val="20"/>
          <w:color w:val="auto"/>
        </w:rPr>
      </w:pPr>
    </w:p>
    <w:p>
      <w:pPr>
        <w:ind w:right="140" w:firstLine="22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the Company and its wholly-owned subsidiaries. Intercompany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and transactions have been eliminated.</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80"/>
          </w:cols>
          <w:pgMar w:left="240" w:top="455" w:right="2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60"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In accordance with Accounting Standards Codification (“ASC”) 280-10-50</w:t>
      </w:r>
      <w:r>
        <w:rPr>
          <w:rFonts w:ascii="Times New Roman" w:cs="Times New Roman" w:eastAsia="Times New Roman" w:hAnsi="Times New Roman"/>
          <w:sz w:val="18"/>
          <w:szCs w:val="18"/>
          <w:i w:val="1"/>
          <w:iCs w:val="1"/>
          <w:color w:val="auto"/>
        </w:rPr>
        <w:t xml:space="preserve"> Segment Reporting </w:t>
      </w:r>
      <w:r>
        <w:rPr>
          <w:rFonts w:ascii="Times New Roman" w:cs="Times New Roman" w:eastAsia="Times New Roman" w:hAnsi="Times New Roman"/>
          <w:sz w:val="18"/>
          <w:szCs w:val="18"/>
          <w:color w:val="auto"/>
        </w:rPr>
        <w:t>previously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Board (“FASB”) Statement No. 131, </w:t>
      </w:r>
      <w:r>
        <w:rPr>
          <w:rFonts w:ascii="Times New Roman" w:cs="Times New Roman" w:eastAsia="Times New Roman" w:hAnsi="Times New Roman"/>
          <w:sz w:val="18"/>
          <w:szCs w:val="18"/>
          <w:i w:val="1"/>
          <w:iCs w:val="1"/>
          <w:color w:val="auto"/>
        </w:rPr>
        <w:t>Disclosures about Segments of an Enterprise and Related Information</w:t>
      </w:r>
      <w:r>
        <w:rPr>
          <w:rFonts w:ascii="Times New Roman" w:cs="Times New Roman" w:eastAsia="Times New Roman" w:hAnsi="Times New Roman"/>
          <w:sz w:val="18"/>
          <w:szCs w:val="18"/>
          <w:color w:val="auto"/>
        </w:rPr>
        <w:t>, operating segments are identified as 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primarily in the United States of America.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90" w:lineRule="exact"/>
        <w:rPr>
          <w:sz w:val="20"/>
          <w:szCs w:val="20"/>
          <w:color w:val="auto"/>
        </w:rPr>
      </w:pPr>
    </w:p>
    <w:p>
      <w:pPr>
        <w:ind w:right="12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(“GAAP”) requires management to make estimates and assumptions that affect the amounts reported in the financial statements and accompanying notes. Actual results could differ from those estimates.</w:t>
      </w:r>
    </w:p>
    <w:p>
      <w:pPr>
        <w:spacing w:after="0" w:line="46" w:lineRule="exact"/>
        <w:rPr>
          <w:sz w:val="20"/>
          <w:szCs w:val="20"/>
          <w:color w:val="auto"/>
        </w:rPr>
      </w:pPr>
    </w:p>
    <w:p>
      <w:pPr>
        <w:ind w:right="600" w:firstLine="22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a purchased maturity date of three months or less to be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w:t>
      </w:r>
    </w:p>
    <w:p>
      <w:pPr>
        <w:spacing w:after="0" w:line="35"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concentration of credit risk consist of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marketable securities. Cash and cash equivalents consist primarily of interest-bearing accounts and are regularly monitored by management and held in high credit quality institutions. Marketable securities consist of $350,000 of certificates of deposit held as collateral for commercial credit card programs and a common stock investment.</w:t>
      </w:r>
    </w:p>
    <w:p>
      <w:pPr>
        <w:spacing w:after="0" w:line="52"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 The Company accounts for marketable securities as available-for-sale, in accordance with ASC 320-10</w:t>
      </w:r>
      <w:r>
        <w:rPr>
          <w:rFonts w:ascii="Times New Roman" w:cs="Times New Roman" w:eastAsia="Times New Roman" w:hAnsi="Times New Roman"/>
          <w:sz w:val="18"/>
          <w:szCs w:val="18"/>
          <w:i w:val="1"/>
          <w:iCs w:val="1"/>
          <w:color w:val="auto"/>
        </w:rPr>
        <w:t xml:space="preserve"> Investments- Debt and Equity Securities, </w:t>
      </w:r>
      <w:r>
        <w:rPr>
          <w:rFonts w:ascii="Times New Roman" w:cs="Times New Roman" w:eastAsia="Times New Roman" w:hAnsi="Times New Roman"/>
          <w:sz w:val="18"/>
          <w:szCs w:val="18"/>
          <w:color w:val="auto"/>
        </w:rPr>
        <w:t>previously FASB Statement No. 115,</w:t>
      </w:r>
      <w:r>
        <w:rPr>
          <w:rFonts w:ascii="Times New Roman" w:cs="Times New Roman" w:eastAsia="Times New Roman" w:hAnsi="Times New Roman"/>
          <w:sz w:val="18"/>
          <w:szCs w:val="18"/>
          <w:i w:val="1"/>
          <w:iCs w:val="1"/>
          <w:color w:val="auto"/>
        </w:rPr>
        <w:t xml:space="preserve"> Accounting for Certain Debt and Equity Securities. </w:t>
      </w:r>
      <w:r>
        <w:rPr>
          <w:rFonts w:ascii="Times New Roman" w:cs="Times New Roman" w:eastAsia="Times New Roman" w:hAnsi="Times New Roman"/>
          <w:sz w:val="18"/>
          <w:szCs w:val="18"/>
          <w:color w:val="auto"/>
        </w:rPr>
        <w:t>Unrealized holding gains and losses for available-for-sale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are reported as a separate component of stockholders’ equity until realized. The Company reviews the portfolio for other than temporary impairment in accordance with ASC 320-10-35 </w:t>
      </w:r>
      <w:r>
        <w:rPr>
          <w:rFonts w:ascii="Times New Roman" w:cs="Times New Roman" w:eastAsia="Times New Roman" w:hAnsi="Times New Roman"/>
          <w:sz w:val="18"/>
          <w:szCs w:val="18"/>
          <w:i w:val="1"/>
          <w:iCs w:val="1"/>
          <w:color w:val="auto"/>
        </w:rPr>
        <w:t>Investment- Debt and Equity Securities</w:t>
      </w:r>
      <w:r>
        <w:rPr>
          <w:rFonts w:ascii="Times New Roman" w:cs="Times New Roman" w:eastAsia="Times New Roman" w:hAnsi="Times New Roman"/>
          <w:sz w:val="18"/>
          <w:szCs w:val="18"/>
          <w:color w:val="auto"/>
        </w:rPr>
        <w:t xml:space="preserve">, previously Emerging Issues Task Force (“EITF”) Issue No. 03-01, </w:t>
      </w:r>
      <w:r>
        <w:rPr>
          <w:rFonts w:ascii="Times New Roman" w:cs="Times New Roman" w:eastAsia="Times New Roman" w:hAnsi="Times New Roman"/>
          <w:sz w:val="18"/>
          <w:szCs w:val="18"/>
          <w:i w:val="1"/>
          <w:iCs w:val="1"/>
          <w:color w:val="auto"/>
        </w:rPr>
        <w:t>The Meaning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Other-Than-Temporary Impairment and Its Application to Certain Investments </w:t>
      </w:r>
      <w:r>
        <w:rPr>
          <w:rFonts w:ascii="Times New Roman" w:cs="Times New Roman" w:eastAsia="Times New Roman" w:hAnsi="Times New Roman"/>
          <w:sz w:val="18"/>
          <w:szCs w:val="18"/>
          <w:color w:val="auto"/>
        </w:rPr>
        <w:t>and FASB Staff Position No. 115-1,</w:t>
      </w:r>
      <w:r>
        <w:rPr>
          <w:rFonts w:ascii="Times New Roman" w:cs="Times New Roman" w:eastAsia="Times New Roman" w:hAnsi="Times New Roman"/>
          <w:sz w:val="18"/>
          <w:szCs w:val="18"/>
          <w:i w:val="1"/>
          <w:iCs w:val="1"/>
          <w:color w:val="auto"/>
        </w:rPr>
        <w:t xml:space="preserve"> The Meaning of Other-Than-Temporary Impairment and Its Application to Certain Investments. </w:t>
      </w:r>
      <w:r>
        <w:rPr>
          <w:rFonts w:ascii="Times New Roman" w:cs="Times New Roman" w:eastAsia="Times New Roman" w:hAnsi="Times New Roman"/>
          <w:sz w:val="18"/>
          <w:szCs w:val="18"/>
          <w:color w:val="auto"/>
        </w:rPr>
        <w:t>Investments in marketable securities are recorded at fair value.</w:t>
      </w:r>
    </w:p>
    <w:p>
      <w:pPr>
        <w:spacing w:after="0" w:line="58"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State Research and Development Credit Exchange Receivable </w:t>
      </w:r>
      <w:r>
        <w:rPr>
          <w:rFonts w:ascii="Times New Roman" w:cs="Times New Roman" w:eastAsia="Times New Roman" w:hAnsi="Times New Roman"/>
          <w:sz w:val="18"/>
          <w:szCs w:val="18"/>
          <w:color w:val="auto"/>
        </w:rPr>
        <w:t>— The State of Connecticut provides certain companies with the opportunity to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research and development income tax credit carryforwards 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52" w:lineRule="exact"/>
        <w:rPr>
          <w:sz w:val="20"/>
          <w:szCs w:val="20"/>
          <w:color w:val="auto"/>
        </w:rPr>
      </w:pPr>
    </w:p>
    <w:p>
      <w:pPr>
        <w:ind w:right="60"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Company utilizes fair value measurement guidance prescribed by GAAP to value its financial instruments.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includes a definition of fair value, prescribes methods for measuring fair value, establishes a fair value hierarchy based on the inputs used to measure fair value and expands disclosures about the use of fair value measurements. 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90" w:lineRule="exact"/>
        <w:rPr>
          <w:sz w:val="20"/>
          <w:szCs w:val="20"/>
          <w:color w:val="auto"/>
        </w:rPr>
      </w:pPr>
    </w:p>
    <w:p>
      <w:pPr>
        <w:ind w:left="460" w:right="340"/>
        <w:spacing w:after="0" w:line="275"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228"/>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Goodwill and Identifiable Intangibles </w:t>
      </w:r>
      <w:r>
        <w:rPr>
          <w:rFonts w:ascii="Times New Roman" w:cs="Times New Roman" w:eastAsia="Times New Roman" w:hAnsi="Times New Roman"/>
          <w:sz w:val="16"/>
          <w:szCs w:val="16"/>
          <w:color w:val="auto"/>
        </w:rPr>
        <w:t>— As a result of the merger with AlleCure and CTL on December 12, 2001, as described in Note 1, goodwill of $151.4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million was recorded at the entity level in 2001. Upon adoption of FASB Statement No. 142, </w:t>
      </w:r>
      <w:r>
        <w:rPr>
          <w:rFonts w:ascii="Times New Roman" w:cs="Times New Roman" w:eastAsia="Times New Roman" w:hAnsi="Times New Roman"/>
          <w:sz w:val="16"/>
          <w:szCs w:val="16"/>
          <w:i w:val="1"/>
          <w:iCs w:val="1"/>
          <w:color w:val="auto"/>
        </w:rPr>
        <w:t>Goodwill and Other Intangible Assets</w:t>
      </w:r>
      <w:r>
        <w:rPr>
          <w:rFonts w:ascii="Times New Roman" w:cs="Times New Roman" w:eastAsia="Times New Roman" w:hAnsi="Times New Roman"/>
          <w:sz w:val="16"/>
          <w:szCs w:val="16"/>
          <w:color w:val="auto"/>
        </w:rPr>
        <w:t xml:space="preserve">, now codified as ASC 350-10 </w:t>
      </w:r>
      <w:r>
        <w:rPr>
          <w:rFonts w:ascii="Times New Roman" w:cs="Times New Roman" w:eastAsia="Times New Roman" w:hAnsi="Times New Roman"/>
          <w:sz w:val="16"/>
          <w:szCs w:val="16"/>
          <w:i w:val="1"/>
          <w:iCs w:val="1"/>
          <w:color w:val="auto"/>
        </w:rPr>
        <w:t xml:space="preserve">Intangibles- Goodwill and Other, </w:t>
      </w:r>
      <w:r>
        <w:rPr>
          <w:rFonts w:ascii="Times New Roman" w:cs="Times New Roman" w:eastAsia="Times New Roman" w:hAnsi="Times New Roman"/>
          <w:sz w:val="16"/>
          <w:szCs w:val="16"/>
          <w:color w:val="auto"/>
        </w:rPr>
        <w:t>the Company adopted a policy of testing goodwill and intangible assets with indefinite lives for impairment at least annually,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December 31, with any related impairment losses being recognized in earnings when identified. In December 2002 the Company concluded that the major AlleCure product development program should be terminated and that the clinical trials of the CTL product should be halted and returned to the research stage. As a result of this determination, the Company closed the CTL facility and reduced headcount for AlleCure and CTL by approximately 50%. In connection with the annual test for impairment of goodwill as of December 31, 2002, the Company determined that on the basis of the internal study, the goodwill recorded for the AlleCure and CTL units was potentially impaired. The Company performed the second step of the annual impairment test as of December 31, 2002 for each of the potentially impaired reporting units and estimated the fair value of the AlleCure and CTL programs using the expected present value of future cash flows which were expected to be negligible. Accordingly, the goodwill balance of $151.4 million was determined to be fully impaired and an impairment loss was recorded in 2002. Subsequent to December 31, 2002, the Company had no goodwill or intangibles with indefinite lives included on its balance sheets.</w:t>
      </w:r>
    </w:p>
    <w:p>
      <w:pPr>
        <w:spacing w:after="0" w:line="38" w:lineRule="exact"/>
        <w:rPr>
          <w:sz w:val="20"/>
          <w:szCs w:val="20"/>
          <w:color w:val="auto"/>
        </w:rPr>
      </w:pPr>
    </w:p>
    <w:p>
      <w:pPr>
        <w:ind w:right="14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recorded at cost and depreciated using the straight-line method over the estimated useful lives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assets. Leasehold improvements are amortized over the term of the lease or the service lives of the improvements, whichever is shorter. Assets under construction are not depreciated until placed into service.</w:t>
      </w:r>
    </w:p>
    <w:p>
      <w:pPr>
        <w:spacing w:after="0" w:line="46"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The Company evaluates long-lived assets for impairment whenever events or changes in circumstances indicate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carrying value of an asset may not be recoverable in accordance with ASC 360-10-35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previously FASB Statement No. 144, </w:t>
      </w:r>
      <w:r>
        <w:rPr>
          <w:rFonts w:ascii="Times New Roman" w:cs="Times New Roman" w:eastAsia="Times New Roman" w:hAnsi="Times New Roman"/>
          <w:sz w:val="18"/>
          <w:szCs w:val="18"/>
          <w:i w:val="1"/>
          <w:iCs w:val="1"/>
          <w:color w:val="auto"/>
        </w:rPr>
        <w:t xml:space="preserve">Accounting for the Impairment or Disposal of Long Lived-Assets. </w:t>
      </w:r>
      <w:r>
        <w:rPr>
          <w:rFonts w:ascii="Times New Roman" w:cs="Times New Roman" w:eastAsia="Times New Roman" w:hAnsi="Times New Roman"/>
          <w:sz w:val="18"/>
          <w:szCs w:val="18"/>
          <w:color w:val="auto"/>
        </w:rPr>
        <w:t>Assets are considered to be impaired if the carrying value may not be recoverable based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assessment of the following events or changes in circumstances:</w:t>
      </w:r>
    </w:p>
    <w:p>
      <w:pPr>
        <w:spacing w:after="0" w:line="54" w:lineRule="exact"/>
        <w:rPr>
          <w:sz w:val="20"/>
          <w:szCs w:val="20"/>
          <w:color w:val="auto"/>
        </w:rPr>
      </w:pPr>
    </w:p>
    <w:p>
      <w:pPr>
        <w:ind w:left="440" w:hanging="216"/>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Company’s strategic business objectives and utilization of the assets;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carrying value of such assets can not be recovered through undiscounted cash flows;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legal ownership or title to the assets;</w:t>
      </w:r>
    </w:p>
    <w:p>
      <w:pPr>
        <w:spacing w:after="0" w:line="90" w:lineRule="exact"/>
        <w:rPr>
          <w:rFonts w:ascii="Times New Roman" w:cs="Times New Roman" w:eastAsia="Times New Roman" w:hAnsi="Times New Roman"/>
          <w:sz w:val="18"/>
          <w:szCs w:val="18"/>
          <w:color w:val="auto"/>
        </w:rPr>
      </w:pPr>
    </w:p>
    <w:p>
      <w:pPr>
        <w:ind w:left="440" w:right="240" w:hanging="216"/>
        <w:spacing w:after="0" w:line="275"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significant negative industry or economic trends.</w:t>
      </w:r>
    </w:p>
    <w:p>
      <w:pPr>
        <w:spacing w:after="0" w:line="90" w:lineRule="exact"/>
        <w:rPr>
          <w:sz w:val="20"/>
          <w:szCs w:val="20"/>
          <w:color w:val="auto"/>
        </w:rPr>
      </w:pPr>
    </w:p>
    <w:p>
      <w:pPr>
        <w:jc w:val="both"/>
        <w:ind w:right="160" w:firstLine="228"/>
        <w:spacing w:after="0" w:line="262"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 No asset impairment was recognized during the years ended December 31, 2009, 2010 and 2011, respectively.</w:t>
      </w:r>
    </w:p>
    <w:p>
      <w:pPr>
        <w:spacing w:after="0" w:line="49" w:lineRule="exact"/>
        <w:rPr>
          <w:sz w:val="20"/>
          <w:szCs w:val="20"/>
          <w:color w:val="auto"/>
        </w:rPr>
      </w:pPr>
    </w:p>
    <w:p>
      <w:pPr>
        <w:ind w:right="280" w:firstLine="22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Accounts Payable and Accrued Expenses </w:t>
      </w:r>
      <w:r>
        <w:rPr>
          <w:rFonts w:ascii="Times New Roman" w:cs="Times New Roman" w:eastAsia="Times New Roman" w:hAnsi="Times New Roman"/>
          <w:sz w:val="18"/>
          <w:szCs w:val="18"/>
          <w:color w:val="auto"/>
        </w:rPr>
        <w:t>— All liabilities, including accounts payable and accrued expenses, are recorded consistent with the definition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and accrual accounting</w:t>
      </w:r>
      <w:r>
        <w:rPr>
          <w:rFonts w:ascii="Times New Roman" w:cs="Times New Roman" w:eastAsia="Times New Roman" w:hAnsi="Times New Roman"/>
          <w:sz w:val="18"/>
          <w:szCs w:val="18"/>
          <w:i w:val="1"/>
          <w:iCs w:val="1"/>
          <w:color w:val="auto"/>
        </w:rPr>
        <w:t>.</w:t>
      </w:r>
    </w:p>
    <w:p>
      <w:pPr>
        <w:spacing w:after="0" w:line="35" w:lineRule="exact"/>
        <w:rPr>
          <w:sz w:val="20"/>
          <w:szCs w:val="20"/>
          <w:color w:val="auto"/>
        </w:rPr>
      </w:pPr>
    </w:p>
    <w:p>
      <w:pPr>
        <w:ind w:right="40" w:firstLine="228"/>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 Provisions for federal, foreign, state, and local income taxes are calculated on pre-tax income based on current tax law and include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cumulative effect of any changes in tax rates from those used previously in determining deferred tax assets and liabilities. Deferred income tax assets and liabilities are recorded for the expected future tax consequences of temporary differences between the financial statement carrying amounts and the income tax basis of assets and liabilities. A valuation allowance is recorded to reduce net deferred income tax assets to amounts that are more likely than not to be realized (see Note 16).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8"/>
          <w:szCs w:val="18"/>
          <w:color w:val="auto"/>
        </w:rPr>
        <w:t xml:space="preserve">Income tax positions are considered for uncertainty in accordance with ASC 740-10-25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previously FASB Interpretation No. 48,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Uncertainty in Income Taxes — an interpretation of FASB Statement No. 109 </w:t>
      </w:r>
      <w:r>
        <w:rPr>
          <w:rFonts w:ascii="Times New Roman" w:cs="Times New Roman" w:eastAsia="Times New Roman" w:hAnsi="Times New Roman"/>
          <w:sz w:val="18"/>
          <w:szCs w:val="18"/>
          <w:color w:val="auto"/>
        </w:rPr>
        <w:t>(“FIN 48”). The Company believes that its income tax filing positions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deductions will be sustained on audit and does not anticipate any adjustments that will result in a material change to its financial position. Therefore, no liabilities for uncertain income tax positions have been recorded.</w:t>
      </w:r>
    </w:p>
    <w:p>
      <w:pPr>
        <w:spacing w:after="0" w:line="54" w:lineRule="exact"/>
        <w:rPr>
          <w:sz w:val="20"/>
          <w:szCs w:val="20"/>
          <w:color w:val="auto"/>
        </w:rPr>
      </w:pPr>
    </w:p>
    <w:p>
      <w:pPr>
        <w:ind w:right="120" w:firstLine="228"/>
        <w:spacing w:after="0" w:line="255" w:lineRule="auto"/>
        <w:rPr>
          <w:sz w:val="20"/>
          <w:szCs w:val="20"/>
          <w:color w:val="auto"/>
        </w:rPr>
      </w:pPr>
      <w:r>
        <w:rPr>
          <w:rFonts w:ascii="Times New Roman" w:cs="Times New Roman" w:eastAsia="Times New Roman" w:hAnsi="Times New Roman"/>
          <w:sz w:val="18"/>
          <w:szCs w:val="18"/>
          <w:color w:val="auto"/>
        </w:rPr>
        <w:t>Significant management judgment is involved in determining the provision for income taxes, deferred tax assets and liabilities and any valuation allowance recorded against net deferred tax assets. Due to uncertainties related to deferred tax assets as a result of the history of operating losses, a valuation allowance has been established against the gross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which could materially impact the Company’s financial position and results of operations.</w:t>
      </w:r>
    </w:p>
    <w:p>
      <w:pPr>
        <w:spacing w:after="0" w:line="56" w:lineRule="exact"/>
        <w:rPr>
          <w:sz w:val="20"/>
          <w:szCs w:val="20"/>
          <w:color w:val="auto"/>
        </w:rPr>
      </w:pPr>
    </w:p>
    <w:p>
      <w:pPr>
        <w:jc w:val="both"/>
        <w:ind w:right="18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Contingencies are recorded in accordance with ASC 450</w:t>
      </w:r>
      <w:r>
        <w:rPr>
          <w:rFonts w:ascii="Times New Roman" w:cs="Times New Roman" w:eastAsia="Times New Roman" w:hAnsi="Times New Roman"/>
          <w:sz w:val="18"/>
          <w:szCs w:val="18"/>
          <w:i w:val="1"/>
          <w:iCs w:val="1"/>
          <w:color w:val="auto"/>
        </w:rPr>
        <w:t xml:space="preserve"> Contingencies</w:t>
      </w:r>
      <w:r>
        <w:rPr>
          <w:rFonts w:ascii="Times New Roman" w:cs="Times New Roman" w:eastAsia="Times New Roman" w:hAnsi="Times New Roman"/>
          <w:sz w:val="18"/>
          <w:szCs w:val="18"/>
          <w:color w:val="auto"/>
        </w:rPr>
        <w:t>, previously FASB Statement No. 5,</w:t>
      </w:r>
      <w:r>
        <w:rPr>
          <w:rFonts w:ascii="Times New Roman" w:cs="Times New Roman" w:eastAsia="Times New Roman" w:hAnsi="Times New Roman"/>
          <w:sz w:val="18"/>
          <w:szCs w:val="18"/>
          <w:i w:val="1"/>
          <w:iCs w:val="1"/>
          <w:color w:val="auto"/>
        </w:rPr>
        <w:t xml:space="preserve"> Accounting for Contingencies. </w:t>
      </w:r>
      <w:r>
        <w:rPr>
          <w:rFonts w:ascii="Times New Roman" w:cs="Times New Roman" w:eastAsia="Times New Roman" w:hAnsi="Times New Roman"/>
          <w:sz w:val="18"/>
          <w:szCs w:val="18"/>
          <w:color w:val="auto"/>
        </w:rPr>
        <w:t>Accordingly, the Company records a loss contingency for a liability when it is both probable that a liability has been incurred and the amount of the loss can be reasonably estimated.</w:t>
      </w:r>
    </w:p>
    <w:p>
      <w:pPr>
        <w:spacing w:after="0" w:line="46"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As of December 31, 2011, the Company had three active stock-based compensation plans, which are described more fully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13. The Company accounts for all share-based payments to employees, including grants of stock awards and the compensatory elements of the employee stock purchase plan in accordance with ASC 718 </w:t>
      </w:r>
      <w:r>
        <w:rPr>
          <w:rFonts w:ascii="Times New Roman" w:cs="Times New Roman" w:eastAsia="Times New Roman" w:hAnsi="Times New Roman"/>
          <w:sz w:val="18"/>
          <w:szCs w:val="18"/>
          <w:i w:val="1"/>
          <w:iCs w:val="1"/>
          <w:color w:val="auto"/>
        </w:rPr>
        <w:t>Compensation- Stock Compensation</w:t>
      </w:r>
      <w:r>
        <w:rPr>
          <w:rFonts w:ascii="Times New Roman" w:cs="Times New Roman" w:eastAsia="Times New Roman" w:hAnsi="Times New Roman"/>
          <w:sz w:val="18"/>
          <w:szCs w:val="18"/>
          <w:color w:val="auto"/>
        </w:rPr>
        <w:t xml:space="preserve"> (“ASC 718”)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previously FASB Statement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ASC 718 requires all share-based payments to employees, including grants of stock options, restricted stock units, performance-based awards and the compensatory elements of employee stock purchase plans, to be recognized in the income statement based upon the fair value of the awards at the grant date.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 the date at which the performance conditions will be met in order to properly recognize stock-based compensation expense over the requisite service period.</w:t>
      </w:r>
    </w:p>
    <w:p>
      <w:pPr>
        <w:spacing w:after="0" w:line="62" w:lineRule="exact"/>
        <w:rPr>
          <w:sz w:val="20"/>
          <w:szCs w:val="20"/>
          <w:color w:val="auto"/>
        </w:rPr>
      </w:pPr>
    </w:p>
    <w:p>
      <w:pPr>
        <w:ind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Nonemployee Stock-Based Compensation </w:t>
      </w:r>
      <w:r>
        <w:rPr>
          <w:rFonts w:ascii="Times New Roman" w:cs="Times New Roman" w:eastAsia="Times New Roman" w:hAnsi="Times New Roman"/>
          <w:sz w:val="18"/>
          <w:szCs w:val="18"/>
          <w:color w:val="auto"/>
        </w:rPr>
        <w:t>— Stock-based compensation expense related to stock options granted and common stock issued to nonemployees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the stock options are earned. The Company believes that the estimated fair value of the stock options is more readily measurable than the fair value of the services received. The fair value of stock options granted to nonemployees is calculated at each grant date and remeasured at each reporting date. The stock-based compensation expense related to a grant will fluctuate as the fair value of our common stock fluctuates over the period from the grant date to the vesting date.</w:t>
      </w:r>
    </w:p>
    <w:p>
      <w:pPr>
        <w:spacing w:after="0" w:line="53"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 The Company has issued warrants to purchase shares of its common stock. Warrants have been accounted for as equity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provisions of ASC 815-40 </w:t>
      </w:r>
      <w:r>
        <w:rPr>
          <w:rFonts w:ascii="Times New Roman" w:cs="Times New Roman" w:eastAsia="Times New Roman" w:hAnsi="Times New Roman"/>
          <w:sz w:val="18"/>
          <w:szCs w:val="18"/>
          <w:i w:val="1"/>
          <w:iCs w:val="1"/>
          <w:color w:val="auto"/>
        </w:rPr>
        <w:t>Derivatives and Hedging, Contracts in an Entity’s Own Stock</w:t>
      </w:r>
      <w:r>
        <w:rPr>
          <w:rFonts w:ascii="Times New Roman" w:cs="Times New Roman" w:eastAsia="Times New Roman" w:hAnsi="Times New Roman"/>
          <w:sz w:val="18"/>
          <w:szCs w:val="18"/>
          <w:color w:val="auto"/>
        </w:rPr>
        <w:t xml:space="preserve">, previously EITF Issue No. 00-19: </w:t>
      </w:r>
      <w:r>
        <w:rPr>
          <w:rFonts w:ascii="Times New Roman" w:cs="Times New Roman" w:eastAsia="Times New Roman" w:hAnsi="Times New Roman"/>
          <w:sz w:val="18"/>
          <w:szCs w:val="18"/>
          <w:i w:val="1"/>
          <w:iCs w:val="1"/>
          <w:color w:val="auto"/>
        </w:rPr>
        <w:t>Accounting for 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Indexed to, and Potentially Settled in, a Company’s Own Stock. </w:t>
      </w:r>
      <w:r>
        <w:rPr>
          <w:rFonts w:ascii="Times New Roman" w:cs="Times New Roman" w:eastAsia="Times New Roman" w:hAnsi="Times New Roman"/>
          <w:sz w:val="18"/>
          <w:szCs w:val="18"/>
          <w:color w:val="auto"/>
        </w:rPr>
        <w:t>No warrants were outstanding as of December 31, 2010 and 2011, respectively.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19 – Subsequent events for discussion of warrants issued subsequent to December 31, 2011.</w:t>
      </w:r>
    </w:p>
    <w:p>
      <w:pPr>
        <w:spacing w:after="0" w:line="52" w:lineRule="exact"/>
        <w:rPr>
          <w:sz w:val="20"/>
          <w:szCs w:val="20"/>
          <w:color w:val="auto"/>
        </w:rPr>
      </w:pPr>
    </w:p>
    <w:p>
      <w:pPr>
        <w:ind w:right="260" w:firstLine="228"/>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Comprehensive Income (Loss) </w:t>
      </w:r>
      <w:r>
        <w:rPr>
          <w:rFonts w:ascii="Times New Roman" w:cs="Times New Roman" w:eastAsia="Times New Roman" w:hAnsi="Times New Roman"/>
          <w:sz w:val="16"/>
          <w:szCs w:val="16"/>
          <w:color w:val="auto"/>
        </w:rPr>
        <w:t>— Other comprehensive income (loss) (OCI) is recorded in accordance with ASC 220-10-45</w:t>
      </w:r>
      <w:r>
        <w:rPr>
          <w:rFonts w:ascii="Times New Roman" w:cs="Times New Roman" w:eastAsia="Times New Roman" w:hAnsi="Times New Roman"/>
          <w:sz w:val="16"/>
          <w:szCs w:val="16"/>
          <w:i w:val="1"/>
          <w:iCs w:val="1"/>
          <w:color w:val="auto"/>
        </w:rPr>
        <w:t xml:space="preserve"> Comprehensive Income, </w:t>
      </w:r>
      <w:r>
        <w:rPr>
          <w:rFonts w:ascii="Times New Roman" w:cs="Times New Roman" w:eastAsia="Times New Roman" w:hAnsi="Times New Roman"/>
          <w:sz w:val="16"/>
          <w:szCs w:val="16"/>
          <w:color w:val="auto"/>
        </w:rPr>
        <w:t xml:space="preserve">previously FASB Statement No. 130, </w:t>
      </w:r>
      <w:r>
        <w:rPr>
          <w:rFonts w:ascii="Times New Roman" w:cs="Times New Roman" w:eastAsia="Times New Roman" w:hAnsi="Times New Roman"/>
          <w:sz w:val="16"/>
          <w:szCs w:val="16"/>
          <w:i w:val="1"/>
          <w:iCs w:val="1"/>
          <w:color w:val="auto"/>
        </w:rPr>
        <w:t>Reporting Comprehensive Income,</w:t>
      </w:r>
      <w:r>
        <w:rPr>
          <w:rFonts w:ascii="Times New Roman" w:cs="Times New Roman" w:eastAsia="Times New Roman" w:hAnsi="Times New Roman"/>
          <w:sz w:val="16"/>
          <w:szCs w:val="16"/>
          <w:color w:val="auto"/>
        </w:rPr>
        <w:t xml:space="preserve"> which requires that all components of comprehensive income (loss) be reported in the financial statements in the period in which they are recognized. OCI includes certain changes in stockholders’ equity that are excluded from net income. Specifically, the Company includes in OCI unrealized gains and losses on its available-for-sale securities and cumulative translation gains and losses.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right="140" w:firstLine="228"/>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 Research and development expenses consist primarily of costs associated with the clinical trials of the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product candidates, manufacturing supplies and other development materials, including raw material purchases of insulin,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ASC 730-10 </w:t>
      </w: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xml:space="preserve">, previously FASB Statement No. 2, </w:t>
      </w:r>
      <w:r>
        <w:rPr>
          <w:rFonts w:ascii="Times New Roman" w:cs="Times New Roman" w:eastAsia="Times New Roman" w:hAnsi="Times New Roman"/>
          <w:sz w:val="16"/>
          <w:szCs w:val="16"/>
          <w:i w:val="1"/>
          <w:iCs w:val="1"/>
          <w:color w:val="auto"/>
        </w:rPr>
        <w:t>Accounting for Research and Development Costs.</w:t>
      </w:r>
    </w:p>
    <w:p>
      <w:pPr>
        <w:spacing w:after="0" w:line="23"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Clinical Trial Expenses </w:t>
      </w:r>
      <w:r>
        <w:rPr>
          <w:rFonts w:ascii="Times New Roman" w:cs="Times New Roman" w:eastAsia="Times New Roman" w:hAnsi="Times New Roman"/>
          <w:sz w:val="18"/>
          <w:szCs w:val="18"/>
          <w:color w:val="auto"/>
        </w:rPr>
        <w:t>— Clinical trial expenses, which are reflected in research and development expenses in the accompanying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 The date on which certain services commence, the level of services performed on or before a given date and the cost of the services are often judgmental.</w:t>
      </w:r>
    </w:p>
    <w:p>
      <w:pPr>
        <w:spacing w:after="0" w:line="60"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costs are expensed as incurred, except to the extent such interest is related to construction in progress, in which case interest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Interest expense, net of interest capitalized, for the years ended December 31, 2009, 2010 and 2011 was $10.4 million, $17.4 million and $21.8 million, respectively. Interest costs capitalized were not significant for the years ended December 31, 2009 and 2010 and were $0.4 million for the year ended December 31, 2011.</w:t>
      </w:r>
    </w:p>
    <w:p>
      <w:pPr>
        <w:spacing w:after="0" w:line="52" w:lineRule="exact"/>
        <w:rPr>
          <w:sz w:val="20"/>
          <w:szCs w:val="20"/>
          <w:color w:val="auto"/>
        </w:rPr>
      </w:pPr>
    </w:p>
    <w:p>
      <w:pPr>
        <w:ind w:right="220"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Loss Per Share of Common Stock </w:t>
      </w:r>
      <w:r>
        <w:rPr>
          <w:rFonts w:ascii="Times New Roman" w:cs="Times New Roman" w:eastAsia="Times New Roman" w:hAnsi="Times New Roman"/>
          <w:sz w:val="18"/>
          <w:szCs w:val="18"/>
          <w:color w:val="auto"/>
        </w:rPr>
        <w:t>— Basic net loss per share excludes dilution for potentially dilutive securities and is computed by dividing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Potentially dilutive securities outstanding are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6,403,498</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7,760,833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10,082,351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senior convertible notes into common stock</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5,117,523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19,826,113</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19,826,113</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2,882,873</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3,419,533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3,271,644</w:t>
            </w:r>
          </w:p>
        </w:tc>
        <w:tc>
          <w:tcPr>
            <w:tcW w:w="3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4,140,388</w:t>
            </w:r>
          </w:p>
        </w:tc>
      </w:tr>
    </w:tbl>
    <w:p>
      <w:pPr>
        <w:spacing w:after="0" w:line="52" w:lineRule="exact"/>
        <w:rPr>
          <w:sz w:val="20"/>
          <w:szCs w:val="20"/>
          <w:color w:val="auto"/>
        </w:rPr>
      </w:pPr>
    </w:p>
    <w:p>
      <w:pPr>
        <w:ind w:right="160"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Exit or Disposal Activities </w:t>
      </w:r>
      <w:r>
        <w:rPr>
          <w:rFonts w:ascii="Times New Roman" w:cs="Times New Roman" w:eastAsia="Times New Roman" w:hAnsi="Times New Roman"/>
          <w:sz w:val="18"/>
          <w:szCs w:val="18"/>
          <w:color w:val="auto"/>
        </w:rPr>
        <w:t>— The obligations related to exit or disposal obligations, including reductions in force, are accounted for in accordance with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420-10-30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(“ASC 420-10-30”), previously FASB Statement No. 146, </w:t>
      </w:r>
      <w:r>
        <w:rPr>
          <w:rFonts w:ascii="Times New Roman" w:cs="Times New Roman" w:eastAsia="Times New Roman" w:hAnsi="Times New Roman"/>
          <w:sz w:val="18"/>
          <w:szCs w:val="18"/>
          <w:i w:val="1"/>
          <w:iCs w:val="1"/>
          <w:color w:val="auto"/>
        </w:rPr>
        <w:t>Accounting for Costs Associated with Exit or Disposal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Activities </w:t>
      </w:r>
      <w:r>
        <w:rPr>
          <w:rFonts w:ascii="Times New Roman" w:cs="Times New Roman" w:eastAsia="Times New Roman" w:hAnsi="Times New Roman"/>
          <w:sz w:val="18"/>
          <w:szCs w:val="18"/>
          <w:color w:val="auto"/>
        </w:rPr>
        <w:t>and EITF Issue No. 94-3,</w:t>
      </w:r>
      <w:r>
        <w:rPr>
          <w:rFonts w:ascii="Times New Roman" w:cs="Times New Roman" w:eastAsia="Times New Roman" w:hAnsi="Times New Roman"/>
          <w:sz w:val="18"/>
          <w:szCs w:val="18"/>
          <w:i w:val="1"/>
          <w:iCs w:val="1"/>
          <w:color w:val="auto"/>
        </w:rPr>
        <w:t xml:space="preserve"> Liability Recognition for Certain Employee Termination Benefits and Costs to Exit and Disposal Activity (Including Certain Costs Incurred in a Restructuring). </w:t>
      </w:r>
      <w:r>
        <w:rPr>
          <w:rFonts w:ascii="Times New Roman" w:cs="Times New Roman" w:eastAsia="Times New Roman" w:hAnsi="Times New Roman"/>
          <w:sz w:val="18"/>
          <w:szCs w:val="18"/>
          <w:color w:val="auto"/>
        </w:rPr>
        <w:t>In accordance with ASC 420-10-30, a liability for costs associated with an exit or disposal activity is recognized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is incurred and establishes that fair value is the objective for initial measurements of the liability.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 </w:t>
      </w:r>
      <w:r>
        <w:rPr>
          <w:rFonts w:ascii="Times New Roman" w:cs="Times New Roman" w:eastAsia="Times New Roman" w:hAnsi="Times New Roman"/>
          <w:sz w:val="18"/>
          <w:szCs w:val="18"/>
          <w:color w:val="auto"/>
        </w:rPr>
        <w:t>In June 2011, the FASB issued Accounting Standards Update No. 2011-05 for Comprehensive Income (Topic 220):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of Comprehensive Income”. This update improves the comparability, consistency and transparency of financial reporting and increases the prominence of items reported in other comprehensive income. This update is effective for interim and annual periods beginning after December 15, 2011. The adoption of this update will have an impact on the disclosure of comprehensive income on the Company’s consolidated financial statements.</w:t>
      </w:r>
    </w:p>
    <w:p>
      <w:pPr>
        <w:spacing w:after="0" w:line="54"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In May 2011, the FASB issued Accounting Standards Update No. 2011-04 for Fair Value Measurement (Topic 820): “Amendments to Achieve Common Fair Value Measurement and Disclosure Requirements in U.S. GAAP and IFRSs”. This update addresses how to measure fair value and requires new disclosures about fair value measurements. The amendments in this update are effective for interim and annual periods beginning after December 15, 2011. The adoption of this update will have an impact on the disclosure of fair value measurements on the Company’s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in securities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is a summary of the available-for-sale securities classified as current assets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6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5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520"/>
              <w:spacing w:after="0" w:line="125" w:lineRule="exact"/>
              <w:rPr>
                <w:sz w:val="20"/>
                <w:szCs w:val="20"/>
                <w:color w:val="auto"/>
              </w:rPr>
            </w:pPr>
            <w:r>
              <w:rPr>
                <w:rFonts w:ascii="Times New Roman" w:cs="Times New Roman" w:eastAsia="Times New Roman" w:hAnsi="Times New Roman"/>
                <w:sz w:val="14"/>
                <w:szCs w:val="14"/>
                <w:b w:val="1"/>
                <w:bCs w:val="1"/>
                <w:color w:val="auto"/>
                <w:w w:val="91"/>
              </w:rPr>
              <w:t>Gross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3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Cost</w:t>
            </w:r>
          </w:p>
        </w:tc>
        <w:tc>
          <w:tcPr>
            <w:tcW w:w="24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5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Cost</w:t>
            </w:r>
          </w:p>
        </w:tc>
        <w:tc>
          <w:tcPr>
            <w:tcW w:w="24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r>
      <w:tr>
        <w:trPr>
          <w:trHeight w:val="165"/>
        </w:trPr>
        <w:tc>
          <w:tcPr>
            <w:tcW w:w="63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Basis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4"/>
              </w:rPr>
              <w:t>Gain</w:t>
            </w: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Basis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4"/>
              </w:rPr>
              <w:t>Gain</w:t>
            </w: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$4,295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$4,370</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67" w:lineRule="exact"/>
        <w:rPr>
          <w:sz w:val="20"/>
          <w:szCs w:val="20"/>
          <w:color w:val="auto"/>
        </w:rPr>
      </w:pPr>
    </w:p>
    <w:p>
      <w:pPr>
        <w:ind w:right="100" w:firstLine="228"/>
        <w:spacing w:after="0" w:line="253" w:lineRule="auto"/>
        <w:rPr>
          <w:sz w:val="20"/>
          <w:szCs w:val="20"/>
          <w:color w:val="auto"/>
        </w:rPr>
      </w:pPr>
      <w:r>
        <w:rPr>
          <w:rFonts w:ascii="Times New Roman" w:cs="Times New Roman" w:eastAsia="Times New Roman" w:hAnsi="Times New Roman"/>
          <w:sz w:val="18"/>
          <w:szCs w:val="18"/>
          <w:color w:val="auto"/>
        </w:rPr>
        <w:t>The Company’s available-for-sale securities at December 31, 2010 consist principally of $4.2 million certificates of deposit with a maturity greater than 90 days, held as collateral for foreign exchange hedging instruments, and a common stock investment. The Company’s available-for-sale securities at December 31, 2011 consist principally of a $350,000 certificate of deposit with a maturity greater than 90 days, held as collateral for commercial credit card programs, and a common stock investment. During the year ended December 31, 2010, the Company recognized a $0.6 million other-than-temporary impairment loss on its common stock investment due to the length of time and the extent to which the fair value has been less than the amortized cost basis. The Company’s policy is to maintain a highly liquid short-term investment portfolio. Proceeds from the sales and maturities of available-for-sale securities amounted to approximately $17.8 million, $2.0 million and $3.8 million for the years ended December 31, 2009, 2010 and 2011, respectively. Gross realized gains and losses for available-for-sale securities were insignificant for the years ended December 31, 2009, 2010 and 2011. Gross realized gains and losses for available-for-sale securities are recorded as other income (expense). The cost of securities sold is based on the specific identification method. Unrealized gains and losses for available-for-sale securities were a gain of $361,000 and $27,000 for the years ended December 31, 2010 and 2011, respectively. Unrealized gains and losses are included in other comprehensive income (loss).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State research and development credit exchange receivable</w:t>
      </w:r>
    </w:p>
    <w:p>
      <w:pPr>
        <w:spacing w:after="0" w:line="92" w:lineRule="exact"/>
        <w:rPr>
          <w:sz w:val="20"/>
          <w:szCs w:val="20"/>
          <w:color w:val="auto"/>
        </w:rPr>
      </w:pPr>
    </w:p>
    <w:p>
      <w:pPr>
        <w:ind w:right="160" w:firstLine="228"/>
        <w:spacing w:after="0" w:line="256" w:lineRule="auto"/>
        <w:rPr>
          <w:sz w:val="20"/>
          <w:szCs w:val="20"/>
          <w:color w:val="auto"/>
        </w:rPr>
      </w:pPr>
      <w:r>
        <w:rPr>
          <w:rFonts w:ascii="Times New Roman" w:cs="Times New Roman" w:eastAsia="Times New Roman" w:hAnsi="Times New Roman"/>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 ended December 31, 2009, 2010 and 2011, research and development expenses were offset by $1.3 million, $385,000 and $609,000, respectively, in connection with the program.</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Property and equipment consist of the following (dollar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100" w:type="dxa"/>
            <w:vAlign w:val="bottom"/>
          </w:tcPr>
          <w:p>
            <w:pPr>
              <w:spacing w:after="0"/>
              <w:rPr>
                <w:sz w:val="13"/>
                <w:szCs w:val="13"/>
                <w:color w:val="auto"/>
              </w:rPr>
            </w:pPr>
          </w:p>
        </w:tc>
        <w:tc>
          <w:tcPr>
            <w:tcW w:w="1800" w:type="dxa"/>
            <w:vAlign w:val="bottom"/>
            <w:gridSpan w:val="6"/>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040" w:type="dxa"/>
            <w:vAlign w:val="bottom"/>
            <w:gridSpan w:val="2"/>
          </w:tcPr>
          <w:p>
            <w:pPr>
              <w:jc w:val="center"/>
              <w:ind w:right="420"/>
              <w:spacing w:after="0" w:line="152"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100" w:type="dxa"/>
            <w:vAlign w:val="bottom"/>
          </w:tcPr>
          <w:p>
            <w:pPr>
              <w:spacing w:after="0"/>
              <w:rPr>
                <w:sz w:val="13"/>
                <w:szCs w:val="13"/>
                <w:color w:val="auto"/>
              </w:rPr>
            </w:pPr>
          </w:p>
        </w:tc>
        <w:tc>
          <w:tcPr>
            <w:tcW w:w="18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040" w:type="dxa"/>
            <w:vAlign w:val="bottom"/>
            <w:gridSpan w:val="2"/>
          </w:tcPr>
          <w:p>
            <w:pPr>
              <w:jc w:val="center"/>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1"/>
              </w:rPr>
              <w:t>Life</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0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54,948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113,489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114,247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73,812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283,746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284,793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(81,390)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(91,764)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202,356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193,029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Leasehold improvements are amortized over four years which is the shorter of the term of the lease or the service lives of the improvements. Depreciation and amortization expense related to property and equipment for the years ended December 31, 2009, 2010 and 2011, and the cumulative period from February 14, 1991 (date of inception) to December 31, 2011 was $18.2 million, $16.5 million, $14.6 million and $108.8 million respectively.</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 asset impairment was recognized during the years ended December 31, 2009, 2010 and 2011, respectively.</w:t>
      </w:r>
    </w:p>
    <w:p>
      <w:pPr>
        <w:spacing w:after="0" w:line="90" w:lineRule="exact"/>
        <w:rPr>
          <w:sz w:val="20"/>
          <w:szCs w:val="20"/>
          <w:color w:val="auto"/>
        </w:rPr>
      </w:pPr>
    </w:p>
    <w:p>
      <w:pPr>
        <w:ind w:right="360" w:firstLine="228"/>
        <w:spacing w:after="0" w:line="262" w:lineRule="auto"/>
        <w:rPr>
          <w:sz w:val="20"/>
          <w:szCs w:val="20"/>
          <w:color w:val="auto"/>
        </w:rPr>
      </w:pPr>
      <w:r>
        <w:rPr>
          <w:rFonts w:ascii="Times New Roman" w:cs="Times New Roman" w:eastAsia="Times New Roman" w:hAnsi="Times New Roman"/>
          <w:sz w:val="18"/>
          <w:szCs w:val="18"/>
          <w:color w:val="auto"/>
        </w:rPr>
        <w:t>In December 2009, the Company recognized a loss on disposal of approximately $12.8 million in research and development expense related to the abandonment of first-generation inhaler specific assets which would no longer be used as the Company pursued the commercialization of the next-generation device.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clinical trial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8"/>
                <w:szCs w:val="18"/>
                <w:color w:val="auto"/>
              </w:rPr>
            </w:pPr>
          </w:p>
        </w:tc>
      </w:tr>
      <w:tr>
        <w:trPr>
          <w:trHeight w:val="223"/>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14,840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20,736</w:t>
            </w: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Related-party loan arrangement</w:t>
      </w:r>
    </w:p>
    <w:p>
      <w:pPr>
        <w:spacing w:after="0" w:line="92"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 xml:space="preserve">In October 2007, the Company entered into a $350.0 million loan arrangement with its principal stockholder, pursuant to which the Company can borrow up to a total of $350.0 million.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Interest will accrue on each outstanding advance at a fixed rate equal to the one-year LIBOR rate as reported by the </w:t>
      </w:r>
      <w:r>
        <w:rPr>
          <w:rFonts w:ascii="Times New Roman" w:cs="Times New Roman" w:eastAsia="Times New Roman" w:hAnsi="Times New Roman"/>
          <w:sz w:val="18"/>
          <w:szCs w:val="18"/>
          <w:i w:val="1"/>
          <w:iCs w:val="1"/>
          <w:color w:val="auto"/>
        </w:rPr>
        <w:t>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date of such advance plus 3% per annum and will be payable quarterly in arrears. The borrowing rate was 4.7% and 4.6% at December 31, 2010 and 2011, respectively. In August 2010, the Company amended and restated the existing promissory note evidencing the loan arrangement with The Mann Group to extend the maturity date from December 31, 2011 to December 31, 2012. In January, 2012, the Company amended the note with The Mann Group to extend the maturity date of the $350.0 million loan arrangement from December 31, 2012 to March 31, 2013. The Company can continue to borrow under the amended terms of the note until June 30, 2012 (see Note 19 — Subsequent events). Under the amended and restated promissory note, The Mann Group can require the Company to prepay up to $200.0 million in advances that have been outstanding for at least 12 months. If The Mann Group exercises this right, the Company will have 90 days after The Mann Group provides written notice (or the number of days to maturity of the note if less than 90 days) to prepay such advances. In August 2010, the Company entered into a letter agreement confirming a previous commitment by The Mann Group to not require the Company to prepay amounts outstanding under the amended and restated promissory note if the prepayment would require the Company to use its working capital resources, including the proceeds from the sale of its 5.75% Senior Convertible Notes due 2015 (see Note 8).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On August 10, 2010, the Company entered into a common stock purchase agreement with The Mann Group. Under this common stock purchase agreement,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was required to issue and sell, and The Mann Group was obligated to purchase, the same number of shares of the Company’s common stock that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Seaside 88, LP (“Seaside”) purchased on each closing date under its agreement with the Company. The price of the shares that the Company sold to The Mann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under the agreement was equal to the greater of $7.15 per share (the closing bid price of the Company’s common stock on August 10, 2010)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bid price of the Company’s common stock on the trading day immediately preceding the applicable closing date. The aggregate purchase price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the Company issued and sold to The Mann Group was paid by canceling an equal amount of the outstanding principal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$350.0 million loan arrangement provided by The Mann Group. The August 2010 amendment and restatement of the Company’s promissory note issued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Mann Group in connection with the loan arrangement also provided for the cancellation of indebtedness under the note as described above and the elimination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reborrow under the note the amount of any indebtedness that was cancelled. The common stock purchase agreement with The Mann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terminated upon termination of the Seaside agreement in the quarter ended September 30, 2011.</w:t>
      </w:r>
    </w:p>
    <w:p>
      <w:pPr>
        <w:spacing w:after="0" w:line="78"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In the fourth quarter of 2010, the Company issued and sold a total of 2,100,000 shares of common stock to Seaside for net proceeds of $14.1 million in accordance with the Company’s common stock purchase agreement with Seaside. During the quarter ended March 31, 2011, the Company issued and sold a total of 1,400,000 shares of common stock to Seaside for net proceeds of $9.7 million. No additional shares of common stock were sold to Seaside under this agreement subsequent to the quarter ended March 31, 2011. As of December 31, 2011, the Company had issued and sold a total of 3,500,000 shares of common stock to Seaside for net proceeds of $23.8 million in accordance with the agreement. The agreement with Seaside terminated during the quarter ended September 30, 2011. Concurrently, with the sales to Seaside, the Company issued and sold a total of 2,100,000 and 1,400,000 shares of common stock to The Mann Group, an entity controlled by the Company’s principal stockholder, in 2010 and 2011, respectively, for a total purchase price of $16.7 million and $11.1 million, respectively, which was paid by the cancellation of outstanding principal under the Company’s amended and restated promissory note with The Mann Group.</w:t>
      </w:r>
    </w:p>
    <w:p>
      <w:pPr>
        <w:spacing w:after="0" w:line="62" w:lineRule="exact"/>
        <w:rPr>
          <w:sz w:val="20"/>
          <w:szCs w:val="20"/>
          <w:color w:val="auto"/>
        </w:rPr>
      </w:pPr>
    </w:p>
    <w:p>
      <w:pPr>
        <w:ind w:right="300" w:firstLine="228"/>
        <w:spacing w:after="0" w:line="256" w:lineRule="auto"/>
        <w:rPr>
          <w:sz w:val="20"/>
          <w:szCs w:val="20"/>
          <w:color w:val="auto"/>
        </w:rPr>
      </w:pPr>
      <w:r>
        <w:rPr>
          <w:rFonts w:ascii="Times New Roman" w:cs="Times New Roman" w:eastAsia="Times New Roman" w:hAnsi="Times New Roman"/>
          <w:sz w:val="18"/>
          <w:szCs w:val="18"/>
          <w:color w:val="auto"/>
        </w:rPr>
        <w:t>The amount outstanding under the arrangement was $235.3 million and $277.2 million at December 31, 2010 and 2011, respectively. As of December 31, 2011, the Company had accrued interest of $5.9 million related to the amount outstanding and had $45.0 million of available borrowings under the loan agreement. Interest expense on the Company’s note payable to a related party for the years ended December 31, 2009, 2010 and 2011 was $5.7 million, $10.2 million and $10.9 million, respectively. Since December 31, 2011, the Company borrowed $6.3 million under the loan agreement and $38.8 million remains available to borrow.</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80"/>
          </w:cols>
          <w:pgMar w:left="240" w:top="455" w:right="2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Senior convertible notes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Senior convertible notes consist of the following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68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Notes due 2013</w:t>
            </w: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1"/>
              </w:rPr>
              <w:t>$ 115,000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$ 115,000</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Unaccreted debt issuance expense</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(1,699)</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(1,140)</w:t>
            </w:r>
          </w:p>
        </w:tc>
      </w:tr>
      <w:tr>
        <w:trPr>
          <w:trHeight w:val="230"/>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due 2015</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$100,000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Unaccreted debt issuance expense</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(3,966)</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(3,218)</w:t>
            </w:r>
          </w:p>
        </w:tc>
      </w:tr>
      <w:tr>
        <w:trPr>
          <w:trHeight w:val="230"/>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209,335</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210,642</w:t>
            </w: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August 18, 2010, the Company completed a Rule 144A offering of $100.0 million aggregate principal amount of 5.75% Senior Convertible Notes due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2015. The Notes due 2015 are governed by the terms of an indenture dated as of August 24, 2010 (the “2015 Note Indenture”). The Notes due 2015 bear interest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rate of 5.75% per year on the principal amount, payable in cash semi-annually in arrears on February 15 and August 15 of each year, beginning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2011. As of December 31, 2010 and 2011, the Company had accrued interest of $2.0 million and $2.2 million, respectively related to the Notes due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The Notes due 2015 are general, unsecured, senior obligations of the Company and effectively rank junior in right of payment to all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secured debt, to the extent of the value of the assets securing such debt, and to the debt and all other liabilities of the Company’s subsidiaries. The maturity date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due 2015 is August 15, 2015 and payment is due in full on that date for unconverted securities. Holders of the Notes due 2015 may convert, at any time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prior to the close of business on the business day immediately preceding the stated maturity date, any outstanding principal into shares of the Company’s common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at an initial conversion rate of 147.0859 shares per $1,000 principal amount, which is equal to a conversion price of approximately $6.80 per share, subject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adjustment. Except in certain circumstances, if the Company undergoes a fundamental change: (1) the Company will pay a make-whole premium on the Notes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2015 converted in connection with a fundamental change by increasing the conversion rate on such Notes, which amount, if any, will be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price and the effective date of the fundamental change, and (2) each holder of Notes due 2015 will have the option to require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repurchase all or any portion of such holder’s Notes at a repurchase price of 100% of the principal amount of the Notes to be repurchased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unpaid interest, if any. The Company may elect to redeem some or all of the Notes due 2015 if the closing stock price has equaled 150%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conversion price for at least 20 of the 30 consecutive trading days ending on the trading day before the Company’s redemption notice. The redemption price will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equal 100% of the principal amount of the Notes due 2015 to be redeemed, plus accrued and unpaid interest, if any, to, but excluding, the redemption date, plus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payment equal to the sum of the present values of the remaining scheduled interest payments through and including August 15, 2015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accrued up to, but excluding, the redemption date). The Company will be obligated to make the make-whole payment on all the Notes due 2015 called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redemption and converted during the period from the date the Company mailed the notice of redemption to and including the redemption date. The Company may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 to make the make-whole payment in cash or shares of its common stock, subject to certain limitations. Under the terms of the 2015 Note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option can be net-share settled and the maximum number of shares that could be required to be delivered under the contract, including the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shares, is fixed and less than the number of authorized and unissued shares less the maximum number of shares that could be required to be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contract period under existing commitments. The Company performed an analysis at the time of the offering of the Notes due 2015 and each reporting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since and has concluded that the number of available authorized shares at the time of the offering and each subsequent reporting date was in excess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number of shares that could be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required to be delivered during the contract period under existing commitments, including the outstanding convertible notes, stock options, restricted stock units, warrants and other potential common stock issuances.</w:t>
      </w:r>
    </w:p>
    <w:p>
      <w:pPr>
        <w:spacing w:after="0" w:line="39" w:lineRule="exact"/>
        <w:rPr>
          <w:sz w:val="20"/>
          <w:szCs w:val="20"/>
          <w:color w:val="auto"/>
        </w:rPr>
      </w:pPr>
    </w:p>
    <w:p>
      <w:pPr>
        <w:ind w:right="260" w:firstLine="228"/>
        <w:spacing w:after="0" w:line="334" w:lineRule="auto"/>
        <w:rPr>
          <w:sz w:val="20"/>
          <w:szCs w:val="20"/>
          <w:color w:val="auto"/>
        </w:rPr>
      </w:pPr>
      <w:r>
        <w:rPr>
          <w:rFonts w:ascii="Times New Roman" w:cs="Times New Roman" w:eastAsia="Times New Roman" w:hAnsi="Times New Roman"/>
          <w:sz w:val="16"/>
          <w:szCs w:val="16"/>
          <w:color w:val="auto"/>
        </w:rPr>
        <w:t>The Company incurred approximately $4.2 million in issuance costs which are recorded as an offset to the Notes due 2015 in the accompanying condensed consolidated balance sheets. These costs are being charged to interest expense using the effective interest method over the term of the Notes due 2015.</w:t>
      </w:r>
    </w:p>
    <w:p>
      <w:pPr>
        <w:spacing w:after="0" w:line="1" w:lineRule="exact"/>
        <w:rPr>
          <w:sz w:val="20"/>
          <w:szCs w:val="20"/>
          <w:color w:val="auto"/>
        </w:rPr>
      </w:pPr>
    </w:p>
    <w:p>
      <w:pPr>
        <w:ind w:firstLine="228"/>
        <w:spacing w:after="0" w:line="285" w:lineRule="auto"/>
        <w:rPr>
          <w:sz w:val="20"/>
          <w:szCs w:val="20"/>
          <w:color w:val="auto"/>
        </w:rPr>
      </w:pPr>
      <w:r>
        <w:rPr>
          <w:rFonts w:ascii="Times New Roman" w:cs="Times New Roman" w:eastAsia="Times New Roman" w:hAnsi="Times New Roman"/>
          <w:sz w:val="16"/>
          <w:szCs w:val="16"/>
          <w:color w:val="auto"/>
        </w:rPr>
        <w:t>On December 12, 2006, the Company completed an offering of $115.0 million aggregate principal amount of 3.75% Senior Convertible Notes due 2013, including $15.0 million aggregate principal amount of the Notes due 2013 sold pursuant to the underwriters’ over-allotment option that was exercised in full. The Notes due 2013 are governed by the terms of an indenture dated as of November 1, 2006 and a First Supplemental Indenture, dated as of December 12, 2006 (the “2013 Note Indenture”). The Notes due 2013 bear interest at the rate of 3.75% per year on the principal amount, payable in cash semi-annually in arrears on June 15 and December 15 of each year, beginning June 15, 2007. The Company had accrued interest of $192,000 and $192,000 related to the Notes due 2013 for the years ended December 31, 2010 and 2011, respectively. The Notes due 2013 are general, unsecured, senior obligations of the Company and effectively rank junior in right of payment to all of the Company’s secured debt, to the extent of the value of the assets securing such debt, and to the debt and all other liabilities of the Company. The maturity date of the Notes due 2013 is December 15, 2013 and payment is due in full on that date for unconverted securities. Holders may convert, at any time prior to the close of business on the business day immediately preceding the stated maturity date, any outstanding Notes due 2013 into shares of the Company’s common stock at an initial conversion rate of 44.5002 shares per $1,000 principal amount of Notes due 2013, which is equal to a conversion price of approximately $22.47 per share, subject to adjustment. Except in certain circumstances, if the Company undergoes a fundamental change: (1) the Company will pay a make-whole premium on the Notes due 2013 converted in connection with a fundamental change by increasing the conversion rate on such Notes due 2013, which amount, if any, will be based on the Company’s common stock price and the effective date of the fundamental change, and (2) each holder of the Notes due 2013 will have the option to require the Company to repurchase all or any portion of such holder’s Notes due 2013 at a repurchase price of 100% of the principal amount of the Notes due 2013 to be repurchased plus accrued and unpaid interest, if any. Under the terms of the 2013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The Company performed an analysis at the time of the offering of the Notes due 2013 and each reporting date since and has concluded that the number of available authorized shares at the time of the offering and each subsequent reporting date was in excess of the maximum number of shares that could be required to be delivered during the contract period under existing commitments, including the outstanding convertible notes, stock options, restricted stock units, warrants and other potential common stock issuances.</w:t>
      </w:r>
    </w:p>
    <w:p>
      <w:pPr>
        <w:spacing w:after="0" w:line="200" w:lineRule="exact"/>
        <w:rPr>
          <w:sz w:val="20"/>
          <w:szCs w:val="20"/>
          <w:color w:val="auto"/>
        </w:rPr>
      </w:pPr>
    </w:p>
    <w:p>
      <w:pPr>
        <w:spacing w:after="0" w:line="268"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The Company incurred approximately $3.7 million in debt issuance costs which are recorded as an offset to the debt in the accompanying balance sheet. These costs are being charged to interest expense using the effective interest method over the term of the Notes due 2013.</w:t>
      </w:r>
    </w:p>
    <w:p>
      <w:pPr>
        <w:spacing w:after="0" w:line="39" w:lineRule="exact"/>
        <w:rPr>
          <w:sz w:val="20"/>
          <w:szCs w:val="20"/>
          <w:color w:val="auto"/>
        </w:rPr>
      </w:pPr>
    </w:p>
    <w:p>
      <w:pPr>
        <w:ind w:right="640" w:firstLine="228"/>
        <w:spacing w:after="0" w:line="275" w:lineRule="auto"/>
        <w:rPr>
          <w:sz w:val="20"/>
          <w:szCs w:val="20"/>
          <w:color w:val="auto"/>
        </w:rPr>
      </w:pPr>
      <w:r>
        <w:rPr>
          <w:rFonts w:ascii="Times New Roman" w:cs="Times New Roman" w:eastAsia="Times New Roman" w:hAnsi="Times New Roman"/>
          <w:sz w:val="18"/>
          <w:szCs w:val="18"/>
          <w:color w:val="auto"/>
        </w:rPr>
        <w:t>Accretion of debt issuance expense in connection with the Notes offerings during the years ended December 31, 2009, 2010 and 2011 were $513,000, $787,000 and $1.3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 charges</w:t>
      </w:r>
    </w:p>
    <w:p>
      <w:pPr>
        <w:spacing w:after="0" w:line="92"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On February 10, 2011, the Company announced that following receipt of the Complete Response letter from the United States Food and Drug Administration (“FDA”) regarding the new drug application (“NDA”) for AFREZZA, it implemented a restructuring to streamline operations, reduce operating expenses, extend the cash runway and focus its resources on securing the FDA’s approval of the NDA for AFREZZA. In connection with the restructuring, the Company reduced its total workforce by approximately 41% to 257 employees. The</w:t>
      </w:r>
    </w:p>
    <w:p>
      <w:pPr>
        <w:ind w:right="20"/>
        <w:spacing w:after="0" w:line="261" w:lineRule="auto"/>
        <w:rPr>
          <w:sz w:val="20"/>
          <w:szCs w:val="20"/>
          <w:color w:val="auto"/>
        </w:rPr>
      </w:pPr>
      <w:r>
        <w:rPr>
          <w:rFonts w:ascii="Times New Roman" w:cs="Times New Roman" w:eastAsia="Times New Roman" w:hAnsi="Times New Roman"/>
          <w:sz w:val="18"/>
          <w:szCs w:val="18"/>
          <w:color w:val="auto"/>
        </w:rPr>
        <w:t>Company recorded charges of approximately $6.7 million for employee severance and other related termination benefits and recognized an initial liability of $6.7 million in February, which approximated fair value.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455"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Workforce</w:t>
            </w:r>
          </w:p>
        </w:tc>
      </w:tr>
      <w:tr>
        <w:trPr>
          <w:trHeight w:val="165"/>
        </w:trPr>
        <w:tc>
          <w:tcPr>
            <w:tcW w:w="10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Reduction</w:t>
            </w:r>
          </w:p>
        </w:tc>
      </w:tr>
      <w:tr>
        <w:trPr>
          <w:trHeight w:val="210"/>
        </w:trPr>
        <w:tc>
          <w:tcPr>
            <w:tcW w:w="10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Balance, February 11, 2011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(6,189)</w:t>
            </w: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r>
      <w:tr>
        <w:trPr>
          <w:trHeight w:val="223"/>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Balance, December 31, 2011</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0"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2011, the Company adjusted the restructuring balance based on the election of certain termination benefits by a portion of the terminated employees.</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remaining restructuring balance as of December 31, 2011 consists of severance and related termination benefits for employees still to be terminated.</w:t>
      </w:r>
    </w:p>
    <w:p>
      <w:pPr>
        <w:spacing w:after="0" w:line="90" w:lineRule="exact"/>
        <w:rPr>
          <w:sz w:val="20"/>
          <w:szCs w:val="20"/>
          <w:color w:val="auto"/>
        </w:rPr>
      </w:pPr>
    </w:p>
    <w:p>
      <w:pPr>
        <w:ind w:right="560" w:firstLine="228"/>
        <w:spacing w:after="0" w:line="339" w:lineRule="auto"/>
        <w:rPr>
          <w:sz w:val="20"/>
          <w:szCs w:val="20"/>
          <w:color w:val="auto"/>
        </w:rPr>
      </w:pPr>
      <w:r>
        <w:rPr>
          <w:rFonts w:ascii="Times New Roman" w:cs="Times New Roman" w:eastAsia="Times New Roman" w:hAnsi="Times New Roman"/>
          <w:sz w:val="16"/>
          <w:szCs w:val="16"/>
          <w:color w:val="auto"/>
        </w:rPr>
        <w:t>The net $6.3 million of costs associated with the restructuring are included in “Research and development” and “General and administrative” operating expenses in the condensed consolidated statements of operations as $4.7 million and $1.6 million, respectively, for the year ended December 31, 2011.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92" w:lineRule="exact"/>
        <w:rPr>
          <w:sz w:val="20"/>
          <w:szCs w:val="20"/>
          <w:color w:val="auto"/>
        </w:rPr>
      </w:pPr>
    </w:p>
    <w:p>
      <w:pPr>
        <w:jc w:val="both"/>
        <w:ind w:right="120" w:firstLine="228"/>
        <w:spacing w:after="0" w:line="262" w:lineRule="auto"/>
        <w:rPr>
          <w:sz w:val="20"/>
          <w:szCs w:val="20"/>
          <w:color w:val="auto"/>
        </w:rPr>
      </w:pPr>
      <w:r>
        <w:rPr>
          <w:rFonts w:ascii="Times New Roman" w:cs="Times New Roman" w:eastAsia="Times New Roman" w:hAnsi="Times New Roman"/>
          <w:sz w:val="18"/>
          <w:szCs w:val="18"/>
          <w:color w:val="auto"/>
        </w:rPr>
        <w:t>The carrying amounts of financial instruments, which include cash equivalents, marketable securities and accounts payable, approximate their 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51"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or remaining maturities of 90 days or less at the time of purchase that are readily convertible into cash. As of December 31, 2010, the Company held $52.8 million of cash equivalents, consisting of money market funds, U.S. Treasury notes, and commercial paper. As of December 31, 2011 the Company held $55,000 of cash equivalents, consisting of money market funds. The fair value of these investments was determined by using quoted prices for identical investments in an active market (Level 1 in the fair value hierarchy).</w:t>
      </w:r>
    </w:p>
    <w:p>
      <w:pPr>
        <w:spacing w:after="0" w:line="136"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The Company’s marketable securities consist principally of certificates of deposit with a maturity greater than 90 days, held as collateral primarily for foreign exchange hedging instruments, and a common stock investment that are classified as available-for-sale securities. The certificates of deposit are stated at fair value based on quoted prices for similar instruments in an active market (Level 2 in the fair value hierarchy) and the common stock investment is stated at fair value based on quoted prices in an active market (Level 1 in the fair value hierarchy). As of December 31, 2010, and 2011, there were marketable securities of $4.4 million and $515,000, respectively.</w:t>
      </w:r>
    </w:p>
    <w:p>
      <w:pPr>
        <w:spacing w:after="0" w:line="58"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The senior convertible notes due 2013 had a carrying value of $113.3 million and $113.9 million, as of December 31, 2010 and 2011, respectively. The senior convertible notes due 2013 had an estimated fair value of $69.1 million and $61.0 million as of December 31, 2010, and 2011, respectively, calculated based on quoted prices in an active market. The senior convertible notes due 2015 had a carrying value of $96.0 million and $96.8 million as of December 31, 2010 and 2011, respectively. The senior convertible notes due 2015 had an estimated fair value of $134.1 million and $60.8 million as of December 31, 2010 and 2011, respectively, calculated based on model-derived valuations whose inputs are observable.</w:t>
      </w:r>
    </w:p>
    <w:p>
      <w:pPr>
        <w:spacing w:after="0" w:line="58"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As there is no current observable market for the senior convertible notes due 2015, we determined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our common stock into which the notes are convertible.</w:t>
      </w:r>
    </w:p>
    <w:p>
      <w:pPr>
        <w:spacing w:after="0" w:line="55" w:lineRule="exact"/>
        <w:rPr>
          <w:sz w:val="20"/>
          <w:szCs w:val="20"/>
          <w:color w:val="auto"/>
        </w:rPr>
      </w:pPr>
    </w:p>
    <w:p>
      <w:pPr>
        <w:jc w:val="both"/>
        <w:ind w:right="120" w:firstLine="228"/>
        <w:spacing w:after="0" w:line="262" w:lineRule="auto"/>
        <w:rPr>
          <w:sz w:val="20"/>
          <w:szCs w:val="20"/>
          <w:color w:val="auto"/>
        </w:rPr>
      </w:pPr>
      <w:r>
        <w:rPr>
          <w:rFonts w:ascii="Times New Roman" w:cs="Times New Roman" w:eastAsia="Times New Roman" w:hAnsi="Times New Roman"/>
          <w:sz w:val="18"/>
          <w:szCs w:val="18"/>
          <w:color w:val="auto"/>
        </w:rPr>
        <w:t>Derivative financial instruments are recognized as other assets or other current liabilities in the financial statements and measured at fair value. The fair value of foreign exchange hedging contracts equals the carrying value at each balance sheet date. The fair value of these contracts are determined using methodologies based 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market observable inputs (Level 2 in the fair value hierarchy), including foreign currency spot rates. The Company used derivative financial instruments to manage its exposure to foreign currency exchange risks related to quarterly purchases on insulin. The Company does not use derivative financial instruments for trading or speculative purposes, nor does it use leveraged financial instruments. Credit risk related to derivative financial instruments was considered minimal and was managed by requiring high credit standards for counterparties and through periodic settlements of positions.</w:t>
      </w:r>
    </w:p>
    <w:p>
      <w:pPr>
        <w:spacing w:after="0" w:line="55"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The Company’s derivative financial instruments are not designated as hedging instruments, and gains or losses resulting from changes in the fair value are reported in other income (expense), in the consolidated statements of operations. The Company entered into foreign exchange hedging contracts with notional amounts totaling $25.5 million and zero at December 31, 2010 and 2011, respectively. The Company recorded an unrealized loss on the foreign exchange hedging contracts of $0.2 million at December 31, 2010. The Company recorded a realized loss of $1.6 million and a realized gain of $1.3 million for the years ended December 31, 2010 and 2011, respectively, on the execution of quarterly foreign exchange hedging contracts. The Company terminated these contracts during the quarter ended March 31, 2011.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and preferred stock</w:t>
      </w:r>
    </w:p>
    <w:p>
      <w:pPr>
        <w:spacing w:after="0" w:line="90"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Private Placements </w:t>
      </w:r>
      <w:r>
        <w:rPr>
          <w:rFonts w:ascii="Times New Roman" w:cs="Times New Roman" w:eastAsia="Times New Roman" w:hAnsi="Times New Roman"/>
          <w:sz w:val="18"/>
          <w:szCs w:val="18"/>
          <w:color w:val="auto"/>
        </w:rPr>
        <w:t>— On August 5, 2005, the Company closed a $175.0 million private placement of common stock and the concurrent issuance of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purchase of additional shares of common stock to 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which became exercisable on February 1, 2006 and expired on August 5, 2010. In connection with this private placement, the Company paid $4.5 million in commissions to the placement agents and incurred $300,000 in other offering expenses which resulted in net proceeds of approximately $170.2 million.</w:t>
      </w:r>
    </w:p>
    <w:p>
      <w:pPr>
        <w:spacing w:after="0" w:line="5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Public Equity Offering </w:t>
      </w:r>
      <w:r>
        <w:rPr>
          <w:rFonts w:ascii="Times New Roman" w:cs="Times New Roman" w:eastAsia="Times New Roman" w:hAnsi="Times New Roman"/>
          <w:sz w:val="18"/>
          <w:szCs w:val="18"/>
          <w:color w:val="auto"/>
        </w:rPr>
        <w:t>— On August 5, 2009, the Company sold 8,360,000 shares of its common stock, including 960,000 shares sold pursuant to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an over-allotment option granted to the underwriters of the offering, at a public offering price of $7.35 per share. The Company’s principal stockholder purchased 1,000,000 of these shares from the underwriters at a price per share of $8.11. The sale of common stock resulted in aggregate net proceeds to the Company of approximately $59.7 million after deducting offering expenses.</w:t>
      </w:r>
    </w:p>
    <w:p>
      <w:pPr>
        <w:spacing w:after="0" w:line="52" w:lineRule="exact"/>
        <w:rPr>
          <w:sz w:val="20"/>
          <w:szCs w:val="20"/>
          <w:color w:val="auto"/>
        </w:rPr>
      </w:pPr>
    </w:p>
    <w:p>
      <w:pPr>
        <w:ind w:right="100" w:firstLine="22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—In June 2011, the Company’s stockholders approved an increase in the Company’s authorized shares of common stock from 200,000,000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250,000,000. As of December 31, 2011, 131,522,945 shares of common stock were issued and outstanding.</w:t>
      </w:r>
    </w:p>
    <w:p>
      <w:pPr>
        <w:spacing w:after="0" w:line="37"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Included in the common stock outstanding as of December 31, 2010 and 2011 are 9,000,000 shares of common stock loaned to Bank of America under a share lending agreement in connection with the offering of the $100 million aggregate principal amount of 5.75% Senior Convertible Notes due 2015 (see Note 8). Bank of America is obligated to return the borrowed shares (or, in certain circumstances, the cash value thereof) to the Company on or about the 45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58"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On August 10, 2010, the Company entered into an agreement with Seaside for the sale of up to 18,200,000 shares of common stock in increments of 700,000 shares on a bi-weekly basis with the first closing date scheduled for September 22, 2010 provided that certain conditions are met, including for a particular closing to take place, the ten-day volume weighted average trading price for the Company’s common stock immediately prior to such closing must be at least $6.50 per share. If the ten-day volume weighted average trading price for a particular closing was below $6.50 per share, then that closing did not occur and the aggregate number of shares to be purchased was reduced by 700,000 shares. The purchase price per share at each closing was equal to 92% of that 10-day volume weighted average price. During the years ended December 31, 2010 and 2011,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6"/>
          <w:szCs w:val="16"/>
          <w:color w:val="auto"/>
        </w:rPr>
        <w:t>Company issued and sold a total of 2,100,000 and 1,400,000 shares of common stock, respectively, to Seaside for net proceeds of $14.1 million and $9.7 million, respectively, in accordance with the agreement. The agreement with Seaside terminated during the quarter ended September 30, 2011. During the agreement, the Company issued and sold a total of 3,500,000 shares of common stock to Seaside for net proceeds of $23.8 million. In conjunction with the Seaside agreement, on August 10, 2010, the Company entered into a common stock purchase agreement with The Mann Group. Under this common stock purchase agreement, the Company was required to issue and sell, and The Mann Group was obligated to purchase at a price equal to the greater of $7.15 per share (the closing bid price of the Company’s common stock on August 10, 2010) and the closing bid price of common stock on the trading day immediately preceding the applicable closing date, the same number of shares of the Company’s common stock that Seaside purchased on each closing date under its agreement with the Company (see Note</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7). Concurrently with the Seaside closing, the Company issued and sold 2,100,000 and 1,400,000 shares to The Mann Group as of December 31, 2010 and 2011, respectively, for a total purchase price of $16.7 million and $11.1 million, respectively, which was paid by the cancellation of outstanding principal under the Company’s loan agreement with The Mann Group. The agreement with The Mann Group terminated during the quarter ended September 30, 2011. During the agreement, the Company issued and sold a total of 3,500,000 shares of common stock to The Mann Group that had resulted in total reduction in the note payable to related party of $27.8 million.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9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7,760,833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10,082,351</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senior convertible notes into common stock</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19,826,113</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19,826,113</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3,271,644</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4,140,388</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30,858,590</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34,048,852</w:t>
            </w:r>
          </w:p>
        </w:tc>
      </w:tr>
      <w:tr>
        <w:trPr>
          <w:trHeight w:val="20"/>
        </w:trPr>
        <w:tc>
          <w:tcPr>
            <w:tcW w:w="9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ind w:right="380" w:firstLine="22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 The Company is authorized to issue 10,000,000 shares of preferred stock. As of December 31, 2011, no shares of preferred stock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and outstanding.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common share</w:t>
      </w:r>
    </w:p>
    <w:p>
      <w:pPr>
        <w:spacing w:after="0" w:line="92" w:lineRule="exact"/>
        <w:rPr>
          <w:sz w:val="20"/>
          <w:szCs w:val="20"/>
          <w:color w:val="auto"/>
        </w:rPr>
      </w:pPr>
    </w:p>
    <w:p>
      <w:pPr>
        <w:ind w:right="20" w:firstLine="228"/>
        <w:spacing w:after="0" w:line="287" w:lineRule="auto"/>
        <w:rPr>
          <w:sz w:val="20"/>
          <w:szCs w:val="20"/>
          <w:color w:val="auto"/>
        </w:rPr>
      </w:pPr>
      <w:r>
        <w:rPr>
          <w:rFonts w:ascii="Times New Roman" w:cs="Times New Roman" w:eastAsia="Times New Roman" w:hAnsi="Times New Roman"/>
          <w:sz w:val="16"/>
          <w:szCs w:val="16"/>
          <w:color w:val="auto"/>
        </w:rPr>
        <w:t>Basic net loss per share excludes dilution for potentially dilutive securities and is computed by dividing loss applicable to common stockholders by the weighted average number of common shares outstanding during the period excluding the shares loaned under the share lending arrangement (see Note 11). As of December 31, 2010 and 2011, 9,000,000 shares of the Company’s common stock, which were loaned to a share borrower pursuant to the terms of a share lending agreement, as described in Note 11,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17,823,427, 30,858,590 shares and 34,048,852 shares of the Company’s common stock as of December 31 2009, 2010 and 2011, respectively, and exclude the 9,000,000 shares of the Company’s common stock loaned under the share lending arrangement as of December 31, 2010 and 2011.</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award plans</w:t>
      </w:r>
    </w:p>
    <w:p>
      <w:pPr>
        <w:spacing w:after="0" w:line="92"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As of December 31, 2011, the Company has three active stock-based compensation plans— the 2004 Equity Incentive Plan (the “Plan”), the 2004 Non-Employee Directors’ Stock Option Plan (the “NED Plan”), and the 2004 Employee Stock Purchase Plan (the “ESPP”). The Plan provides for the granting of stock awards including stock options and restricted stock units, to employees, directors and consultants. The NED Plan provides for the automatic, non-discretionary grant of options to the Company’s non-employee directors. There are also options outstanding to the Company’s principal stockholder at December 31, 2011 that were not granted under any plan; these options were granted during the year ended December 31, 2002, vested over four years, have an exercise price of $25.23 per share, and will expire ten years from the date of grant. The following table summarizes information about the Company’s stock-based award plans as of December 31, 2011: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64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Shares Available</w:t>
            </w:r>
          </w:p>
        </w:tc>
      </w:tr>
      <w:tr>
        <w:trPr>
          <w:trHeight w:val="149"/>
        </w:trPr>
        <w:tc>
          <w:tcPr>
            <w:tcW w:w="3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40" w:type="dxa"/>
            <w:vAlign w:val="bottom"/>
          </w:tcPr>
          <w:p>
            <w:pPr>
              <w:spacing w:after="0"/>
              <w:rPr>
                <w:sz w:val="12"/>
                <w:szCs w:val="12"/>
                <w:color w:val="auto"/>
              </w:rPr>
            </w:pPr>
          </w:p>
        </w:tc>
        <w:tc>
          <w:tcPr>
            <w:tcW w:w="8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64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r>
      <w:tr>
        <w:trPr>
          <w:trHeight w:val="165"/>
        </w:trPr>
        <w:tc>
          <w:tcPr>
            <w:tcW w:w="3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 Units</w:t>
            </w:r>
          </w:p>
        </w:tc>
        <w:tc>
          <w:tcPr>
            <w:tcW w:w="64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Future Issuance</w:t>
            </w:r>
          </w:p>
        </w:tc>
      </w:tr>
      <w:tr>
        <w:trPr>
          <w:trHeight w:val="210"/>
        </w:trPr>
        <w:tc>
          <w:tcPr>
            <w:tcW w:w="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2004</w:t>
            </w:r>
          </w:p>
        </w:tc>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9,173,880</w:t>
            </w: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4,140,388</w:t>
            </w:r>
          </w:p>
        </w:tc>
        <w:tc>
          <w:tcPr>
            <w:tcW w:w="6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5,841,141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2004</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Non-Employee Directors’ Stock Option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667,500</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outside of any plan granted to principal stockholder</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240,971</w:t>
            </w:r>
          </w:p>
        </w:tc>
        <w:tc>
          <w:tcPr>
            <w:tcW w:w="6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67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10,082,351</w:t>
            </w:r>
          </w:p>
        </w:tc>
        <w:tc>
          <w:tcPr>
            <w:tcW w:w="640" w:type="dxa"/>
            <w:vAlign w:val="bottom"/>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4"/>
              </w:rPr>
              <w:t>4,140,388</w:t>
            </w:r>
          </w:p>
        </w:tc>
        <w:tc>
          <w:tcPr>
            <w:tcW w:w="6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5,973,641</w:t>
            </w: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The Company’s board of directors determines eligibility, vesting schedules and exercise prices for stock awards granted under the Plan. The NED Plan provides for automatic, non-discretionary grant of options to the Company’s non-employee directors. Options and other stock awards under the Plan and the NED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at a rate of 25% per year over four years with consideration satisfied by service to the Company. Certain performance-based awards vest upon achieving either two or three pre-determined performance milestones which are expected to occur over periods ranging from 5 months to 84 months from the date of grant. All but one of the milestones is considered probable as of December 31, 2011. The Plan provides for full acceleration of vesting if an employee is terminated within thirteen months of a change in control, as defined in the Plan.</w:t>
      </w:r>
    </w:p>
    <w:p>
      <w:pPr>
        <w:spacing w:after="0" w:line="57"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On March 3, 2011, the Compensation Committee approved a management proposal designed to encourage employee retention. The proposal involved the issuance of restricted stock units and stock options to the majority of employees and executive officers of the Company. A total of 1,177,300 restricted stock units and 1,467,500 stock options were granted under the Plan. These units vest 50% annually for two years and will be fully vested on March 3, 2013. Stock compensation expense associated with these grants will be recorded on a straight line basis from March 3, 2011 through March 3, 2013 and will be approximately $8.2 million over the award period.</w:t>
      </w:r>
    </w:p>
    <w:p>
      <w:pPr>
        <w:spacing w:after="0" w:line="58" w:lineRule="exact"/>
        <w:rPr>
          <w:sz w:val="20"/>
          <w:szCs w:val="20"/>
          <w:color w:val="auto"/>
        </w:rPr>
      </w:pPr>
    </w:p>
    <w:p>
      <w:pPr>
        <w:ind w:right="640" w:firstLine="228"/>
        <w:spacing w:after="0" w:line="275" w:lineRule="auto"/>
        <w:rPr>
          <w:sz w:val="20"/>
          <w:szCs w:val="20"/>
          <w:color w:val="auto"/>
        </w:rPr>
      </w:pPr>
      <w:r>
        <w:rPr>
          <w:rFonts w:ascii="Times New Roman" w:cs="Times New Roman" w:eastAsia="Times New Roman" w:hAnsi="Times New Roman"/>
          <w:sz w:val="18"/>
          <w:szCs w:val="18"/>
          <w:color w:val="auto"/>
        </w:rPr>
        <w:t>On May 21, 2009 and June 2, 2011, the Company’s stockholders approved amendments to the Plan to increase the number of shares of common stock available for issuance under the plan by 5,000,000 and 6,000,000 shares, respectively.</w:t>
      </w:r>
    </w:p>
    <w:p>
      <w:pPr>
        <w:spacing w:after="0" w:line="39" w:lineRule="exact"/>
        <w:rPr>
          <w:sz w:val="20"/>
          <w:szCs w:val="20"/>
          <w:color w:val="auto"/>
        </w:rPr>
      </w:pPr>
    </w:p>
    <w:p>
      <w:pPr>
        <w:ind w:right="120" w:firstLine="228"/>
        <w:spacing w:after="0" w:line="254" w:lineRule="auto"/>
        <w:rPr>
          <w:sz w:val="20"/>
          <w:szCs w:val="20"/>
          <w:color w:val="auto"/>
        </w:rPr>
      </w:pPr>
      <w:r>
        <w:rPr>
          <w:rFonts w:ascii="Times New Roman" w:cs="Times New Roman" w:eastAsia="Times New Roman" w:hAnsi="Times New Roman"/>
          <w:sz w:val="18"/>
          <w:szCs w:val="18"/>
          <w:color w:val="auto"/>
        </w:rPr>
        <w:t>On July 9, 2008, the Company announced an Offer to Exchange Outstanding Options to Purchase Common Stock (the “Offer”) under which the Company offered eligible employees the opportunity to exchange out-of-the money stock options covering up to an aggregate of 5,417,840 shares on a grant by grant basis for a reduced number of restricted stock units. The Offer expired on August 6, 2008. Pursuant to the Offer, the Company accepted for exchange options to purchase an aggregate of 4,493,509 shares of the Company’s common stock and issued restricted stock units covering an aggregate of 2,246,781 shares of the Company’s common stock. For the restricted stock units issued pursuant to the offer, both the remaining estimated unamortized stock compensation expense related to the exchanged options of approximately $13.9 million and the estimated incremental stock compensation expense resulting from the exchange of approximately $3.7 million was amortized over the vesting period ending on August 1, 2010.</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color w:val="auto"/>
        </w:rPr>
        <w:t>In March 2004, the Company’s board of directors approved the ESPP, which became effective upon the closing of the Company’s initial public offering. Initially, the aggregate number of shares that could be sold under the plan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ESPP to exceed 10% of the total number of shares of capital stock outstanding on December 31 of the prior year. On January 1, 2009, 2010 and 2011 the ESPP share reserve was increased by 700,000, 700,000 and 700,000 shares, respectively. In November 2006, the Company’s board of directors approved a temporary decrease of 2.6 million shares to the reserve in order to make additional shares available for the Company’s December 2006 offerings. In May 2007, the reserve was reinstated after a decrease of 2.6 million shares. As of December 31, 2011, 2,184,557 shares were available for issuance under the ESPP. For the years ended December 31, 2009, 2010 and 2011 the Company sold 322,518, 287,597 and 282,816 shares, respectively, of its common stock to employees participating in the ESPP.</w:t>
      </w:r>
    </w:p>
    <w:p>
      <w:pPr>
        <w:spacing w:after="0" w:line="60" w:lineRule="exact"/>
        <w:rPr>
          <w:sz w:val="20"/>
          <w:szCs w:val="20"/>
          <w:color w:val="auto"/>
        </w:rPr>
      </w:pPr>
    </w:p>
    <w:p>
      <w:pPr>
        <w:ind w:right="80" w:firstLine="228"/>
        <w:spacing w:after="0" w:line="301" w:lineRule="auto"/>
        <w:rPr>
          <w:sz w:val="20"/>
          <w:szCs w:val="20"/>
          <w:color w:val="auto"/>
        </w:rPr>
      </w:pPr>
      <w:r>
        <w:rPr>
          <w:rFonts w:ascii="Times New Roman" w:cs="Times New Roman" w:eastAsia="Times New Roman" w:hAnsi="Times New Roman"/>
          <w:sz w:val="16"/>
          <w:szCs w:val="16"/>
          <w:color w:val="auto"/>
        </w:rPr>
        <w:t>In accordance with ASC 718, share-based payment transactions are recognized as compensation cost based on the fair value of the instrument on the date of grant. The Company accounts for non-employee stock-based compensation expense based on the estimated fair value of the options, determined using the Black-Scholes option valuation model and amortizes such expense on a straight-line basis over the service period for the entire award. These awards are subject to re-measurement until service is complete. As of December 31, 2011, there were options to purchase 143,033 shares of common stock outstanding to consultants.</w:t>
      </w:r>
    </w:p>
    <w:p>
      <w:pPr>
        <w:spacing w:after="0" w:line="22"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2009, 2010 and 2011 the Company recorded stock-based compensation expense related to its stock award plans and the ESPP of $20.2 million, $13.6 million and $11.2 million, respectively.</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accompanying statements of operations is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70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$19,653</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$13,478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Consultant-related</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20,219</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13,580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11,204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accompanying statements of operations is included in the following categories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1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7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20,219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13,580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11,204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40" w:firstLine="228"/>
        <w:spacing w:after="0" w:line="291" w:lineRule="auto"/>
        <w:rPr>
          <w:sz w:val="20"/>
          <w:szCs w:val="20"/>
          <w:color w:val="auto"/>
        </w:rPr>
      </w:pPr>
      <w:r>
        <w:rPr>
          <w:rFonts w:ascii="Times New Roman" w:cs="Times New Roman" w:eastAsia="Times New Roman" w:hAnsi="Times New Roman"/>
          <w:sz w:val="16"/>
          <w:szCs w:val="16"/>
          <w:color w:val="auto"/>
        </w:rPr>
        <w:t>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 Separate groups of employees that have similar historical exercise behavior are considered separately for valuation purposes. Previously, the expected life of the option was estimated using the “simplified” method as provided in ASC 718, previously SEC Staff Accounting Bulletin No. 107. Under this method, the expected life equals the arithmetic average of the vesting term and the original contractual term of the options. The Company has used the simplified method as it did not have sufficient historical exercise data to provide a reasonable basis upon which to estimate an expected term. The Company estimates volatility using the historical</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volatility of its stock.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for the years ended December 31, 2009, 2010 and 2011 using the following assumptions: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8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—3.07%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 —3.14%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—2.43%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 — 6.1 years</w:t>
            </w:r>
          </w:p>
        </w:tc>
        <w:tc>
          <w:tcPr>
            <w:tcW w:w="40" w:type="dxa"/>
            <w:vAlign w:val="bottom"/>
          </w:tcPr>
          <w:p>
            <w:pPr>
              <w:spacing w:after="0"/>
              <w:rPr>
                <w:sz w:val="18"/>
                <w:szCs w:val="18"/>
                <w:color w:val="auto"/>
              </w:rPr>
            </w:pPr>
          </w:p>
        </w:tc>
        <w:tc>
          <w:tcPr>
            <w:tcW w:w="15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2.6 — 6.1 years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1.1 — 6.1 years</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 — 80%</w:t>
            </w:r>
          </w:p>
        </w:tc>
        <w:tc>
          <w:tcPr>
            <w:tcW w:w="4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 — 102%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 — 83%</w:t>
            </w:r>
          </w:p>
        </w:tc>
      </w:tr>
      <w:tr>
        <w:trPr>
          <w:trHeight w:val="22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6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9"/>
        </w:trPr>
        <w:tc>
          <w:tcPr>
            <w:tcW w:w="6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380" w:type="dxa"/>
            <w:vAlign w:val="bottom"/>
          </w:tcPr>
          <w:p>
            <w:pPr>
              <w:spacing w:after="0"/>
              <w:rPr>
                <w:sz w:val="12"/>
                <w:szCs w:val="12"/>
                <w:color w:val="auto"/>
              </w:rPr>
            </w:pPr>
          </w:p>
        </w:tc>
        <w:tc>
          <w:tcPr>
            <w:tcW w:w="5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540" w:type="dxa"/>
            <w:vAlign w:val="bottom"/>
          </w:tcPr>
          <w:p>
            <w:pPr>
              <w:spacing w:after="0"/>
              <w:rPr>
                <w:sz w:val="12"/>
                <w:szCs w:val="12"/>
                <w:color w:val="auto"/>
              </w:rPr>
            </w:pPr>
          </w:p>
        </w:tc>
        <w:tc>
          <w:tcPr>
            <w:tcW w:w="8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49"/>
        </w:trPr>
        <w:tc>
          <w:tcPr>
            <w:tcW w:w="6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Intrinsic</w:t>
            </w:r>
          </w:p>
        </w:tc>
      </w:tr>
      <w:tr>
        <w:trPr>
          <w:trHeight w:val="165"/>
        </w:trPr>
        <w:tc>
          <w:tcPr>
            <w:tcW w:w="6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per Share</w:t>
            </w:r>
          </w:p>
        </w:tc>
        <w:tc>
          <w:tcPr>
            <w:tcW w:w="5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2011</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7,760,833</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3,538,100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(213,845)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(623,369)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(379,368)</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2011</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10,082,351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or expected to vest at December 31, 2011</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7,334,208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r>
      <w:tr>
        <w:trPr>
          <w:trHeight w:val="22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2011</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4,557,227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r>
    </w:tbl>
    <w:p>
      <w:pPr>
        <w:spacing w:after="0" w:line="54" w:lineRule="exact"/>
        <w:rPr>
          <w:sz w:val="20"/>
          <w:szCs w:val="20"/>
          <w:color w:val="auto"/>
        </w:rPr>
      </w:pPr>
    </w:p>
    <w:p>
      <w:pPr>
        <w:ind w:right="220" w:firstLine="228"/>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the stock options granted during the years ended December 31, 2009, 2010 and 2011 was $5.15, $4.06, and $2.04 per option, respectively. The total intrinsic value of options exercised during the years ended December 31, 2009, 2010 and 2011 was $389,000, $1.6 million and $443,000, respectively. Intrinsic value is measured using the fair market value at the date of exercise (for options exercised) or at December 31 (for outstanding options), less the applicable exercise price.</w:t>
      </w:r>
    </w:p>
    <w:p>
      <w:pPr>
        <w:spacing w:after="0" w:line="55"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Cash received from the exercise of options during the years ended December 31, 2009, 2010 and 2011 was approximately $383,000, $924,000 and $625,000, respectively. The weighted-average remaining contractual terms for options outstanding, vested or expected to vest, and exercisable at December 31, 2011 was 7.6 years, 7.1 years and 6.0 years, respectively.</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restricted stock unit activity for the year ended December 31, 2011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Weighted</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2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165"/>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per Share</w:t>
            </w:r>
          </w:p>
        </w:tc>
      </w:tr>
      <w:tr>
        <w:trPr>
          <w:trHeight w:val="210"/>
        </w:trPr>
        <w:tc>
          <w:tcPr>
            <w:tcW w:w="20" w:type="dxa"/>
            <w:vAlign w:val="bottom"/>
          </w:tcPr>
          <w:p>
            <w:pPr>
              <w:spacing w:after="0"/>
              <w:rPr>
                <w:sz w:val="18"/>
                <w:szCs w:val="18"/>
                <w:color w:val="auto"/>
              </w:rPr>
            </w:pPr>
          </w:p>
        </w:tc>
        <w:tc>
          <w:tcPr>
            <w:tcW w:w="9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3,270,144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2,516,290</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(626,278)</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(1,019,768)</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4,140,388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420" w:firstLine="228"/>
        <w:spacing w:after="0" w:line="262" w:lineRule="auto"/>
        <w:rPr>
          <w:sz w:val="20"/>
          <w:szCs w:val="20"/>
          <w:color w:val="auto"/>
        </w:rPr>
      </w:pPr>
      <w:r>
        <w:rPr>
          <w:rFonts w:ascii="Times New Roman" w:cs="Times New Roman" w:eastAsia="Times New Roman" w:hAnsi="Times New Roman"/>
          <w:sz w:val="18"/>
          <w:szCs w:val="18"/>
          <w:color w:val="auto"/>
        </w:rPr>
        <w:t>The total restricted stock units expected to vest as of December 31, 2011 was 3,762,752 with a weighted average grant date fair value of $4.47. The total intrinsic value of restricted stock units expected to vest as of December 31, 2011 was $9.4 million. Intrinsic value of restricted stock units expected to vest is measured using the closing share price at December 31, 2011.</w:t>
      </w:r>
    </w:p>
    <w:p>
      <w:pPr>
        <w:spacing w:after="0" w:line="51" w:lineRule="exact"/>
        <w:rPr>
          <w:sz w:val="20"/>
          <w:szCs w:val="20"/>
          <w:color w:val="auto"/>
        </w:rPr>
      </w:pPr>
    </w:p>
    <w:p>
      <w:pPr>
        <w:jc w:val="both"/>
        <w:ind w:right="420" w:firstLine="228"/>
        <w:spacing w:after="0" w:line="275" w:lineRule="auto"/>
        <w:rPr>
          <w:sz w:val="20"/>
          <w:szCs w:val="20"/>
          <w:color w:val="auto"/>
        </w:rPr>
      </w:pPr>
      <w:r>
        <w:rPr>
          <w:rFonts w:ascii="Times New Roman" w:cs="Times New Roman" w:eastAsia="Times New Roman" w:hAnsi="Times New Roman"/>
          <w:sz w:val="18"/>
          <w:szCs w:val="18"/>
          <w:color w:val="auto"/>
        </w:rPr>
        <w:t>Total intrinsic value of restricted stock units vested during the years ended December 31, 2009, 2010 and 2011 was $23.6 million, $10.5 million and $1.7 million, respectively. Intrinsic value of restricted stock units vested is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measured using the closing share price on the day prior to the vest date. The total fair value of restricted stock units vested during the years ended December 31, 2009, 2010 and 2011 was $27.6 million, $11.4 million and $1.6 million, respectively.</w:t>
      </w:r>
    </w:p>
    <w:p>
      <w:pPr>
        <w:spacing w:after="0" w:line="39" w:lineRule="exact"/>
        <w:rPr>
          <w:sz w:val="20"/>
          <w:szCs w:val="20"/>
          <w:color w:val="auto"/>
        </w:rPr>
      </w:pPr>
    </w:p>
    <w:p>
      <w:pPr>
        <w:ind w:right="80" w:firstLine="228"/>
        <w:spacing w:after="0" w:line="310" w:lineRule="auto"/>
        <w:rPr>
          <w:sz w:val="20"/>
          <w:szCs w:val="20"/>
          <w:color w:val="auto"/>
        </w:rPr>
      </w:pPr>
      <w:r>
        <w:rPr>
          <w:rFonts w:ascii="Times New Roman" w:cs="Times New Roman" w:eastAsia="Times New Roman" w:hAnsi="Times New Roman"/>
          <w:sz w:val="16"/>
          <w:szCs w:val="16"/>
          <w:color w:val="auto"/>
        </w:rPr>
        <w:t>As of December 31, 2011, there was $12.5 million and $11.6 million of unrecognized compensation expense related to options and restricted stock units, respectively, which is expected to be recognized over the weighted average vesting period of 2.4 years. As of December 31, 2011, there was $368,000 and $3.9M of unrecognized expense related to performance options and restricted stock units, respectively, for milestones not considered probable as of the reporting date.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90" w:lineRule="exact"/>
        <w:rPr>
          <w:sz w:val="20"/>
          <w:szCs w:val="20"/>
          <w:color w:val="auto"/>
        </w:rPr>
      </w:pPr>
    </w:p>
    <w:p>
      <w:pPr>
        <w:ind w:right="120" w:firstLine="22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The Company leases certain facilities and equipment under various operating leases, which expire at various dates through 2013.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rental payments required under operating leases are as follows at December 31, 2011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494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4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200" w:firstLine="228"/>
        <w:spacing w:after="0" w:line="275" w:lineRule="auto"/>
        <w:rPr>
          <w:sz w:val="20"/>
          <w:szCs w:val="20"/>
          <w:color w:val="auto"/>
        </w:rPr>
      </w:pPr>
      <w:r>
        <w:rPr>
          <w:rFonts w:ascii="Times New Roman" w:cs="Times New Roman" w:eastAsia="Times New Roman" w:hAnsi="Times New Roman"/>
          <w:sz w:val="18"/>
          <w:szCs w:val="18"/>
          <w:color w:val="auto"/>
        </w:rPr>
        <w:t>Rent expense under all operating leases for the years ended December 31, 2009, 2010 and 2011 was approximately $2.1 million, $1.2 million and $766,000, respectively.</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Capital Leases </w:t>
      </w:r>
      <w:r>
        <w:rPr>
          <w:rFonts w:ascii="Times New Roman" w:cs="Times New Roman" w:eastAsia="Times New Roman" w:hAnsi="Times New Roman"/>
          <w:sz w:val="18"/>
          <w:szCs w:val="18"/>
          <w:color w:val="auto"/>
        </w:rPr>
        <w:t>— The Company’s capital leases were not material for the years ended December 31, 2009, 2010 and 2011.</w:t>
      </w:r>
    </w:p>
    <w:p>
      <w:pPr>
        <w:spacing w:after="0" w:line="90" w:lineRule="exact"/>
        <w:rPr>
          <w:sz w:val="20"/>
          <w:szCs w:val="20"/>
          <w:color w:val="auto"/>
        </w:rPr>
      </w:pPr>
    </w:p>
    <w:p>
      <w:pPr>
        <w:ind w:right="40" w:firstLine="228"/>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Supply Agreement — </w:t>
      </w:r>
      <w:r>
        <w:rPr>
          <w:rFonts w:ascii="Times New Roman" w:cs="Times New Roman" w:eastAsia="Times New Roman" w:hAnsi="Times New Roman"/>
          <w:sz w:val="16"/>
          <w:szCs w:val="16"/>
          <w:color w:val="auto"/>
        </w:rPr>
        <w:t>In November 2007, the Company entered into a long-term supply agreement (the “Supply Agreement”) with N.V. Organon (“Organon”),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now a subsidiary of Merck &amp; Co., Inc., pursuant to which Organon manufactured and supplied specified quantities of recombinant human insulin to the Company. In June 2011, the Company entered into a letter agreement (the “Letter Agreement”) with Organon to settle a dispute that arose between the Company and Organon in connection with the termination by the Company of the Supply Agreement. Under the terms of the Letter Agreement, the Company paid Organon an aggregate of $16.0 million in two installments, each of which was paid after the Company received certain quantities of recombinant human insulin manufactured and supplied by Organon. The Letter Agreement is in full and final settlement of, and the Company and Organon agreed to release each other from, any and all actions and claims that the Company and Organon had or may have against each other in connection with the dispute regarding the Supply Agreement and related matters. The Company has concluded that the Letter Agreement represents a multiple element arrangement consisting of two elements representing the purchase of insulin and a contract cancellation fee. The Company has allocated the $16.0 million settlement in the following manner: first to the fair value of the insulin received, which was recorded as expense of $8.4 million and the remaining $7.6 million to the contract cancellation fee. These charges were recorded to “Research and development” operating expenses in the consolidated statements of operations.</w:t>
      </w:r>
    </w:p>
    <w:p>
      <w:pPr>
        <w:spacing w:after="0" w:line="250"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6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involved in various legal proceedings and other matters. In accordance with ASC 450</w:t>
      </w:r>
      <w:r>
        <w:rPr>
          <w:rFonts w:ascii="Times New Roman" w:cs="Times New Roman" w:eastAsia="Times New Roman" w:hAnsi="Times New Roman"/>
          <w:sz w:val="18"/>
          <w:szCs w:val="18"/>
          <w:i w:val="1"/>
          <w:iCs w:val="1"/>
          <w:color w:val="auto"/>
        </w:rPr>
        <w:t xml:space="preserve"> Contingencies</w:t>
      </w:r>
      <w:r>
        <w:rPr>
          <w:rFonts w:ascii="Times New Roman" w:cs="Times New Roman" w:eastAsia="Times New Roman" w:hAnsi="Times New Roman"/>
          <w:sz w:val="18"/>
          <w:szCs w:val="18"/>
          <w:color w:val="auto"/>
        </w:rPr>
        <w:t>, previously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No.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the Company would record a provision for a liability when it is both probable that a liability has been incurred and the amount of the loss can be reasonably estimated.</w:t>
      </w:r>
    </w:p>
    <w:p>
      <w:pPr>
        <w:spacing w:after="0" w:line="48"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On December 13, 2011, the Company announced that the Company reached a final resolution of the arbitration proceedings initiated by John Arditi, a former Senior Director — GCP — Regulatory Affairs of the Company. In connection with the resolution of the matter, Mr. Arditi withdrew his wrongful discharge and related claims against the Company. In return, the Company withdrew claims against Mr. Arditi. Neither party paid any monetary consideration to the other party in connection with the resolution of the arbitration proceedings.</w:t>
      </w:r>
    </w:p>
    <w:p>
      <w:pPr>
        <w:spacing w:after="0" w:line="55"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Following the receipt of the Complete Response letter from the FDA regarding the NDA for AFREZZA in January 2011 and the subsequent decline of the price of the Company’s common stock, several complaints were filed in the U.S. District Court for the Central District of California against the Company and certain of its officers and directors on behalf of certain purchasers of the Company’s common stock. The complaints include claims asserted under Sections 10(b) and 20(a) of the Exchange Act and have been brought as purported shareholder class actions. In general, the complaints allege that the Company and certain of its officers and directors violated federal securities laws by making materially false and misleading statements regarding the Company’s business and prospects for AFREZZA, thereby artificially inflating the price of its common stock. The plaintiffs are seeking unspecified monetary damages and other relief. The Company plans to vigorously defend against the claims advanced.</w:t>
      </w:r>
    </w:p>
    <w:p>
      <w:pPr>
        <w:spacing w:after="0" w:line="60" w:lineRule="exact"/>
        <w:rPr>
          <w:sz w:val="20"/>
          <w:szCs w:val="20"/>
          <w:color w:val="auto"/>
        </w:rPr>
      </w:pPr>
    </w:p>
    <w:p>
      <w:pPr>
        <w:ind w:right="40" w:firstLine="228"/>
        <w:spacing w:after="0" w:line="287" w:lineRule="auto"/>
        <w:rPr>
          <w:sz w:val="20"/>
          <w:szCs w:val="20"/>
          <w:color w:val="auto"/>
        </w:rPr>
      </w:pPr>
      <w:r>
        <w:rPr>
          <w:rFonts w:ascii="Times New Roman" w:cs="Times New Roman" w:eastAsia="Times New Roman" w:hAnsi="Times New Roman"/>
          <w:sz w:val="16"/>
          <w:szCs w:val="16"/>
          <w:color w:val="auto"/>
        </w:rPr>
        <w:t>Following the receipt of the Complete Response letter from the FDA regarding the NDA for AFREZZA in January 2011 and the subsequent decline of the price of the Company’s common stock, several complaints were filed in the U.S. District Court for the Central District of California against the Company and certain of its officers and directors on behalf of certain purchasers of the Company’s common stock. The complaints include claims asserted under Sections 10(b) and 20(a) of the Securities Exchange Act 1934, as amended, and have been brought as purported shareholder class actions. In general, the complaints allege that the Company and certain of its officers and directors violated federal securities laws by making materially false and misleading statements regarding the Company’s business and prospects for AFREZZA, thereby artificially inflating the price of its common stock. The plaintiffs are seeking unspecified monetary damages and other relief. The complaints have been transferred to a single court and consolidated for all purposes. The court has appointed a lead plaintiff and lead counsel and a consolidated complaint was filed on June 27, 2011. On August 12, 2011, we filed a motion to dismiss the consolidated complaint. On December 16, 2011, the court denied both motions. On January 27, 2012, defendants filed a motion to stay the action and certify the court’s December 16 order for interlocutory appeal, or in the alternative to reconsider. On March 2, 2012, the court denied both motions. Discovery has commenced, and the Company plans to continue vigorously defending against the claims advanced. The parties have also agreed to mediation, which is set for April 30, 2012. Based on the early stage of the claim and evaluation of the facts available at this time, the amount or range of reasonably possible losses to which the Company is exposed cannot be estimated and the ultimate resolution of this matter and the associated financial impact to the Company, if any, remains uncertain at this time.</w:t>
      </w:r>
    </w:p>
    <w:p>
      <w:pPr>
        <w:spacing w:after="0" w:line="250"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Starting in February 2011, shareholder derivative complaints were filed in the Superior Court of California for the County of Los Angeles and in the U.S. District Court for the Central District of California against the Company’s directors and certain of its officers. The complaints in the shareholder derivative actions allege breaches of fiduciary duties by the defendants and other violations of law. In general, the complaints allege that the Company’s directors and certain of its officers caused or allowed for the dissemination of materially false and misleading statements regarding the Company’s business and prospects for AFREZZA, thereby artificially inflating the price of its common stock. The plaintiffs are seeking unspecified monetary damages and other relief, including reforms to the Company’s corporate governance and internal procedures.</w:t>
      </w:r>
    </w:p>
    <w:p>
      <w:pPr>
        <w:spacing w:after="0" w:line="58" w:lineRule="exact"/>
        <w:rPr>
          <w:sz w:val="20"/>
          <w:szCs w:val="20"/>
          <w:color w:val="auto"/>
        </w:rPr>
      </w:pPr>
    </w:p>
    <w:p>
      <w:pPr>
        <w:ind w:firstLine="228"/>
        <w:spacing w:after="0" w:line="339" w:lineRule="auto"/>
        <w:rPr>
          <w:sz w:val="20"/>
          <w:szCs w:val="20"/>
          <w:color w:val="auto"/>
        </w:rPr>
      </w:pPr>
      <w:r>
        <w:rPr>
          <w:rFonts w:ascii="Times New Roman" w:cs="Times New Roman" w:eastAsia="Times New Roman" w:hAnsi="Times New Roman"/>
          <w:sz w:val="16"/>
          <w:szCs w:val="16"/>
          <w:color w:val="auto"/>
        </w:rPr>
        <w:t>The Superior Court of California for the County of Los Angeles has consolidated the actions pending before it and appointed lead counsel. The Superior Court of California for the County of Los Angeles has stayed the litigation until September 5, 2012, consistent with the parties’ stipulation. A status conference is set for</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September 5, 2012. Based on the early stage of the claim and evaluation of the facts available at this time, the amount or range of reasonably possible losses to which the Company is exposed cannot be estimated and the ultimate resolution of this matter and the associated financial impact to the Company, if any, remains uncertain at this time.</w:t>
      </w:r>
    </w:p>
    <w:p>
      <w:pPr>
        <w:spacing w:after="0" w:line="51" w:lineRule="exact"/>
        <w:rPr>
          <w:sz w:val="20"/>
          <w:szCs w:val="20"/>
          <w:color w:val="auto"/>
        </w:rPr>
      </w:pPr>
    </w:p>
    <w:p>
      <w:pPr>
        <w:ind w:right="80" w:firstLine="228"/>
        <w:spacing w:after="0" w:line="253" w:lineRule="auto"/>
        <w:rPr>
          <w:sz w:val="20"/>
          <w:szCs w:val="20"/>
          <w:color w:val="auto"/>
        </w:rPr>
      </w:pPr>
      <w:r>
        <w:rPr>
          <w:rFonts w:ascii="Times New Roman" w:cs="Times New Roman" w:eastAsia="Times New Roman" w:hAnsi="Times New Roman"/>
          <w:sz w:val="18"/>
          <w:szCs w:val="18"/>
          <w:color w:val="auto"/>
        </w:rPr>
        <w:t>Likewise, the U.S. District Court for the Central District of California has consolidated the actions pending before it. The U.S. District Court for the Central District of California has also appointed lead plaintiffs and lead counsel and a consolidated complaint was filed on August 12, 2011. On September 26, 2011, the Company and the individual defendants filed a motion to dismiss the consolidated complaint, and the parties subsequently stipulated to stay the litigation. That stay expired on January 10, 2012, and on January 20, 2012, the Court issued a minute order setting a briefing schedule regarding the defendants’ motion to dismiss. Plaintiff opposed the motion on February 6, and defendants filed a reply on February 13. On February 14, 2012, the Court granted defendants’ motion to dismiss without prejudice. Plaintiff filed an amended complaint on March 5, 2012. The Court has stayed the litigation pending the outcome of mediation, consistent with the parties’ stipulation. Based on the early stage of the claim and evaluation of the facts available at this time, the amount or range of reasonably possible losses to which the Company is exposed cannot be estimated and the ultimate resolution of this matter and the associated financial impact to the Company, if any, remains uncertain at this time.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92"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The Company administers a 401(k) Savings Retirement Plan (the “MannKind Retirement Plan”) for its employees. For the years ended December 31, 2009, 2010 and 2011, the Company contributed $824,000, $752,000 and $777,000 respectively, to the MannKind Retirement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92"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2010 and 2011 are approximately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508,272</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557,427</w:t>
            </w:r>
          </w:p>
        </w:tc>
      </w:tr>
      <w:tr>
        <w:trPr>
          <w:trHeight w:val="216"/>
        </w:trPr>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59,848</w:t>
            </w:r>
          </w:p>
        </w:tc>
      </w:tr>
      <w:tr>
        <w:trPr>
          <w:trHeight w:val="216"/>
        </w:trPr>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32,440</w:t>
            </w:r>
          </w:p>
        </w:tc>
      </w:tr>
      <w:tr>
        <w:trPr>
          <w:trHeight w:val="216"/>
        </w:trPr>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2,827</w:t>
            </w:r>
          </w:p>
        </w:tc>
      </w:tr>
      <w:tr>
        <w:trPr>
          <w:trHeight w:val="216"/>
        </w:trPr>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Non-qualified stock option expense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27,964</w:t>
            </w:r>
          </w:p>
        </w:tc>
      </w:tr>
      <w:tr>
        <w:trPr>
          <w:trHeight w:val="216"/>
        </w:trPr>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8,906</w:t>
            </w:r>
          </w:p>
        </w:tc>
      </w:tr>
      <w:tr>
        <w:trPr>
          <w:trHeight w:val="223"/>
        </w:trPr>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689,412</w:t>
            </w:r>
          </w:p>
        </w:tc>
        <w:tc>
          <w:tcPr>
            <w:tcW w:w="100" w:type="dxa"/>
            <w:vAlign w:val="bottom"/>
          </w:tcPr>
          <w:p>
            <w:pPr>
              <w:spacing w:after="0"/>
              <w:rPr>
                <w:sz w:val="19"/>
                <w:szCs w:val="19"/>
                <w:color w:val="auto"/>
              </w:rPr>
            </w:pPr>
          </w:p>
        </w:tc>
      </w:tr>
      <w:tr>
        <w:trPr>
          <w:trHeight w:val="217"/>
        </w:trPr>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(632,186)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(689,412)</w:t>
            </w: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The Company’s net deferred tax assets as of December 31, 2010, consist of $655.0 million of gross deferred tax assets and $22.8 million of gross deferred tax liabilities. The Company’s net deferred tax assets as of December 31, 2011, consist of $718.2 million of gross deferred tax assets and $28.8 million of gross deferred tax liabilities.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effective income tax rate differs from the statutory federal income tax rate as follows for the years ended December 31, 2009, 2010 and 2011: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benefit rate</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 net of federal benefit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transfer of intellectual property</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12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vMerge w:val="continue"/>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vMerge w:val="continue"/>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right="320" w:firstLine="228"/>
        <w:spacing w:after="0" w:line="297" w:lineRule="auto"/>
        <w:rPr>
          <w:sz w:val="20"/>
          <w:szCs w:val="20"/>
          <w:color w:val="auto"/>
        </w:rPr>
      </w:pPr>
      <w:r>
        <w:rPr>
          <w:rFonts w:ascii="Times New Roman" w:cs="Times New Roman" w:eastAsia="Times New Roman" w:hAnsi="Times New Roman"/>
          <w:sz w:val="16"/>
          <w:szCs w:val="16"/>
          <w:color w:val="auto"/>
        </w:rPr>
        <w:t xml:space="preserve">As required by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(“ASC 740”), formerly FASB Statement No. 109 </w:t>
      </w:r>
      <w:r>
        <w:rPr>
          <w:rFonts w:ascii="Times New Roman" w:cs="Times New Roman" w:eastAsia="Times New Roman" w:hAnsi="Times New Roman"/>
          <w:sz w:val="16"/>
          <w:szCs w:val="16"/>
          <w:i w:val="1"/>
          <w:iCs w:val="1"/>
          <w:color w:val="auto"/>
        </w:rPr>
        <w:t>Accounting for Income Taxes,</w:t>
      </w:r>
      <w:r>
        <w:rPr>
          <w:rFonts w:ascii="Times New Roman" w:cs="Times New Roman" w:eastAsia="Times New Roman" w:hAnsi="Times New Roman"/>
          <w:sz w:val="16"/>
          <w:szCs w:val="16"/>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 Management reevaluates the positive and negative evidence on an annual basis. During the years ended December 31, 2009, 2010 and 2011, the change in the valuation allowance was $50.2 million, $56.5 million and $57.2 million, respectively, for income taxes.</w:t>
      </w:r>
    </w:p>
    <w:p>
      <w:pPr>
        <w:spacing w:after="0" w:line="25"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At December 31, 2011, the Company had federal and state net operating loss carryforwards of approximately $1.4 billion and $976.0 million available, respectively, to reduce future taxable income and which will expire at various dates beginning in 2012 and 2013, respectively. As a result of the Company’s initial public offering, an ownership change within the meaning of Internal Revenue Code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 any such limitation as there have been no ownership changes since August 2004 within the meaning of Internal Revenue Code Section 382. At December 31, 2011, the Company had research and development credits of $70.9 million that expire at various dates through 2032.</w:t>
      </w:r>
    </w:p>
    <w:p>
      <w:pPr>
        <w:spacing w:after="0" w:line="55" w:lineRule="exact"/>
        <w:rPr>
          <w:sz w:val="20"/>
          <w:szCs w:val="20"/>
          <w:color w:val="auto"/>
        </w:rPr>
      </w:pPr>
    </w:p>
    <w:p>
      <w:pPr>
        <w:ind w:right="60" w:firstLine="228"/>
        <w:spacing w:after="0" w:line="252" w:lineRule="auto"/>
        <w:rPr>
          <w:sz w:val="20"/>
          <w:szCs w:val="20"/>
          <w:color w:val="auto"/>
        </w:rPr>
      </w:pPr>
      <w:r>
        <w:rPr>
          <w:rFonts w:ascii="Times New Roman" w:cs="Times New Roman" w:eastAsia="Times New Roman" w:hAnsi="Times New Roman"/>
          <w:sz w:val="18"/>
          <w:szCs w:val="18"/>
          <w:color w:val="auto"/>
        </w:rPr>
        <w:t xml:space="preserve">The Company has evaluated the impact of ASC 740, previously FIN 48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on its financial statements, which was effective beginning January 1, 2007. The evaluation of a tax position in accordance with this guidance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Tax years since 1993 remain subject to examination by the major tax jurisdictions in which the Company is subject to tax.</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92"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On October 2, 2007, the Company entered into a loan arrangement with its principal stockholder to borrow up to a total of $350.0 million.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On August 10, 2010, the Company amended and restated the promissory note to extend the maturity date from December 31, 2011 to December 31, 2012, to provide for the cancellation of indebtedness under the note as described below, to provide that The Mann Group may require the Company to prepay the note in an amount not to exceed $200.0 million (less the amount of cancelled indebtedness) upon 90 days’ prior written notice or on December 31, 2012, whichever is earlier, and to limit the Company’s ability to borrow and reborrow under the note through December 31, 2011 to an amount equal to $350.0 million less the amount of cancelled indebtedness. On August 18, 2010, the Company entered into a letter agreement confirming a previous commitment by The Mann Group to not require the Company to prepay amounts outstanding under the amended and restated promissory note if the prepayment would require the Company to use its working capital resources, including the proceeds from the sale of its 5.75% Senior Convertible Notes due 2015 (see Note 8). The Company had borrowed $277.2 million under this agreement as of December 31, 2011. As of December 31, 2011, the Company had accrued interest of $5.9 million related to the amount outstanding and had $45.0 million of available borrowings under the loan agreement (see Note 7).</w:t>
      </w:r>
    </w:p>
    <w:p>
      <w:pPr>
        <w:spacing w:after="0" w:line="66" w:lineRule="exact"/>
        <w:rPr>
          <w:sz w:val="20"/>
          <w:szCs w:val="20"/>
          <w:color w:val="auto"/>
        </w:rPr>
      </w:pPr>
    </w:p>
    <w:p>
      <w:pPr>
        <w:ind w:right="220" w:firstLine="228"/>
        <w:spacing w:after="0" w:line="258" w:lineRule="auto"/>
        <w:rPr>
          <w:sz w:val="20"/>
          <w:szCs w:val="20"/>
          <w:color w:val="auto"/>
        </w:rPr>
      </w:pPr>
      <w:r>
        <w:rPr>
          <w:rFonts w:ascii="Times New Roman" w:cs="Times New Roman" w:eastAsia="Times New Roman" w:hAnsi="Times New Roman"/>
          <w:sz w:val="18"/>
          <w:szCs w:val="18"/>
          <w:color w:val="auto"/>
        </w:rPr>
        <w:t>On August 5, 2009, the Company closed the sale of 8,360,000 shares of its common stock, including 960,000 shares sold pursuant to the full exercise of an over-allotment option previously granted to the underwriters of the offering, at a public offering price of $7.35 per share. The Company’s principal stockholder purchased 1,000,000 of these shares from the underwriters at a price per share of $8.11. The sale of common stock resulted in aggregate net proceeds to the Company of approximately $59.7 million after deducting offering expenses.</w:t>
      </w:r>
    </w:p>
    <w:p>
      <w:pPr>
        <w:spacing w:after="0" w:line="55" w:lineRule="exact"/>
        <w:rPr>
          <w:sz w:val="20"/>
          <w:szCs w:val="20"/>
          <w:color w:val="auto"/>
        </w:rPr>
      </w:pPr>
    </w:p>
    <w:p>
      <w:pPr>
        <w:ind w:right="20" w:firstLine="228"/>
        <w:spacing w:after="0" w:line="286" w:lineRule="auto"/>
        <w:rPr>
          <w:sz w:val="20"/>
          <w:szCs w:val="20"/>
          <w:color w:val="auto"/>
        </w:rPr>
      </w:pPr>
      <w:r>
        <w:rPr>
          <w:rFonts w:ascii="Times New Roman" w:cs="Times New Roman" w:eastAsia="Times New Roman" w:hAnsi="Times New Roman"/>
          <w:sz w:val="16"/>
          <w:szCs w:val="16"/>
          <w:color w:val="auto"/>
        </w:rPr>
        <w:t>On August 10, 2010, the Company entered into a common stock purchase agreement with The Mann Group. Under this common stock purchase agreement, the Company is required to issue and sell, and The Mann Group is obligated to purchase, the same number of shares of the Company’s common stock that Seaside purchases on each closing date under its agreement with the Company. The price of the shares that the Company sells to The Mann Group under the agreement will be equal to the greater of $7.15 per share (the closing bid price of the Company’s common stock on August 10, 2010) and the closing bid price of the Company’s common stock on the trading day immediately preceding the applicable closing date. The aggregate purchase price for the shares of common stock the Company issues and sells to The Mann Group will be paid by cancelling an equal amount of the outstanding principal under the $350.0 million loan arrangement provided by The Mann Group.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common stock purchase agreement. The common stock purchase agreement with The Mann Group will terminate on the day following the final closing under the Company’s common stock purchase agreement with Seaside or upon termination of the Seaside agreement. In the first quarter of 2011, and concurrently with sales of common stock to Seaside, the Company issued and sold a total of 1,400,000 shares of common stock to The Mann Group for a total purchase price of $11.1 million, which was paid by the cancellation of outstanding principal under the Company’s loan agreement with The Mann Group. The agreement with The Mann Group terminated during the quarter ended September 30, 2011. During the agreement, the Company issued and sold a total of 3,500,000 shares of common stock to The Mann Group that had resulted in total reduction in the note payable to related party of $27.8 million.</w:t>
      </w:r>
    </w:p>
    <w:p>
      <w:pPr>
        <w:spacing w:after="0" w:line="256" w:lineRule="exact"/>
        <w:rPr>
          <w:sz w:val="20"/>
          <w:szCs w:val="20"/>
          <w:color w:val="auto"/>
        </w:rPr>
      </w:pPr>
    </w:p>
    <w:p>
      <w:pPr>
        <w:ind w:right="180" w:firstLine="228"/>
        <w:spacing w:after="0" w:line="256" w:lineRule="auto"/>
        <w:rPr>
          <w:sz w:val="20"/>
          <w:szCs w:val="20"/>
          <w:color w:val="auto"/>
        </w:rPr>
      </w:pPr>
      <w:r>
        <w:rPr>
          <w:rFonts w:ascii="Times New Roman" w:cs="Times New Roman" w:eastAsia="Times New Roman" w:hAnsi="Times New Roman"/>
          <w:sz w:val="18"/>
          <w:szCs w:val="18"/>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majority stockholder approximately $137,000, $230,000 and $111,000, respectively, for the years ended December 31, 2009, 2010 and 2011 on the basis of the corresponding cost of commercial airfare. These payments were approved by the audit committee of the board of directors.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228"/>
        <w:spacing w:after="0" w:line="275"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in addition to the indemnification provided for in its amended and restated certificate of incorporation and amended and restated bylaws (see Note 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Selected quarterly financial data (unaudited)</w:t>
      </w:r>
    </w:p>
    <w:p>
      <w:pPr>
        <w:spacing w:after="0" w:line="92" w:lineRule="exact"/>
        <w:rPr>
          <w:sz w:val="20"/>
          <w:szCs w:val="20"/>
          <w:color w:val="auto"/>
        </w:rPr>
      </w:pPr>
    </w:p>
    <w:p>
      <w:pPr>
        <w:ind w:right="160" w:firstLine="228"/>
        <w:spacing w:after="0" w:line="256" w:lineRule="auto"/>
        <w:rPr>
          <w:sz w:val="20"/>
          <w:szCs w:val="20"/>
          <w:color w:val="auto"/>
        </w:rPr>
      </w:pPr>
      <w:r>
        <w:rPr>
          <w:rFonts w:ascii="Times New Roman" w:cs="Times New Roman" w:eastAsia="Times New Roman" w:hAnsi="Times New Roman"/>
          <w:sz w:val="18"/>
          <w:szCs w:val="18"/>
          <w:color w:val="auto"/>
        </w:rPr>
        <w:t>The following unaudited selected quarterly financial data has been prepared on the same basis as the audited information and includes all adjustments necessary to present fairly the information set forth in the Company’s consolidated financial statements and notes herein. As a development stage enterprise, the Company has experienced fluctuations in its quarterly results related to the development of its lead product candidate, AFREZZA, and in its expansion of the product candidate portfolio. The Company expects these fluctuations to continue in the future. Due to these and other factors, the quarterly operating results are not indicative of the Company’s future performance.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w w:val="94"/>
              </w:rPr>
              <w:t>June 30</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8"/>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5"/>
          </w:tcPr>
          <w:p>
            <w:pPr>
              <w:jc w:val="right"/>
              <w:ind w:right="118"/>
              <w:spacing w:after="0"/>
              <w:rPr>
                <w:sz w:val="20"/>
                <w:szCs w:val="20"/>
                <w:color w:val="auto"/>
              </w:rPr>
            </w:pPr>
            <w:r>
              <w:rPr>
                <w:rFonts w:ascii="Times New Roman" w:cs="Times New Roman" w:eastAsia="Times New Roman" w:hAnsi="Times New Roman"/>
                <w:sz w:val="18"/>
                <w:szCs w:val="18"/>
                <w:color w:val="auto"/>
                <w:w w:val="98"/>
              </w:rPr>
              <w:t>$ (44,700)</w:t>
            </w:r>
          </w:p>
        </w:tc>
        <w:tc>
          <w:tcPr>
            <w:tcW w:w="1460" w:type="dxa"/>
            <w:vAlign w:val="bottom"/>
            <w:gridSpan w:val="5"/>
          </w:tcPr>
          <w:p>
            <w:pPr>
              <w:jc w:val="right"/>
              <w:ind w:right="398"/>
              <w:spacing w:after="0"/>
              <w:rPr>
                <w:sz w:val="20"/>
                <w:szCs w:val="20"/>
                <w:color w:val="auto"/>
              </w:rPr>
            </w:pPr>
            <w:r>
              <w:rPr>
                <w:rFonts w:ascii="Times New Roman" w:cs="Times New Roman" w:eastAsia="Times New Roman" w:hAnsi="Times New Roman"/>
                <w:sz w:val="18"/>
                <w:szCs w:val="18"/>
                <w:color w:val="auto"/>
              </w:rPr>
              <w:t>$ (42,251)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(45,303)</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960" w:type="dxa"/>
            <w:vAlign w:val="bottom"/>
            <w:gridSpan w:val="5"/>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98"/>
              </w:rPr>
              <w:t>$ (44,700)</w:t>
            </w:r>
          </w:p>
        </w:tc>
        <w:tc>
          <w:tcPr>
            <w:tcW w:w="1460" w:type="dxa"/>
            <w:vAlign w:val="bottom"/>
            <w:gridSpan w:val="5"/>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 (42,251)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(45,303)</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applicable to common stockholders — basic and diluted</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54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used to compute basic and diluted net loss per share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applicable to common stockholders</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113,095</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113,116</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113,528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114,932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4"/>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w w:val="96"/>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w w:val="94"/>
              </w:rPr>
              <w:t>June 30</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8"/>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5"/>
          </w:tcPr>
          <w:p>
            <w:pPr>
              <w:jc w:val="right"/>
              <w:ind w:right="138"/>
              <w:spacing w:after="0"/>
              <w:rPr>
                <w:sz w:val="20"/>
                <w:szCs w:val="20"/>
                <w:color w:val="auto"/>
              </w:rPr>
            </w:pPr>
            <w:r>
              <w:rPr>
                <w:rFonts w:ascii="Times New Roman" w:cs="Times New Roman" w:eastAsia="Times New Roman" w:hAnsi="Times New Roman"/>
                <w:sz w:val="18"/>
                <w:szCs w:val="18"/>
                <w:color w:val="auto"/>
                <w:w w:val="95"/>
              </w:rPr>
              <w:t>$ (41,525)</w:t>
            </w:r>
          </w:p>
        </w:tc>
        <w:tc>
          <w:tcPr>
            <w:tcW w:w="1460" w:type="dxa"/>
            <w:vAlign w:val="bottom"/>
            <w:gridSpan w:val="5"/>
          </w:tcPr>
          <w:p>
            <w:pPr>
              <w:jc w:val="right"/>
              <w:ind w:right="398"/>
              <w:spacing w:after="0"/>
              <w:rPr>
                <w:sz w:val="20"/>
                <w:szCs w:val="20"/>
                <w:color w:val="auto"/>
              </w:rPr>
            </w:pPr>
            <w:r>
              <w:rPr>
                <w:rFonts w:ascii="Times New Roman" w:cs="Times New Roman" w:eastAsia="Times New Roman" w:hAnsi="Times New Roman"/>
                <w:sz w:val="18"/>
                <w:szCs w:val="18"/>
                <w:color w:val="auto"/>
              </w:rPr>
              <w:t>$ (44,480)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(38,402)</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(36,397)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960" w:type="dxa"/>
            <w:vAlign w:val="bottom"/>
            <w:gridSpan w:val="5"/>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95"/>
              </w:rPr>
              <w:t>$ (41,525)</w:t>
            </w:r>
          </w:p>
        </w:tc>
        <w:tc>
          <w:tcPr>
            <w:tcW w:w="1460" w:type="dxa"/>
            <w:vAlign w:val="bottom"/>
            <w:gridSpan w:val="5"/>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 (44,480)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(38,402)</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(36,397)</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applicable to common stockholders — basic and diluted</w:t>
            </w: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54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used to compute basic and diluted net loss per share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applicable to common stockholders</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121,057</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121,708</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122,130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122,357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92"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On January 16, 2012, the Company amended its note with The Mann Group LLC, an entity controlled by the Company’s principal stockholder. The amendment extends the maturity date of the $350.0 million loan arrangement from December 31, 2012 to March 31, 2013. The Company can continue to borrow under the amended terms of the note until June 30, 2012. Since December 31, 2011, the Company borrowed $6.3 million under the loan agreement and $38.8 million remains available to borrow.</w:t>
      </w:r>
    </w:p>
    <w:p>
      <w:pPr>
        <w:spacing w:after="0" w:line="55" w:lineRule="exact"/>
        <w:rPr>
          <w:sz w:val="20"/>
          <w:szCs w:val="20"/>
          <w:color w:val="auto"/>
        </w:rPr>
      </w:pPr>
    </w:p>
    <w:p>
      <w:pPr>
        <w:ind w:right="320" w:firstLine="228"/>
        <w:spacing w:after="0" w:line="256" w:lineRule="auto"/>
        <w:rPr>
          <w:sz w:val="20"/>
          <w:szCs w:val="20"/>
          <w:color w:val="auto"/>
        </w:rPr>
      </w:pPr>
      <w:r>
        <w:rPr>
          <w:rFonts w:ascii="Times New Roman" w:cs="Times New Roman" w:eastAsia="Times New Roman" w:hAnsi="Times New Roman"/>
          <w:sz w:val="18"/>
          <w:szCs w:val="18"/>
          <w:color w:val="auto"/>
        </w:rPr>
        <w:t>On February 8, 2012, the Company sold $86.3 million worth of units in an underwritten public offering, with each unit consisting of one share of common stock and a warrant to purchase 0.6 of a share of common stock, and reflects the full exercise of an over-allotment option granted to the underwriters. Net proceeds from this offering were approximately $80.6 million, excluding any warrant exercises. Concurrent with this public offering, The Mann Group LLC purchased $77.2 million worth of restricted shares of common stock which will be paid by cancellation of principal indebtedness under the amended loan arrangement, subject to stockholder approval to increase the Company’s number of authorized shares.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333-166404 on Form S-3 and Registration Statement Nos. 333-117811, 333-127876, 333-137332, 333-149049 and 333-160225 on Form S-8 of our reports dated March 15, 2012, relating to the consolidated financial statements of MannKind Corporation and subsidiaries (a development stage company) (“MannKind Corporation”) (which report expresses an unqualified opinion and includes an explanatory paragraph relating to the Company’s ability to continue as a going concern), and the effectiveness of MannKind Corporation’s internal control over financial reporting, appearing in the Annual Report on Form 10-K of MannKind Corporation for the year ended December 31, 2011.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2012</w:t>
      </w:r>
    </w:p>
    <w:p>
      <w:pPr>
        <w:sectPr>
          <w:pgSz w:w="11900" w:h="16838" w:orient="portrait"/>
          <w:cols w:equalWidth="0" w:num="1">
            <w:col w:w="11420"/>
          </w:cols>
          <w:pgMar w:left="240" w:top="123" w:right="2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RULE 13a-14(a)/15d-14(a) CERTIFICATION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Alfred E. Mann, certify that:</w:t>
      </w:r>
    </w:p>
    <w:p>
      <w:pPr>
        <w:spacing w:after="0" w:line="90" w:lineRule="exact"/>
        <w:rPr>
          <w:sz w:val="20"/>
          <w:szCs w:val="20"/>
          <w:color w:val="auto"/>
        </w:rPr>
      </w:pPr>
    </w:p>
    <w:p>
      <w:pPr>
        <w:ind w:left="420" w:hanging="184"/>
        <w:spacing w:after="0"/>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MannKind Corporation;</w:t>
      </w:r>
    </w:p>
    <w:p>
      <w:pPr>
        <w:spacing w:after="0" w:line="90" w:lineRule="exact"/>
        <w:rPr>
          <w:rFonts w:ascii="Times New Roman" w:cs="Times New Roman" w:eastAsia="Times New Roman" w:hAnsi="Times New Roman"/>
          <w:sz w:val="18"/>
          <w:szCs w:val="18"/>
          <w:color w:val="auto"/>
        </w:rPr>
      </w:pPr>
    </w:p>
    <w:p>
      <w:pPr>
        <w:ind w:firstLine="236"/>
        <w:spacing w:after="0" w:line="275" w:lineRule="auto"/>
        <w:tabs>
          <w:tab w:leader="none" w:pos="4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Times New Roman" w:cs="Times New Roman" w:eastAsia="Times New Roman" w:hAnsi="Times New Roman"/>
          <w:sz w:val="18"/>
          <w:szCs w:val="18"/>
          <w:color w:val="auto"/>
        </w:rPr>
      </w:pPr>
    </w:p>
    <w:p>
      <w:pPr>
        <w:ind w:right="100" w:firstLine="236"/>
        <w:spacing w:after="0" w:line="275" w:lineRule="auto"/>
        <w:tabs>
          <w:tab w:leader="none" w:pos="4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firstLine="236"/>
        <w:spacing w:after="0" w:line="262" w:lineRule="auto"/>
        <w:tabs>
          <w:tab w:leader="none" w:pos="4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240" w:right="260" w:firstLine="220"/>
        <w:spacing w:after="0" w:line="262" w:lineRule="auto"/>
        <w:tabs>
          <w:tab w:leader="none" w:pos="70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240" w:right="60" w:firstLine="220"/>
        <w:spacing w:after="0" w:line="262" w:lineRule="auto"/>
        <w:tabs>
          <w:tab w:leader="none" w:pos="7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240" w:right="100" w:firstLine="220"/>
        <w:spacing w:after="0" w:line="275" w:lineRule="auto"/>
        <w:tabs>
          <w:tab w:leader="none" w:pos="70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240" w:right="320" w:firstLine="220"/>
        <w:spacing w:after="0" w:line="262" w:lineRule="auto"/>
        <w:tabs>
          <w:tab w:leader="none" w:pos="7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right="680" w:firstLine="236"/>
        <w:spacing w:after="0" w:line="275" w:lineRule="auto"/>
        <w:tabs>
          <w:tab w:leader="none" w:pos="4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240" w:right="40" w:firstLine="220"/>
        <w:spacing w:after="0" w:line="275" w:lineRule="auto"/>
        <w:tabs>
          <w:tab w:leader="none" w:pos="70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240" w:right="260" w:firstLine="220"/>
        <w:spacing w:after="0" w:line="275" w:lineRule="auto"/>
        <w:tabs>
          <w:tab w:leader="none" w:pos="7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/s/ Alfred E. Mann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2012</w:t>
      </w:r>
    </w:p>
    <w:p>
      <w:pPr>
        <w:sectPr>
          <w:pgSz w:w="11900" w:h="16838" w:orient="portrait"/>
          <w:cols w:equalWidth="0" w:num="1">
            <w:col w:w="11420"/>
          </w:cols>
          <w:pgMar w:left="240" w:top="123"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RULE 13a-14(a)/15d-14(a) CERTIFICATION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Pfeffer, certify that:</w:t>
      </w:r>
    </w:p>
    <w:p>
      <w:pPr>
        <w:spacing w:after="0" w:line="90" w:lineRule="exact"/>
        <w:rPr>
          <w:sz w:val="20"/>
          <w:szCs w:val="20"/>
          <w:color w:val="auto"/>
        </w:rPr>
      </w:pPr>
    </w:p>
    <w:p>
      <w:pPr>
        <w:ind w:left="420" w:hanging="184"/>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MannKind Corporation;</w:t>
      </w:r>
    </w:p>
    <w:p>
      <w:pPr>
        <w:spacing w:after="0" w:line="90" w:lineRule="exact"/>
        <w:rPr>
          <w:rFonts w:ascii="Times New Roman" w:cs="Times New Roman" w:eastAsia="Times New Roman" w:hAnsi="Times New Roman"/>
          <w:sz w:val="18"/>
          <w:szCs w:val="18"/>
          <w:color w:val="auto"/>
        </w:rPr>
      </w:pPr>
    </w:p>
    <w:p>
      <w:pPr>
        <w:ind w:firstLine="236"/>
        <w:spacing w:after="0" w:line="275" w:lineRule="auto"/>
        <w:tabs>
          <w:tab w:leader="none" w:pos="4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Times New Roman" w:cs="Times New Roman" w:eastAsia="Times New Roman" w:hAnsi="Times New Roman"/>
          <w:sz w:val="18"/>
          <w:szCs w:val="18"/>
          <w:color w:val="auto"/>
        </w:rPr>
      </w:pPr>
    </w:p>
    <w:p>
      <w:pPr>
        <w:ind w:right="100" w:firstLine="236"/>
        <w:spacing w:after="0" w:line="275" w:lineRule="auto"/>
        <w:tabs>
          <w:tab w:leader="none" w:pos="4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firstLine="236"/>
        <w:spacing w:after="0" w:line="262" w:lineRule="auto"/>
        <w:tabs>
          <w:tab w:leader="none" w:pos="4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240" w:right="260" w:firstLine="220"/>
        <w:spacing w:after="0" w:line="262" w:lineRule="auto"/>
        <w:tabs>
          <w:tab w:leader="none" w:pos="70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240" w:right="60" w:firstLine="220"/>
        <w:spacing w:after="0" w:line="262" w:lineRule="auto"/>
        <w:tabs>
          <w:tab w:leader="none" w:pos="71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240" w:right="100" w:firstLine="220"/>
        <w:spacing w:after="0" w:line="275" w:lineRule="auto"/>
        <w:tabs>
          <w:tab w:leader="none" w:pos="70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240" w:right="320" w:firstLine="220"/>
        <w:spacing w:after="0" w:line="262" w:lineRule="auto"/>
        <w:tabs>
          <w:tab w:leader="none" w:pos="71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right="680" w:firstLine="236"/>
        <w:spacing w:after="0" w:line="275" w:lineRule="auto"/>
        <w:tabs>
          <w:tab w:leader="none" w:pos="4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240" w:right="40" w:firstLine="220"/>
        <w:spacing w:after="0" w:line="275" w:lineRule="auto"/>
        <w:tabs>
          <w:tab w:leader="none" w:pos="70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240" w:right="260" w:firstLine="220"/>
        <w:spacing w:after="0" w:line="275" w:lineRule="auto"/>
        <w:tabs>
          <w:tab w:leader="none" w:pos="71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/s/ Matthew J. Pfeffer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Corporate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11"/>
          <w:szCs w:val="11"/>
          <w:b w:val="1"/>
          <w:bCs w:val="1"/>
          <w:color w:val="auto"/>
        </w:rPr>
        <w:t>1</w:t>
      </w:r>
    </w:p>
    <w:p>
      <w:pPr>
        <w:spacing w:after="0" w:line="173" w:lineRule="exact"/>
        <w:rPr>
          <w:sz w:val="20"/>
          <w:szCs w:val="20"/>
          <w:color w:val="auto"/>
        </w:rPr>
      </w:pPr>
    </w:p>
    <w:p>
      <w:pPr>
        <w:jc w:val="both"/>
        <w:ind w:right="340" w:firstLine="228"/>
        <w:spacing w:after="0" w:line="262" w:lineRule="auto"/>
        <w:rPr>
          <w:sz w:val="20"/>
          <w:szCs w:val="20"/>
          <w:color w:val="auto"/>
        </w:rPr>
      </w:pPr>
      <w:r>
        <w:rPr>
          <w:rFonts w:ascii="Times New Roman" w:cs="Times New Roman" w:eastAsia="Times New Roman" w:hAnsi="Times New Roman"/>
          <w:sz w:val="18"/>
          <w:szCs w:val="18"/>
          <w:color w:val="auto"/>
        </w:rPr>
        <w:t>Pursuant to the requirement set forth in Rule 13a-14(b) or Rule 15d-14(b) of the Securities Exchange Act of 1934, as amended (the “Exchange Act”), and Section 1350 of Chapter 63 of Title 18 of the United States Code (18 U.S.C. §1350), Alfred E. Mann, Chief Executive Officer of MannKind Corporation (the “Company”), and Matthew J. Pfeffer, Chief Financial Officer of the Company, each hereby certifies that, to the best of his knowledge:</w:t>
      </w:r>
    </w:p>
    <w:p>
      <w:pPr>
        <w:spacing w:after="0" w:line="51" w:lineRule="exact"/>
        <w:rPr>
          <w:sz w:val="20"/>
          <w:szCs w:val="20"/>
          <w:color w:val="auto"/>
        </w:rPr>
      </w:pPr>
    </w:p>
    <w:p>
      <w:pPr>
        <w:ind w:left="240" w:right="20" w:firstLine="220"/>
        <w:spacing w:after="0" w:line="275" w:lineRule="auto"/>
        <w:tabs>
          <w:tab w:leader="none" w:pos="6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2011, to which this Certification is attached as Exhibit 32 (the “Annual Report”) fully complies with the requirements of Section 13(a) or Section 15(d) of the Exchange Act, and</w:t>
      </w:r>
    </w:p>
    <w:p>
      <w:pPr>
        <w:spacing w:after="0" w:line="38" w:lineRule="exact"/>
        <w:rPr>
          <w:rFonts w:ascii="Times New Roman" w:cs="Times New Roman" w:eastAsia="Times New Roman" w:hAnsi="Times New Roman"/>
          <w:sz w:val="18"/>
          <w:szCs w:val="18"/>
          <w:color w:val="auto"/>
        </w:rPr>
      </w:pPr>
    </w:p>
    <w:p>
      <w:pPr>
        <w:ind w:left="240" w:right="40" w:firstLine="220"/>
        <w:spacing w:after="0" w:line="352" w:lineRule="auto"/>
        <w:tabs>
          <w:tab w:leader="none" w:pos="6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the Annual Report fairly presents, in all material respects, the financial condition and results of operations of the Company. </w:t>
      </w: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Alfred E. Mann</w:t>
            </w:r>
          </w:p>
        </w:tc>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 Matthew J. Pfeffer</w:t>
            </w:r>
          </w:p>
        </w:tc>
      </w:tr>
      <w:tr>
        <w:trPr>
          <w:trHeight w:val="210"/>
        </w:trPr>
        <w:tc>
          <w:tcPr>
            <w:tcW w:w="5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Alfred E. Mann</w:t>
            </w:r>
          </w:p>
        </w:tc>
        <w:tc>
          <w:tcPr>
            <w:tcW w:w="100" w:type="dxa"/>
            <w:vAlign w:val="bottom"/>
          </w:tcPr>
          <w:p>
            <w:pPr>
              <w:spacing w:after="0"/>
              <w:rPr>
                <w:sz w:val="18"/>
                <w:szCs w:val="18"/>
                <w:color w:val="auto"/>
              </w:rPr>
            </w:pPr>
          </w:p>
        </w:tc>
        <w:tc>
          <w:tcPr>
            <w:tcW w:w="5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Matthew J. Pfeffer</w:t>
            </w: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tc>
      </w:tr>
    </w:tbl>
    <w:p>
      <w:pPr>
        <w:spacing w:after="0" w:line="337" w:lineRule="exact"/>
        <w:rPr>
          <w:sz w:val="20"/>
          <w:szCs w:val="20"/>
          <w:color w:val="auto"/>
        </w:rPr>
      </w:pPr>
    </w:p>
    <w:p>
      <w:pPr>
        <w:ind w:left="460" w:right="80" w:hanging="452"/>
        <w:spacing w:after="0"/>
        <w:tabs>
          <w:tab w:leader="none" w:pos="46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18865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
      <w:numFmt w:val="bullet"/>
      <w:start w:val="1"/>
    </w:lvl>
  </w:abstractNum>
  <w:abstractNum w:abstractNumId="5">
    <w:nsid w:val="7C83E458"/>
    <w:multiLevelType w:val="hybridMultilevel"/>
    <w:lvl w:ilvl="0">
      <w:lvlJc w:val="left"/>
      <w:lvlText w:val="•"/>
      <w:numFmt w:val="bullet"/>
      <w:start w:val="1"/>
    </w:lvl>
    <w:lvl w:ilvl="1">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lowerRoman"/>
      <w:start w:val="2"/>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2"/>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decimal"/>
      <w:start w:val="3"/>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2019-12-09T11:08:21Z</dcterms:created>
  <dcterms:modified xsi:type="dcterms:W3CDTF">2019-12-09T11:08:21Z</dcterms:modified>
</cp:coreProperties>
</file>