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ind w:left="500" w:right="24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80"/>
        <w:spacing w:after="0"/>
        <w:tabs>
          <w:tab w:leader="none" w:pos="670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1"/>
              </w:rPr>
              <w:t>Delaware</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right"/>
              <w:ind w:right="2296"/>
              <w:spacing w:after="0"/>
              <w:rPr>
                <w:sz w:val="20"/>
                <w:szCs w:val="20"/>
                <w:color w:val="auto"/>
              </w:rPr>
            </w:pPr>
            <w:r>
              <w:rPr>
                <w:rFonts w:ascii="Arial" w:cs="Arial" w:eastAsia="Arial" w:hAnsi="Arial"/>
                <w:sz w:val="18"/>
                <w:szCs w:val="18"/>
                <w:b w:val="1"/>
                <w:bCs w:val="1"/>
                <w:color w:val="auto"/>
              </w:rPr>
              <w:t>13-3607736</w:t>
            </w:r>
          </w:p>
        </w:tc>
        <w:tc>
          <w:tcPr>
            <w:tcW w:w="0" w:type="dxa"/>
            <w:vAlign w:val="bottom"/>
          </w:tcPr>
          <w:p>
            <w:pPr>
              <w:spacing w:after="0"/>
              <w:rPr>
                <w:sz w:val="1"/>
                <w:szCs w:val="1"/>
                <w:color w:val="auto"/>
              </w:rPr>
            </w:pPr>
          </w:p>
        </w:tc>
      </w:tr>
      <w:tr>
        <w:trPr>
          <w:trHeight w:val="216"/>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0"/>
              </w:rPr>
              <w:t>(State or other jurisdiction of</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896"/>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1"/>
              </w:rPr>
              <w:t>incorporation or organization)</w:t>
            </w:r>
          </w:p>
        </w:tc>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896"/>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292"/>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89"/>
              </w:rPr>
              <w:t>30930 Russell Ranch Road, Suite 300</w:t>
            </w: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2"/>
              </w:rPr>
              <w:t>Westlake Village, California</w:t>
            </w:r>
          </w:p>
        </w:tc>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96"/>
              <w:spacing w:after="0"/>
              <w:rPr>
                <w:sz w:val="20"/>
                <w:szCs w:val="20"/>
                <w:color w:val="auto"/>
              </w:rPr>
            </w:pPr>
            <w:r>
              <w:rPr>
                <w:rFonts w:ascii="Arial" w:cs="Arial" w:eastAsia="Arial" w:hAnsi="Arial"/>
                <w:sz w:val="18"/>
                <w:szCs w:val="18"/>
                <w:b w:val="1"/>
                <w:bCs w:val="1"/>
                <w:color w:val="auto"/>
              </w:rPr>
              <w:t>91362</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3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jc w:val="center"/>
              <w:ind w:right="189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59"/>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(818) 661-5000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600" w:type="dxa"/>
            <w:vAlign w:val="bottom"/>
            <w:gridSpan w:val="7"/>
          </w:tcPr>
          <w:p>
            <w:pPr>
              <w:jc w:val="center"/>
              <w:ind w:left="355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600" w:type="dxa"/>
            <w:vAlign w:val="bottom"/>
            <w:gridSpan w:val="7"/>
          </w:tcPr>
          <w:p>
            <w:pPr>
              <w:jc w:val="center"/>
              <w:ind w:left="3577"/>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0" w:type="dxa"/>
            <w:vAlign w:val="bottom"/>
          </w:tcPr>
          <w:p>
            <w:pPr>
              <w:spacing w:after="0"/>
              <w:rPr>
                <w:sz w:val="18"/>
                <w:szCs w:val="18"/>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3"/>
              </w:rPr>
              <w:t>Trading</w:t>
            </w:r>
          </w:p>
        </w:tc>
        <w:tc>
          <w:tcPr>
            <w:tcW w:w="3640" w:type="dxa"/>
            <w:vAlign w:val="bottom"/>
            <w:vMerge w:val="restart"/>
          </w:tcPr>
          <w:p>
            <w:pPr>
              <w:jc w:val="center"/>
              <w:ind w:right="536"/>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1"/>
              </w:rPr>
              <w:t>Symbol(s)</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$0.01 per share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MNKD</w:t>
            </w:r>
          </w:p>
        </w:tc>
        <w:tc>
          <w:tcPr>
            <w:tcW w:w="220" w:type="dxa"/>
            <w:vAlign w:val="bottom"/>
            <w:gridSpan w:val="2"/>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56"/>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63"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7"/>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80" w:type="dxa"/>
            <w:vAlign w:val="bottom"/>
          </w:tcPr>
          <w:p>
            <w:pPr>
              <w:ind w:left="318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8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26, 2020, there were 232,600,608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60" w:type="dxa"/>
            <w:vAlign w:val="bottom"/>
            <w:vMerge w:val="restart"/>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056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056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September 30, 2020 and December 31,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Three and nine months ended September 30,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Comprehensive Loss: Three and nine months ended September 30,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Deficit: Three and nine months ended September 30,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Nine months ended September 30,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2. 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3. 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560" w:type="dxa"/>
            <w:vAlign w:val="bottom"/>
          </w:tcPr>
          <w:p>
            <w:pPr>
              <w:ind w:left="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4. 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560" w:type="dxa"/>
            <w:vAlign w:val="bottom"/>
          </w:tcPr>
          <w:p>
            <w:pPr>
              <w:ind w:left="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PART II: 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560" w:type="dxa"/>
            <w:vAlign w:val="bottom"/>
          </w:tcPr>
          <w:p>
            <w:pPr>
              <w:ind w:left="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 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1A. 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2. 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3. Defaults Upon Senior Securities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4. Mine Safety Disclosures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5. 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560" w:type="dxa"/>
            <w:vAlign w:val="bottom"/>
          </w:tcPr>
          <w:p>
            <w:pPr>
              <w:ind w:left="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6. 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0560" w:type="dxa"/>
            <w:vAlign w:val="bottom"/>
          </w:tcPr>
          <w:p>
            <w:pPr>
              <w:ind w:left="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SIGNATURES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0560" w:type="dxa"/>
            <w:vAlign w:val="bottom"/>
          </w:tcPr>
          <w:p>
            <w:pPr>
              <w:ind w:left="558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5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7720" w:type="dxa"/>
            <w:vAlign w:val="bottom"/>
            <w:tcBorders>
              <w:top w:val="single" w:sz="8" w:color="CFF0FC"/>
            </w:tcBorders>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52,398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19,978</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4,135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4,155</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66,346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60,757</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25,736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26,778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6,190</w:t>
            </w:r>
          </w:p>
        </w:tc>
        <w:tc>
          <w:tcPr>
            <w:tcW w:w="10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95,681</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93,725</w:t>
            </w:r>
          </w:p>
        </w:tc>
        <w:tc>
          <w:tcPr>
            <w:tcW w:w="10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tcPr>
          <w:p>
            <w:pPr>
              <w:ind w:left="1800"/>
              <w:spacing w:after="0"/>
              <w:rPr>
                <w:sz w:val="20"/>
                <w:szCs w:val="20"/>
                <w:color w:val="auto"/>
              </w:rPr>
            </w:pPr>
            <w:r>
              <w:rPr>
                <w:rFonts w:ascii="Arial" w:cs="Arial" w:eastAsia="Arial" w:hAnsi="Arial"/>
                <w:sz w:val="18"/>
                <w:szCs w:val="18"/>
                <w:b w:val="1"/>
                <w:bCs w:val="1"/>
                <w:color w:val="auto"/>
              </w:rPr>
              <w:t>LIABILITIES AND STOCKHOLDERS' DEFICIT</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5,797</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Short-term notes payable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45,379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5,028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current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7,394</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106,124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65,618</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Promissory notes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70,025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70,020</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 promissory notes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Long-term Midcap credit facility</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38,851</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Paycheck Protection Program loan — long term</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Recognized loss on purchase commitments — long term</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84,529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 long term</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8,344</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Milestone rights liability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5,926</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282,101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284,251</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no shares issued or outstanding as of September 30, 2020 and December 31, 2019</w:t>
            </w:r>
          </w:p>
        </w:tc>
        <w:tc>
          <w:tcPr>
            <w:tcW w:w="14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$0.01 par value - 400,000,000 and 280,000,000 shares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230,922,513 and 211,787,573 shares issued and outstanding</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 September 30, 2020 and December 31, 2019, respectively</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2,834,003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2,799,278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(3,022,732)</w:t>
            </w: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(2,991,903)</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(186,420)</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95,681</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93,725</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MANNKIND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7,275</w:t>
            </w:r>
          </w:p>
        </w:tc>
        <w:tc>
          <w:tcPr>
            <w:tcW w:w="160" w:type="dxa"/>
            <w:vAlign w:val="bottom"/>
          </w:tcPr>
          <w:p>
            <w:pPr>
              <w:spacing w:after="0"/>
              <w:rPr>
                <w:sz w:val="19"/>
                <w:szCs w:val="19"/>
                <w:color w:val="auto"/>
              </w:rPr>
            </w:pP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6,402</w:t>
            </w:r>
          </w:p>
        </w:tc>
        <w:tc>
          <w:tcPr>
            <w:tcW w:w="16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22,260</w:t>
            </w:r>
          </w:p>
        </w:tc>
        <w:tc>
          <w:tcPr>
            <w:tcW w:w="160" w:type="dxa"/>
            <w:vAlign w:val="bottom"/>
          </w:tcPr>
          <w:p>
            <w:pPr>
              <w:spacing w:after="0"/>
              <w:rPr>
                <w:sz w:val="19"/>
                <w:szCs w:val="19"/>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 — collaborations and services</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Asset impairment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(gain) on foreign currency translation</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24,482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70,867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Interest expense on notes</w:t>
            </w: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promissory notes</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(3,858)</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Gain on extinguishment of debt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(30,829)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229,668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199,906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218,559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191,786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MANNKIND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(37,640)</w:t>
            </w: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loss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(11,255)</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(10,371)</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(30,848)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(37,641)</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MANNKIND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3"/>
                <w:szCs w:val="1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317"/>
              <w:spacing w:after="0" w:line="142" w:lineRule="exact"/>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277"/>
              <w:spacing w:after="0" w:line="142" w:lineRule="exact"/>
              <w:rPr>
                <w:sz w:val="20"/>
                <w:szCs w:val="20"/>
                <w:color w:val="auto"/>
              </w:rPr>
            </w:pPr>
            <w:r>
              <w:rPr>
                <w:rFonts w:ascii="Arial" w:cs="Arial" w:eastAsia="Arial" w:hAnsi="Arial"/>
                <w:sz w:val="13"/>
                <w:szCs w:val="13"/>
                <w:b w:val="1"/>
                <w:bCs w:val="1"/>
                <w:color w:val="auto"/>
                <w:w w:val="93"/>
              </w:rPr>
              <w:t>Amount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40"/>
              <w:spacing w:after="0" w:line="142"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00"/>
              <w:spacing w:after="0" w:line="142"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2"/>
                <w:szCs w:val="12"/>
                <w:color w:val="auto"/>
              </w:rPr>
            </w:pPr>
          </w:p>
        </w:tc>
        <w:tc>
          <w:tcPr>
            <w:tcW w:w="1300" w:type="dxa"/>
            <w:vAlign w:val="bottom"/>
            <w:gridSpan w:val="2"/>
          </w:tcPr>
          <w:p>
            <w:pPr>
              <w:jc w:val="right"/>
              <w:ind w:right="680"/>
              <w:spacing w:after="0" w:line="142" w:lineRule="exact"/>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54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27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JANUARY 1, 2019</w:t>
            </w:r>
          </w:p>
        </w:tc>
        <w:tc>
          <w:tcPr>
            <w:tcW w:w="180" w:type="dxa"/>
            <w:vAlign w:val="bottom"/>
            <w:tcBorders>
              <w:top w:val="single" w:sz="8" w:color="CFF0FC"/>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187,030</w:t>
            </w:r>
          </w:p>
        </w:tc>
        <w:tc>
          <w:tcPr>
            <w:tcW w:w="2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1,870</w:t>
            </w:r>
          </w:p>
        </w:tc>
        <w:tc>
          <w:tcPr>
            <w:tcW w:w="3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2,763,067</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w:t>
            </w:r>
          </w:p>
        </w:tc>
        <w:tc>
          <w:tcPr>
            <w:tcW w:w="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(2,940,000)</w:t>
            </w:r>
          </w:p>
        </w:tc>
        <w:tc>
          <w:tcPr>
            <w:tcW w:w="3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5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(175,082)</w:t>
            </w:r>
          </w:p>
        </w:tc>
        <w:tc>
          <w:tcPr>
            <w:tcW w:w="100" w:type="dxa"/>
            <w:vAlign w:val="bottom"/>
            <w:tcBorders>
              <w:top w:val="single" w:sz="8" w:color="CFF0FC"/>
            </w:tcBorders>
            <w:shd w:val="clear" w:color="auto" w:fill="CFF0FC"/>
          </w:tcPr>
          <w:p>
            <w:pPr>
              <w:spacing w:after="0"/>
              <w:rPr>
                <w:sz w:val="12"/>
                <w:szCs w:val="12"/>
                <w:color w:val="auto"/>
              </w:rPr>
            </w:pPr>
          </w:p>
        </w:tc>
      </w:tr>
      <w:tr>
        <w:trPr>
          <w:trHeight w:val="134"/>
        </w:trPr>
        <w:tc>
          <w:tcPr>
            <w:tcW w:w="2780" w:type="dxa"/>
            <w:vAlign w:val="bottom"/>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80" w:type="dxa"/>
            <w:vAlign w:val="bottom"/>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780" w:type="dxa"/>
            <w:vAlign w:val="bottom"/>
          </w:tcPr>
          <w:p>
            <w:pPr>
              <w:ind w:left="340"/>
              <w:spacing w:after="0"/>
              <w:rPr>
                <w:sz w:val="20"/>
                <w:szCs w:val="20"/>
                <w:color w:val="auto"/>
              </w:rPr>
            </w:pPr>
            <w:r>
              <w:rPr>
                <w:rFonts w:ascii="Arial" w:cs="Arial" w:eastAsia="Arial" w:hAnsi="Arial"/>
                <w:sz w:val="13"/>
                <w:szCs w:val="13"/>
                <w:color w:val="auto"/>
              </w:rPr>
              <w:t>units</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66</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r>
      <w:tr>
        <w:trPr>
          <w:trHeight w:val="134"/>
        </w:trPr>
        <w:tc>
          <w:tcPr>
            <w:tcW w:w="2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9"/>
              </w:rPr>
              <w:t>Issuance of common stock under Employee</w:t>
            </w: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296</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FF0FC"/>
          </w:tcPr>
          <w:p>
            <w:pPr>
              <w:spacing w:after="0"/>
              <w:rPr>
                <w:sz w:val="12"/>
                <w:szCs w:val="12"/>
                <w:color w:val="auto"/>
              </w:rPr>
            </w:pPr>
          </w:p>
        </w:tc>
      </w:tr>
      <w:tr>
        <w:trPr>
          <w:trHeight w:val="148"/>
        </w:trPr>
        <w:tc>
          <w:tcPr>
            <w:tcW w:w="278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999</w:t>
            </w:r>
          </w:p>
        </w:tc>
        <w:tc>
          <w:tcPr>
            <w:tcW w:w="100" w:type="dxa"/>
            <w:vAlign w:val="bottom"/>
          </w:tcPr>
          <w:p>
            <w:pPr>
              <w:spacing w:after="0"/>
              <w:rPr>
                <w:sz w:val="12"/>
                <w:szCs w:val="12"/>
                <w:color w:val="auto"/>
              </w:rPr>
            </w:pPr>
          </w:p>
        </w:tc>
      </w:tr>
      <w:tr>
        <w:trPr>
          <w:trHeight w:val="134"/>
        </w:trPr>
        <w:tc>
          <w:tcPr>
            <w:tcW w:w="2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conversion of Senior Convertible Notes</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386</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w:t>
            </w:r>
          </w:p>
        </w:tc>
        <w:tc>
          <w:tcPr>
            <w:tcW w:w="100" w:type="dxa"/>
            <w:vAlign w:val="bottom"/>
            <w:shd w:val="clear" w:color="auto" w:fill="CFF0FC"/>
          </w:tcPr>
          <w:p>
            <w:pPr>
              <w:spacing w:after="0"/>
              <w:rPr>
                <w:sz w:val="12"/>
                <w:szCs w:val="12"/>
                <w:color w:val="auto"/>
              </w:rPr>
            </w:pPr>
          </w:p>
        </w:tc>
      </w:tr>
      <w:tr>
        <w:trPr>
          <w:trHeight w:val="148"/>
        </w:trPr>
        <w:tc>
          <w:tcPr>
            <w:tcW w:w="2780" w:type="dxa"/>
            <w:vAlign w:val="bottom"/>
          </w:tcPr>
          <w:p>
            <w:pPr>
              <w:ind w:left="260"/>
              <w:spacing w:after="0"/>
              <w:rPr>
                <w:sz w:val="20"/>
                <w:szCs w:val="20"/>
                <w:color w:val="auto"/>
              </w:rPr>
            </w:pPr>
            <w:r>
              <w:rPr>
                <w:rFonts w:ascii="Arial" w:cs="Arial" w:eastAsia="Arial" w:hAnsi="Arial"/>
                <w:sz w:val="13"/>
                <w:szCs w:val="13"/>
                <w:color w:val="auto"/>
              </w:rPr>
              <w:t>Restricted stock unit award</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2"/>
                <w:szCs w:val="12"/>
                <w:color w:val="auto"/>
              </w:rPr>
            </w:pPr>
          </w:p>
        </w:tc>
      </w:tr>
      <w:tr>
        <w:trPr>
          <w:trHeight w:val="149"/>
        </w:trPr>
        <w:tc>
          <w:tcPr>
            <w:tcW w:w="2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(14,883)</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(14,883)</w:t>
            </w:r>
          </w:p>
        </w:tc>
      </w:tr>
      <w:tr>
        <w:trPr>
          <w:trHeight w:val="182"/>
        </w:trPr>
        <w:tc>
          <w:tcPr>
            <w:tcW w:w="27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BALANCE, MARCH 31, 2019</w:t>
            </w:r>
          </w:p>
        </w:tc>
        <w:tc>
          <w:tcPr>
            <w:tcW w:w="180" w:type="dxa"/>
            <w:vAlign w:val="bottom"/>
            <w:tcBorders>
              <w:bottom w:val="single" w:sz="8" w:color="CFF0FC"/>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187,778</w:t>
            </w:r>
          </w:p>
        </w:tc>
        <w:tc>
          <w:tcPr>
            <w:tcW w:w="28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1,878</w:t>
            </w:r>
          </w:p>
        </w:tc>
        <w:tc>
          <w:tcPr>
            <w:tcW w:w="3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2,765,020</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w:t>
            </w:r>
          </w:p>
        </w:tc>
        <w:tc>
          <w:tcPr>
            <w:tcW w:w="2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(2,954,883)</w:t>
            </w:r>
          </w:p>
        </w:tc>
        <w:tc>
          <w:tcPr>
            <w:tcW w:w="3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(188,004)</w:t>
            </w:r>
          </w:p>
        </w:tc>
        <w:tc>
          <w:tcPr>
            <w:tcW w:w="100" w:type="dxa"/>
            <w:vAlign w:val="bottom"/>
            <w:tcBorders>
              <w:bottom w:val="single" w:sz="8" w:color="CFF0FC"/>
            </w:tcBorders>
          </w:tcPr>
          <w:p>
            <w:pPr>
              <w:spacing w:after="0"/>
              <w:rPr>
                <w:sz w:val="15"/>
                <w:szCs w:val="15"/>
                <w:color w:val="auto"/>
              </w:rPr>
            </w:pPr>
          </w:p>
        </w:tc>
      </w:tr>
      <w:tr>
        <w:trPr>
          <w:trHeight w:val="129"/>
        </w:trPr>
        <w:tc>
          <w:tcPr>
            <w:tcW w:w="2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4"/>
        </w:trPr>
        <w:tc>
          <w:tcPr>
            <w:tcW w:w="2780" w:type="dxa"/>
            <w:vAlign w:val="bottom"/>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80" w:type="dxa"/>
            <w:vAlign w:val="bottom"/>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780" w:type="dxa"/>
            <w:vAlign w:val="bottom"/>
          </w:tcPr>
          <w:p>
            <w:pPr>
              <w:ind w:left="340"/>
              <w:spacing w:after="0"/>
              <w:rPr>
                <w:sz w:val="20"/>
                <w:szCs w:val="20"/>
                <w:color w:val="auto"/>
              </w:rPr>
            </w:pPr>
            <w:r>
              <w:rPr>
                <w:rFonts w:ascii="Arial" w:cs="Arial" w:eastAsia="Arial" w:hAnsi="Arial"/>
                <w:sz w:val="13"/>
                <w:szCs w:val="13"/>
                <w:color w:val="auto"/>
              </w:rPr>
              <w:t>units</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101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r>
      <w:tr>
        <w:trPr>
          <w:trHeight w:val="148"/>
        </w:trPr>
        <w:tc>
          <w:tcPr>
            <w:tcW w:w="2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2,568</w:t>
            </w:r>
          </w:p>
        </w:tc>
        <w:tc>
          <w:tcPr>
            <w:tcW w:w="100" w:type="dxa"/>
            <w:vAlign w:val="bottom"/>
            <w:shd w:val="clear" w:color="auto" w:fill="CFF0FC"/>
          </w:tcPr>
          <w:p>
            <w:pPr>
              <w:spacing w:after="0"/>
              <w:rPr>
                <w:sz w:val="12"/>
                <w:szCs w:val="12"/>
                <w:color w:val="auto"/>
              </w:rPr>
            </w:pPr>
          </w:p>
        </w:tc>
      </w:tr>
      <w:tr>
        <w:trPr>
          <w:trHeight w:val="134"/>
        </w:trPr>
        <w:tc>
          <w:tcPr>
            <w:tcW w:w="27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 the market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78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1,568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1,835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1,850</w:t>
            </w:r>
          </w:p>
        </w:tc>
        <w:tc>
          <w:tcPr>
            <w:tcW w:w="100" w:type="dxa"/>
            <w:vAlign w:val="bottom"/>
          </w:tcPr>
          <w:p>
            <w:pPr>
              <w:spacing w:after="0"/>
              <w:rPr>
                <w:sz w:val="12"/>
                <w:szCs w:val="12"/>
                <w:color w:val="auto"/>
              </w:rPr>
            </w:pPr>
          </w:p>
        </w:tc>
      </w:tr>
      <w:tr>
        <w:trPr>
          <w:trHeight w:val="134"/>
        </w:trPr>
        <w:tc>
          <w:tcPr>
            <w:tcW w:w="2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costs associated with at the</w:t>
            </w: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market offering</w:t>
            </w: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w:t>
            </w:r>
          </w:p>
        </w:tc>
      </w:tr>
      <w:tr>
        <w:trPr>
          <w:trHeight w:val="149"/>
        </w:trPr>
        <w:tc>
          <w:tcPr>
            <w:tcW w:w="27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(12,387)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(12,387)</w:t>
            </w:r>
          </w:p>
        </w:tc>
      </w:tr>
      <w:tr>
        <w:trPr>
          <w:trHeight w:val="182"/>
        </w:trPr>
        <w:tc>
          <w:tcPr>
            <w:tcW w:w="27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JUNE 30, 2019</w:t>
            </w: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189,447</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1,894</w:t>
            </w:r>
          </w:p>
        </w:tc>
        <w:tc>
          <w:tcPr>
            <w:tcW w:w="3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2,769,396</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(2,967,270)</w:t>
            </w:r>
          </w:p>
        </w:tc>
        <w:tc>
          <w:tcPr>
            <w:tcW w:w="300" w:type="dxa"/>
            <w:vAlign w:val="bottom"/>
            <w:tcBorders>
              <w:top w:val="single" w:sz="8" w:color="CFF0FC"/>
              <w:bottom w:val="single" w:sz="8" w:color="CFF0FC"/>
            </w:tcBorders>
            <w:shd w:val="clear" w:color="auto" w:fill="CFF0FC"/>
          </w:tcPr>
          <w:p>
            <w:pPr>
              <w:spacing w:after="0"/>
              <w:rPr>
                <w:sz w:val="15"/>
                <w:szCs w:val="15"/>
                <w:color w:val="auto"/>
              </w:rPr>
            </w:pP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15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(195,999)</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129"/>
        </w:trPr>
        <w:tc>
          <w:tcPr>
            <w:tcW w:w="2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4"/>
        </w:trPr>
        <w:tc>
          <w:tcPr>
            <w:tcW w:w="2780" w:type="dxa"/>
            <w:vAlign w:val="bottom"/>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80" w:type="dxa"/>
            <w:vAlign w:val="bottom"/>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780" w:type="dxa"/>
            <w:vAlign w:val="bottom"/>
          </w:tcPr>
          <w:p>
            <w:pPr>
              <w:ind w:left="340"/>
              <w:spacing w:after="0"/>
              <w:rPr>
                <w:sz w:val="20"/>
                <w:szCs w:val="20"/>
                <w:color w:val="auto"/>
              </w:rPr>
            </w:pPr>
            <w:r>
              <w:rPr>
                <w:rFonts w:ascii="Arial" w:cs="Arial" w:eastAsia="Arial" w:hAnsi="Arial"/>
                <w:sz w:val="13"/>
                <w:szCs w:val="13"/>
                <w:color w:val="auto"/>
              </w:rPr>
              <w:t>units</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576</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2"/>
                <w:szCs w:val="12"/>
                <w:color w:val="auto"/>
              </w:rPr>
            </w:pPr>
          </w:p>
        </w:tc>
      </w:tr>
      <w:tr>
        <w:trPr>
          <w:trHeight w:val="134"/>
        </w:trPr>
        <w:tc>
          <w:tcPr>
            <w:tcW w:w="2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9"/>
              </w:rPr>
              <w:t>Issuance of common stock under Employee</w:t>
            </w: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356</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w:t>
            </w:r>
          </w:p>
        </w:tc>
        <w:tc>
          <w:tcPr>
            <w:tcW w:w="100" w:type="dxa"/>
            <w:vAlign w:val="bottom"/>
            <w:shd w:val="clear" w:color="auto" w:fill="CFF0FC"/>
          </w:tcPr>
          <w:p>
            <w:pPr>
              <w:spacing w:after="0"/>
              <w:rPr>
                <w:sz w:val="12"/>
                <w:szCs w:val="12"/>
                <w:color w:val="auto"/>
              </w:rPr>
            </w:pPr>
          </w:p>
        </w:tc>
      </w:tr>
      <w:tr>
        <w:trPr>
          <w:trHeight w:val="148"/>
        </w:trPr>
        <w:tc>
          <w:tcPr>
            <w:tcW w:w="278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1,640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1,640</w:t>
            </w:r>
          </w:p>
        </w:tc>
        <w:tc>
          <w:tcPr>
            <w:tcW w:w="100" w:type="dxa"/>
            <w:vAlign w:val="bottom"/>
          </w:tcPr>
          <w:p>
            <w:pPr>
              <w:spacing w:after="0"/>
              <w:rPr>
                <w:sz w:val="12"/>
                <w:szCs w:val="12"/>
                <w:color w:val="auto"/>
              </w:rPr>
            </w:pPr>
          </w:p>
        </w:tc>
      </w:tr>
      <w:tr>
        <w:trPr>
          <w:trHeight w:val="134"/>
        </w:trPr>
        <w:tc>
          <w:tcPr>
            <w:tcW w:w="2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conversion of Senior Convertible Notes</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4,525</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5,037</w:t>
            </w:r>
          </w:p>
        </w:tc>
        <w:tc>
          <w:tcPr>
            <w:tcW w:w="100" w:type="dxa"/>
            <w:vAlign w:val="bottom"/>
            <w:shd w:val="clear" w:color="auto" w:fill="CFF0FC"/>
          </w:tcPr>
          <w:p>
            <w:pPr>
              <w:spacing w:after="0"/>
              <w:rPr>
                <w:sz w:val="12"/>
                <w:szCs w:val="12"/>
                <w:color w:val="auto"/>
              </w:rPr>
            </w:pPr>
          </w:p>
        </w:tc>
      </w:tr>
      <w:tr>
        <w:trPr>
          <w:trHeight w:val="134"/>
        </w:trPr>
        <w:tc>
          <w:tcPr>
            <w:tcW w:w="27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80" w:type="dxa"/>
            <w:vAlign w:val="bottom"/>
          </w:tcPr>
          <w:p>
            <w:pPr>
              <w:ind w:left="340"/>
              <w:spacing w:after="0" w:line="135" w:lineRule="exact"/>
              <w:rPr>
                <w:sz w:val="20"/>
                <w:szCs w:val="20"/>
                <w:color w:val="auto"/>
              </w:rPr>
            </w:pPr>
            <w:r>
              <w:rPr>
                <w:rFonts w:ascii="Arial" w:cs="Arial" w:eastAsia="Arial" w:hAnsi="Arial"/>
                <w:sz w:val="13"/>
                <w:szCs w:val="13"/>
                <w:color w:val="auto"/>
              </w:rPr>
              <w:t>conversion of Facility Financing</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780" w:type="dxa"/>
            <w:vAlign w:val="bottom"/>
          </w:tcPr>
          <w:p>
            <w:pPr>
              <w:ind w:left="340"/>
              <w:spacing w:after="0"/>
              <w:rPr>
                <w:sz w:val="20"/>
                <w:szCs w:val="20"/>
                <w:color w:val="auto"/>
              </w:rPr>
            </w:pPr>
            <w:r>
              <w:rPr>
                <w:rFonts w:ascii="Arial" w:cs="Arial" w:eastAsia="Arial" w:hAnsi="Arial"/>
                <w:sz w:val="13"/>
                <w:szCs w:val="13"/>
                <w:color w:val="auto"/>
              </w:rPr>
              <w:t>Obligation</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4,193</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4,533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4,575</w:t>
            </w:r>
          </w:p>
        </w:tc>
        <w:tc>
          <w:tcPr>
            <w:tcW w:w="100" w:type="dxa"/>
            <w:vAlign w:val="bottom"/>
          </w:tcPr>
          <w:p>
            <w:pPr>
              <w:spacing w:after="0"/>
              <w:rPr>
                <w:sz w:val="12"/>
                <w:szCs w:val="12"/>
                <w:color w:val="auto"/>
              </w:rPr>
            </w:pPr>
          </w:p>
        </w:tc>
      </w:tr>
      <w:tr>
        <w:trPr>
          <w:trHeight w:val="134"/>
        </w:trPr>
        <w:tc>
          <w:tcPr>
            <w:tcW w:w="2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conversion of Promissory Notes</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7,143</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7,929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8,000</w:t>
            </w:r>
          </w:p>
        </w:tc>
        <w:tc>
          <w:tcPr>
            <w:tcW w:w="100" w:type="dxa"/>
            <w:vAlign w:val="bottom"/>
            <w:shd w:val="clear" w:color="auto" w:fill="CFF0FC"/>
          </w:tcPr>
          <w:p>
            <w:pPr>
              <w:spacing w:after="0"/>
              <w:rPr>
                <w:sz w:val="12"/>
                <w:szCs w:val="12"/>
                <w:color w:val="auto"/>
              </w:rPr>
            </w:pPr>
          </w:p>
        </w:tc>
      </w:tr>
      <w:tr>
        <w:trPr>
          <w:trHeight w:val="134"/>
        </w:trPr>
        <w:tc>
          <w:tcPr>
            <w:tcW w:w="27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at-the-market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78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168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2"/>
                <w:szCs w:val="12"/>
                <w:color w:val="auto"/>
              </w:rPr>
            </w:pPr>
          </w:p>
        </w:tc>
      </w:tr>
      <w:tr>
        <w:trPr>
          <w:trHeight w:val="134"/>
        </w:trPr>
        <w:tc>
          <w:tcPr>
            <w:tcW w:w="2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warrants pursuant to Credit</w:t>
            </w:r>
          </w:p>
        </w:tc>
        <w:tc>
          <w:tcPr>
            <w:tcW w:w="1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facility</w:t>
            </w: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1,854</w:t>
            </w:r>
          </w:p>
        </w:tc>
        <w:tc>
          <w:tcPr>
            <w:tcW w:w="100" w:type="dxa"/>
            <w:vAlign w:val="bottom"/>
            <w:shd w:val="clear" w:color="auto" w:fill="CFF0FC"/>
          </w:tcPr>
          <w:p>
            <w:pPr>
              <w:spacing w:after="0"/>
              <w:rPr>
                <w:sz w:val="12"/>
                <w:szCs w:val="12"/>
                <w:color w:val="auto"/>
              </w:rPr>
            </w:pPr>
          </w:p>
        </w:tc>
      </w:tr>
      <w:tr>
        <w:trPr>
          <w:trHeight w:val="149"/>
        </w:trPr>
        <w:tc>
          <w:tcPr>
            <w:tcW w:w="2780" w:type="dxa"/>
            <w:vAlign w:val="bottom"/>
          </w:tcPr>
          <w:p>
            <w:pPr>
              <w:ind w:left="260"/>
              <w:spacing w:after="0"/>
              <w:rPr>
                <w:sz w:val="20"/>
                <w:szCs w:val="20"/>
                <w:color w:val="auto"/>
              </w:rPr>
            </w:pPr>
            <w:r>
              <w:rPr>
                <w:rFonts w:ascii="Arial" w:cs="Arial" w:eastAsia="Arial" w:hAnsi="Arial"/>
                <w:sz w:val="13"/>
                <w:szCs w:val="13"/>
                <w:color w:val="auto"/>
              </w:rPr>
              <w:t>Cumulative translation loss</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r>
      <w:tr>
        <w:trPr>
          <w:trHeight w:val="148"/>
        </w:trPr>
        <w:tc>
          <w:tcPr>
            <w:tcW w:w="2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(10,370)</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(10,370)</w:t>
            </w:r>
          </w:p>
        </w:tc>
      </w:tr>
      <w:tr>
        <w:trPr>
          <w:trHeight w:val="142"/>
        </w:trPr>
        <w:tc>
          <w:tcPr>
            <w:tcW w:w="2780" w:type="dxa"/>
            <w:vAlign w:val="bottom"/>
          </w:tcPr>
          <w:p>
            <w:pPr>
              <w:spacing w:after="0" w:line="142" w:lineRule="exact"/>
              <w:rPr>
                <w:sz w:val="20"/>
                <w:szCs w:val="20"/>
                <w:color w:val="auto"/>
              </w:rPr>
            </w:pPr>
            <w:r>
              <w:rPr>
                <w:rFonts w:ascii="Arial" w:cs="Arial" w:eastAsia="Arial" w:hAnsi="Arial"/>
                <w:sz w:val="13"/>
                <w:szCs w:val="13"/>
                <w:color w:val="auto"/>
              </w:rPr>
              <w:t>BALANCE, SEPTEMBER 30, 2019</w:t>
            </w:r>
          </w:p>
        </w:tc>
        <w:tc>
          <w:tcPr>
            <w:tcW w:w="18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206,408</w:t>
            </w:r>
          </w:p>
        </w:tc>
        <w:tc>
          <w:tcPr>
            <w:tcW w:w="2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2,064</w:t>
            </w:r>
          </w:p>
        </w:tc>
        <w:tc>
          <w:tcPr>
            <w:tcW w:w="3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2,790,890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w:t>
            </w: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(2,977,640)</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(184,706)</w:t>
            </w:r>
          </w:p>
        </w:tc>
        <w:tc>
          <w:tcPr>
            <w:tcW w:w="100" w:type="dxa"/>
            <w:vAlign w:val="bottom"/>
          </w:tcPr>
          <w:p>
            <w:pPr>
              <w:spacing w:after="0"/>
              <w:rPr>
                <w:sz w:val="12"/>
                <w:szCs w:val="12"/>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960" w:type="dxa"/>
            <w:vAlign w:val="bottom"/>
          </w:tcPr>
          <w:p>
            <w:pPr>
              <w:spacing w:after="0"/>
              <w:rPr>
                <w:sz w:val="13"/>
                <w:szCs w:val="13"/>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3"/>
                <w:szCs w:val="1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960" w:type="dxa"/>
            <w:vAlign w:val="bottom"/>
          </w:tcPr>
          <w:p>
            <w:pPr>
              <w:spacing w:after="0"/>
              <w:rPr>
                <w:sz w:val="12"/>
                <w:szCs w:val="12"/>
                <w:color w:val="auto"/>
              </w:rPr>
            </w:pPr>
          </w:p>
        </w:tc>
        <w:tc>
          <w:tcPr>
            <w:tcW w:w="1280" w:type="dxa"/>
            <w:vAlign w:val="bottom"/>
            <w:gridSpan w:val="2"/>
          </w:tcPr>
          <w:p>
            <w:pPr>
              <w:jc w:val="right"/>
              <w:ind w:right="540"/>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277"/>
              <w:spacing w:after="0" w:line="142"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40"/>
              <w:spacing w:after="0" w:line="142"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00"/>
              <w:spacing w:after="0" w:line="142"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2"/>
                <w:szCs w:val="12"/>
                <w:color w:val="auto"/>
              </w:rPr>
            </w:pPr>
          </w:p>
        </w:tc>
        <w:tc>
          <w:tcPr>
            <w:tcW w:w="1300" w:type="dxa"/>
            <w:vAlign w:val="bottom"/>
            <w:gridSpan w:val="2"/>
          </w:tcPr>
          <w:p>
            <w:pPr>
              <w:jc w:val="right"/>
              <w:ind w:right="680"/>
              <w:spacing w:after="0" w:line="142" w:lineRule="exact"/>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54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29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JANUARY 1, 2020</w:t>
            </w:r>
          </w:p>
        </w:tc>
        <w:tc>
          <w:tcPr>
            <w:tcW w:w="1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211,788</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2,118</w:t>
            </w: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2,799,278</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w:t>
            </w:r>
          </w:p>
        </w:tc>
        <w:tc>
          <w:tcPr>
            <w:tcW w:w="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(2,991,903)</w:t>
            </w:r>
          </w:p>
        </w:tc>
        <w:tc>
          <w:tcPr>
            <w:tcW w:w="3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5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(190,526)</w:t>
            </w:r>
          </w:p>
        </w:tc>
        <w:tc>
          <w:tcPr>
            <w:tcW w:w="100" w:type="dxa"/>
            <w:vAlign w:val="bottom"/>
            <w:tcBorders>
              <w:top w:val="single" w:sz="8" w:color="CFF0FC"/>
            </w:tcBorders>
            <w:shd w:val="clear" w:color="auto" w:fill="CFF0FC"/>
          </w:tcPr>
          <w:p>
            <w:pPr>
              <w:spacing w:after="0"/>
              <w:rPr>
                <w:sz w:val="12"/>
                <w:szCs w:val="12"/>
                <w:color w:val="auto"/>
              </w:rPr>
            </w:pPr>
          </w:p>
        </w:tc>
      </w:tr>
      <w:tr>
        <w:trPr>
          <w:trHeight w:val="134"/>
        </w:trPr>
        <w:tc>
          <w:tcPr>
            <w:tcW w:w="296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960" w:type="dxa"/>
            <w:vAlign w:val="bottom"/>
          </w:tcPr>
          <w:p>
            <w:pPr>
              <w:ind w:left="340"/>
              <w:spacing w:after="0"/>
              <w:rPr>
                <w:sz w:val="20"/>
                <w:szCs w:val="20"/>
                <w:color w:val="auto"/>
              </w:rPr>
            </w:pPr>
            <w:r>
              <w:rPr>
                <w:rFonts w:ascii="Arial" w:cs="Arial" w:eastAsia="Arial" w:hAnsi="Arial"/>
                <w:sz w:val="13"/>
                <w:szCs w:val="13"/>
                <w:color w:val="auto"/>
              </w:rPr>
              <w:t>Stock Purchase Plan</w:t>
            </w:r>
          </w:p>
        </w:tc>
        <w:tc>
          <w:tcPr>
            <w:tcW w:w="1120" w:type="dxa"/>
            <w:vAlign w:val="bottom"/>
          </w:tcPr>
          <w:p>
            <w:pPr>
              <w:jc w:val="right"/>
              <w:spacing w:after="0"/>
              <w:rPr>
                <w:sz w:val="20"/>
                <w:szCs w:val="20"/>
                <w:color w:val="auto"/>
              </w:rPr>
            </w:pPr>
            <w:r>
              <w:rPr>
                <w:rFonts w:ascii="Arial" w:cs="Arial" w:eastAsia="Arial" w:hAnsi="Arial"/>
                <w:sz w:val="13"/>
                <w:szCs w:val="13"/>
                <w:color w:val="auto"/>
              </w:rPr>
              <w:t>334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2"/>
                <w:szCs w:val="12"/>
                <w:color w:val="auto"/>
              </w:rPr>
            </w:pPr>
          </w:p>
        </w:tc>
      </w:tr>
      <w:tr>
        <w:trPr>
          <w:trHeight w:val="148"/>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w:t>
            </w:r>
          </w:p>
        </w:tc>
        <w:tc>
          <w:tcPr>
            <w:tcW w:w="100" w:type="dxa"/>
            <w:vAlign w:val="bottom"/>
            <w:shd w:val="clear" w:color="auto" w:fill="CFF0FC"/>
          </w:tcPr>
          <w:p>
            <w:pPr>
              <w:spacing w:after="0"/>
              <w:rPr>
                <w:sz w:val="12"/>
                <w:szCs w:val="12"/>
                <w:color w:val="auto"/>
              </w:rPr>
            </w:pPr>
          </w:p>
        </w:tc>
      </w:tr>
      <w:tr>
        <w:trPr>
          <w:trHeight w:val="134"/>
        </w:trPr>
        <w:tc>
          <w:tcPr>
            <w:tcW w:w="296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associated</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960" w:type="dxa"/>
            <w:vAlign w:val="bottom"/>
          </w:tcPr>
          <w:p>
            <w:pPr>
              <w:ind w:left="340"/>
              <w:spacing w:after="0"/>
              <w:rPr>
                <w:sz w:val="20"/>
                <w:szCs w:val="20"/>
                <w:color w:val="auto"/>
              </w:rPr>
            </w:pPr>
            <w:r>
              <w:rPr>
                <w:rFonts w:ascii="Arial" w:cs="Arial" w:eastAsia="Arial" w:hAnsi="Arial"/>
                <w:sz w:val="13"/>
                <w:szCs w:val="13"/>
                <w:color w:val="auto"/>
              </w:rPr>
              <w:t>with debt interest payment</w:t>
            </w:r>
          </w:p>
        </w:tc>
        <w:tc>
          <w:tcPr>
            <w:tcW w:w="1120" w:type="dxa"/>
            <w:vAlign w:val="bottom"/>
          </w:tcPr>
          <w:p>
            <w:pPr>
              <w:jc w:val="right"/>
              <w:spacing w:after="0"/>
              <w:rPr>
                <w:sz w:val="20"/>
                <w:szCs w:val="20"/>
                <w:color w:val="auto"/>
              </w:rPr>
            </w:pPr>
            <w:r>
              <w:rPr>
                <w:rFonts w:ascii="Arial" w:cs="Arial" w:eastAsia="Arial" w:hAnsi="Arial"/>
                <w:sz w:val="13"/>
                <w:szCs w:val="13"/>
                <w:color w:val="auto"/>
              </w:rPr>
              <w:t>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2"/>
                <w:szCs w:val="12"/>
                <w:color w:val="auto"/>
              </w:rPr>
            </w:pPr>
          </w:p>
        </w:tc>
      </w:tr>
      <w:tr>
        <w:trPr>
          <w:trHeight w:val="134"/>
        </w:trPr>
        <w:tc>
          <w:tcPr>
            <w:tcW w:w="29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96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9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units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(322)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(317)</w:t>
            </w:r>
          </w:p>
        </w:tc>
      </w:tr>
      <w:tr>
        <w:trPr>
          <w:trHeight w:val="134"/>
        </w:trPr>
        <w:tc>
          <w:tcPr>
            <w:tcW w:w="296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 the market</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96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120" w:type="dxa"/>
            <w:vAlign w:val="bottom"/>
          </w:tcPr>
          <w:p>
            <w:pPr>
              <w:jc w:val="right"/>
              <w:spacing w:after="0"/>
              <w:rPr>
                <w:sz w:val="20"/>
                <w:szCs w:val="20"/>
                <w:color w:val="auto"/>
              </w:rPr>
            </w:pPr>
            <w:r>
              <w:rPr>
                <w:rFonts w:ascii="Arial" w:cs="Arial" w:eastAsia="Arial" w:hAnsi="Arial"/>
                <w:sz w:val="13"/>
                <w:szCs w:val="13"/>
                <w:color w:val="auto"/>
              </w:rPr>
              <w:t>413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2"/>
                <w:szCs w:val="12"/>
                <w:color w:val="auto"/>
              </w:rPr>
            </w:pPr>
          </w:p>
        </w:tc>
      </w:tr>
      <w:tr>
        <w:trPr>
          <w:trHeight w:val="134"/>
        </w:trPr>
        <w:tc>
          <w:tcPr>
            <w:tcW w:w="29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 associated with at the market</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9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w:t>
            </w:r>
          </w:p>
        </w:tc>
      </w:tr>
      <w:tr>
        <w:trPr>
          <w:trHeight w:val="148"/>
        </w:trPr>
        <w:tc>
          <w:tcPr>
            <w:tcW w:w="2960" w:type="dxa"/>
            <w:vAlign w:val="bottom"/>
          </w:tcPr>
          <w:p>
            <w:pPr>
              <w:ind w:left="260"/>
              <w:spacing w:after="0"/>
              <w:rPr>
                <w:sz w:val="20"/>
                <w:szCs w:val="20"/>
                <w:color w:val="auto"/>
              </w:rPr>
            </w:pPr>
            <w:r>
              <w:rPr>
                <w:rFonts w:ascii="Arial" w:cs="Arial" w:eastAsia="Arial" w:hAnsi="Arial"/>
                <w:sz w:val="13"/>
                <w:szCs w:val="13"/>
                <w:color w:val="auto"/>
              </w:rPr>
              <w:t>Write-off of cumulative translation loss</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2"/>
                <w:szCs w:val="12"/>
                <w:color w:val="auto"/>
              </w:rPr>
            </w:pPr>
          </w:p>
        </w:tc>
      </w:tr>
      <w:tr>
        <w:trPr>
          <w:trHeight w:val="148"/>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(9,322)</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(9,322)</w:t>
            </w:r>
          </w:p>
        </w:tc>
      </w:tr>
      <w:tr>
        <w:trPr>
          <w:trHeight w:val="182"/>
        </w:trPr>
        <w:tc>
          <w:tcPr>
            <w:tcW w:w="296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BALANCE, MARCH 31, 2020</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213,138</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2,131</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2,801,044</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(3,001,225)</w:t>
            </w:r>
          </w:p>
        </w:tc>
        <w:tc>
          <w:tcPr>
            <w:tcW w:w="3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(198,050)</w:t>
            </w:r>
          </w:p>
        </w:tc>
        <w:tc>
          <w:tcPr>
            <w:tcW w:w="100" w:type="dxa"/>
            <w:vAlign w:val="bottom"/>
            <w:tcBorders>
              <w:bottom w:val="single" w:sz="8" w:color="CFF0FC"/>
            </w:tcBorders>
          </w:tcPr>
          <w:p>
            <w:pPr>
              <w:spacing w:after="0"/>
              <w:rPr>
                <w:sz w:val="15"/>
                <w:szCs w:val="15"/>
                <w:color w:val="auto"/>
              </w:rPr>
            </w:pPr>
          </w:p>
        </w:tc>
      </w:tr>
      <w:tr>
        <w:trPr>
          <w:trHeight w:val="129"/>
        </w:trPr>
        <w:tc>
          <w:tcPr>
            <w:tcW w:w="29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296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2,185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2,185</w:t>
            </w:r>
          </w:p>
        </w:tc>
        <w:tc>
          <w:tcPr>
            <w:tcW w:w="100" w:type="dxa"/>
            <w:vAlign w:val="bottom"/>
          </w:tcPr>
          <w:p>
            <w:pPr>
              <w:spacing w:after="0"/>
              <w:rPr>
                <w:sz w:val="12"/>
                <w:szCs w:val="12"/>
                <w:color w:val="auto"/>
              </w:rPr>
            </w:pPr>
          </w:p>
        </w:tc>
      </w:tr>
      <w:tr>
        <w:trPr>
          <w:trHeight w:val="134"/>
        </w:trPr>
        <w:tc>
          <w:tcPr>
            <w:tcW w:w="29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from the</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9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exercise of warrants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7,250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11,527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11,600</w:t>
            </w:r>
          </w:p>
        </w:tc>
        <w:tc>
          <w:tcPr>
            <w:tcW w:w="100" w:type="dxa"/>
            <w:vAlign w:val="bottom"/>
            <w:shd w:val="clear" w:color="auto" w:fill="CFF0FC"/>
          </w:tcPr>
          <w:p>
            <w:pPr>
              <w:spacing w:after="0"/>
              <w:rPr>
                <w:sz w:val="12"/>
                <w:szCs w:val="12"/>
                <w:color w:val="auto"/>
              </w:rPr>
            </w:pPr>
          </w:p>
        </w:tc>
      </w:tr>
      <w:tr>
        <w:trPr>
          <w:trHeight w:val="134"/>
        </w:trPr>
        <w:tc>
          <w:tcPr>
            <w:tcW w:w="296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960" w:type="dxa"/>
            <w:vAlign w:val="bottom"/>
          </w:tcPr>
          <w:p>
            <w:pPr>
              <w:ind w:left="340"/>
              <w:spacing w:after="0"/>
              <w:rPr>
                <w:sz w:val="20"/>
                <w:szCs w:val="20"/>
                <w:color w:val="auto"/>
              </w:rPr>
            </w:pPr>
            <w:r>
              <w:rPr>
                <w:rFonts w:ascii="Arial" w:cs="Arial" w:eastAsia="Arial" w:hAnsi="Arial"/>
                <w:sz w:val="13"/>
                <w:szCs w:val="13"/>
                <w:color w:val="auto"/>
              </w:rPr>
              <w:t>conversion of the June 2020 note</w:t>
            </w:r>
          </w:p>
        </w:tc>
        <w:tc>
          <w:tcPr>
            <w:tcW w:w="1120" w:type="dxa"/>
            <w:vAlign w:val="bottom"/>
          </w:tcPr>
          <w:p>
            <w:pPr>
              <w:jc w:val="right"/>
              <w:spacing w:after="0"/>
              <w:rPr>
                <w:sz w:val="20"/>
                <w:szCs w:val="20"/>
                <w:color w:val="auto"/>
              </w:rPr>
            </w:pPr>
            <w:r>
              <w:rPr>
                <w:rFonts w:ascii="Arial" w:cs="Arial" w:eastAsia="Arial" w:hAnsi="Arial"/>
                <w:sz w:val="13"/>
                <w:szCs w:val="13"/>
                <w:color w:val="auto"/>
              </w:rPr>
              <w:t>1,235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2,630</w:t>
            </w:r>
          </w:p>
        </w:tc>
        <w:tc>
          <w:tcPr>
            <w:tcW w:w="100" w:type="dxa"/>
            <w:vAlign w:val="bottom"/>
          </w:tcPr>
          <w:p>
            <w:pPr>
              <w:spacing w:after="0"/>
              <w:rPr>
                <w:sz w:val="12"/>
                <w:szCs w:val="12"/>
                <w:color w:val="auto"/>
              </w:rPr>
            </w:pPr>
          </w:p>
        </w:tc>
      </w:tr>
      <w:tr>
        <w:trPr>
          <w:trHeight w:val="134"/>
        </w:trPr>
        <w:tc>
          <w:tcPr>
            <w:tcW w:w="29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96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9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units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FF0FC"/>
          </w:tcPr>
          <w:p>
            <w:pPr>
              <w:spacing w:after="0"/>
              <w:rPr>
                <w:sz w:val="12"/>
                <w:szCs w:val="12"/>
                <w:color w:val="auto"/>
              </w:rPr>
            </w:pPr>
          </w:p>
        </w:tc>
      </w:tr>
      <w:tr>
        <w:trPr>
          <w:trHeight w:val="134"/>
        </w:trPr>
        <w:tc>
          <w:tcPr>
            <w:tcW w:w="296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 the market</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96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120" w:type="dxa"/>
            <w:vAlign w:val="bottom"/>
          </w:tcPr>
          <w:p>
            <w:pPr>
              <w:jc w:val="right"/>
              <w:spacing w:after="0"/>
              <w:rPr>
                <w:sz w:val="20"/>
                <w:szCs w:val="20"/>
                <w:color w:val="auto"/>
              </w:rPr>
            </w:pPr>
            <w:r>
              <w:rPr>
                <w:rFonts w:ascii="Arial" w:cs="Arial" w:eastAsia="Arial" w:hAnsi="Arial"/>
                <w:sz w:val="13"/>
                <w:szCs w:val="13"/>
                <w:color w:val="auto"/>
              </w:rPr>
              <w:t>7,459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12,291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12,366</w:t>
            </w:r>
          </w:p>
        </w:tc>
        <w:tc>
          <w:tcPr>
            <w:tcW w:w="100" w:type="dxa"/>
            <w:vAlign w:val="bottom"/>
          </w:tcPr>
          <w:p>
            <w:pPr>
              <w:spacing w:after="0"/>
              <w:rPr>
                <w:sz w:val="12"/>
                <w:szCs w:val="12"/>
                <w:color w:val="auto"/>
              </w:rPr>
            </w:pPr>
          </w:p>
        </w:tc>
      </w:tr>
      <w:tr>
        <w:trPr>
          <w:trHeight w:val="134"/>
        </w:trPr>
        <w:tc>
          <w:tcPr>
            <w:tcW w:w="29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 associated with at the market</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9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(320)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(320)</w:t>
            </w:r>
          </w:p>
        </w:tc>
      </w:tr>
      <w:tr>
        <w:trPr>
          <w:trHeight w:val="134"/>
        </w:trPr>
        <w:tc>
          <w:tcPr>
            <w:tcW w:w="296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from market</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960" w:type="dxa"/>
            <w:vAlign w:val="bottom"/>
          </w:tcPr>
          <w:p>
            <w:pPr>
              <w:ind w:left="340"/>
              <w:spacing w:after="0"/>
              <w:rPr>
                <w:sz w:val="20"/>
                <w:szCs w:val="20"/>
                <w:color w:val="auto"/>
              </w:rPr>
            </w:pPr>
            <w:r>
              <w:rPr>
                <w:rFonts w:ascii="Arial" w:cs="Arial" w:eastAsia="Arial" w:hAnsi="Arial"/>
                <w:sz w:val="13"/>
                <w:szCs w:val="13"/>
                <w:color w:val="auto"/>
              </w:rPr>
              <w:t>price stock purchase</w:t>
            </w:r>
          </w:p>
        </w:tc>
        <w:tc>
          <w:tcPr>
            <w:tcW w:w="1120" w:type="dxa"/>
            <w:vAlign w:val="bottom"/>
          </w:tcPr>
          <w:p>
            <w:pPr>
              <w:jc w:val="right"/>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r>
      <w:tr>
        <w:trPr>
          <w:trHeight w:val="134"/>
        </w:trPr>
        <w:tc>
          <w:tcPr>
            <w:tcW w:w="29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Adjustment of common stock in association</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9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with restricted stock units</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(461)</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29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(10,252)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(10,252)</w:t>
            </w:r>
          </w:p>
        </w:tc>
      </w:tr>
      <w:tr>
        <w:trPr>
          <w:trHeight w:val="142"/>
        </w:trPr>
        <w:tc>
          <w:tcPr>
            <w:tcW w:w="296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JUNE 30, 2020</w:t>
            </w: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228,928</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2,289</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2,829,478</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(3,011,477)</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5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(179,710)</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2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1,294</w:t>
            </w:r>
          </w:p>
        </w:tc>
        <w:tc>
          <w:tcPr>
            <w:tcW w:w="100" w:type="dxa"/>
            <w:vAlign w:val="bottom"/>
            <w:shd w:val="clear" w:color="auto" w:fill="CFF0FC"/>
          </w:tcPr>
          <w:p>
            <w:pPr>
              <w:spacing w:after="0"/>
              <w:rPr>
                <w:sz w:val="12"/>
                <w:szCs w:val="12"/>
                <w:color w:val="auto"/>
              </w:rPr>
            </w:pPr>
          </w:p>
        </w:tc>
      </w:tr>
      <w:tr>
        <w:trPr>
          <w:trHeight w:val="134"/>
        </w:trPr>
        <w:tc>
          <w:tcPr>
            <w:tcW w:w="296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associated</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960" w:type="dxa"/>
            <w:vAlign w:val="bottom"/>
          </w:tcPr>
          <w:p>
            <w:pPr>
              <w:ind w:left="340"/>
              <w:spacing w:after="0"/>
              <w:rPr>
                <w:sz w:val="20"/>
                <w:szCs w:val="20"/>
                <w:color w:val="auto"/>
              </w:rPr>
            </w:pPr>
            <w:r>
              <w:rPr>
                <w:rFonts w:ascii="Arial" w:cs="Arial" w:eastAsia="Arial" w:hAnsi="Arial"/>
                <w:sz w:val="13"/>
                <w:szCs w:val="13"/>
                <w:color w:val="auto"/>
              </w:rPr>
              <w:t>with debt interest payment</w:t>
            </w:r>
          </w:p>
        </w:tc>
        <w:tc>
          <w:tcPr>
            <w:tcW w:w="1120" w:type="dxa"/>
            <w:vAlign w:val="bottom"/>
          </w:tcPr>
          <w:p>
            <w:pPr>
              <w:jc w:val="right"/>
              <w:spacing w:after="0"/>
              <w:rPr>
                <w:sz w:val="20"/>
                <w:szCs w:val="20"/>
                <w:color w:val="auto"/>
              </w:rPr>
            </w:pPr>
            <w:r>
              <w:rPr>
                <w:rFonts w:ascii="Arial" w:cs="Arial" w:eastAsia="Arial" w:hAnsi="Arial"/>
                <w:sz w:val="13"/>
                <w:szCs w:val="13"/>
                <w:color w:val="auto"/>
              </w:rPr>
              <w:t>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2"/>
                <w:szCs w:val="12"/>
                <w:color w:val="auto"/>
              </w:rPr>
            </w:pPr>
          </w:p>
        </w:tc>
      </w:tr>
      <w:tr>
        <w:trPr>
          <w:trHeight w:val="134"/>
        </w:trPr>
        <w:tc>
          <w:tcPr>
            <w:tcW w:w="29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96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9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units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FF0FC"/>
          </w:tcPr>
          <w:p>
            <w:pPr>
              <w:spacing w:after="0"/>
              <w:rPr>
                <w:sz w:val="12"/>
                <w:szCs w:val="12"/>
                <w:color w:val="auto"/>
              </w:rPr>
            </w:pPr>
          </w:p>
        </w:tc>
      </w:tr>
      <w:tr>
        <w:trPr>
          <w:trHeight w:val="134"/>
        </w:trPr>
        <w:tc>
          <w:tcPr>
            <w:tcW w:w="296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 the market</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96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120" w:type="dxa"/>
            <w:vAlign w:val="bottom"/>
          </w:tcPr>
          <w:p>
            <w:pPr>
              <w:jc w:val="right"/>
              <w:spacing w:after="0"/>
              <w:rPr>
                <w:sz w:val="20"/>
                <w:szCs w:val="20"/>
                <w:color w:val="auto"/>
              </w:rPr>
            </w:pPr>
            <w:r>
              <w:rPr>
                <w:rFonts w:ascii="Arial" w:cs="Arial" w:eastAsia="Arial" w:hAnsi="Arial"/>
                <w:sz w:val="13"/>
                <w:szCs w:val="13"/>
                <w:color w:val="auto"/>
              </w:rPr>
              <w:t>1,531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2,679</w:t>
            </w:r>
          </w:p>
        </w:tc>
        <w:tc>
          <w:tcPr>
            <w:tcW w:w="100" w:type="dxa"/>
            <w:vAlign w:val="bottom"/>
          </w:tcPr>
          <w:p>
            <w:pPr>
              <w:spacing w:after="0"/>
              <w:rPr>
                <w:sz w:val="12"/>
                <w:szCs w:val="12"/>
                <w:color w:val="auto"/>
              </w:rPr>
            </w:pPr>
          </w:p>
        </w:tc>
      </w:tr>
      <w:tr>
        <w:trPr>
          <w:trHeight w:val="134"/>
        </w:trPr>
        <w:tc>
          <w:tcPr>
            <w:tcW w:w="29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 associated with at the market</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9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(39)</w:t>
            </w:r>
          </w:p>
        </w:tc>
      </w:tr>
      <w:tr>
        <w:trPr>
          <w:trHeight w:val="134"/>
        </w:trPr>
        <w:tc>
          <w:tcPr>
            <w:tcW w:w="296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960" w:type="dxa"/>
            <w:vAlign w:val="bottom"/>
          </w:tcPr>
          <w:p>
            <w:pPr>
              <w:ind w:left="340"/>
              <w:spacing w:after="0"/>
              <w:rPr>
                <w:sz w:val="20"/>
                <w:szCs w:val="20"/>
                <w:color w:val="auto"/>
              </w:rPr>
            </w:pPr>
            <w:r>
              <w:rPr>
                <w:rFonts w:ascii="Arial" w:cs="Arial" w:eastAsia="Arial" w:hAnsi="Arial"/>
                <w:sz w:val="13"/>
                <w:szCs w:val="13"/>
                <w:color w:val="auto"/>
              </w:rPr>
              <w:t>Stock Purchase Plan</w:t>
            </w:r>
          </w:p>
        </w:tc>
        <w:tc>
          <w:tcPr>
            <w:tcW w:w="1120" w:type="dxa"/>
            <w:vAlign w:val="bottom"/>
          </w:tcPr>
          <w:p>
            <w:pPr>
              <w:jc w:val="right"/>
              <w:spacing w:after="0"/>
              <w:rPr>
                <w:sz w:val="20"/>
                <w:szCs w:val="20"/>
                <w:color w:val="auto"/>
              </w:rPr>
            </w:pPr>
            <w:r>
              <w:rPr>
                <w:rFonts w:ascii="Arial" w:cs="Arial" w:eastAsia="Arial" w:hAnsi="Arial"/>
                <w:sz w:val="13"/>
                <w:szCs w:val="13"/>
                <w:color w:val="auto"/>
              </w:rPr>
              <w:t>293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2"/>
                <w:szCs w:val="12"/>
                <w:color w:val="auto"/>
              </w:rPr>
            </w:pPr>
          </w:p>
        </w:tc>
      </w:tr>
      <w:tr>
        <w:trPr>
          <w:trHeight w:val="148"/>
        </w:trPr>
        <w:tc>
          <w:tcPr>
            <w:tcW w:w="29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(11,255)</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(11,255)</w:t>
            </w:r>
          </w:p>
        </w:tc>
      </w:tr>
      <w:tr>
        <w:trPr>
          <w:trHeight w:val="142"/>
        </w:trPr>
        <w:tc>
          <w:tcPr>
            <w:tcW w:w="2960" w:type="dxa"/>
            <w:vAlign w:val="bottom"/>
          </w:tcPr>
          <w:p>
            <w:pPr>
              <w:spacing w:after="0" w:line="142" w:lineRule="exact"/>
              <w:rPr>
                <w:sz w:val="20"/>
                <w:szCs w:val="20"/>
                <w:color w:val="auto"/>
              </w:rPr>
            </w:pPr>
            <w:r>
              <w:rPr>
                <w:rFonts w:ascii="Arial" w:cs="Arial" w:eastAsia="Arial" w:hAnsi="Arial"/>
                <w:sz w:val="13"/>
                <w:szCs w:val="13"/>
                <w:color w:val="auto"/>
              </w:rPr>
              <w:t>BALANCE, SEPTEMBER 30, 2020</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230,923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2,834,003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(3,022,732)</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(186,420)</w:t>
            </w:r>
          </w:p>
        </w:tc>
        <w:tc>
          <w:tcPr>
            <w:tcW w:w="100" w:type="dxa"/>
            <w:vAlign w:val="bottom"/>
          </w:tcPr>
          <w:p>
            <w:pPr>
              <w:spacing w:after="0"/>
              <w:rPr>
                <w:sz w:val="12"/>
                <w:szCs w:val="12"/>
                <w:color w:val="auto"/>
              </w:rPr>
            </w:pPr>
          </w:p>
        </w:tc>
      </w:tr>
      <w:tr>
        <w:trPr>
          <w:trHeight w:val="20"/>
        </w:trPr>
        <w:tc>
          <w:tcPr>
            <w:tcW w:w="2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MANNKIND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60" w:type="dxa"/>
            <w:vAlign w:val="bottom"/>
            <w:tcBorders>
              <w:bottom w:val="single" w:sz="8" w:color="auto"/>
            </w:tcBorders>
            <w:gridSpan w:val="5"/>
          </w:tcPr>
          <w:p>
            <w:pPr>
              <w:jc w:val="right"/>
              <w:ind w:right="188"/>
              <w:spacing w:after="0"/>
              <w:rPr>
                <w:sz w:val="20"/>
                <w:szCs w:val="20"/>
                <w:color w:val="auto"/>
              </w:rPr>
            </w:pPr>
            <w:r>
              <w:rPr>
                <w:rFonts w:ascii="Arial" w:cs="Arial" w:eastAsia="Arial" w:hAnsi="Arial"/>
                <w:sz w:val="13"/>
                <w:szCs w:val="13"/>
                <w:b w:val="1"/>
                <w:bCs w:val="1"/>
                <w:color w:val="auto"/>
              </w:rPr>
              <w:t>Nine Months Ended September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jc w:val="right"/>
              <w:ind w:right="61"/>
              <w:spacing w:after="0" w:line="142" w:lineRule="exact"/>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68"/>
              <w:spacing w:after="0" w:line="142" w:lineRule="exact"/>
              <w:rPr>
                <w:sz w:val="20"/>
                <w:szCs w:val="20"/>
                <w:color w:val="auto"/>
              </w:rPr>
            </w:pPr>
            <w:r>
              <w:rPr>
                <w:rFonts w:ascii="Arial" w:cs="Arial" w:eastAsia="Arial" w:hAnsi="Arial"/>
                <w:sz w:val="13"/>
                <w:szCs w:val="13"/>
                <w:b w:val="1"/>
                <w:bCs w:val="1"/>
                <w:color w:val="auto"/>
              </w:rPr>
              <w:t>2019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6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CASH FLOWS FROM OPERATING ACTIVITIES:</w:t>
            </w:r>
          </w:p>
        </w:tc>
        <w:tc>
          <w:tcPr>
            <w:tcW w:w="114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66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2160" w:type="dxa"/>
            <w:vAlign w:val="bottom"/>
            <w:gridSpan w:val="2"/>
          </w:tcPr>
          <w:p>
            <w:pPr>
              <w:jc w:val="right"/>
              <w:ind w:right="901"/>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(30,829)</w:t>
            </w:r>
          </w:p>
        </w:tc>
        <w:tc>
          <w:tcPr>
            <w:tcW w:w="1140" w:type="dxa"/>
            <w:vAlign w:val="bottom"/>
            <w:gridSpan w:val="2"/>
          </w:tcPr>
          <w:p>
            <w:pPr>
              <w:jc w:val="right"/>
              <w:ind w:right="908"/>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(37,640)</w:t>
            </w:r>
          </w:p>
        </w:tc>
      </w:tr>
      <w:tr>
        <w:trPr>
          <w:trHeight w:val="148"/>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500"/>
              <w:spacing w:after="0"/>
              <w:rPr>
                <w:sz w:val="20"/>
                <w:szCs w:val="20"/>
                <w:color w:val="auto"/>
              </w:rPr>
            </w:pPr>
            <w:r>
              <w:rPr>
                <w:rFonts w:ascii="Arial" w:cs="Arial" w:eastAsia="Arial" w:hAnsi="Arial"/>
                <w:sz w:val="13"/>
                <w:szCs w:val="13"/>
                <w:color w:val="auto"/>
              </w:rPr>
              <w:t>Interest expense on promissory notes</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3,852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3,517</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Stock-based compensation expense</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500"/>
              <w:spacing w:after="0"/>
              <w:rPr>
                <w:sz w:val="20"/>
                <w:szCs w:val="20"/>
                <w:color w:val="auto"/>
              </w:rPr>
            </w:pPr>
            <w:r>
              <w:rPr>
                <w:rFonts w:ascii="Arial" w:cs="Arial" w:eastAsia="Arial" w:hAnsi="Arial"/>
                <w:sz w:val="13"/>
                <w:szCs w:val="13"/>
                <w:color w:val="auto"/>
              </w:rPr>
              <w:t>Asset impairment</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Depreciation, amortization and accretion</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407</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500"/>
              <w:spacing w:after="0"/>
              <w:rPr>
                <w:sz w:val="20"/>
                <w:szCs w:val="20"/>
                <w:color w:val="auto"/>
              </w:rPr>
            </w:pPr>
            <w:r>
              <w:rPr>
                <w:rFonts w:ascii="Arial" w:cs="Arial" w:eastAsia="Arial" w:hAnsi="Arial"/>
                <w:sz w:val="13"/>
                <w:szCs w:val="13"/>
                <w:color w:val="auto"/>
              </w:rPr>
              <w:t>Amortization of right-of-use assets</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879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903</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Write-off of inventory</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6600" w:type="dxa"/>
            <w:vAlign w:val="bottom"/>
          </w:tcPr>
          <w:p>
            <w:pPr>
              <w:ind w:left="500"/>
              <w:spacing w:after="0"/>
              <w:rPr>
                <w:sz w:val="20"/>
                <w:szCs w:val="20"/>
                <w:color w:val="auto"/>
              </w:rPr>
            </w:pPr>
            <w:r>
              <w:rPr>
                <w:rFonts w:ascii="Arial" w:cs="Arial" w:eastAsia="Arial" w:hAnsi="Arial"/>
                <w:sz w:val="13"/>
                <w:szCs w:val="13"/>
                <w:color w:val="auto"/>
              </w:rPr>
              <w:t>Loss (gain) on foreign currency translation</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(4,495)</w:t>
            </w:r>
          </w:p>
        </w:tc>
      </w:tr>
      <w:tr>
        <w:trPr>
          <w:trHeight w:val="148"/>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Payment-in-kind interest on promissory notes</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(32,822)</w:t>
            </w:r>
          </w:p>
        </w:tc>
      </w:tr>
      <w:tr>
        <w:trPr>
          <w:trHeight w:val="149"/>
        </w:trPr>
        <w:tc>
          <w:tcPr>
            <w:tcW w:w="6600" w:type="dxa"/>
            <w:vAlign w:val="bottom"/>
          </w:tcPr>
          <w:p>
            <w:pPr>
              <w:ind w:left="500"/>
              <w:spacing w:after="0"/>
              <w:rPr>
                <w:sz w:val="20"/>
                <w:szCs w:val="20"/>
                <w:color w:val="auto"/>
              </w:rPr>
            </w:pPr>
            <w:r>
              <w:rPr>
                <w:rFonts w:ascii="Arial" w:cs="Arial" w:eastAsia="Arial" w:hAnsi="Arial"/>
                <w:sz w:val="13"/>
                <w:szCs w:val="13"/>
                <w:color w:val="auto"/>
              </w:rPr>
              <w:t>Gain on extinguishment of debt</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(3,529)</w:t>
            </w:r>
          </w:p>
        </w:tc>
      </w:tr>
      <w:tr>
        <w:trPr>
          <w:trHeight w:val="148"/>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net</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 net</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(622)</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(76)</w:t>
            </w:r>
          </w:p>
        </w:tc>
      </w:tr>
      <w:tr>
        <w:trPr>
          <w:trHeight w:val="148"/>
        </w:trPr>
        <w:tc>
          <w:tcPr>
            <w:tcW w:w="6600" w:type="dxa"/>
            <w:vAlign w:val="bottom"/>
          </w:tcPr>
          <w:p>
            <w:pPr>
              <w:ind w:left="740"/>
              <w:spacing w:after="0"/>
              <w:rPr>
                <w:sz w:val="20"/>
                <w:szCs w:val="20"/>
                <w:color w:val="auto"/>
              </w:rPr>
            </w:pPr>
            <w:r>
              <w:rPr>
                <w:rFonts w:ascii="Arial" w:cs="Arial" w:eastAsia="Arial" w:hAnsi="Arial"/>
                <w:sz w:val="13"/>
                <w:szCs w:val="13"/>
                <w:color w:val="auto"/>
              </w:rPr>
              <w:t>Inventory</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(1,222)</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(95)</w:t>
            </w:r>
          </w:p>
        </w:tc>
      </w:tr>
      <w:tr>
        <w:trPr>
          <w:trHeight w:val="149"/>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(1,306)</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(1,028)</w:t>
            </w:r>
          </w:p>
        </w:tc>
      </w:tr>
      <w:tr>
        <w:trPr>
          <w:trHeight w:val="148"/>
        </w:trPr>
        <w:tc>
          <w:tcPr>
            <w:tcW w:w="6600" w:type="dxa"/>
            <w:vAlign w:val="bottom"/>
          </w:tcPr>
          <w:p>
            <w:pPr>
              <w:ind w:left="740"/>
              <w:spacing w:after="0"/>
              <w:rPr>
                <w:sz w:val="20"/>
                <w:szCs w:val="20"/>
                <w:color w:val="auto"/>
              </w:rPr>
            </w:pPr>
            <w:r>
              <w:rPr>
                <w:rFonts w:ascii="Arial" w:cs="Arial" w:eastAsia="Arial" w:hAnsi="Arial"/>
                <w:sz w:val="13"/>
                <w:szCs w:val="13"/>
                <w:color w:val="auto"/>
              </w:rPr>
              <w:t>Other assets</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(356)</w:t>
            </w:r>
          </w:p>
        </w:tc>
      </w:tr>
      <w:tr>
        <w:trPr>
          <w:trHeight w:val="148"/>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6,282</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740"/>
              <w:spacing w:after="0"/>
              <w:rPr>
                <w:sz w:val="20"/>
                <w:szCs w:val="20"/>
                <w:color w:val="auto"/>
              </w:rPr>
            </w:pPr>
            <w:r>
              <w:rPr>
                <w:rFonts w:ascii="Arial" w:cs="Arial" w:eastAsia="Arial" w:hAnsi="Arial"/>
                <w:sz w:val="13"/>
                <w:szCs w:val="13"/>
                <w:color w:val="auto"/>
              </w:rPr>
              <w:t>Accrued expenses and other current liabilities</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(134)</w:t>
            </w:r>
          </w:p>
        </w:tc>
      </w:tr>
      <w:tr>
        <w:trPr>
          <w:trHeight w:val="148"/>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revenue</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(10,281)</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(12,721)</w:t>
            </w:r>
          </w:p>
        </w:tc>
      </w:tr>
      <w:tr>
        <w:trPr>
          <w:trHeight w:val="148"/>
        </w:trPr>
        <w:tc>
          <w:tcPr>
            <w:tcW w:w="6600" w:type="dxa"/>
            <w:vAlign w:val="bottom"/>
          </w:tcPr>
          <w:p>
            <w:pPr>
              <w:ind w:left="740"/>
              <w:spacing w:after="0"/>
              <w:rPr>
                <w:sz w:val="20"/>
                <w:szCs w:val="20"/>
                <w:color w:val="auto"/>
              </w:rPr>
            </w:pPr>
            <w:r>
              <w:rPr>
                <w:rFonts w:ascii="Arial" w:cs="Arial" w:eastAsia="Arial" w:hAnsi="Arial"/>
                <w:sz w:val="13"/>
                <w:szCs w:val="13"/>
                <w:color w:val="auto"/>
              </w:rPr>
              <w:t>Operating lease liabilities</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(2,087)</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(1,064)</w:t>
            </w:r>
          </w:p>
        </w:tc>
      </w:tr>
      <w:tr>
        <w:trPr>
          <w:trHeight w:val="149"/>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Recognized loss on purchase commitments</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(1,235)</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(4,395)</w:t>
            </w:r>
          </w:p>
        </w:tc>
      </w:tr>
      <w:tr>
        <w:trPr>
          <w:trHeight w:val="148"/>
        </w:trPr>
        <w:tc>
          <w:tcPr>
            <w:tcW w:w="6600" w:type="dxa"/>
            <w:vAlign w:val="bottom"/>
          </w:tcPr>
          <w:p>
            <w:pPr>
              <w:ind w:left="740"/>
              <w:spacing w:after="0"/>
              <w:rPr>
                <w:sz w:val="20"/>
                <w:szCs w:val="20"/>
                <w:color w:val="auto"/>
              </w:rPr>
            </w:pPr>
            <w:r>
              <w:rPr>
                <w:rFonts w:ascii="Arial" w:cs="Arial" w:eastAsia="Arial" w:hAnsi="Arial"/>
                <w:sz w:val="13"/>
                <w:szCs w:val="13"/>
                <w:color w:val="auto"/>
              </w:rPr>
              <w:t>Accrued interest on promissory notes</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(1,545)</w:t>
            </w:r>
          </w:p>
        </w:tc>
      </w:tr>
      <w:tr>
        <w:trPr>
          <w:trHeight w:val="142"/>
        </w:trPr>
        <w:tc>
          <w:tcPr>
            <w:tcW w:w="6600" w:type="dxa"/>
            <w:vAlign w:val="bottom"/>
            <w:tcBorders>
              <w:top w:val="single" w:sz="8" w:color="CFF0FC"/>
            </w:tcBorders>
            <w:shd w:val="clear" w:color="auto" w:fill="CFF0FC"/>
          </w:tcPr>
          <w:p>
            <w:pPr>
              <w:ind w:left="1000"/>
              <w:spacing w:after="0" w:line="142" w:lineRule="exact"/>
              <w:rPr>
                <w:sz w:val="20"/>
                <w:szCs w:val="20"/>
                <w:color w:val="auto"/>
              </w:rPr>
            </w:pPr>
            <w:r>
              <w:rPr>
                <w:rFonts w:ascii="Arial" w:cs="Arial" w:eastAsia="Arial" w:hAnsi="Arial"/>
                <w:sz w:val="13"/>
                <w:szCs w:val="13"/>
                <w:color w:val="auto"/>
              </w:rPr>
              <w:t>Net cash used in operating activities</w:t>
            </w:r>
          </w:p>
        </w:tc>
        <w:tc>
          <w:tcPr>
            <w:tcW w:w="114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(28,363)</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(83,376)</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6600" w:type="dxa"/>
            <w:vAlign w:val="bottom"/>
          </w:tcPr>
          <w:p>
            <w:pPr>
              <w:spacing w:after="0" w:line="142" w:lineRule="exact"/>
              <w:rPr>
                <w:sz w:val="20"/>
                <w:szCs w:val="20"/>
                <w:color w:val="auto"/>
              </w:rPr>
            </w:pPr>
            <w:r>
              <w:rPr>
                <w:rFonts w:ascii="Arial" w:cs="Arial" w:eastAsia="Arial" w:hAnsi="Arial"/>
                <w:sz w:val="13"/>
                <w:szCs w:val="13"/>
                <w:color w:val="auto"/>
              </w:rPr>
              <w:t>CASH FLOWS FROM INVESTING ACTIVITIES:</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treasury bills</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24,995</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60"/>
              <w:spacing w:after="0"/>
              <w:rPr>
                <w:sz w:val="20"/>
                <w:szCs w:val="20"/>
                <w:color w:val="auto"/>
              </w:rPr>
            </w:pPr>
            <w:r>
              <w:rPr>
                <w:rFonts w:ascii="Arial" w:cs="Arial" w:eastAsia="Arial" w:hAnsi="Arial"/>
                <w:sz w:val="13"/>
                <w:szCs w:val="13"/>
                <w:color w:val="auto"/>
              </w:rPr>
              <w:t>Purchase of property and equipment</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(304)</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(2,456)</w:t>
            </w:r>
          </w:p>
        </w:tc>
      </w:tr>
      <w:tr>
        <w:trPr>
          <w:trHeight w:val="148"/>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treasury bills</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(44,880)</w:t>
            </w:r>
          </w:p>
        </w:tc>
      </w:tr>
      <w:tr>
        <w:trPr>
          <w:trHeight w:val="148"/>
        </w:trPr>
        <w:tc>
          <w:tcPr>
            <w:tcW w:w="6600" w:type="dxa"/>
            <w:vAlign w:val="bottom"/>
          </w:tcPr>
          <w:p>
            <w:pPr>
              <w:ind w:left="260"/>
              <w:spacing w:after="0"/>
              <w:rPr>
                <w:sz w:val="20"/>
                <w:szCs w:val="20"/>
                <w:color w:val="auto"/>
              </w:rPr>
            </w:pPr>
            <w:r>
              <w:rPr>
                <w:rFonts w:ascii="Arial" w:cs="Arial" w:eastAsia="Arial" w:hAnsi="Arial"/>
                <w:sz w:val="13"/>
                <w:szCs w:val="13"/>
                <w:color w:val="auto"/>
              </w:rPr>
              <w:t>Purchase of limited liability company ownership interest</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(300)</w:t>
            </w:r>
          </w:p>
        </w:tc>
      </w:tr>
      <w:tr>
        <w:trPr>
          <w:trHeight w:val="142"/>
        </w:trPr>
        <w:tc>
          <w:tcPr>
            <w:tcW w:w="6600" w:type="dxa"/>
            <w:vAlign w:val="bottom"/>
            <w:tcBorders>
              <w:top w:val="single" w:sz="8" w:color="CFF0FC"/>
            </w:tcBorders>
            <w:shd w:val="clear" w:color="auto" w:fill="CFF0FC"/>
          </w:tcPr>
          <w:p>
            <w:pPr>
              <w:ind w:left="1000"/>
              <w:spacing w:after="0" w:line="142" w:lineRule="exact"/>
              <w:rPr>
                <w:sz w:val="20"/>
                <w:szCs w:val="20"/>
                <w:color w:val="auto"/>
              </w:rPr>
            </w:pPr>
            <w:r>
              <w:rPr>
                <w:rFonts w:ascii="Arial" w:cs="Arial" w:eastAsia="Arial" w:hAnsi="Arial"/>
                <w:sz w:val="13"/>
                <w:szCs w:val="13"/>
                <w:color w:val="auto"/>
              </w:rPr>
              <w:t>Net cash provided by (used in) investing activities</w:t>
            </w:r>
          </w:p>
        </w:tc>
        <w:tc>
          <w:tcPr>
            <w:tcW w:w="114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19,696</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(22,641)</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6600" w:type="dxa"/>
            <w:vAlign w:val="bottom"/>
          </w:tcPr>
          <w:p>
            <w:pPr>
              <w:spacing w:after="0" w:line="142" w:lineRule="exact"/>
              <w:rPr>
                <w:sz w:val="20"/>
                <w:szCs w:val="20"/>
                <w:color w:val="auto"/>
              </w:rPr>
            </w:pPr>
            <w:r>
              <w:rPr>
                <w:rFonts w:ascii="Arial" w:cs="Arial" w:eastAsia="Arial" w:hAnsi="Arial"/>
                <w:sz w:val="13"/>
                <w:szCs w:val="13"/>
                <w:color w:val="auto"/>
              </w:rPr>
              <w:t>CASH FLOWS FROM FINANCING ACTIVITIES:</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at the market offering</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15,139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2,042</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60"/>
              <w:spacing w:after="0"/>
              <w:rPr>
                <w:sz w:val="20"/>
                <w:szCs w:val="20"/>
                <w:color w:val="auto"/>
              </w:rPr>
            </w:pPr>
            <w:r>
              <w:rPr>
                <w:rFonts w:ascii="Arial" w:cs="Arial" w:eastAsia="Arial" w:hAnsi="Arial"/>
                <w:sz w:val="13"/>
                <w:szCs w:val="13"/>
                <w:color w:val="auto"/>
              </w:rPr>
              <w:t>Issuance costs associated with at the market offering</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(368)</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(47)</w:t>
            </w:r>
          </w:p>
        </w:tc>
      </w:tr>
      <w:tr>
        <w:trPr>
          <w:trHeight w:val="148"/>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from the exercise of warrants</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6600" w:type="dxa"/>
            <w:vAlign w:val="bottom"/>
          </w:tcPr>
          <w:p>
            <w:pPr>
              <w:ind w:left="260"/>
              <w:spacing w:after="0"/>
              <w:rPr>
                <w:sz w:val="20"/>
                <w:szCs w:val="20"/>
                <w:color w:val="auto"/>
              </w:rPr>
            </w:pPr>
            <w:r>
              <w:rPr>
                <w:rFonts w:ascii="Arial" w:cs="Arial" w:eastAsia="Arial" w:hAnsi="Arial"/>
                <w:sz w:val="13"/>
                <w:szCs w:val="13"/>
                <w:color w:val="auto"/>
              </w:rPr>
              <w:t>Proceeds from Paycheck Protection Program loan</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4,873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66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Payment of employment taxes related to vested restricted stock units</w:t>
            </w:r>
          </w:p>
        </w:tc>
        <w:tc>
          <w:tcPr>
            <w:tcW w:w="1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66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and exercise of stock options</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60"/>
              <w:spacing w:after="0"/>
              <w:rPr>
                <w:sz w:val="20"/>
                <w:szCs w:val="20"/>
                <w:color w:val="auto"/>
              </w:rPr>
            </w:pPr>
            <w:r>
              <w:rPr>
                <w:rFonts w:ascii="Arial" w:cs="Arial" w:eastAsia="Arial" w:hAnsi="Arial"/>
                <w:sz w:val="13"/>
                <w:szCs w:val="13"/>
                <w:color w:val="auto"/>
              </w:rPr>
              <w:t>Proceeds from market price stock purchase plan</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promissory notes</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70,051</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60"/>
              <w:spacing w:after="0"/>
              <w:rPr>
                <w:sz w:val="20"/>
                <w:szCs w:val="20"/>
                <w:color w:val="auto"/>
              </w:rPr>
            </w:pPr>
            <w:r>
              <w:rPr>
                <w:rFonts w:ascii="Arial" w:cs="Arial" w:eastAsia="Arial" w:hAnsi="Arial"/>
                <w:sz w:val="13"/>
                <w:szCs w:val="13"/>
                <w:color w:val="auto"/>
              </w:rPr>
              <w:t>Proceeds from MidCap Credit Facility</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40,000</w:t>
            </w:r>
          </w:p>
        </w:tc>
        <w:tc>
          <w:tcPr>
            <w:tcW w:w="100" w:type="dxa"/>
            <w:vAlign w:val="bottom"/>
          </w:tcPr>
          <w:p>
            <w:pPr>
              <w:spacing w:after="0"/>
              <w:rPr>
                <w:sz w:val="12"/>
                <w:szCs w:val="12"/>
                <w:color w:val="auto"/>
              </w:rPr>
            </w:pPr>
          </w:p>
        </w:tc>
      </w:tr>
      <w:tr>
        <w:trPr>
          <w:trHeight w:val="149"/>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senior convertible notes</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9,910</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60"/>
              <w:spacing w:after="0"/>
              <w:rPr>
                <w:sz w:val="20"/>
                <w:szCs w:val="20"/>
                <w:color w:val="auto"/>
              </w:rPr>
            </w:pPr>
            <w:r>
              <w:rPr>
                <w:rFonts w:ascii="Arial" w:cs="Arial" w:eastAsia="Arial" w:hAnsi="Arial"/>
                <w:sz w:val="13"/>
                <w:szCs w:val="13"/>
                <w:color w:val="auto"/>
              </w:rPr>
              <w:t>Principal payments on promissory notes</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(38,264)</w:t>
            </w:r>
          </w:p>
        </w:tc>
      </w:tr>
      <w:tr>
        <w:trPr>
          <w:trHeight w:val="148"/>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Principal payments on senior convertible notes</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(11,081)</w:t>
            </w:r>
          </w:p>
        </w:tc>
      </w:tr>
      <w:tr>
        <w:trPr>
          <w:trHeight w:val="149"/>
        </w:trPr>
        <w:tc>
          <w:tcPr>
            <w:tcW w:w="6600" w:type="dxa"/>
            <w:vAlign w:val="bottom"/>
          </w:tcPr>
          <w:p>
            <w:pPr>
              <w:ind w:left="260"/>
              <w:spacing w:after="0"/>
              <w:rPr>
                <w:sz w:val="20"/>
                <w:szCs w:val="20"/>
                <w:color w:val="auto"/>
              </w:rPr>
            </w:pPr>
            <w:r>
              <w:rPr>
                <w:rFonts w:ascii="Arial" w:cs="Arial" w:eastAsia="Arial" w:hAnsi="Arial"/>
                <w:sz w:val="13"/>
                <w:szCs w:val="13"/>
                <w:color w:val="auto"/>
              </w:rPr>
              <w:t>Principal payments on facility financing obligation</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(6,920)</w:t>
            </w:r>
          </w:p>
        </w:tc>
      </w:tr>
      <w:tr>
        <w:trPr>
          <w:trHeight w:val="148"/>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 associated with MidCap Credit Facility</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(886)</w:t>
            </w:r>
          </w:p>
        </w:tc>
      </w:tr>
      <w:tr>
        <w:trPr>
          <w:trHeight w:val="148"/>
        </w:trPr>
        <w:tc>
          <w:tcPr>
            <w:tcW w:w="6600" w:type="dxa"/>
            <w:vAlign w:val="bottom"/>
          </w:tcPr>
          <w:p>
            <w:pPr>
              <w:ind w:left="260"/>
              <w:spacing w:after="0"/>
              <w:rPr>
                <w:sz w:val="20"/>
                <w:szCs w:val="20"/>
                <w:color w:val="auto"/>
              </w:rPr>
            </w:pPr>
            <w:r>
              <w:rPr>
                <w:rFonts w:ascii="Arial" w:cs="Arial" w:eastAsia="Arial" w:hAnsi="Arial"/>
                <w:sz w:val="13"/>
                <w:szCs w:val="13"/>
                <w:color w:val="auto"/>
              </w:rPr>
              <w:t>Issuance cost associated with promissory notes</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(33)</w:t>
            </w:r>
          </w:p>
        </w:tc>
      </w:tr>
      <w:tr>
        <w:trPr>
          <w:trHeight w:val="142"/>
        </w:trPr>
        <w:tc>
          <w:tcPr>
            <w:tcW w:w="6600" w:type="dxa"/>
            <w:vAlign w:val="bottom"/>
            <w:tcBorders>
              <w:top w:val="single" w:sz="8" w:color="CFF0FC"/>
            </w:tcBorders>
            <w:shd w:val="clear" w:color="auto" w:fill="CFF0FC"/>
          </w:tcPr>
          <w:p>
            <w:pPr>
              <w:ind w:left="1000"/>
              <w:spacing w:after="0" w:line="141" w:lineRule="exact"/>
              <w:rPr>
                <w:sz w:val="20"/>
                <w:szCs w:val="20"/>
                <w:color w:val="auto"/>
              </w:rPr>
            </w:pPr>
            <w:r>
              <w:rPr>
                <w:rFonts w:ascii="Arial" w:cs="Arial" w:eastAsia="Arial" w:hAnsi="Arial"/>
                <w:sz w:val="13"/>
                <w:szCs w:val="13"/>
                <w:color w:val="auto"/>
              </w:rPr>
              <w:t>Net cash provided by (used in) financing activities</w:t>
            </w:r>
          </w:p>
        </w:tc>
        <w:tc>
          <w:tcPr>
            <w:tcW w:w="114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31,159</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64,822</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66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color w:val="auto"/>
              </w:rPr>
              <w:t>NET INCREASE (DECREASE) IN CASH AND CASH EQUIVALENTS AND RESTRICTED CASH</w:t>
            </w:r>
          </w:p>
        </w:tc>
        <w:tc>
          <w:tcPr>
            <w:tcW w:w="114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22,492</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(41,195)</w:t>
            </w:r>
          </w:p>
        </w:tc>
        <w:tc>
          <w:tcPr>
            <w:tcW w:w="100" w:type="dxa"/>
            <w:vAlign w:val="bottom"/>
            <w:tcBorders>
              <w:bottom w:val="single" w:sz="8" w:color="CFF0FC"/>
            </w:tcBorders>
          </w:tcPr>
          <w:p>
            <w:pPr>
              <w:spacing w:after="0"/>
              <w:rPr>
                <w:sz w:val="12"/>
                <w:szCs w:val="12"/>
                <w:color w:val="auto"/>
              </w:rPr>
            </w:pPr>
          </w:p>
        </w:tc>
      </w:tr>
      <w:tr>
        <w:trPr>
          <w:trHeight w:val="142"/>
        </w:trPr>
        <w:tc>
          <w:tcPr>
            <w:tcW w:w="660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AND CASH EQUIVALENTS AND RESTRICTED CASH, BEGINNING OF PERIOD</w:t>
            </w:r>
          </w:p>
        </w:tc>
        <w:tc>
          <w:tcPr>
            <w:tcW w:w="1140" w:type="dxa"/>
            <w:vAlign w:val="bottom"/>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30,222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71,684</w:t>
            </w:r>
          </w:p>
        </w:tc>
        <w:tc>
          <w:tcPr>
            <w:tcW w:w="100" w:type="dxa"/>
            <w:vAlign w:val="bottom"/>
            <w:shd w:val="clear" w:color="auto" w:fill="CFF0FC"/>
          </w:tcPr>
          <w:p>
            <w:pPr>
              <w:spacing w:after="0"/>
              <w:rPr>
                <w:sz w:val="12"/>
                <w:szCs w:val="12"/>
                <w:color w:val="auto"/>
              </w:rPr>
            </w:pPr>
          </w:p>
        </w:tc>
      </w:tr>
      <w:tr>
        <w:trPr>
          <w:trHeight w:val="182"/>
        </w:trPr>
        <w:tc>
          <w:tcPr>
            <w:tcW w:w="66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color w:val="auto"/>
              </w:rPr>
              <w:t>CASH AND CASH EQUIVALENTS AND RESTRICTED CASH, END OF PERIOD</w:t>
            </w:r>
          </w:p>
        </w:tc>
        <w:tc>
          <w:tcPr>
            <w:tcW w:w="114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90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52,714</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90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30,489</w:t>
            </w:r>
          </w:p>
        </w:tc>
        <w:tc>
          <w:tcPr>
            <w:tcW w:w="100" w:type="dxa"/>
            <w:vAlign w:val="bottom"/>
            <w:tcBorders>
              <w:bottom w:val="single" w:sz="8" w:color="CFF0FC"/>
            </w:tcBorders>
          </w:tcPr>
          <w:p>
            <w:pPr>
              <w:spacing w:after="0"/>
              <w:rPr>
                <w:sz w:val="15"/>
                <w:szCs w:val="15"/>
                <w:color w:val="auto"/>
              </w:rPr>
            </w:pPr>
          </w:p>
        </w:tc>
      </w:tr>
      <w:tr>
        <w:trPr>
          <w:trHeight w:val="129"/>
        </w:trPr>
        <w:tc>
          <w:tcPr>
            <w:tcW w:w="66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SUPPLEMENTAL CASH FLOWS DISCLOSURES:</w:t>
            </w:r>
          </w:p>
        </w:tc>
        <w:tc>
          <w:tcPr>
            <w:tcW w:w="1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6600" w:type="dxa"/>
            <w:vAlign w:val="bottom"/>
          </w:tcPr>
          <w:p>
            <w:pPr>
              <w:ind w:left="260"/>
              <w:spacing w:after="0"/>
              <w:rPr>
                <w:sz w:val="20"/>
                <w:szCs w:val="20"/>
                <w:color w:val="auto"/>
              </w:rPr>
            </w:pPr>
            <w:r>
              <w:rPr>
                <w:rFonts w:ascii="Arial" w:cs="Arial" w:eastAsia="Arial" w:hAnsi="Arial"/>
                <w:sz w:val="13"/>
                <w:szCs w:val="13"/>
                <w:color w:val="auto"/>
              </w:rPr>
              <w:t>Interest paid in cash, net of amounts capitalized</w:t>
            </w:r>
          </w:p>
        </w:tc>
        <w:tc>
          <w:tcPr>
            <w:tcW w:w="2160" w:type="dxa"/>
            <w:vAlign w:val="bottom"/>
            <w:gridSpan w:val="2"/>
          </w:tcPr>
          <w:p>
            <w:pPr>
              <w:jc w:val="right"/>
              <w:ind w:right="901"/>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2,861</w:t>
            </w:r>
          </w:p>
        </w:tc>
        <w:tc>
          <w:tcPr>
            <w:tcW w:w="160" w:type="dxa"/>
            <w:vAlign w:val="bottom"/>
          </w:tcPr>
          <w:p>
            <w:pPr>
              <w:spacing w:after="0"/>
              <w:rPr>
                <w:sz w:val="12"/>
                <w:szCs w:val="12"/>
                <w:color w:val="auto"/>
              </w:rPr>
            </w:pPr>
          </w:p>
        </w:tc>
        <w:tc>
          <w:tcPr>
            <w:tcW w:w="1140" w:type="dxa"/>
            <w:vAlign w:val="bottom"/>
            <w:gridSpan w:val="2"/>
          </w:tcPr>
          <w:p>
            <w:pPr>
              <w:jc w:val="right"/>
              <w:ind w:right="908"/>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66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60"/>
              <w:spacing w:after="0"/>
              <w:rPr>
                <w:sz w:val="20"/>
                <w:szCs w:val="20"/>
                <w:color w:val="auto"/>
              </w:rPr>
            </w:pPr>
            <w:r>
              <w:rPr>
                <w:rFonts w:ascii="Arial" w:cs="Arial" w:eastAsia="Arial" w:hAnsi="Arial"/>
                <w:sz w:val="13"/>
                <w:szCs w:val="13"/>
                <w:color w:val="auto"/>
              </w:rPr>
              <w:t>Payment of principal on senior convertible notes through common stock issuance</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4,500</w:t>
            </w:r>
          </w:p>
        </w:tc>
        <w:tc>
          <w:tcPr>
            <w:tcW w:w="100" w:type="dxa"/>
            <w:vAlign w:val="bottom"/>
          </w:tcPr>
          <w:p>
            <w:pPr>
              <w:spacing w:after="0"/>
              <w:rPr>
                <w:sz w:val="12"/>
                <w:szCs w:val="12"/>
                <w:color w:val="auto"/>
              </w:rPr>
            </w:pPr>
          </w:p>
        </w:tc>
      </w:tr>
      <w:tr>
        <w:trPr>
          <w:trHeight w:val="149"/>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Receivable from at the market offering</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6600" w:type="dxa"/>
            <w:vAlign w:val="bottom"/>
          </w:tcPr>
          <w:p>
            <w:pPr>
              <w:ind w:left="260"/>
              <w:spacing w:after="0"/>
              <w:rPr>
                <w:sz w:val="20"/>
                <w:szCs w:val="20"/>
                <w:color w:val="auto"/>
              </w:rPr>
            </w:pPr>
            <w:r>
              <w:rPr>
                <w:rFonts w:ascii="Arial" w:cs="Arial" w:eastAsia="Arial" w:hAnsi="Arial"/>
                <w:sz w:val="13"/>
                <w:szCs w:val="13"/>
                <w:color w:val="auto"/>
              </w:rPr>
              <w:t>Common stock issuance to settle employee stock purchase plan liability</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656</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interest on senior convertible notes through common stock issuance</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1,075</w:t>
            </w:r>
          </w:p>
        </w:tc>
        <w:tc>
          <w:tcPr>
            <w:tcW w:w="100" w:type="dxa"/>
            <w:vAlign w:val="bottom"/>
            <w:shd w:val="clear" w:color="auto" w:fill="CFF0FC"/>
          </w:tcPr>
          <w:p>
            <w:pPr>
              <w:spacing w:after="0"/>
              <w:rPr>
                <w:sz w:val="12"/>
                <w:szCs w:val="12"/>
                <w:color w:val="auto"/>
              </w:rPr>
            </w:pPr>
          </w:p>
        </w:tc>
      </w:tr>
      <w:tr>
        <w:trPr>
          <w:trHeight w:val="149"/>
        </w:trPr>
        <w:tc>
          <w:tcPr>
            <w:tcW w:w="6600" w:type="dxa"/>
            <w:vAlign w:val="bottom"/>
          </w:tcPr>
          <w:p>
            <w:pPr>
              <w:ind w:left="260"/>
              <w:spacing w:after="0"/>
              <w:rPr>
                <w:sz w:val="20"/>
                <w:szCs w:val="20"/>
                <w:color w:val="auto"/>
              </w:rPr>
            </w:pPr>
            <w:r>
              <w:rPr>
                <w:rFonts w:ascii="Arial" w:cs="Arial" w:eastAsia="Arial" w:hAnsi="Arial"/>
                <w:sz w:val="13"/>
                <w:szCs w:val="13"/>
                <w:color w:val="auto"/>
              </w:rPr>
              <w:t>Payment on promissory notes through issuance of common stock</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8,000</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Addition of right-of-use assets upon adoption of new lease guidance</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5,192</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60"/>
              <w:spacing w:after="0"/>
              <w:rPr>
                <w:sz w:val="20"/>
                <w:szCs w:val="20"/>
                <w:color w:val="auto"/>
              </w:rPr>
            </w:pPr>
            <w:r>
              <w:rPr>
                <w:rFonts w:ascii="Arial" w:cs="Arial" w:eastAsia="Arial" w:hAnsi="Arial"/>
                <w:sz w:val="13"/>
                <w:szCs w:val="13"/>
                <w:color w:val="auto"/>
              </w:rPr>
              <w:t>Payment of facility obligation through common stock issuance</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4,575</w:t>
            </w:r>
          </w:p>
        </w:tc>
        <w:tc>
          <w:tcPr>
            <w:tcW w:w="100" w:type="dxa"/>
            <w:vAlign w:val="bottom"/>
          </w:tcPr>
          <w:p>
            <w:pPr>
              <w:spacing w:after="0"/>
              <w:rPr>
                <w:sz w:val="12"/>
                <w:szCs w:val="12"/>
                <w:color w:val="auto"/>
              </w:rPr>
            </w:pPr>
          </w:p>
        </w:tc>
      </w:tr>
      <w:tr>
        <w:trPr>
          <w:trHeight w:val="149"/>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Non-cash construction in progress and property and equipment</w:t>
            </w:r>
          </w:p>
        </w:tc>
        <w:tc>
          <w:tcPr>
            <w:tcW w:w="1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FF0FC"/>
          </w:tcPr>
          <w:p>
            <w:pPr>
              <w:spacing w:after="0"/>
              <w:rPr>
                <w:sz w:val="12"/>
                <w:szCs w:val="12"/>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left="340" w:right="2660"/>
        <w:spacing w:after="0" w:line="266" w:lineRule="auto"/>
        <w:rPr>
          <w:sz w:val="20"/>
          <w:szCs w:val="20"/>
          <w:color w:val="auto"/>
        </w:rPr>
      </w:pPr>
      <w:r>
        <w:rPr>
          <w:rFonts w:ascii="Arial" w:cs="Arial" w:eastAsia="Arial" w:hAnsi="Arial"/>
          <w:sz w:val="18"/>
          <w:szCs w:val="18"/>
          <w:b w:val="1"/>
          <w:bCs w:val="1"/>
          <w:color w:val="auto"/>
        </w:rPr>
        <w:t>MANNKIND CORPORATION AND SUBSIDIARY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subsidiary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2019 filed with the SEC on February 25, 2020 (the “Annual Report”).</w:t>
      </w:r>
    </w:p>
    <w:p>
      <w:pPr>
        <w:spacing w:after="0" w:line="16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nine months ended September 30, 2020 may not be indicative of the results that may be expected for the full year.</w:t>
      </w:r>
    </w:p>
    <w:p>
      <w:pPr>
        <w:spacing w:after="0" w:line="1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Financial Statement Estimates </w:t>
      </w:r>
      <w:r>
        <w:rPr>
          <w:rFonts w:ascii="Arial" w:cs="Arial" w:eastAsia="Arial" w:hAnsi="Arial"/>
          <w:sz w:val="16"/>
          <w:szCs w:val="16"/>
          <w:color w:val="auto"/>
        </w:rPr>
        <w:t>— The preparation of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and the COVID-19 pandemic has increased the level of judgment used by management in developing these estimates and assumptions. The COVID-19 pandemic continues to rapidly evolve and the ultimate impact of the COVID-19 pandemic is highly uncertain and subject to change. These effects could have a material impact on the estimates and assumptions used in the preparation of the accompanying condensed consolidated financial statements. The more significant estimates include revenue recognition and gross-to-net adjustments,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168"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The Company is a biopharmaceutical company focused on the development and commercialization of inhaled therapeutic products for diabetes</w:t>
      </w:r>
      <w:r>
        <w:rPr>
          <w:rFonts w:ascii="Arial" w:cs="Arial" w:eastAsia="Arial" w:hAnsi="Arial"/>
          <w:sz w:val="16"/>
          <w:szCs w:val="16"/>
          <w:i w:val="1"/>
          <w:iCs w:val="1"/>
          <w:color w:val="auto"/>
        </w:rPr>
        <w:t xml:space="preserve"> </w:t>
      </w:r>
      <w:r>
        <w:rPr>
          <w:rFonts w:ascii="Arial" w:cs="Arial" w:eastAsia="Arial" w:hAnsi="Arial"/>
          <w:sz w:val="16"/>
          <w:szCs w:val="16"/>
          <w:color w:val="auto"/>
        </w:rPr>
        <w:t>and orphan lung diseases, such as pulmonary arterial hypertension. The Company’s only approved product, Afrezza (insulin human) Inhalation Powder, is an ultra rapid-acting inhaled insulin that was approved by the U.S. Food and Drug Administration (the “FDA”) in June 2014 to improve glycemic control in adults with diabetes. Afrezza became available by prescription in United States retail pharmacies in February 2015. Currently, the Company promotes Afrezza to endocrinologists and certain high-prescribing primary care physicians in the United States through its specialty sales force.</w:t>
      </w:r>
    </w:p>
    <w:p>
      <w:pPr>
        <w:spacing w:after="0" w:line="16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Company’s partner in Brazil, Biomm S.A. (“Biomm”), commenced commercialization of Afrezza in January 2020. The Company’s partners in India and Australia are preparing for regulatory submissions and have not yet commenced commercialization in their respective territories.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condensed consolidated financial statements have been prepared assuming that the Company will continue as a</w:t>
      </w:r>
      <w:r>
        <w:rPr>
          <w:rFonts w:ascii="Arial" w:cs="Arial" w:eastAsia="Arial" w:hAnsi="Arial"/>
          <w:sz w:val="18"/>
          <w:szCs w:val="18"/>
          <w:i w:val="1"/>
          <w:iCs w:val="1"/>
          <w:color w:val="auto"/>
        </w:rPr>
        <w:t xml:space="preserve"> </w:t>
      </w:r>
      <w:r>
        <w:rPr>
          <w:rFonts w:ascii="Arial" w:cs="Arial" w:eastAsia="Arial" w:hAnsi="Arial"/>
          <w:sz w:val="18"/>
          <w:szCs w:val="18"/>
          <w:color w:val="auto"/>
        </w:rPr>
        <w:t>going concern, which contemplates the realization of assets and satisfaction of liabilities in the normal course of business.</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is not currently profitable and has rarely generated positive net cash flow from operations. In addition, the Company expects to continue to incur significant expenditures for the foreseeable future in support of its manufacturing operations, sales and marketing costs for Afrezza, and development costs for product candidates in the Company’s pipeline. As of September 30, 2020, the Company had an accumulated deficit of $3.0 billion and $122.6 million of total principal amount of outstanding borrowings, with limited capital resources of $52.4 million in cash and cash equivalents. These financial conditions raise substantial doubt about the Company’s ability to continue as a going concern.</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August 2019, the Company and its wholly owned subsidiary, MannKind LLC, entered into a credit and security agreement with MidCap Financial Trust (as amended, the “MidCap Credit Facility”) to restructure its existing debts and to provide additional operating capital (the “recapitalization”) (Refer to Note 6 –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for further details). The MidCap Credit Facility provides a secured term loan facility with an aggregate principal amount of up to $65.0 million, of which $40.0 million was outstanding as of September 30, 2020 and December 31, 2019. The availability of the remaining $25.0 million will be available to the Company until June 30, 2021, subject to the satisfaction of certain milestone conditions associated with Afrezza net revenue and certain milestone conditions related to the Company’s collaboration with United Therapeutics (see Note 7 – </w:t>
      </w:r>
      <w:r>
        <w:rPr>
          <w:rFonts w:ascii="Arial" w:cs="Arial" w:eastAsia="Arial" w:hAnsi="Arial"/>
          <w:sz w:val="17"/>
          <w:szCs w:val="17"/>
          <w:i w:val="1"/>
          <w:iCs w:val="1"/>
          <w:color w:val="auto"/>
        </w:rPr>
        <w:t>Collaboration and Licensing Arrangements</w:t>
      </w:r>
      <w:r>
        <w:rPr>
          <w:rFonts w:ascii="Arial" w:cs="Arial" w:eastAsia="Arial" w:hAnsi="Arial"/>
          <w:sz w:val="17"/>
          <w:szCs w:val="17"/>
          <w:color w:val="auto"/>
        </w:rPr>
        <w:t xml:space="preserve"> for more information on the collaboration agreement with United Therapeutics).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right="160"/>
        <w:spacing w:after="0" w:line="263" w:lineRule="auto"/>
        <w:rPr>
          <w:sz w:val="20"/>
          <w:szCs w:val="20"/>
          <w:color w:val="auto"/>
        </w:rPr>
      </w:pPr>
      <w:r>
        <w:rPr>
          <w:rFonts w:ascii="Arial" w:cs="Arial" w:eastAsia="Arial" w:hAnsi="Arial"/>
          <w:sz w:val="18"/>
          <w:szCs w:val="18"/>
          <w:color w:val="auto"/>
        </w:rPr>
        <w:t>Principal payments on the MidCap Credit Facility begin in September 2021. In addition, the MidCap Credit Facility contains certain covenants, one of which includes a requirement to maintain a minimum of $15.0 million of unrestricted cash and cash equivalents at all times. This amount will increase to $20.0 million if the Company draws additional funding under the MidCap Credit Facility.</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August 2020, the Company entered into an amendment to the MidCap Credit Facility, pursuant to which the parties agreed that no breach of the minimum Afrezza net revenue covenant for any trailing twelve-month reporting period between July 31, 2020 and November 30, 2020 will be deemed to occur if the Company delivers satisfactory evidence that it had unrestricted cash of at least $40.0 million. Without this amendment, the Company would have been in violation of the minimum Afrezza net revenue covenant as of September 30, 2020. After the November 30, 2020 reporting period, the amendment will expire and a breach of the minimum Afrezza net revenue covenant is probable. The Company intends to amend the MidCap Credit Facility to address this probable covenant violation; however, such amendment, if completed, would occur after the date of this report. Accordingly, the $40.0 million outstanding principal under the MidCap Credit Facility was classified as current debt in the September 30, 2020 balance sheet, even though the 36 equal monthly principal payments remain payable over the period of September 1, 2021 through August 1, 2024. This debt will continue to be classified as current unless the MidCap Credit Facility is further amended or the debt is repaid.</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capital resources may not be sufficient to continue to meet its current and anticipated obligations over the next twelve months if the Company cannot increase its operating cash inflows by growing revenue or obtaining access to the remaining $25.0 million in borrowings that may become available under its MidCap Credit Facility. In the event these capital resources are not sufficient, the Company may need to raise additional capital by selling equity or debt securities, entering into strategic business collaboration agreements with other companies, seeking other funding facilities, or licensing arrangements, selling assets or by other means. However, the Company cannot provide assurances that additional capital will be available on acceptable terms or at all.</w:t>
      </w:r>
    </w:p>
    <w:p>
      <w:pPr>
        <w:spacing w:after="0" w:line="19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If the Company is unable to meet its current and anticipated obligations over the next twelve months through its existing capital resources, or obtain new sources of capital when needed, the Company may have to reduce the scope of its commercial operations, reduce or eliminate one or more of its development programs, or make significant changes to its operating plan. These factors raise substantial doubt about the Company’s ability to continue as a going concern. The accompanying financial statements do not include any adjustments that might result from the outcome of this uncertainty.</w:t>
      </w:r>
    </w:p>
    <w:p>
      <w:pPr>
        <w:spacing w:after="0" w:line="15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condensed consolidated financial statements include the accounts of the Company and its wholly-owned subsidiary.</w:t>
      </w:r>
      <w:r>
        <w:rPr>
          <w:rFonts w:ascii="Arial" w:cs="Arial" w:eastAsia="Arial" w:hAnsi="Arial"/>
          <w:sz w:val="17"/>
          <w:szCs w:val="17"/>
          <w:i w:val="1"/>
          <w:iCs w:val="1"/>
          <w:color w:val="auto"/>
        </w:rPr>
        <w:t xml:space="preserve"> </w:t>
      </w:r>
      <w:r>
        <w:rPr>
          <w:rFonts w:ascii="Arial" w:cs="Arial" w:eastAsia="Arial" w:hAnsi="Arial"/>
          <w:sz w:val="17"/>
          <w:szCs w:val="17"/>
          <w:color w:val="auto"/>
        </w:rPr>
        <w:t>Intercompany balances and transactions have been eliminated. Certain prior year amounts have been reclassified for consistency with the current year presentation. These reclassifications had no effect on the reported condensed consolidated balance sheets or statements of operations. Changes were made to the condensed consolidated statements of stockholder’s deficit as of September 30, 2019, June 30, 2019 and March 31, 2019 to combine the exercise of stock options and the issuance of common stock from the release of restricted stock units (“RSUs”). Changes were also made to Note 10 — Stock-Based Compensation Expense to separately disclose the stock-based compensation expense related to the employee stock purchase plan from the expense for RSUs and options for the three and nine months ended September 30, 2019.</w:t>
      </w:r>
    </w:p>
    <w:p>
      <w:pPr>
        <w:spacing w:after="0" w:line="17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 Operating segments are identified as components of an enterprise about which separate discrete financial information is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16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adopted Accounting Standards Codification (“ASC”) Topic 606 -</w:t>
      </w:r>
      <w:r>
        <w:rPr>
          <w:rFonts w:ascii="Arial" w:cs="Arial" w:eastAsia="Arial" w:hAnsi="Arial"/>
          <w:sz w:val="16"/>
          <w:szCs w:val="16"/>
          <w:i w:val="1"/>
          <w:iCs w:val="1"/>
          <w:color w:val="auto"/>
        </w:rPr>
        <w:t xml:space="preserve"> Revenue from Contracts with Customers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new revenue guidance”), on January 1, 2018. Under Topic 606, the Company recognizes revenue when its customers obtain control of promised goods or services, in an amount that reflects the consideration which the Company expects to be entitled in exchange for those goods or services.</w:t>
      </w:r>
    </w:p>
    <w:p>
      <w:pPr>
        <w:spacing w:after="0" w:line="14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17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and specialty pharmacies and (ii) collaboration arrangements.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40"/>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pharmacies in the U.S. (collectively, its “Customers”). Wholesale distributors subsequently resell the Company’s products to retail pharmacies and certain medical centers or hospitals. Specialty pharmacies sell directly to patients. In addition to distribution agreements with Customers, the Company enters into arrangements with payors that provide for government mandated and/or privately negotiated rebates, chargebacks, and discounts with respect to the purchase of the Company’s products.</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recognizes revenue on product sales when the Customer obtains control of the Company's product, which occurs at delivery for wholesale distributors and generally at delivery for specialty pharmacies. Product revenues are recorded net of applicable reserves for variable consideration, including discounts and allowances.</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Free Goods Program – </w:t>
      </w:r>
      <w:r>
        <w:rPr>
          <w:rFonts w:ascii="Arial" w:cs="Arial" w:eastAsia="Arial" w:hAnsi="Arial"/>
          <w:sz w:val="17"/>
          <w:szCs w:val="17"/>
          <w:color w:val="auto"/>
        </w:rPr>
        <w:t>From time to time, the Company offers programs to potential new patients that allow them to obtain free goods (prescription fills)</w:t>
      </w:r>
      <w:r>
        <w:rPr>
          <w:rFonts w:ascii="Arial" w:cs="Arial" w:eastAsia="Arial" w:hAnsi="Arial"/>
          <w:sz w:val="17"/>
          <w:szCs w:val="17"/>
          <w:i w:val="1"/>
          <w:iCs w:val="1"/>
          <w:color w:val="auto"/>
        </w:rPr>
        <w:t xml:space="preserve"> </w:t>
      </w:r>
      <w:r>
        <w:rPr>
          <w:rFonts w:ascii="Arial" w:cs="Arial" w:eastAsia="Arial" w:hAnsi="Arial"/>
          <w:sz w:val="17"/>
          <w:szCs w:val="17"/>
          <w:color w:val="auto"/>
        </w:rPr>
        <w:t>from a pharmacy. The Company excludes such amounts related to these programs from both gross and net revenue. The cost of product associated with the free goods program is recognized as cost of goods sold in the condensed consolidated statements of operations.</w:t>
      </w:r>
    </w:p>
    <w:p>
      <w:pPr>
        <w:spacing w:after="0" w:line="16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i w:val="1"/>
          <w:iCs w:val="1"/>
          <w:color w:val="auto"/>
        </w:rPr>
        <w:t xml:space="preserve">Reserves for Variable Consideration </w:t>
      </w:r>
      <w:r>
        <w:rPr>
          <w:rFonts w:ascii="Arial" w:cs="Arial" w:eastAsia="Arial" w:hAnsi="Arial"/>
          <w:sz w:val="16"/>
          <w:szCs w:val="16"/>
          <w:color w:val="auto"/>
        </w:rPr>
        <w:t>— Revenues from product sales are recorded at the net sales price (transaction price), which includes estimates of</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judgments are required in making these estimates.</w:t>
      </w:r>
    </w:p>
    <w:p>
      <w:pPr>
        <w:spacing w:after="0" w:line="16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estimates detailed below as of September 30, 2020 and, therefore, the transaction price was not reduced further during the three and nine months ended September 30, 2020.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177"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 The Company generally provides Customers with discounts which include incentives, such as prompt pay discounts,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 Consistent with industry practice, the Company generally offers Customers a right of return for unopened product that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single-digits. Adjustments to the returns reserve have been made in the past and may be necessary in the future based on revised estimates to our assumptions.</w:t>
      </w:r>
    </w:p>
    <w:p>
      <w:pPr>
        <w:spacing w:after="0" w:line="17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Provider Chargebacks and Discounts </w:t>
      </w:r>
      <w:r>
        <w:rPr>
          <w:rFonts w:ascii="Arial" w:cs="Arial" w:eastAsia="Arial" w:hAnsi="Arial"/>
          <w:sz w:val="16"/>
          <w:szCs w:val="16"/>
          <w:color w:val="auto"/>
        </w:rPr>
        <w:t>— Chargebacks for fees and discounts to providers represent the estimated obligations resulting from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ind w:right="440"/>
        <w:spacing w:after="0" w:line="277" w:lineRule="auto"/>
        <w:rPr>
          <w:sz w:val="20"/>
          <w:szCs w:val="20"/>
          <w:color w:val="auto"/>
        </w:rPr>
      </w:pPr>
      <w:r>
        <w:rPr>
          <w:rFonts w:ascii="Arial" w:cs="Arial" w:eastAsia="Arial" w:hAnsi="Arial"/>
          <w:sz w:val="18"/>
          <w:szCs w:val="18"/>
          <w:color w:val="auto"/>
        </w:rPr>
        <w:t>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Government Rebates </w:t>
      </w:r>
      <w:r>
        <w:rPr>
          <w:rFonts w:ascii="Arial" w:cs="Arial" w:eastAsia="Arial" w:hAnsi="Arial"/>
          <w:sz w:val="18"/>
          <w:szCs w:val="18"/>
          <w:color w:val="auto"/>
        </w:rPr>
        <w:t>— The Company is subject to discount obligations under Medicare and state Medicaid programs. These reserves are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the related revenue is recognized, resulting in a reduction of product revenue and the establishment of a current liability that is included in accrued expenses and other current liabilities. Estimates around Medicaid have historically required significant judgement due to timing lags in receiving invoices for claims from states.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19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 xml:space="preserve">Payor Rebates </w:t>
      </w:r>
      <w:r>
        <w:rPr>
          <w:rFonts w:ascii="Arial" w:cs="Arial" w:eastAsia="Arial" w:hAnsi="Arial"/>
          <w:sz w:val="16"/>
          <w:szCs w:val="16"/>
          <w:color w:val="auto"/>
        </w:rPr>
        <w:t>— The Company contracts with certain private payor organizations, primarily insurance companies and pharmacy benefit managers,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 Other incentives which the Company offers include voluntary patient support programs, such as the Company's co-pay assistance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are intended to provide financial assistance to qualified commercially-insured patients with prescription drug co-payments required by payors. The calculation of the accrual for co-pay assistance is based on an estimate of claims and the cost per claim that the Company expects to receive associated with the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7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 xml:space="preserve">Revenue Recognition — Revenue — Collaborations and Services </w:t>
      </w:r>
      <w:r>
        <w:rPr>
          <w:rFonts w:ascii="Arial" w:cs="Arial" w:eastAsia="Arial" w:hAnsi="Arial"/>
          <w:sz w:val="17"/>
          <w:szCs w:val="17"/>
          <w:color w:val="auto"/>
        </w:rPr>
        <w:t>— The Company enters into licensing or research agreements under which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licenses certain rights to its product candidates to third parties or conducting research services to third parties. The terms of these arrangements may include, but are not limited to payment to the Company of one or more of the following: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7 – </w:t>
      </w:r>
      <w:r>
        <w:rPr>
          <w:rFonts w:ascii="Arial" w:cs="Arial" w:eastAsia="Arial" w:hAnsi="Arial"/>
          <w:sz w:val="17"/>
          <w:szCs w:val="17"/>
          <w:i w:val="1"/>
          <w:iCs w:val="1"/>
          <w:color w:val="auto"/>
        </w:rPr>
        <w:t>Collaboration and Licensing Arrangements</w:t>
      </w:r>
      <w:r>
        <w:rPr>
          <w:rFonts w:ascii="Arial" w:cs="Arial" w:eastAsia="Arial" w:hAnsi="Arial"/>
          <w:sz w:val="17"/>
          <w:szCs w:val="17"/>
          <w:color w:val="auto"/>
        </w:rPr>
        <w:t>.</w:t>
      </w:r>
    </w:p>
    <w:p>
      <w:pPr>
        <w:spacing w:after="0" w:line="18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 w:name="page13"/>
    <w:bookmarkEnd w:id="12"/>
    <w:p>
      <w:pPr>
        <w:ind w:right="380"/>
        <w:spacing w:after="0" w:line="308" w:lineRule="auto"/>
        <w:rPr>
          <w:sz w:val="20"/>
          <w:szCs w:val="20"/>
          <w:color w:val="auto"/>
        </w:rPr>
      </w:pPr>
      <w:r>
        <w:rPr>
          <w:rFonts w:ascii="Arial" w:cs="Arial" w:eastAsia="Arial" w:hAnsi="Arial"/>
          <w:sz w:val="17"/>
          <w:szCs w:val="17"/>
          <w:color w:val="auto"/>
        </w:rPr>
        <w:t>cumulative adjustment to revenue.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14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or finished goods and provides research and development services, all of which are outputs of the Company’s ongoing activities, in exchange for consideration. The Company does not develop assets jointly with collaboration partners, and does not share in significant risks of their development or commercialization activities. Accordingly, the Company concluded that its collaborative agreements must be accounted for pursuant to Topic 606, Revenue from Contracts with Customers.</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Rather, the Company evaluates grants of additional licensing rights upon option exercises to determine whether such should be accounted for as separate contracts. The Company concluded there is no material right in these options.</w:t>
      </w:r>
    </w:p>
    <w:p>
      <w:pPr>
        <w:spacing w:after="0" w:line="19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follows detailed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6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Paycheck Protection Program Loan </w:t>
      </w:r>
      <w:r>
        <w:rPr>
          <w:rFonts w:ascii="Arial" w:cs="Arial" w:eastAsia="Arial" w:hAnsi="Arial"/>
          <w:sz w:val="17"/>
          <w:szCs w:val="17"/>
          <w:color w:val="auto"/>
        </w:rPr>
        <w:t>— On April 10, 2020, the Company received the proceeds from a loan in the amount of approximately $4.9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“PPP Loan”) from JPMorgan Chase Bank, N.A., as lender, pursuant to the Paycheck Protection Program (“PPP”) of the Coronavirus Aid, Relief, and Economic Security Act (the “CARES Act”). The Company accounted for the PPP Loan as a financial liability in accordance with Accounting Standards Codification (“ASC”) Topic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Accordingly, the PPP Loan was recognized as current and long-term debt in the Company’s consolidated balance sheets and is included as short-term notes payable and PPP Loan — long term. In addition, a </w:t>
      </w:r>
      <w:r>
        <w:rPr>
          <w:rFonts w:ascii="Arial" w:cs="Arial" w:eastAsia="Arial" w:hAnsi="Arial"/>
          <w:sz w:val="17"/>
          <w:szCs w:val="17"/>
          <w:i w:val="1"/>
          <w:iCs w:val="1"/>
          <w:color w:val="auto"/>
        </w:rPr>
        <w:t>di minimis</w:t>
      </w:r>
      <w:r>
        <w:rPr>
          <w:rFonts w:ascii="Arial" w:cs="Arial" w:eastAsia="Arial" w:hAnsi="Arial"/>
          <w:sz w:val="17"/>
          <w:szCs w:val="17"/>
          <w:color w:val="auto"/>
        </w:rPr>
        <w:t xml:space="preserve"> amount of accrued interest is included in accrued expenses and other current liabilities. See Note 6 –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for additional information.</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 Cost of goods sold includes material, labor costs and manufacturing overhead. Cost of goods sold also includes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component of current period manufacturing costs in excess of costs capitalized into inventory (excess capacity costs). These costs, in addition to the impact of the annual revaluation of inventory to standard costs, and write-offs of inventory are recorded as expenses in the period in which they are incurred, rather than as a portion of inventory costs. The cost of goods sold excludes the cost of insulin purchased under our Insulin Supply Agreement (see Note 11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All insulin inventory on hand was written off and the full purchase commitment contract to purchase future insulin was accrued as a recognized loss on purchase commitments as of the end of 2015.</w:t>
      </w:r>
    </w:p>
    <w:p>
      <w:pPr>
        <w:spacing w:after="0" w:line="17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Cash and Cash Equivalents and Restricted Cash </w:t>
      </w:r>
      <w:r>
        <w:rPr>
          <w:rFonts w:ascii="Arial" w:cs="Arial" w:eastAsia="Arial" w:hAnsi="Arial"/>
          <w:sz w:val="17"/>
          <w:szCs w:val="17"/>
          <w:color w:val="auto"/>
        </w:rPr>
        <w:t>—The Company considers all highly liquid investments with original or remaining maturities of 90 days</w:t>
      </w:r>
      <w:r>
        <w:rPr>
          <w:rFonts w:ascii="Arial" w:cs="Arial" w:eastAsia="Arial" w:hAnsi="Arial"/>
          <w:sz w:val="17"/>
          <w:szCs w:val="17"/>
          <w:i w:val="1"/>
          <w:iCs w:val="1"/>
          <w:color w:val="auto"/>
        </w:rPr>
        <w:t xml:space="preserve"> </w:t>
      </w:r>
      <w:r>
        <w:rPr>
          <w:rFonts w:ascii="Arial" w:cs="Arial" w:eastAsia="Arial" w:hAnsi="Arial"/>
          <w:sz w:val="17"/>
          <w:szCs w:val="17"/>
          <w:color w:val="auto"/>
        </w:rPr>
        <w:t>or less at the time of purchase, that are readily convertible into cash to be cash equivalents. As of September 30, 2020 and December 31, 2019, cash equivalents were comprised of money market accounts with maturities less than 90 days from the date of purchase.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3" w:name="page14"/>
    <w:bookmarkEnd w:id="13"/>
    <w:p>
      <w:pPr>
        <w:ind w:right="40"/>
        <w:spacing w:after="0" w:line="286" w:lineRule="auto"/>
        <w:rPr>
          <w:sz w:val="20"/>
          <w:szCs w:val="20"/>
          <w:color w:val="auto"/>
        </w:rPr>
      </w:pPr>
      <w:r>
        <w:rPr>
          <w:rFonts w:ascii="Arial" w:cs="Arial" w:eastAsia="Arial" w:hAnsi="Arial"/>
          <w:sz w:val="17"/>
          <w:szCs w:val="17"/>
          <w:color w:val="auto"/>
        </w:rPr>
        <w:t>The Company records restricted cash when cash and cash equivalents are restricted as to withdrawal or usage. The Company presents amounts of restricted cash that will be available for use within 12 months of the reporting date as restricted cash in current assets. Restricted cash amounts that will not be available for use in the Company’s operations within 12 months of the reporting date are presented as restricted cash in long-term assets.</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consolidated balance sheets that sum to amounts reported on the consolidated statement of cash flows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52,398</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52,714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—The Company’s short-term investments consist of U.S. Treasury securities stated at amortized cost that the Company intends to</w:t>
      </w:r>
      <w:r>
        <w:rPr>
          <w:rFonts w:ascii="Arial" w:cs="Arial" w:eastAsia="Arial" w:hAnsi="Arial"/>
          <w:sz w:val="18"/>
          <w:szCs w:val="18"/>
          <w:i w:val="1"/>
          <w:iCs w:val="1"/>
          <w:color w:val="auto"/>
        </w:rPr>
        <w:t xml:space="preserve"> </w:t>
      </w:r>
      <w:r>
        <w:rPr>
          <w:rFonts w:ascii="Arial" w:cs="Arial" w:eastAsia="Arial" w:hAnsi="Arial"/>
          <w:sz w:val="18"/>
          <w:szCs w:val="18"/>
          <w:color w:val="auto"/>
        </w:rPr>
        <w:t>hold until maturity. Those with maturities less than 12 months are included in short-term investments and any investments with maturities in excess of twelve months are included in long-term investments in our condensed consolidated balance sheets. As of September 30, 2020, the Company did not hold any short-term or long-term investments nor did it record any material gains or losses on investment securities during the three and nine months ended September 30, 2020.</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 Financial instruments that potentially subject the Company to concentration of credit risk consist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short-term investments. Cash and cash equivalents are held in high credit quality institutions. Cash equivalents consist of interest-bearing money market accounts and U.S. Treasury securities, which are regularly monitored by management.</w:t>
      </w:r>
    </w:p>
    <w:p>
      <w:pPr>
        <w:spacing w:after="0" w:line="184"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 Accounts receivable are recorded at the invoiced amount and are not interest bearing.</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receivable are presented net of an allowance for doubtful accounts if 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Pre-Launch Inventory </w:t>
      </w:r>
      <w:r>
        <w:rPr>
          <w:rFonts w:ascii="Arial" w:cs="Arial" w:eastAsia="Arial" w:hAnsi="Arial"/>
          <w:sz w:val="17"/>
          <w:szCs w:val="17"/>
          <w:color w:val="auto"/>
        </w:rPr>
        <w:t>— An improvement to the manufacturing process for the Company’s primary excipient FDKP was demonstrated to be viable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a research and development expense in the period incurred.</w:t>
      </w:r>
    </w:p>
    <w:p>
      <w:pPr>
        <w:spacing w:after="0" w:line="18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 first-out,</w:t>
      </w:r>
      <w:r>
        <w:rPr>
          <w:rFonts w:ascii="Arial" w:cs="Arial" w:eastAsia="Arial" w:hAnsi="Arial"/>
          <w:sz w:val="16"/>
          <w:szCs w:val="16"/>
          <w:i w:val="1"/>
          <w:iCs w:val="1"/>
          <w:color w:val="auto"/>
        </w:rPr>
        <w:t xml:space="preserve"> </w:t>
      </w:r>
      <w:r>
        <w:rPr>
          <w:rFonts w:ascii="Arial" w:cs="Arial" w:eastAsia="Arial" w:hAnsi="Arial"/>
          <w:sz w:val="16"/>
          <w:szCs w:val="16"/>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200"/>
        <w:spacing w:after="0" w:line="342"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evaluates long-lived assets for impairment whenever events or changes in circumstances indicate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carrying value of an asset may not be recoverable. Assets are considered to be impaired if the carrying value is considered to be unrecoverable.</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August 2019, the Company recorded a $1.5 million commitment asset and a $0.4 million other asset for deferred debt issuance costs related to the future funding commitments of the MidCap Credit Facility. A quarterly assessment was performed to determine if the Company was on target to achieve certain required milestone conditions in order for the Company to access further borrowings under the MidCap Credit Facility. The Company determined that such milestone conditions related to Afrezza trailing net revenue were unlikely to be achieved. As a result, an asset impairment of $1.9 million was recognized during the second quarter of 2020 and is reflected in the Company’s condensed consolidated statement of operations. 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further information on the MidCap Credit Facility.</w:t>
      </w:r>
    </w:p>
    <w:p>
      <w:pPr>
        <w:spacing w:after="0" w:line="1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Recognized Loss on Purchase Commitments </w:t>
      </w:r>
      <w:r>
        <w:rPr>
          <w:rFonts w:ascii="Arial" w:cs="Arial" w:eastAsia="Arial" w:hAnsi="Arial"/>
          <w:sz w:val="17"/>
          <w:szCs w:val="17"/>
          <w:color w:val="auto"/>
        </w:rPr>
        <w:t>— The Company assesses whether losses on long-term purchase commitments should be accrued. Losses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 of operations. The liability balance of the recognized loss on insulin purchase commitments was $94.8 million and $92.0 million as of September 30, 2020 and December 31, 2019, respectively. No new contracts were identified in the first nine months of 2020 that required a new loss on purchase commitment accrual.</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Milestone Rights Liability </w:t>
      </w:r>
      <w:r>
        <w:rPr>
          <w:rFonts w:ascii="Arial" w:cs="Arial" w:eastAsia="Arial" w:hAnsi="Arial"/>
          <w:sz w:val="18"/>
          <w:szCs w:val="18"/>
          <w:color w:val="auto"/>
        </w:rPr>
        <w:t>— On July 1, 2013, in conjunction with the execution of a financing facility with Deerfield Private Design Fund II L.P. and</w:t>
      </w:r>
      <w:r>
        <w:rPr>
          <w:rFonts w:ascii="Arial" w:cs="Arial" w:eastAsia="Arial" w:hAnsi="Arial"/>
          <w:sz w:val="18"/>
          <w:szCs w:val="18"/>
          <w:i w:val="1"/>
          <w:iCs w:val="1"/>
          <w:color w:val="auto"/>
        </w:rPr>
        <w:t xml:space="preserve"> </w:t>
      </w:r>
      <w:r>
        <w:rPr>
          <w:rFonts w:ascii="Arial" w:cs="Arial" w:eastAsia="Arial" w:hAnsi="Arial"/>
          <w:sz w:val="18"/>
          <w:szCs w:val="18"/>
          <w:color w:val="auto"/>
        </w:rPr>
        <w:t>Deerfield Private Design International I L.P., the Company issued to Deerfield Private Design Fund II, L.P. and Horizon Santé FLML SÁRL (the “Milestone Purchasers”) certain rights to receive payments of up to $90.0 million, of which $70.0 million remains payable as of September 30, 2020 upon the occurrence of specified strategic and sales milestones, including the achievement of specified net sales figures (the “Milestone Rights”). The Company analyzed the Milestone Rights and determined that they did not meet the definition of a freestanding derivative. Since the Company has not elected to apply the fair value option to the Milestone Rights, the Company recorded them at their estimated initial fair value and accounted for the Milestone Rights as a liability.</w:t>
      </w:r>
    </w:p>
    <w:p>
      <w:pPr>
        <w:spacing w:after="0" w:line="1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6 – </w:t>
      </w:r>
      <w:r>
        <w:rPr>
          <w:rFonts w:ascii="Arial" w:cs="Arial" w:eastAsia="Arial" w:hAnsi="Arial"/>
          <w:sz w:val="16"/>
          <w:szCs w:val="16"/>
          <w:i w:val="1"/>
          <w:iCs w:val="1"/>
          <w:color w:val="auto"/>
        </w:rPr>
        <w:t>Borrowings</w:t>
      </w:r>
      <w:r>
        <w:rPr>
          <w:rFonts w:ascii="Arial" w:cs="Arial" w:eastAsia="Arial" w:hAnsi="Arial"/>
          <w:sz w:val="16"/>
          <w:szCs w:val="16"/>
          <w:color w:val="auto"/>
        </w:rPr>
        <w:t>). As of September 30, 2020 and December 31, 2019, the remaining liability balance was $7.3 million.</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applies various valuation approaches in determining the fair value of its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7"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provisions for federal, foreign, state and local income taxes are calculated on pre-tax income based on current tax law and include the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5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Income tax positions are considered for uncertainty. 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If a tax position does not meet the minimum statutory threshold to avoid payment of penalties, the Company recognizes an expense for the amount of the penalty in the period the tax position is claimed in the tax return of the Company. The Company recognizes interest accrued related to unrecognized tax benefits in income tax expense, if any. Penalties, if probable and reasonably estimable, are recognized as a component of income tax expense.</w:t>
      </w:r>
    </w:p>
    <w:p>
      <w:pPr>
        <w:spacing w:after="0" w:line="19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7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Share-based payments to employees, including grants of stock options, RSUs, performance-based non-qualified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awards (“PNQ”), restricted stock units with market conditions (“Market RSUs”) and the compensatory elements of employee stock purchase plans, are recognized in the condensed consolidated statements of operations based upon the fair value of the awards at the grant date. The Company uses the Black-Scholes option valuation model to estimate the grant date fair value of employee stock options and the compensatory elements of employee stock purchase plans. RSUs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7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i w:val="1"/>
          <w:iCs w:val="1"/>
          <w:color w:val="auto"/>
        </w:rPr>
        <w:t xml:space="preserve">Clinical Trial Expenses </w:t>
      </w:r>
      <w:r>
        <w:rPr>
          <w:rFonts w:ascii="Arial" w:cs="Arial" w:eastAsia="Arial" w:hAnsi="Arial"/>
          <w:sz w:val="18"/>
          <w:szCs w:val="18"/>
          <w:color w:val="auto"/>
        </w:rPr>
        <w:t>— Clinical trial expenses, which are primarily reflected in research and development expenses in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result from obligations under contracts with vendors, consultants and clinical site agreements in connection with conducting clinical trials.</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Net Income (Loss) Per Share of Common Stock </w:t>
      </w:r>
      <w:r>
        <w:rPr>
          <w:rFonts w:ascii="Arial" w:cs="Arial" w:eastAsia="Arial" w:hAnsi="Arial"/>
          <w:sz w:val="18"/>
          <w:szCs w:val="18"/>
          <w:color w:val="auto"/>
        </w:rPr>
        <w:t>— Basic net income or loss per share excludes dilution for potentially dilutive securities and is computed</w:t>
      </w:r>
      <w:r>
        <w:rPr>
          <w:rFonts w:ascii="Arial" w:cs="Arial" w:eastAsia="Arial" w:hAnsi="Arial"/>
          <w:sz w:val="18"/>
          <w:szCs w:val="18"/>
          <w:i w:val="1"/>
          <w:iCs w:val="1"/>
          <w:color w:val="auto"/>
        </w:rPr>
        <w:t xml:space="preserve"> </w:t>
      </w:r>
      <w:r>
        <w:rPr>
          <w:rFonts w:ascii="Arial" w:cs="Arial" w:eastAsia="Arial" w:hAnsi="Arial"/>
          <w:sz w:val="18"/>
          <w:szCs w:val="18"/>
          <w:color w:val="auto"/>
        </w:rPr>
        <w:t>by 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right="380"/>
        <w:spacing w:after="0" w:line="342" w:lineRule="auto"/>
        <w:rPr>
          <w:sz w:val="20"/>
          <w:szCs w:val="20"/>
          <w:color w:val="auto"/>
        </w:rPr>
      </w:pPr>
      <w:r>
        <w:rPr>
          <w:rFonts w:ascii="Arial" w:cs="Arial" w:eastAsia="Arial" w:hAnsi="Arial"/>
          <w:sz w:val="16"/>
          <w:szCs w:val="16"/>
          <w:color w:val="auto"/>
        </w:rPr>
        <w:t>The computation of basic and diluted net loss per share for the three and nine months ended September 30, 2020 and 2019 excludes the common stock equivalents of the following potentially dilutive securities because their inclusion would be anti-dilutive while the Company is in a net loss position: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4"/>
          </w:tcPr>
          <w:p>
            <w:pPr>
              <w:ind w:left="64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7720" w:type="dxa"/>
            <w:vAlign w:val="bottom"/>
            <w:tcBorders>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RSUs and Market RSUs </w:t>
            </w:r>
            <w:r>
              <w:rPr>
                <w:rFonts w:ascii="Arial" w:cs="Arial" w:eastAsia="Arial" w:hAnsi="Arial"/>
                <w:sz w:val="17"/>
                <w:szCs w:val="17"/>
                <w:color w:val="auto"/>
              </w:rPr>
              <w:t>(1)</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8,897,020</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1,122,283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560" w:type="dxa"/>
            <w:vAlign w:val="bottom"/>
          </w:tcPr>
          <w:p>
            <w:pPr>
              <w:jc w:val="right"/>
              <w:spacing w:after="0"/>
              <w:rPr>
                <w:sz w:val="20"/>
                <w:szCs w:val="20"/>
                <w:color w:val="auto"/>
              </w:rPr>
            </w:pPr>
            <w:r>
              <w:rPr>
                <w:rFonts w:ascii="Arial" w:cs="Arial" w:eastAsia="Arial" w:hAnsi="Arial"/>
                <w:sz w:val="18"/>
                <w:szCs w:val="18"/>
                <w:color w:val="auto"/>
              </w:rPr>
              <w:t>107,003</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147,675</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and PNQs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12,689,522</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15,361,337</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2024 convertible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1,666,667</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Mann Group convertible note</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14,000,000</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14,000,000</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31,856</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31,856</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Warrants associated with Midcap Credit Facility</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1,171,614</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1,171,614</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Warrants associated with public offering</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23,333,333</w:t>
            </w:r>
          </w:p>
        </w:tc>
        <w:tc>
          <w:tcPr>
            <w:tcW w:w="10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shares</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38,563,682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56,834,765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903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5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RSUs are included at the maximum share delivery percentage (see Note 10 — Stock-Based Compensation Expense).</w:t>
      </w:r>
    </w:p>
    <w:p>
      <w:pPr>
        <w:spacing w:after="0" w:line="2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Recently Adopted Accounting Standards </w:t>
      </w:r>
      <w:r>
        <w:rPr>
          <w:rFonts w:ascii="Arial" w:cs="Arial" w:eastAsia="Arial" w:hAnsi="Arial"/>
          <w:sz w:val="18"/>
          <w:szCs w:val="18"/>
          <w:color w:val="auto"/>
        </w:rPr>
        <w:t>— In June 2016, the FASB issued ASU No. 2016-13,</w:t>
      </w:r>
      <w:r>
        <w:rPr>
          <w:rFonts w:ascii="Arial" w:cs="Arial" w:eastAsia="Arial" w:hAnsi="Arial"/>
          <w:sz w:val="18"/>
          <w:szCs w:val="18"/>
          <w:i w:val="1"/>
          <w:iCs w:val="1"/>
          <w:color w:val="auto"/>
        </w:rPr>
        <w:t xml:space="preserve"> Financial Instruments - Credit Losses (Topic 326),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adopted this standard as of January 1, 2020. This update introduces the current expected credit loss (CECL) model, which requires an entity to measure credit losses for certain financial instruments and financial assets, including trade receivables. Under this update, on initial recognition and at each reporting period, an entity is required to recognize an allowance that reflects the entity’s current estimate of credit losses expected to be incurred over the life of the financial instrument. The adoption of this standard did not have a material impact on the Company's condensed consolidated financial statements.</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w:t>
      </w:r>
      <w:r>
        <w:rPr>
          <w:rFonts w:ascii="Arial" w:cs="Arial" w:eastAsia="Arial" w:hAnsi="Arial"/>
          <w:sz w:val="17"/>
          <w:szCs w:val="17"/>
          <w:color w:val="auto"/>
        </w:rPr>
        <w:t xml:space="preserve"> to clarify when transactions between participants in a collaborative arrangement under ASC 808 are within the scope of the new revenue guidance when the collaborative arrangement participant is a customer. ASU 2018-18 is effective for fiscal years beginning after December 15, 2019, and interim periods within fiscal years beginning after December 15, 2021. The Company adopted this pronouncement in 2020 with no impact on the consolidated financial statements.</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to simplify and reduce the cost of accounting for income taxes. The pronouncement calls for removing exceptions to the incremental approach for intraperiod tax allocations, exceptions to the requirement to recognize a deferred tax liability for equity method investment when a foreign subsidiary becomes an equity method investment, exception to the ability to not recognize a deferred tax liability for a foreign subsidiary when a foreign equity method investment becomes a subsidiary and exception to the general methodology for calculating income taxes in an interim period when a year-to-date loss exceeds the anticipated loss for the year. ASU 2019-12 is effective for fiscal years, and interim periods within those fiscal years, beginning after December 15, 2020. Early adoption is permitted. We are currently assessing the effect the adoption of this standard will have on the Company’s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29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7,424</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Wholesaler distribution fees and prompt pay discounts</w:t>
            </w:r>
          </w:p>
        </w:tc>
        <w:tc>
          <w:tcPr>
            <w:tcW w:w="2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Reserve for returns</w:t>
            </w:r>
          </w:p>
        </w:tc>
        <w:tc>
          <w:tcPr>
            <w:tcW w:w="2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(2,058)</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23"/>
        </w:trPr>
        <w:tc>
          <w:tcPr>
            <w:tcW w:w="47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4,135</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980" w:type="dxa"/>
            <w:vAlign w:val="bottom"/>
            <w:vMerge w:val="restart"/>
          </w:tcPr>
          <w:p>
            <w:pPr>
              <w:jc w:val="right"/>
              <w:ind w:right="191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74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ind w:right="300"/>
        <w:spacing w:after="0" w:line="263" w:lineRule="auto"/>
        <w:rPr>
          <w:sz w:val="20"/>
          <w:szCs w:val="20"/>
          <w:color w:val="auto"/>
        </w:rPr>
      </w:pPr>
      <w:r>
        <w:rPr>
          <w:rFonts w:ascii="Arial" w:cs="Arial" w:eastAsia="Arial" w:hAnsi="Arial"/>
          <w:sz w:val="18"/>
          <w:szCs w:val="18"/>
          <w:color w:val="auto"/>
        </w:rPr>
        <w:t xml:space="preserve">As of September 30, 2020 and December 31, 2019, the allowance for doubtful accounts was </w:t>
      </w:r>
      <w:r>
        <w:rPr>
          <w:rFonts w:ascii="Arial" w:cs="Arial" w:eastAsia="Arial" w:hAnsi="Arial"/>
          <w:sz w:val="18"/>
          <w:szCs w:val="18"/>
          <w:i w:val="1"/>
          <w:iCs w:val="1"/>
          <w:color w:val="auto"/>
        </w:rPr>
        <w:t>de minimis</w:t>
      </w:r>
      <w:r>
        <w:rPr>
          <w:rFonts w:ascii="Arial" w:cs="Arial" w:eastAsia="Arial" w:hAnsi="Arial"/>
          <w:sz w:val="18"/>
          <w:szCs w:val="18"/>
          <w:color w:val="auto"/>
        </w:rPr>
        <w:t>. The Company had three wholesale distributors representing approximately 87% of accounts receivable as of September 30, 2020 and approximately 83% and 87% of gross sales for the three and nine months ended September 30, 2020,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1,827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inventory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Work-in-process and finished goods as of September 30, 2020 and December 31, 2019 include conversion costs and exclude the cost of insulin. All insulin inventory on hand was written off and the projected loss on the purchase commitment contract to purchase future insulin was accrued as of the end of 2015. Raw materials inventory included $0.8 million of pre-launch inventory as of September 30, 2020 and December 31, 2019, which consisted of FDKP received in November 2019 that will be used to manufacture Afrezza under an enhanced manufacturing process for FDKP. The Company expects to receive FDA approval of the new source of FDKP in 2022, after which the pre-launch raw materials inventory will be reclassified as raw materials inventory for use in the manufacturing of Afrezza.</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Company analyzed its inventory levels to identify inventory that may expire or has a cost basis in excess of its estimated realizable value.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also performed an assessment of projected sales and evaluated the lower of cost or net realizable value and the potential excess inventory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hand. Inventory that was forecasted to become obsolete due to expiration is recorded in costs of goods sold in the accompanying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operations. For the nine months ended September 30, 2020 there was an inventory write-off of $0.5 million as a result of this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assessment. There were no inventory write-offs for the three months ended September 30, 2020 or the three and nine months ended September 30, 2019.</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Estimated Useful</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7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Life (Years)</w:t>
            </w:r>
          </w:p>
        </w:tc>
        <w:tc>
          <w:tcPr>
            <w:tcW w:w="160" w:type="dxa"/>
            <w:vAlign w:val="bottom"/>
          </w:tcPr>
          <w:p>
            <w:pPr>
              <w:spacing w:after="0"/>
              <w:rPr>
                <w:sz w:val="18"/>
                <w:szCs w:val="18"/>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 2020</w:t>
            </w: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 2019</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Buildings</w:t>
            </w:r>
          </w:p>
        </w:tc>
        <w:tc>
          <w:tcPr>
            <w:tcW w:w="1620" w:type="dxa"/>
            <w:vAlign w:val="bottom"/>
          </w:tcPr>
          <w:p>
            <w:pPr>
              <w:jc w:val="right"/>
              <w:spacing w:after="0"/>
              <w:rPr>
                <w:sz w:val="20"/>
                <w:szCs w:val="20"/>
                <w:color w:val="auto"/>
              </w:rPr>
            </w:pPr>
            <w:r>
              <w:rPr>
                <w:rFonts w:ascii="Arial" w:cs="Arial" w:eastAsia="Arial" w:hAnsi="Arial"/>
                <w:sz w:val="18"/>
                <w:szCs w:val="18"/>
                <w:color w:val="auto"/>
              </w:rPr>
              <w:t>39-40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17,389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17,389</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37,543</w:t>
            </w: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2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55,165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54,982</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8,319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122,359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122,142</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(96,623)</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(95,364)</w:t>
            </w:r>
          </w:p>
        </w:tc>
      </w:tr>
      <w:tr>
        <w:trPr>
          <w:trHeight w:val="223"/>
        </w:trPr>
        <w:tc>
          <w:tcPr>
            <w:tcW w:w="5780" w:type="dxa"/>
            <w:vAlign w:val="bottom"/>
          </w:tcPr>
          <w:p>
            <w:pPr>
              <w:ind w:left="260"/>
              <w:spacing w:after="0"/>
              <w:rPr>
                <w:sz w:val="20"/>
                <w:szCs w:val="20"/>
                <w:color w:val="auto"/>
              </w:rPr>
            </w:pPr>
            <w:r>
              <w:rPr>
                <w:rFonts w:ascii="Arial" w:cs="Arial" w:eastAsia="Arial" w:hAnsi="Arial"/>
                <w:sz w:val="18"/>
                <w:szCs w:val="18"/>
                <w:color w:val="auto"/>
              </w:rPr>
              <w:t>Total property and equipment, net</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25,736</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26,778</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related to property and equipment for the three and nine months ended September 30, 2020 and 2019 was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center"/>
              <w:ind w:left="444"/>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3260" w:type="dxa"/>
            <w:vAlign w:val="bottom"/>
          </w:tcPr>
          <w:p>
            <w:pPr>
              <w:spacing w:after="0"/>
              <w:rPr>
                <w:sz w:val="19"/>
                <w:szCs w:val="19"/>
                <w:color w:val="auto"/>
              </w:rPr>
            </w:pPr>
          </w:p>
        </w:tc>
        <w:tc>
          <w:tcPr>
            <w:tcW w:w="2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459"/>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ind w:right="47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9"/>
                <w:szCs w:val="19"/>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6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top w:val="single" w:sz="8" w:color="CFF0FC"/>
            </w:tcBorders>
            <w:shd w:val="clear" w:color="auto" w:fill="CFF0FC"/>
          </w:tcPr>
          <w:p>
            <w:pPr>
              <w:spacing w:after="0"/>
              <w:rPr>
                <w:sz w:val="19"/>
                <w:szCs w:val="19"/>
                <w:color w:val="auto"/>
              </w:rPr>
            </w:pPr>
          </w:p>
        </w:tc>
      </w:tr>
      <w:tr>
        <w:trPr>
          <w:trHeight w:val="837"/>
        </w:trPr>
        <w:tc>
          <w:tcPr>
            <w:tcW w:w="3260" w:type="dxa"/>
            <w:vAlign w:val="bottom"/>
          </w:tcPr>
          <w:p>
            <w:pPr>
              <w:spacing w:after="0"/>
              <w:rPr>
                <w:sz w:val="24"/>
                <w:szCs w:val="24"/>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were comprised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7,745</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3,491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3,162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lease liability</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Milestone Rights liability — current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Sales and marketing services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15,814</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Included in salary and related expenses is $0.6 million of deferred social security taxes as permitted under the CARES Act. The Company is permitted to defer the employer share of social security taxes otherwise owed on dates beginning March 27, 2020 and ending December 31, 2020. Half of the total deferred payments are payable on December 31, 2021 and the remaining half are payable on December 31, 2022. The amount of the deferral is based on wages paid from April through December 2020. This deferral option is no longer available if the Company receives forgiveness for its PPP Loan as discussed in Note 6 — Borrowings.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rFonts w:ascii="Arial" w:cs="Arial" w:eastAsia="Arial" w:hAnsi="Arial"/>
          <w:sz w:val="18"/>
          <w:szCs w:val="18"/>
          <w:b w:val="1"/>
          <w:bCs w:val="1"/>
          <w:color w:val="auto"/>
        </w:rPr>
        <w:t xml:space="preserve">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 of principal borrowings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4"/>
                <w:szCs w:val="14"/>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23"/>
        </w:trPr>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Mann Group promissory notes</w:t>
            </w:r>
          </w:p>
        </w:tc>
        <w:tc>
          <w:tcPr>
            <w:tcW w:w="1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70,025</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70,020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Midcap Credit Facility</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39,346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38,851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6"/>
              </w:rPr>
              <w:t>Senior notes (December 2020 note and 2024 convertible notes)</w:t>
            </w: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PPP Loan</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4,873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 — net carrying amount</w:t>
            </w:r>
          </w:p>
        </w:tc>
        <w:tc>
          <w:tcPr>
            <w:tcW w:w="1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121,825</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118,899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(45,379)</w:t>
            </w:r>
          </w:p>
        </w:tc>
        <w:tc>
          <w:tcPr>
            <w:tcW w:w="120" w:type="dxa"/>
            <w:vAlign w:val="bottom"/>
          </w:tcPr>
          <w:p>
            <w:pPr>
              <w:spacing w:after="0"/>
              <w:rPr>
                <w:sz w:val="19"/>
                <w:szCs w:val="19"/>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23"/>
        </w:trPr>
        <w:tc>
          <w:tcPr>
            <w:tcW w:w="31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Long-term debt</w:t>
            </w: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76,446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113,871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5"/>
            <w:vMerge w:val="restart"/>
          </w:tcPr>
          <w:p>
            <w:pPr>
              <w:spacing w:after="0"/>
              <w:rPr>
                <w:sz w:val="20"/>
                <w:szCs w:val="20"/>
                <w:color w:val="auto"/>
              </w:rPr>
            </w:pPr>
            <w:r>
              <w:rPr>
                <w:rFonts w:ascii="Arial" w:cs="Arial" w:eastAsia="Arial" w:hAnsi="Arial"/>
                <w:sz w:val="18"/>
                <w:szCs w:val="18"/>
                <w:color w:val="auto"/>
              </w:rPr>
              <w:t>The following table provides a summary of the Company’s debt and key terms:</w:t>
            </w: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gridSpan w:val="5"/>
            <w:vMerge w:val="continue"/>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160" w:type="dxa"/>
            <w:vAlign w:val="bottom"/>
          </w:tcPr>
          <w:p>
            <w:pPr>
              <w:spacing w:after="0"/>
              <w:rPr>
                <w:sz w:val="24"/>
                <w:szCs w:val="24"/>
                <w:color w:val="auto"/>
              </w:rPr>
            </w:pPr>
          </w:p>
        </w:tc>
        <w:tc>
          <w:tcPr>
            <w:tcW w:w="3580" w:type="dxa"/>
            <w:vAlign w:val="bottom"/>
            <w:gridSpan w:val="4"/>
          </w:tcPr>
          <w:p>
            <w:pPr>
              <w:ind w:left="1260"/>
              <w:spacing w:after="0"/>
              <w:rPr>
                <w:sz w:val="20"/>
                <w:szCs w:val="20"/>
                <w:color w:val="auto"/>
              </w:rPr>
            </w:pPr>
            <w:r>
              <w:rPr>
                <w:rFonts w:ascii="Arial" w:cs="Arial" w:eastAsia="Arial" w:hAnsi="Arial"/>
                <w:sz w:val="14"/>
                <w:szCs w:val="14"/>
                <w:b w:val="1"/>
                <w:bCs w:val="1"/>
                <w:color w:val="auto"/>
              </w:rPr>
              <w:t>Amount Due</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Terms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160" w:type="dxa"/>
            <w:vAlign w:val="bottom"/>
          </w:tcPr>
          <w:p>
            <w:pPr>
              <w:spacing w:after="0"/>
              <w:rPr>
                <w:sz w:val="13"/>
                <w:szCs w:val="13"/>
                <w:color w:val="auto"/>
              </w:rPr>
            </w:pPr>
          </w:p>
        </w:tc>
        <w:tc>
          <w:tcPr>
            <w:tcW w:w="178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1"/>
              </w:rPr>
              <w:t>September 30, 2020</w:t>
            </w:r>
          </w:p>
        </w:tc>
        <w:tc>
          <w:tcPr>
            <w:tcW w:w="15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280" w:type="dxa"/>
            <w:vAlign w:val="bottom"/>
          </w:tcPr>
          <w:p>
            <w:pPr>
              <w:spacing w:after="0"/>
              <w:rPr>
                <w:sz w:val="13"/>
                <w:szCs w:val="13"/>
                <w:color w:val="auto"/>
              </w:rPr>
            </w:pPr>
          </w:p>
        </w:tc>
        <w:tc>
          <w:tcPr>
            <w:tcW w:w="1580" w:type="dxa"/>
            <w:vAlign w:val="bottom"/>
            <w:tcBorders>
              <w:top w:val="single" w:sz="8" w:color="auto"/>
            </w:tcBorders>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Annual Interest Rate</w:t>
            </w:r>
          </w:p>
        </w:tc>
        <w:tc>
          <w:tcPr>
            <w:tcW w:w="1240" w:type="dxa"/>
            <w:vAlign w:val="bottom"/>
            <w:tcBorders>
              <w:top w:val="single" w:sz="8" w:color="auto"/>
            </w:tcBorders>
            <w:gridSpan w:val="2"/>
          </w:tcPr>
          <w:p>
            <w:pPr>
              <w:jc w:val="center"/>
              <w:ind w:left="32"/>
              <w:spacing w:after="0" w:line="155" w:lineRule="exact"/>
              <w:rPr>
                <w:sz w:val="20"/>
                <w:szCs w:val="20"/>
                <w:color w:val="auto"/>
              </w:rPr>
            </w:pPr>
            <w:r>
              <w:rPr>
                <w:rFonts w:ascii="Arial" w:cs="Arial" w:eastAsia="Arial" w:hAnsi="Arial"/>
                <w:sz w:val="14"/>
                <w:szCs w:val="14"/>
                <w:b w:val="1"/>
                <w:bCs w:val="1"/>
                <w:color w:val="auto"/>
                <w:w w:val="99"/>
              </w:rPr>
              <w:t>Maturity Date</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0"/>
              <w:spacing w:after="0" w:line="155" w:lineRule="exact"/>
              <w:rPr>
                <w:sz w:val="20"/>
                <w:szCs w:val="20"/>
                <w:color w:val="auto"/>
              </w:rPr>
            </w:pPr>
            <w:r>
              <w:rPr>
                <w:rFonts w:ascii="Arial" w:cs="Arial" w:eastAsia="Arial" w:hAnsi="Arial"/>
                <w:sz w:val="14"/>
                <w:szCs w:val="14"/>
                <w:b w:val="1"/>
                <w:bCs w:val="1"/>
                <w:color w:val="auto"/>
                <w:w w:val="92"/>
              </w:rPr>
              <w:t>Conversion Price</w:t>
            </w:r>
          </w:p>
        </w:tc>
        <w:tc>
          <w:tcPr>
            <w:tcW w:w="0" w:type="dxa"/>
            <w:vAlign w:val="bottom"/>
          </w:tcPr>
          <w:p>
            <w:pPr>
              <w:spacing w:after="0"/>
              <w:rPr>
                <w:sz w:val="1"/>
                <w:szCs w:val="1"/>
                <w:color w:val="auto"/>
              </w:rPr>
            </w:pPr>
          </w:p>
        </w:tc>
      </w:tr>
      <w:tr>
        <w:trPr>
          <w:trHeight w:val="209"/>
        </w:trPr>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Mann Group convertible</w:t>
            </w:r>
          </w:p>
        </w:tc>
        <w:tc>
          <w:tcPr>
            <w:tcW w:w="15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$35.0 million (plus</w:t>
            </w:r>
          </w:p>
        </w:tc>
        <w:tc>
          <w:tcPr>
            <w:tcW w:w="26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$35.0 million (plus</w:t>
            </w:r>
          </w:p>
        </w:tc>
        <w:tc>
          <w:tcPr>
            <w:tcW w:w="2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ind w:left="212"/>
              <w:spacing w:after="0"/>
              <w:rPr>
                <w:sz w:val="20"/>
                <w:szCs w:val="20"/>
                <w:color w:val="auto"/>
              </w:rPr>
            </w:pPr>
            <w:r>
              <w:rPr>
                <w:rFonts w:ascii="Arial" w:cs="Arial" w:eastAsia="Arial" w:hAnsi="Arial"/>
                <w:sz w:val="18"/>
                <w:szCs w:val="18"/>
                <w:color w:val="auto"/>
                <w:w w:val="93"/>
              </w:rPr>
              <w:t>7.00%</w:t>
            </w:r>
          </w:p>
        </w:tc>
        <w:tc>
          <w:tcPr>
            <w:tcW w:w="3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gridSpan w:val="3"/>
            <w:shd w:val="clear" w:color="auto" w:fill="CFF0FC"/>
          </w:tcPr>
          <w:p>
            <w:pPr>
              <w:jc w:val="center"/>
              <w:spacing w:after="0"/>
              <w:rPr>
                <w:sz w:val="20"/>
                <w:szCs w:val="20"/>
                <w:color w:val="auto"/>
              </w:rPr>
            </w:pPr>
            <w:r>
              <w:rPr>
                <w:rFonts w:ascii="Arial" w:cs="Arial" w:eastAsia="Arial" w:hAnsi="Arial"/>
                <w:sz w:val="18"/>
                <w:szCs w:val="18"/>
                <w:color w:val="auto"/>
                <w:w w:val="90"/>
              </w:rPr>
              <w:t>November 2024</w:t>
            </w:r>
          </w:p>
        </w:tc>
        <w:tc>
          <w:tcPr>
            <w:tcW w:w="1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center"/>
              <w:ind w:left="12"/>
              <w:spacing w:after="0"/>
              <w:rPr>
                <w:sz w:val="20"/>
                <w:szCs w:val="20"/>
                <w:color w:val="auto"/>
              </w:rPr>
            </w:pPr>
            <w:r>
              <w:rPr>
                <w:rFonts w:ascii="Arial" w:cs="Arial" w:eastAsia="Arial" w:hAnsi="Arial"/>
                <w:sz w:val="18"/>
                <w:szCs w:val="18"/>
                <w:color w:val="auto"/>
                <w:w w:val="88"/>
              </w:rPr>
              <w:t>$2.50</w:t>
            </w:r>
          </w:p>
        </w:tc>
        <w:tc>
          <w:tcPr>
            <w:tcW w:w="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w:t>
            </w:r>
          </w:p>
        </w:tc>
        <w:tc>
          <w:tcPr>
            <w:tcW w:w="178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2"/>
              </w:rPr>
              <w:t>$2.9 million accrued</w:t>
            </w:r>
          </w:p>
        </w:tc>
        <w:tc>
          <w:tcPr>
            <w:tcW w:w="18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2"/>
              </w:rPr>
              <w:t>$1.0 million accrued</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4"/>
              </w:rPr>
              <w:t>per share</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1"/>
              </w:rPr>
              <w:t>interest paid-in-</w:t>
            </w:r>
          </w:p>
        </w:tc>
        <w:tc>
          <w:tcPr>
            <w:tcW w:w="18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3"/>
              </w:rPr>
              <w:t>interest paid-in-</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7"/>
              </w:rPr>
              <w:t>kind)</w:t>
            </w:r>
          </w:p>
        </w:tc>
        <w:tc>
          <w:tcPr>
            <w:tcW w:w="180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7"/>
              </w:rPr>
              <w:t>kind)</w:t>
            </w: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8"/>
                <w:szCs w:val="18"/>
                <w:color w:val="auto"/>
              </w:rPr>
              <w:t>Mann Group non-</w:t>
            </w: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$35.1 million (plus</w:t>
            </w: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$35.1 million (plus</w:t>
            </w:r>
          </w:p>
        </w:tc>
        <w:tc>
          <w:tcPr>
            <w:tcW w:w="980" w:type="dxa"/>
            <w:vAlign w:val="bottom"/>
          </w:tcPr>
          <w:p>
            <w:pPr>
              <w:jc w:val="center"/>
              <w:ind w:left="212"/>
              <w:spacing w:after="0"/>
              <w:rPr>
                <w:sz w:val="20"/>
                <w:szCs w:val="20"/>
                <w:color w:val="auto"/>
              </w:rPr>
            </w:pPr>
            <w:r>
              <w:rPr>
                <w:rFonts w:ascii="Arial" w:cs="Arial" w:eastAsia="Arial" w:hAnsi="Arial"/>
                <w:sz w:val="18"/>
                <w:szCs w:val="18"/>
                <w:color w:val="auto"/>
                <w:w w:val="93"/>
              </w:rPr>
              <w:t>7.00%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0"/>
              </w:rPr>
              <w:t>November 2024</w:t>
            </w:r>
          </w:p>
        </w:tc>
        <w:tc>
          <w:tcPr>
            <w:tcW w:w="16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160" w:type="dxa"/>
            <w:vAlign w:val="bottom"/>
          </w:tcPr>
          <w:p>
            <w:pPr>
              <w:ind w:left="140"/>
              <w:spacing w:after="0"/>
              <w:rPr>
                <w:sz w:val="20"/>
                <w:szCs w:val="20"/>
                <w:color w:val="auto"/>
              </w:rPr>
            </w:pPr>
            <w:r>
              <w:rPr>
                <w:rFonts w:ascii="Arial" w:cs="Arial" w:eastAsia="Arial" w:hAnsi="Arial"/>
                <w:sz w:val="18"/>
                <w:szCs w:val="18"/>
                <w:color w:val="auto"/>
              </w:rPr>
              <w:t>convertible note</w:t>
            </w: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$2.9 million accrued</w:t>
            </w: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$1.0 million accrued</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interest paid-in-</w:t>
            </w: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interest paid-in-</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kind)</w:t>
            </w: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kind)</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MidCap Credit</w:t>
            </w:r>
          </w:p>
        </w:tc>
        <w:tc>
          <w:tcPr>
            <w:tcW w:w="178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4"/>
              </w:rPr>
              <w:t>$40.0 million</w:t>
            </w:r>
          </w:p>
        </w:tc>
        <w:tc>
          <w:tcPr>
            <w:tcW w:w="18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4"/>
              </w:rPr>
              <w:t>$40.0 million</w:t>
            </w:r>
          </w:p>
        </w:tc>
        <w:tc>
          <w:tcPr>
            <w:tcW w:w="1580" w:type="dxa"/>
            <w:vAlign w:val="bottom"/>
            <w:gridSpan w:val="3"/>
            <w:shd w:val="clear" w:color="auto" w:fill="CFF0FC"/>
          </w:tcPr>
          <w:p>
            <w:pPr>
              <w:jc w:val="center"/>
              <w:ind w:right="320"/>
              <w:spacing w:after="0"/>
              <w:rPr>
                <w:sz w:val="20"/>
                <w:szCs w:val="20"/>
                <w:color w:val="auto"/>
              </w:rPr>
            </w:pPr>
            <w:r>
              <w:rPr>
                <w:rFonts w:ascii="Arial" w:cs="Arial" w:eastAsia="Arial" w:hAnsi="Arial"/>
                <w:sz w:val="18"/>
                <w:szCs w:val="18"/>
                <w:color w:val="auto"/>
                <w:w w:val="90"/>
              </w:rPr>
              <w:t>one-month</w:t>
            </w:r>
          </w:p>
        </w:tc>
        <w:tc>
          <w:tcPr>
            <w:tcW w:w="1240" w:type="dxa"/>
            <w:vAlign w:val="bottom"/>
            <w:gridSpan w:val="2"/>
            <w:shd w:val="clear" w:color="auto" w:fill="CFF0FC"/>
          </w:tcPr>
          <w:p>
            <w:pPr>
              <w:jc w:val="center"/>
              <w:ind w:left="12"/>
              <w:spacing w:after="0"/>
              <w:rPr>
                <w:sz w:val="20"/>
                <w:szCs w:val="20"/>
                <w:color w:val="auto"/>
              </w:rPr>
            </w:pPr>
            <w:r>
              <w:rPr>
                <w:rFonts w:ascii="Arial" w:cs="Arial" w:eastAsia="Arial" w:hAnsi="Arial"/>
                <w:sz w:val="18"/>
                <w:szCs w:val="18"/>
                <w:color w:val="auto"/>
                <w:w w:val="92"/>
              </w:rPr>
              <w:t>August 2024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Facility</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center"/>
              <w:ind w:right="300"/>
              <w:spacing w:after="0"/>
              <w:rPr>
                <w:sz w:val="20"/>
                <w:szCs w:val="20"/>
                <w:color w:val="auto"/>
              </w:rPr>
            </w:pPr>
            <w:r>
              <w:rPr>
                <w:rFonts w:ascii="Arial" w:cs="Arial" w:eastAsia="Arial" w:hAnsi="Arial"/>
                <w:sz w:val="18"/>
                <w:szCs w:val="18"/>
                <w:color w:val="auto"/>
                <w:w w:val="96"/>
              </w:rPr>
              <w:t>LIBOR (2%</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center"/>
              <w:ind w:right="300"/>
              <w:spacing w:after="0"/>
              <w:rPr>
                <w:sz w:val="20"/>
                <w:szCs w:val="20"/>
                <w:color w:val="auto"/>
              </w:rPr>
            </w:pPr>
            <w:r>
              <w:rPr>
                <w:rFonts w:ascii="Arial" w:cs="Arial" w:eastAsia="Arial" w:hAnsi="Arial"/>
                <w:sz w:val="18"/>
                <w:szCs w:val="18"/>
                <w:color w:val="auto"/>
                <w:w w:val="97"/>
              </w:rPr>
              <w:t>floor)</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80" w:type="dxa"/>
            <w:vAlign w:val="bottom"/>
            <w:gridSpan w:val="3"/>
            <w:shd w:val="clear" w:color="auto" w:fill="CFF0FC"/>
          </w:tcPr>
          <w:p>
            <w:pPr>
              <w:jc w:val="center"/>
              <w:ind w:right="300"/>
              <w:spacing w:after="0"/>
              <w:rPr>
                <w:sz w:val="20"/>
                <w:szCs w:val="20"/>
                <w:color w:val="auto"/>
              </w:rPr>
            </w:pPr>
            <w:r>
              <w:rPr>
                <w:rFonts w:ascii="Arial" w:cs="Arial" w:eastAsia="Arial" w:hAnsi="Arial"/>
                <w:sz w:val="18"/>
                <w:szCs w:val="18"/>
                <w:color w:val="auto"/>
                <w:w w:val="89"/>
              </w:rPr>
              <w:t>plus 6.75%</w:t>
            </w: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8"/>
                <w:szCs w:val="18"/>
                <w:color w:val="auto"/>
              </w:rPr>
              <w:t>2024 convertible notes</w:t>
            </w: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$5.0 million</w:t>
            </w: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$5.0 million</w:t>
            </w:r>
          </w:p>
        </w:tc>
        <w:tc>
          <w:tcPr>
            <w:tcW w:w="980" w:type="dxa"/>
            <w:vAlign w:val="bottom"/>
          </w:tcPr>
          <w:p>
            <w:pPr>
              <w:jc w:val="center"/>
              <w:ind w:left="212"/>
              <w:spacing w:after="0"/>
              <w:rPr>
                <w:sz w:val="20"/>
                <w:szCs w:val="20"/>
                <w:color w:val="auto"/>
              </w:rPr>
            </w:pPr>
            <w:r>
              <w:rPr>
                <w:rFonts w:ascii="Arial" w:cs="Arial" w:eastAsia="Arial" w:hAnsi="Arial"/>
                <w:sz w:val="18"/>
                <w:szCs w:val="18"/>
                <w:color w:val="auto"/>
                <w:w w:val="93"/>
              </w:rPr>
              <w:t>5.75%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0"/>
              </w:rPr>
              <w:t>November 2024</w:t>
            </w:r>
          </w:p>
        </w:tc>
        <w:tc>
          <w:tcPr>
            <w:tcW w:w="146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4"/>
              </w:rPr>
              <w:t>per share</w:t>
            </w: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June 2020 note</w:t>
            </w:r>
          </w:p>
        </w:tc>
        <w:tc>
          <w:tcPr>
            <w:tcW w:w="17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6"/>
              </w:rPr>
              <w:t>$2.6 million</w:t>
            </w:r>
          </w:p>
        </w:tc>
        <w:tc>
          <w:tcPr>
            <w:tcW w:w="1580" w:type="dxa"/>
            <w:vAlign w:val="bottom"/>
            <w:gridSpan w:val="3"/>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center"/>
              <w:ind w:left="12"/>
              <w:spacing w:after="0"/>
              <w:rPr>
                <w:sz w:val="20"/>
                <w:szCs w:val="20"/>
                <w:color w:val="auto"/>
              </w:rPr>
            </w:pPr>
            <w:r>
              <w:rPr>
                <w:rFonts w:ascii="Arial" w:cs="Arial" w:eastAsia="Arial" w:hAnsi="Arial"/>
                <w:sz w:val="18"/>
                <w:szCs w:val="18"/>
                <w:color w:val="auto"/>
                <w:w w:val="87"/>
              </w:rPr>
              <w:t>June 2020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December 2020 note</w:t>
            </w: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$2.6 million</w:t>
            </w: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$2.6 million</w:t>
            </w:r>
          </w:p>
        </w:tc>
        <w:tc>
          <w:tcPr>
            <w:tcW w:w="15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December 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PPP Loan</w:t>
            </w:r>
          </w:p>
        </w:tc>
        <w:tc>
          <w:tcPr>
            <w:tcW w:w="178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6"/>
              </w:rPr>
              <w:t>$4.9 million</w:t>
            </w:r>
          </w:p>
        </w:tc>
        <w:tc>
          <w:tcPr>
            <w:tcW w:w="180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center"/>
              <w:ind w:left="212"/>
              <w:spacing w:after="0"/>
              <w:rPr>
                <w:sz w:val="20"/>
                <w:szCs w:val="20"/>
                <w:color w:val="auto"/>
              </w:rPr>
            </w:pPr>
            <w:r>
              <w:rPr>
                <w:rFonts w:ascii="Arial" w:cs="Arial" w:eastAsia="Arial" w:hAnsi="Arial"/>
                <w:sz w:val="18"/>
                <w:szCs w:val="18"/>
                <w:color w:val="auto"/>
                <w:w w:val="93"/>
              </w:rPr>
              <w:t>0.98%</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left="12"/>
              <w:spacing w:after="0"/>
              <w:rPr>
                <w:sz w:val="20"/>
                <w:szCs w:val="20"/>
                <w:color w:val="auto"/>
              </w:rPr>
            </w:pPr>
            <w:r>
              <w:rPr>
                <w:rFonts w:ascii="Arial" w:cs="Arial" w:eastAsia="Arial" w:hAnsi="Arial"/>
                <w:sz w:val="18"/>
                <w:szCs w:val="18"/>
                <w:color w:val="auto"/>
                <w:w w:val="96"/>
              </w:rPr>
              <w:t>April 2022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48"/>
        </w:trPr>
        <w:tc>
          <w:tcPr>
            <w:tcW w:w="3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right"/>
              <w:ind w:right="651"/>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maturities of our borrowings as of September 30, 2020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Amounts</w:t>
            </w:r>
          </w:p>
        </w:tc>
      </w:tr>
      <w:tr>
        <w:trPr>
          <w:trHeight w:val="26"/>
        </w:trPr>
        <w:tc>
          <w:tcPr>
            <w:tcW w:w="926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6,881</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14,146</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13,333</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83,940</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92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principal payments</w:t>
            </w: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Unamortized discount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issuance costs</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(423)</w:t>
            </w:r>
          </w:p>
        </w:tc>
      </w:tr>
      <w:tr>
        <w:trPr>
          <w:trHeight w:val="223"/>
        </w:trPr>
        <w:tc>
          <w:tcPr>
            <w:tcW w:w="9260" w:type="dxa"/>
            <w:vAlign w:val="bottom"/>
          </w:tcPr>
          <w:p>
            <w:pPr>
              <w:ind w:left="260"/>
              <w:spacing w:after="0"/>
              <w:rPr>
                <w:sz w:val="20"/>
                <w:szCs w:val="20"/>
                <w:color w:val="auto"/>
              </w:rPr>
            </w:pPr>
            <w:r>
              <w:rPr>
                <w:rFonts w:ascii="Arial" w:cs="Arial" w:eastAsia="Arial" w:hAnsi="Arial"/>
                <w:sz w:val="18"/>
                <w:szCs w:val="18"/>
                <w:color w:val="auto"/>
              </w:rPr>
              <w:t>Total debt — net carrying amount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121,825</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Current Portion of Long-Term Debt — </w:t>
      </w:r>
      <w:r>
        <w:rPr>
          <w:rFonts w:ascii="Arial" w:cs="Arial" w:eastAsia="Arial" w:hAnsi="Arial"/>
          <w:sz w:val="18"/>
          <w:szCs w:val="18"/>
          <w:color w:val="auto"/>
        </w:rPr>
        <w:t>As of September 30, 2020, the current portion of long-term debt was $45.4 million and consisted of $40.0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MidCap Credit Facility, $3.5 million of the PPP Loan and $2.6 million of the December 2020 note.</w:t>
      </w:r>
    </w:p>
    <w:p>
      <w:pPr>
        <w:spacing w:after="0" w:line="170"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i w:val="1"/>
          <w:iCs w:val="1"/>
          <w:color w:val="auto"/>
        </w:rPr>
        <w:t xml:space="preserve">MidCap Credit Facility </w:t>
      </w:r>
      <w:r>
        <w:rPr>
          <w:rFonts w:ascii="Arial" w:cs="Arial" w:eastAsia="Arial" w:hAnsi="Arial"/>
          <w:sz w:val="16"/>
          <w:szCs w:val="16"/>
          <w:color w:val="auto"/>
        </w:rPr>
        <w:t>— In August 2019, the Company closed the MidCap Credit Facility, which provides a secured term loan facility with an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up to $75.0 million. The Company borrowed the first advance of $40.0 million (“Tranche 1”) on August 6, 2019. Under the terms of the MidCap Credit Facility, the second advance of $10.0 million (“Tranche 2”) was available to the Company until April 15, 2020, provided that the Company had achieved Afrezza net revenue of at least $30.0 million on a trailing twelve month basis by that date (which was not achieved). The third advance of $25.0 million (“Tranche 3”) will be available to the Company until June 30, 2021, subject to the satisfaction of certain milestone conditions associated with Afrezza trailing net revenue and certain milestone conditions related to the Company’s collaboration with United Therapeutics (see Note 7</w:t>
      </w:r>
    </w:p>
    <w:p>
      <w:pPr>
        <w:spacing w:after="0" w:line="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Collaboration and Licensing Arrangements</w:t>
      </w:r>
      <w:r>
        <w:rPr>
          <w:rFonts w:ascii="Arial" w:cs="Arial" w:eastAsia="Arial" w:hAnsi="Arial"/>
          <w:sz w:val="18"/>
          <w:szCs w:val="18"/>
          <w:color w:val="auto"/>
        </w:rPr>
        <w:t>). In August 2019, the Company recognized a $1.5 million commitment asset and a $0.4 million other asset for deferred debt issuance costs related to the future funding commitments of the MidCap Credit Facility. The Company determined that such milestone conditions related to Afrezza trailing net revenue were unlikely to be achieved. As a result, the Company recognized an asset impairment of $1.9 million during the second quarter of 2020.</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December 2019, the Company entered into an amendment to the MidCap Credit Facility, pursuant to which the parties agreed to (i) amend the financial covenant relating to trailing twelve month minimum Afrezza Net Revenue (as defined in the MidCap Credit Facility) requirements, (ii) add a condition to the third advance of $25.0 million that requires the Company achieve certain amounts of Afrezza Net Revenue, and (iii) increase the exit fee from 6.00% to 7.00% of the principal amount of all term loans advanced to the Company under the MidCap Credit Facility.</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August 2020, the Company entered into an amendment to the MidCap Credit Facility, pursuant to which the parties agreed that no breach of the minimum Afrezza net revenue covenant for any trailing twelve-month reporting period between July 31, 2020 and November 30, 2020 will be deemed to occur if the Company delivers satisfactory evidence that it had unrestricted cash of at least $40.0 million. Without this amendment, the Company would have been in violation of the minimum Afrezza net revenue covenant as of September 30, 2020. After the November 30, 2020 reporting period, the amendment will expire and a breach of the minimum Afrezza net revenue covenant is probable. The Company intends to amend the MidCap Credit Facility to address this probable covenant violation; however, such amendment, if completed, would occur after the date of this report. Accordingly, the $40.0 million outstanding principal under the MidCap Credit Facility was classified as current debt in the September 30, 2020 balance sheet, even though the 36 equal monthly principal payments remain payable over the period of September 1, 2021 through August 1, 2024. This debt will continue to be classified as current unless the MidCap Credit Facility is further amended or the debt is repaid.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0" w:name="page21"/>
    <w:bookmarkEnd w:id="20"/>
    <w:p>
      <w:pPr>
        <w:spacing w:after="0" w:line="269" w:lineRule="auto"/>
        <w:rPr>
          <w:sz w:val="20"/>
          <w:szCs w:val="20"/>
          <w:color w:val="auto"/>
        </w:rPr>
      </w:pPr>
      <w:r>
        <w:rPr>
          <w:rFonts w:ascii="Arial" w:cs="Arial" w:eastAsia="Arial" w:hAnsi="Arial"/>
          <w:sz w:val="17"/>
          <w:szCs w:val="17"/>
          <w:color w:val="auto"/>
        </w:rPr>
        <w:t>Tranche 1 and, if borrowed, Tranche 3, each accrue interest at an annual rate equal to one-month LIBOR plus 6.75%, subject to a one-month LIBOR floor of 2.00%. Interest on each term loan advance is due and payable monthly in arrears. Principal on the term loan advance under Tranche 1 is payable in 36 equal monthly installments beginning September 1, 2021, until paid in full on August 1, 2024, and principal on any term loan advance under Tranche 3 is payable beginning on the later of (i) September 1, 2021, and (ii) the first day of the first full calendar month immediately following such term loan advance, in an amount equal to the outstanding term loan advance in respect of Tranche 3 divided by the number of full calendar months remaining before August 1, 2024. The Company has the option to prepay the term loans, in whole or in part, subject to early termination fees in an amount equal to 3.00% of principal prepaid if prepayment occurs on or prior to the first anniversary of the closing date, 2.00% of principal prepaid if prepayment occurs after the first anniversary of the closing date but on or prior to the second anniversary of the closing date, and 1.00% of principal prepaid if prepayment occurs after the second anniversary of the closing date and prior to or on the third anniversary of the closing date. In connection with execution of the MidCap Credit Facility, the Company paid MidCap a $0.4 million origination fee.</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obligations under the MidCap Credit Facility are secured by a security interest on substantially all of its assets, including intellectual property.</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MidCap Credit Facility contains customary affirmative covenants and customary negative covenants limiting the Company’s ability and the ability of the Company’s subsidiary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and a minimum cash covenant of $15.0 million at all times, and $20.0 million at all times following the funding of Tranche 3. For any trailing twelve-month reporting period between July 31, 2020 and November 30, 2020, the minimum Afrezza net revenue test will be deemed to occur if the Company delivers satisfactory evidence that it had unrestricted cash of at least $40.0 million. As of September 30, 2020, the Company was in compliance with the financial and minimum cash covenants.</w:t>
      </w:r>
    </w:p>
    <w:p>
      <w:pPr>
        <w:spacing w:after="0" w:line="16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also agreed to issue warrants to purchase shares of the Company’s common stock (the “MidCap warrants”) upon the drawdown of each term loan advance under the MidCap Credit Facility in an aggregate amount equal to 3.25% of the amount drawn, divided by the exercise price per share for that tranche. The exercise price per share is equal to the volume-weighted average closing price of the Company’s common stock for the ten business days immediately preceding the second business day before the issue date. As a result of Tranche 1, the Company issued warrants to purchase an aggregate of 1,171,614 shares of the Company’s common stock, at an exercise price equal to $1.11 per share. The MidCap warrants are immediately exercisable and expire on the earlier to occur of the seventh anniversary of the respective issue date or, in certain circumstances, the closing of a merger, sale or other consolidation transactions in which the consideration is cash, stock of a publicly traded acquirer, or a combination thereof.</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determined that these warrants met the criteria for equity classification and accounted for such warrants in additional paid-in capital.</w:t>
      </w: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As of September 30, 2020 and December 31, 2019, there was $7.6 million and $10.2 million, respectively, of principal amount of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outstanding.</w:t>
      </w:r>
    </w:p>
    <w:p>
      <w:pPr>
        <w:spacing w:after="0" w:line="23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In August 2019, the Company entered into a privately-negotiated exchange agreement with the holder of the 5.75% Convertible Senior Subordinated Exchange Notes due 2021 (the “2021 notes”), pursuant to which, among other things, the Company (i) repaid $1.5 million in cash to such holder, (ii) issued 4,017,857 shares of the Company’s common stock to such holder (at a conversion price of $1.12 per share), (iii) issued 5.75% Convertible Senior Subordinated Exchange Notes due November 2024 (the “2024 convertible notes”) to such holder in the principal amount of $5.0 million and (iv) issued a $2.6 million note due June 2020 (the “June 2020 note”), a $2.6 million note due December 2020 (the “December 2020 note”, and together with the June 2020 note, the “2020 notes”), all in exchange for the cancellation of the $18.7 million in principal amount of the 2021 notes. The 2020 notes may be prepaid at any time on or prior to their respective maturity dates of June 30, 2020 and December 31, 2020 at the option of the Company. On June 24, 2020, the Company prepaid the June 2020 note with the issuance of 1,235,094 shares of the Company’s common stock, pursuant to the Company’s election and in accordance with the terms of the June 2020 note. On October 9, 2020, the Company prepaid the December 2020 note with the issuance of 1,377,356 shares of the Company’s common stock, pursuant to the Company’s election and in accordance with the terms of the December 2020 note. The number of shares issued for the prepayments on June 24, 2020 and October 9, 2020 were determined based on the Company’s closing stock price on the settlement date. As a result of the prepayment of the December 2020 note on October 9, 2020, the Company recognized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loss on extinguishment related to unamortized debt discount.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60"/>
        <w:spacing w:after="0" w:line="270" w:lineRule="auto"/>
        <w:rPr>
          <w:sz w:val="20"/>
          <w:szCs w:val="20"/>
          <w:color w:val="auto"/>
        </w:rPr>
      </w:pPr>
      <w:r>
        <w:rPr>
          <w:rFonts w:ascii="Arial" w:cs="Arial" w:eastAsia="Arial" w:hAnsi="Arial"/>
          <w:sz w:val="17"/>
          <w:szCs w:val="17"/>
          <w:color w:val="auto"/>
        </w:rPr>
        <w:t>The 2024 convertible notes were issued pursuant to an indenture, dated as of August 6, 2019, between the Company and U.S. Bank National Association, as trustee (the “Indenture”). The 2024 convertible notes are the Company’s general, unsecured obligations, and are subordinated in right of payment to the indebtedness incurred pursuant to the MidCap Credit Facility. The 2024 convertible notes rank equally in right of payment with the Company’s other unsecured senior debt. The 2024 convertible notes accrue interest at the rate of 5.75% per year on the principal amount, payable semiannually in arrears on February 15 and August 15 of each year, beginning February 15, 2020, with interest accruing from August 6, 2019. Interest on the 2024 convertible notes will be payable in cash or, at the option of the Company if certain conditions are met, in shares of the Company’s common stock at a price per share equal to the last reported sale price on the trading day immediately prior to the interest payment date. The 2024 convertible notes will mature on the earlier of (i) November 4, 2024 or (ii) the 91</w:t>
      </w:r>
      <w:r>
        <w:rPr>
          <w:rFonts w:ascii="Arial" w:cs="Arial" w:eastAsia="Arial" w:hAnsi="Arial"/>
          <w:sz w:val="14"/>
          <w:szCs w:val="14"/>
          <w:color w:val="auto"/>
        </w:rPr>
        <w:t>st</w:t>
      </w:r>
      <w:r>
        <w:rPr>
          <w:rFonts w:ascii="Arial" w:cs="Arial" w:eastAsia="Arial" w:hAnsi="Arial"/>
          <w:sz w:val="17"/>
          <w:szCs w:val="17"/>
          <w:color w:val="auto"/>
        </w:rPr>
        <w:t xml:space="preserve"> day after the payment in full of, and termination and discharge of all obligations (other than contingent indemnity obligations) under the MidCap Credit Facility.</w:t>
      </w:r>
    </w:p>
    <w:p>
      <w:pPr>
        <w:spacing w:after="0" w:line="18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2024 convertible notes are convertible, at the option of the holder, at any time on or prior to the close of business on the business day immediately preceding the stated maturity date, into shares of the Company’s common stock at a conversion rate of 333.3333 shares per $1,000 principal amount of 2024 convertible notes, which is equal to a conversion price of approximately $3.00 per share.</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certain bankruptcy and insolvency-related events of default occur, the principal of, and accrued and unpaid interest on, all of the then outstanding 2024 convertible notes shall automatically become due and payable. If an event of default other than certain bankruptcy and insolvency-related events of defaults occurs and is continuing, the Trustee or the holders of at least 25% in aggregate principal amount of the then-outstanding 2024 convertible notes, by written notice to the Trustee, may declare the 2024 convertible notes due and payable at their principal amount plus any accrued and unpaid interest, and thereupon the Trustee may, at its discretion, proceed to protect and enforce the rights of the holders by the appropriate judicial proceedings. Notwithstanding the foregoing, the Indenture provides that, to the extent the Company elects, the sole remedy for an event of default relating to certain failures by the Company to comply with certain reporting covenants in the Indenture will, for the first 180 days after such event of default, consist exclusively of the right to receive additional interest on the 2024 convertible notes. The 2024 convertible notes also contain certain cross default provisions related to other debt obligations.</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the Company undergoes certain fundamental changes, except in certain circumstances, each holder of 2024 convertible notes will have the option to require the Company to repurchase all or any portion of that holder’s 2024 convertible notes. The fundamental change repurchase price will be 100% of the principal amount of the 2024 convertible notes to be repurchased plus accrued and unpaid interest, if any.</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may elect at its option to cause all or any portion of the 2024 convertible notes to be mandatorily converted in whole or in part at any time prior to the close of business on the business day immediately preceding the maturity date, if the last reported sale price of its common stock equals or exceeds 120% of the conversion price then in effect for at least 10 trading days in any 20 trading day period, ending within five business days prior to the date of the mandatory conversion notice.</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Mann Group promissory notes </w:t>
      </w:r>
      <w:r>
        <w:rPr>
          <w:rFonts w:ascii="Arial" w:cs="Arial" w:eastAsia="Arial" w:hAnsi="Arial"/>
          <w:sz w:val="18"/>
          <w:szCs w:val="18"/>
          <w:color w:val="auto"/>
        </w:rPr>
        <w:t>— In August 2019, the Company entered into a privately-negotiated exchange agreement with The Mann Group LLC (the</w:t>
      </w:r>
      <w:r>
        <w:rPr>
          <w:rFonts w:ascii="Arial" w:cs="Arial" w:eastAsia="Arial" w:hAnsi="Arial"/>
          <w:sz w:val="18"/>
          <w:szCs w:val="18"/>
          <w:i w:val="1"/>
          <w:iCs w:val="1"/>
          <w:color w:val="auto"/>
        </w:rPr>
        <w:t xml:space="preserve"> </w:t>
      </w:r>
      <w:r>
        <w:rPr>
          <w:rFonts w:ascii="Arial" w:cs="Arial" w:eastAsia="Arial" w:hAnsi="Arial"/>
          <w:sz w:val="18"/>
          <w:szCs w:val="18"/>
          <w:color w:val="auto"/>
        </w:rPr>
        <w:t>“Mann Group”), pursuant to which, among other things, the Company (i) repaid $3.0 million in cash to the Mann Group, (ii) issued 7,142,857 shares of the Company’s common stock to the Mann Group (at a conversion price of $1.12 per share), (iii) issued a $35.0 million note that is convertible into shares of the Company’s common stock at $2.50 per share (the “Mann Group convertible note”) and (iv) issued a non-convertible note to the Mann Group in an aggregate principal amount of $35.1 million (the “Mann Group non-convertible note” and, together with the Mann Group convertible note, the “Mann Group promissory notes”), all in exchange for the cancellation of the $71.5 million in principal and approximately $9.5 million in accrued interest paid-in-kind under the existing Mann Group loan arrangement.</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Mann Group promissory notes each accrue interest at the rate of 7.00% per year on the principal amount, payable quarterly in arrears on the first day of each calendar quarter beginning October 1, 2019.</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Mann Group convertible note will mature on November 3, 2024. The principal and any accrued and unpaid interest under the Mann Group convertible note may be converted, at the option of the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Mann Group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120"/>
        <w:spacing w:after="0" w:line="257" w:lineRule="auto"/>
        <w:rPr>
          <w:sz w:val="20"/>
          <w:szCs w:val="20"/>
          <w:color w:val="auto"/>
        </w:rPr>
      </w:pPr>
      <w:r>
        <w:rPr>
          <w:rFonts w:ascii="Arial" w:cs="Arial" w:eastAsia="Arial" w:hAnsi="Arial"/>
          <w:sz w:val="18"/>
          <w:szCs w:val="18"/>
          <w:color w:val="auto"/>
        </w:rPr>
        <w:t>The Mann Group non-convertible note will mature on the earlier of (i) November 3, 2024 or (ii) the 90th day after the repayment in full, and termination and discharge of all obligations (other than contingent indemnity obligations) under the MidCap Credit Facility. Interest on the Mann Group non-convertible note will be payable in kind by adding the amount thereof to the principal amount; provided that MannKind may, at its option, elect to pay any such interest on any interest payment date, if certain conditions are met, in shares of MannKind’s common stock at a price per shall equal to the last reported sale price on the trading day immediately prior to the interest payment date.</w:t>
      </w:r>
    </w:p>
    <w:p>
      <w:pPr>
        <w:spacing w:after="0" w:line="188" w:lineRule="exact"/>
        <w:rPr>
          <w:sz w:val="20"/>
          <w:szCs w:val="20"/>
          <w:color w:val="auto"/>
        </w:rPr>
      </w:pPr>
    </w:p>
    <w:p>
      <w:pPr>
        <w:ind w:right="40" w:firstLine="8"/>
        <w:spacing w:after="0" w:line="269" w:lineRule="auto"/>
        <w:tabs>
          <w:tab w:leader="none" w:pos="37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Loan </w:t>
      </w:r>
      <w:r>
        <w:rPr>
          <w:rFonts w:ascii="Arial" w:cs="Arial" w:eastAsia="Arial" w:hAnsi="Arial"/>
          <w:sz w:val="17"/>
          <w:szCs w:val="17"/>
          <w:color w:val="auto"/>
        </w:rPr>
        <w:t>– On April 10, 2020, the Company received the proceeds from the PPP Loan from JPMorgan Chase Bank, N.A., as lender, in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$4.9 million pursuant to the PPP of the CARES Act. The PPP Loan matures on April 9, 2022 and bears interest at a rate of 0.98% per annum. The PPP Loan is evidenced by a promissory note dated April 9, 2020, which contains customary events of default relating to, among other things, payment defaults and breaches of representations and warranties. The PPP Loan may be prepaid by the Company at any time prior to maturity with no prepayment penalties. All or a portion of the PPP Loan may be forgiven by the U.S. Small Business Administration (“SBA”) upon application to the lender by the Company beginning 60 days after loan approval, but not later than ten months after the end of the Company’s covered period, and upon documentation of expenditures in accordance with the SBA requirements. Principal and interest payments can be deferred up to ten months after the end of the Company’s covered period unless the Company is notified earlier of its loan forgiveness status. In the event the SBA does not authorize loan forgiveness, the deferred principal and interest will be payable to the lender and the Company will then make equal monthly payments as required to fully amortize the remaining principal amount by April 9, 2022.</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the CARES Act, loan forgiveness is available for the sum of documented payroll costs, covered rent payments, covered interest and covered utilities during the 24-week period (or eight-week period at the Company’s option) beginning on the date of loan approval. For purposes of the CARES Act, payroll costs exclude compensation of an individual employee in excess of $100,000, prorated annually. Not more than 40% of the forgiven amount may be for non-payroll costs. Forgiveness is reduced if full-time headcount declines, or if salaries and wages for employees with salaries of $100,000 or less annually are reduced by more than 25%. In the event the PPP Loan, or any portion thereof, is forgiven pursuant to the PPP, the amount forgiven is applied to outstanding principal. Any unforgiven portion of the PPP Loan will be payable in accordance with the terms of the promissory note as described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all proceeds from the PPP Loan to retain employees, maintain payroll and make lease, interest and utility payments.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all borrowings for the three and nine months ended September 30, 2020 and 2019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32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jc w:val="center"/>
              <w:ind w:left="402"/>
              <w:spacing w:after="0"/>
              <w:rPr>
                <w:sz w:val="20"/>
                <w:szCs w:val="20"/>
                <w:color w:val="auto"/>
              </w:rPr>
            </w:pPr>
            <w:r>
              <w:rPr>
                <w:rFonts w:ascii="Arial" w:cs="Arial" w:eastAsia="Arial" w:hAnsi="Arial"/>
                <w:sz w:val="14"/>
                <w:szCs w:val="14"/>
                <w:b w:val="1"/>
                <w:bCs w:val="1"/>
                <w:color w:val="auto"/>
                <w:w w:val="94"/>
              </w:rPr>
              <w:t>Nine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3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Accretion of debt discount</w:t>
            </w:r>
          </w:p>
        </w:tc>
        <w:tc>
          <w:tcPr>
            <w:tcW w:w="840" w:type="dxa"/>
            <w:vAlign w:val="bottom"/>
            <w:shd w:val="clear" w:color="auto" w:fill="CFF0FC"/>
          </w:tcPr>
          <w:p>
            <w:pPr>
              <w:jc w:val="right"/>
              <w:ind w:right="66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6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Amortization of debt issuance cost</w:t>
            </w:r>
          </w:p>
        </w:tc>
        <w:tc>
          <w:tcPr>
            <w:tcW w:w="8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8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7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1"/>
              </w:rPr>
              <w:t>(1,049)</w:t>
            </w:r>
          </w:p>
        </w:tc>
      </w:tr>
    </w:tbl>
    <w:p>
      <w:pPr>
        <w:spacing w:after="0" w:line="24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Milestone Rights </w:t>
      </w:r>
      <w:r>
        <w:rPr>
          <w:rFonts w:ascii="Arial" w:cs="Arial" w:eastAsia="Arial" w:hAnsi="Arial"/>
          <w:sz w:val="16"/>
          <w:szCs w:val="16"/>
          <w:color w:val="auto"/>
        </w:rPr>
        <w:t>— As of September 30, 2020 and December 31, 2019, the remaining Milestone Rights liability balance was $7.3 million, 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initial fair value estimates calculated using the income approach and reduced by milestone achievement payments made. During the third quarter of 2019, the Company achieved the first Afrezza net sales milestone specified by the Milestone Rights. The Company currently estimates that it will reach the next milestone in the first quarter of 2021, at which point the Company will be required to make a $5.0 million payment in the following quarter. The carrying value of the Milestone Rights liability related to this $5.0 million payment is approximately $1.3 million, which represents the fair value related to this payment that was determined in 2013 (the most recent measurement date). Accordingly, approximately $1.3 million in value related to the next milestone payment was recorded in accrued expenses and other current liabilities and the remaining long-term portion of $5.9 million is included as Milestone Rights liability in the accompanying condensed consolidated balance sheets as of September 30, 2020.</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agreement with the Milestone Purchasers that provides for the Milestone Rights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 The Company has initially recorded the Milestone Rights at their estimated fair value.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7. Collaboration and Licensing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Revenue from collaborations and services for the three and nine months ended September 30, 2020 and 2019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4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56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UT License Agreement</w:t>
            </w:r>
          </w:p>
        </w:tc>
        <w:tc>
          <w:tcPr>
            <w:tcW w:w="9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7,978</w:t>
            </w: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7,861</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UT Research Agreement</w:t>
            </w: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19"/>
                <w:szCs w:val="19"/>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Receptor CLA</w:t>
            </w:r>
          </w:p>
        </w:tc>
        <w:tc>
          <w:tcPr>
            <w:tcW w:w="9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Cipla License and Distribution Agreement</w:t>
            </w: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Biomm Distribution Agreement</w:t>
            </w:r>
          </w:p>
        </w:tc>
        <w:tc>
          <w:tcPr>
            <w:tcW w:w="9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r>
      <w:tr>
        <w:trPr>
          <w:trHeight w:val="223"/>
        </w:trPr>
        <w:tc>
          <w:tcPr>
            <w:tcW w:w="4560" w:type="dxa"/>
            <w:vAlign w:val="bottom"/>
          </w:tcPr>
          <w:p>
            <w:pPr>
              <w:ind w:left="260"/>
              <w:spacing w:after="0"/>
              <w:rPr>
                <w:sz w:val="20"/>
                <w:szCs w:val="20"/>
                <w:color w:val="auto"/>
              </w:rPr>
            </w:pPr>
            <w:r>
              <w:rPr>
                <w:rFonts w:ascii="Arial" w:cs="Arial" w:eastAsia="Arial" w:hAnsi="Arial"/>
                <w:sz w:val="18"/>
                <w:szCs w:val="18"/>
                <w:color w:val="auto"/>
              </w:rPr>
              <w:t>Total revenue from collaborations and services</w:t>
            </w:r>
          </w:p>
        </w:tc>
        <w:tc>
          <w:tcPr>
            <w:tcW w:w="9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8,077</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8,193</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29,502</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United Therapeutics License Agreement </w:t>
      </w:r>
      <w:r>
        <w:rPr>
          <w:rFonts w:ascii="Arial" w:cs="Arial" w:eastAsia="Arial" w:hAnsi="Arial"/>
          <w:sz w:val="18"/>
          <w:szCs w:val="18"/>
          <w:color w:val="auto"/>
        </w:rPr>
        <w:t>— In September 2018, the Company and United Therapeutics Corporation (“United Therapeutics” or “UT”)</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an exclusive global license and collaboration agreement (the “UT License Agreement”) for the rights to the Company’s dry powder formulation of treprostinil (“TreT”) and associated inhalation delivery devices. Under the UT License Agreement, UT is responsible for global development, regulatory and commercial activities with respect to TreT. The Company is responsible for manufacturing clinical supplies and commercial supplies of TreT.</w:t>
      </w:r>
    </w:p>
    <w:p>
      <w:pPr>
        <w:spacing w:after="0" w:line="18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Under the terms of the UT License Agreement, the Company received an upfront payment of $45.0 million in October 2018 and three $12.5 million milestone payments through the third quarter of 2020. The Company expects to receive an additional milestone payment of $12.5 million upon the achievement of specified development targets. The Company will also be entitled to receive low double-digit royalties on net sales of TreT.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 During the third quarter of 2020, the Company sold $0.4 million of clinical supplies to UT for use in their clinical study, which was recognized as deferred revenue in the accompanying condensed consolidated balance sheet. The Company recognizes revenue on a ratable basis from October 2018 through December 2021; the estimated date when its performance obligations for development activities under UT License Agreement will be substantially completed.</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the inception of the agreement, the Company identified one distinct, performance obligation. The Company determined that the key deliverables include the license, supply of product to be used in clinical development, and certain research services upon achievement of specified development targets. Due to the specialized and unique nature of these services and their direct relationship with the license, the Company has determined that these deliverables represent one distinct bundle and thus, one performance obligation. The Company also determined that UT’s option to expand the scope of the products to include products with other active ingredients is not a material right, and thus, not a performance obligation at the onset of the agreement. The consideration for the option will be accounted for upon exercise of the option.</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expects to complete the activities specified in the development plan and to achieve the remaining milestone event for total consideration of approximately $102.6 million, which includes an upfront payment, four milestone payments, various pass-through costs and payments for clinical supplies. Future commercial supply remains at UT’s option and is valued at a stand-alone selling price and, therefore, is not accounted for under the current arrangement. The Company believes that this method best reflects the measure of progress toward complete satisfaction of the performance</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obligation. Deferred revenue related to the UT License Agreement is being recognized in net revenue — collaborations over a 13-quarter period ending December 31, 2021, which represents the estimated period to satisfy the performance obligation. As of September 30, 2020, the deferred revenue for the UT License Agreement consisted of $28.7 million, which was classified as current. Deferred revenue is classified as part of current or long-term liability in the accompanying condensed consolidated balance sheets based on the Company’s estimate of the portion of the performance obligation that will be completed within the next 12 months, and includes payments received as well as payments receivable. The total consideration for the UT License Agreement, includes $1.2 million related to the manufacturing of clinical supplies, which was included in the current portion of deferred revenue on our condensed consolidated balance sheet as of September 30, 2020. Also associated with the clinical supplies was a contract asset of $0.8 million and an account receivable of $0.4 million which are included in prepaid expenses and other current assets and accounts receivable, net, respectively, on our condensed consolidated balance sheet as of September 30, 2020.</w:t>
      </w:r>
    </w:p>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United Therapeutics Research Agreement — </w:t>
      </w:r>
      <w:r>
        <w:rPr>
          <w:rFonts w:ascii="Arial" w:cs="Arial" w:eastAsia="Arial" w:hAnsi="Arial"/>
          <w:sz w:val="18"/>
          <w:szCs w:val="18"/>
          <w:color w:val="auto"/>
        </w:rPr>
        <w:t>In September 2018, the Company and UT also entered into a research agreement (“UT Research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conduct of research and consulting services in connection with multiple potential products, including evaluating the feasibility of preparing a dry powder formulation of a compound for the treatment of pulmonary hypertension outside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spacing w:after="0" w:line="257" w:lineRule="auto"/>
        <w:rPr>
          <w:sz w:val="20"/>
          <w:szCs w:val="20"/>
          <w:color w:val="auto"/>
        </w:rPr>
      </w:pPr>
      <w:r>
        <w:rPr>
          <w:rFonts w:ascii="Arial" w:cs="Arial" w:eastAsia="Arial" w:hAnsi="Arial"/>
          <w:sz w:val="18"/>
          <w:szCs w:val="18"/>
          <w:color w:val="auto"/>
        </w:rPr>
        <w:t>the scope of the UT License Agreement. In addition, UT, at its option, may obtain a license to develop, manufacture and commercialize products based on specified compounds within the drug classes covered by the UT Research Agreement. Each specified compound advanced into development and commercialization under such a license would be subject to the payment to the Company of additional milestone payments of up to $30.0 million and a low double-digit royalty on net sales of such products. In connection with the UT Research Agreement, the Company received an upfront payment of $10.0 million in September 2018.</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the inception of the UT Research Agreement, the Company identified two distinct performance obligations. The Company determined that the key deliverables of each performance obligation include (i) the development of a product prototype (including a technical feasibility report) and; (ii) engineering consulting services. Due to the separately identifiable nature of these obligations, the Company has determined that these deliverables represent two distinct performance obligations. The Company also determined that UT’s option to expand the scope to include specific drug classes covered by the agreement is not a material right, and thus, not a performance obligation at the onset of the agreement. The consideration for the option will be accounted for upon exercise of the option.</w:t>
      </w:r>
    </w:p>
    <w:p>
      <w:pPr>
        <w:spacing w:after="0" w:line="19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allocated the total $10.0 million transaction price to its two distinct performance obligations based on available observable market inputs. A transaction price of $9.0 million was allocated to the product prototype and a transaction price of $1.0 million was allocated to engineering consulting services. The revenue for the product prototype was recognized using an output method (based on project milestones achieved and surveys of performance completed to date). The Company believed that this method best reflected the measure of progress toward complete satisfaction of the performance obligation. The revenue for the engineering consulting services was recognized using a ratable method until the obligation was satisfied. The Company believed that this method best reflected the measure of progress toward complete satisfaction of the performance obligation. The performance obligations for engineering consulting services and the product prototype were completed in April 2020 and June 2019, respectively.</w:t>
      </w:r>
    </w:p>
    <w:p>
      <w:pPr>
        <w:spacing w:after="0" w:line="18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Receptor Collaboration and License Agreement </w:t>
      </w:r>
      <w:r>
        <w:rPr>
          <w:rFonts w:ascii="Arial" w:cs="Arial" w:eastAsia="Arial" w:hAnsi="Arial"/>
          <w:sz w:val="18"/>
          <w:szCs w:val="18"/>
          <w:color w:val="auto"/>
        </w:rPr>
        <w:t>— In 2016, the Company entered into a collaboration and license agreement (the “CLA”) with Receptor</w:t>
      </w:r>
      <w:r>
        <w:rPr>
          <w:rFonts w:ascii="Arial" w:cs="Arial" w:eastAsia="Arial" w:hAnsi="Arial"/>
          <w:sz w:val="18"/>
          <w:szCs w:val="18"/>
          <w:i w:val="1"/>
          <w:iCs w:val="1"/>
          <w:color w:val="auto"/>
        </w:rPr>
        <w:t xml:space="preserve"> </w:t>
      </w:r>
      <w:r>
        <w:rPr>
          <w:rFonts w:ascii="Arial" w:cs="Arial" w:eastAsia="Arial" w:hAnsi="Arial"/>
          <w:sz w:val="18"/>
          <w:szCs w:val="18"/>
          <w:color w:val="auto"/>
        </w:rPr>
        <w:t>Life Sciences, Inc. (“Receptor”) pursuant to which Receptor subsequently acquired an exclusive license to develop, manufacture and commercialize products that use the Company’s technology to deliver certain compounds via oral inhalation in exchange for upfront license fees, milestone payments upon the completion of certain technology transfer activities and the achievement of specified sales targets as well as royalties upon Receptor’s and its sublicensees’ sale of products.</w:t>
      </w:r>
    </w:p>
    <w:p>
      <w:pPr>
        <w:spacing w:after="0" w:line="20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A $1.0 million license fee received in 2016 was recorded in deferred revenue from collaborations as of December 31, 2016 and is being recognized in net revenue — collaborations over four years, the estimated period over which the Company is required to satisfy the remaining performance obligations. The remaining performance obligations are to provide certain technology transfer activities. As of September 30, 2020, the deferred revenue balance was $0.1 million, which was classified as a current liability in the accompanying condensed consolidated balance sheets.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additional payments referred to above represent variable consideration for which the Company has not recognized any revenue because it is uncertain that Receptor will be able to successfully develop, manufacture or sell product related to this license. There was no change to the accounting for this contract as a result of the initial application of the new revenue guidance since (i) the receipt of such payments is highly susceptible to factors outside of the Company’s influence, (ii) the uncertainty regarding the receipt of these payments is not expected to be resolved for years, and (iii) the Company has limited experience with similar contracts. See Note 1 – </w:t>
      </w:r>
      <w:r>
        <w:rPr>
          <w:rFonts w:ascii="Arial" w:cs="Arial" w:eastAsia="Arial" w:hAnsi="Arial"/>
          <w:sz w:val="18"/>
          <w:szCs w:val="18"/>
          <w:i w:val="1"/>
          <w:iCs w:val="1"/>
          <w:color w:val="auto"/>
        </w:rPr>
        <w:t>Description of Business and Significant Accounting Policies</w:t>
      </w:r>
      <w:r>
        <w:rPr>
          <w:rFonts w:ascii="Arial" w:cs="Arial" w:eastAsia="Arial" w:hAnsi="Arial"/>
          <w:sz w:val="18"/>
          <w:szCs w:val="18"/>
          <w:color w:val="auto"/>
        </w:rPr>
        <w:t xml:space="preserve"> for additional information on the Company’s revenue recognition accounting policy.</w:t>
      </w:r>
    </w:p>
    <w:p>
      <w:pPr>
        <w:spacing w:after="0" w:line="19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 xml:space="preserve">In 2017, the Company entered into a manufacturing and supply agreement with Receptor pursuant to which the Company agreed to provide certain raw materials and certain additional research and formulation consulting services to Receptor. For the three and nine months ended September 30, 2020 and 2019, the additional research and formulation services provided to Receptor were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18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 xml:space="preserve">Biomm Supply and Distribution Agreement </w:t>
      </w:r>
      <w:r>
        <w:rPr>
          <w:rFonts w:ascii="Arial" w:cs="Arial" w:eastAsia="Arial" w:hAnsi="Arial"/>
          <w:sz w:val="17"/>
          <w:szCs w:val="17"/>
          <w:color w:val="auto"/>
        </w:rPr>
        <w:t>— In May 2017, the Company and Biomm entered into a supply and distribution agreement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have now been received. Biomm commenced product sales in January 2020.</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 September 2019, the Company delivered its first shipment of Afrezza to Biomm and recorded it as net revenue — commercial product sales for $0.7 million, in advance of the planned launch of the product in Brazil by Biomm. During the second quarter of 2020, the Company sold $0.2 million of product to Biomm. There were no sales to Biomm in the third quarter of 2020.</w:t>
      </w:r>
    </w:p>
    <w:p>
      <w:pPr>
        <w:spacing w:after="0" w:line="169"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i w:val="1"/>
          <w:iCs w:val="1"/>
          <w:color w:val="auto"/>
        </w:rPr>
        <w:t xml:space="preserve">Cipla License and Distribution Agreement </w:t>
      </w:r>
      <w:r>
        <w:rPr>
          <w:rFonts w:ascii="Arial" w:cs="Arial" w:eastAsia="Arial" w:hAnsi="Arial"/>
          <w:sz w:val="18"/>
          <w:szCs w:val="18"/>
          <w:color w:val="auto"/>
        </w:rPr>
        <w:t>— In May 2018, the Company and Cipla Ltd. (“Cipla”) entered into an exclusive agreement for the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distribution of Afrezza in India and the Company received a $2.2 million nonrefundable license fee. Under the terms of the agreement, Cipla will be responsible for obtaining regulatory approvals to distribute Afrezza in India and for all marketing and sales activities of Afrezza in India. The Company is responsible for supplying Afrezza to Cipla. The Company has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ind w:right="380"/>
        <w:spacing w:after="0" w:line="277" w:lineRule="auto"/>
        <w:rPr>
          <w:sz w:val="20"/>
          <w:szCs w:val="20"/>
          <w:color w:val="auto"/>
        </w:rPr>
      </w:pPr>
      <w:r>
        <w:rPr>
          <w:rFonts w:ascii="Arial" w:cs="Arial" w:eastAsia="Arial" w:hAnsi="Arial"/>
          <w:sz w:val="18"/>
          <w:szCs w:val="18"/>
          <w:color w:val="auto"/>
        </w:rPr>
        <w:t>potential to receive an additional regulatory milestone payment, minimum purchase commitment revenue and royalties on Afrezza sales in India once cumulative gross sales have reached a specified threshold.</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As of September 30, 2020, the deferred revenue balance was $1.8 million, of which $0.1 million is classified as current and $1.7 million is classified as long term in the accompanying condensed consolidated balance sheets. The Company also recognized $0.2 million as income tax expense for a payment made to the India tax authority in 2018. The Company received a tax refund from the India tax authority in October 2020 and recognized an income tax benefit and receivable for $0.2 million in the accompanying condensed consolidated financial statements as of September 30, 2020.</w:t>
      </w:r>
    </w:p>
    <w:p>
      <w:pPr>
        <w:spacing w:after="0" w:line="1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AMSL Distribution Agreement </w:t>
      </w:r>
      <w:r>
        <w:rPr>
          <w:rFonts w:ascii="Arial" w:cs="Arial" w:eastAsia="Arial" w:hAnsi="Arial"/>
          <w:sz w:val="18"/>
          <w:szCs w:val="18"/>
          <w:color w:val="auto"/>
        </w:rPr>
        <w:t>— In May 2019, the Company entered into an exclusive marketing and distribution agreement with the AMSL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Australasian Medical &amp; Scientific Ltd. (“AMSL Diabetes”) for the commercialization of Afrezza in Australia. Under the terms of this agreement, AMSL Diabetes is responsible for obtaining regulatory and reimbursement approvals to distribute Afrezza in Australia. Upon regulatory approval, AMSL Diabetes will conduct sales, marketing, and customer support and distribution activities whereas the Company will be responsible for the supply and manufacturing of Afrezza.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carrying amounts reported in the accompanying condensed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MidCap Credit Facility, Mann Group promissory notes, 2024 convertible notes, June 2020 note, December 2020 note and Milestone Rights liabilities are disclosed below.</w:t>
      </w:r>
    </w:p>
    <w:p>
      <w:pPr>
        <w:spacing w:after="0" w:line="18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i w:val="1"/>
          <w:iCs w:val="1"/>
          <w:color w:val="auto"/>
        </w:rPr>
        <w:t>Cash Equivalents and Restricted Cash</w:t>
      </w:r>
      <w:r>
        <w:rPr>
          <w:rFonts w:ascii="Arial" w:cs="Arial" w:eastAsia="Arial" w:hAnsi="Arial"/>
          <w:sz w:val="17"/>
          <w:szCs w:val="17"/>
          <w:color w:val="auto"/>
        </w:rPr>
        <w:t>— Cash equivalents consist of highly liquid investments with original or remaining maturities of 90 days or less at</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of purchase that are readily convertible into cash. As of September 30, 2020 and December 31, 2019, the Company held $52.4 million and $29.9 million, respectively, of cash and cash equivalents. The Company held $0.3 million in restricted cash as of September 30, 2020 and December 31, 2019, which was comprised of money market funds. Restricted cash is used to collateralize a letter of credit. The fair value of these money market funds was determined by using quoted prices for identical investments in an active market (Level 1 in the fair value hierarchy).</w:t>
      </w:r>
    </w:p>
    <w:p>
      <w:pPr>
        <w:spacing w:after="0" w:line="17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Short-term investments</w:t>
      </w:r>
      <w:r>
        <w:rPr>
          <w:rFonts w:ascii="Arial" w:cs="Arial" w:eastAsia="Arial" w:hAnsi="Arial"/>
          <w:sz w:val="17"/>
          <w:szCs w:val="17"/>
          <w:color w:val="auto"/>
        </w:rPr>
        <w:t>— Short-term investments consist of highly liquid investments that are intended to facilitate liquidity and capital preservation.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short-term investments approximate their carrying value. The measurement of which is based on a market approach using quoted market values (Level 1 in the fair value hierarchy). As of September 30, 2020, the Company did not hold any short-term investments.</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measurement of debt instruments is based on a discounted cash flow model and is sensitive to the change in yield (Level 3 in the fair value hierarchy):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Hypothetical Change in Yield</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right"/>
              <w:ind w:right="351"/>
              <w:spacing w:after="0"/>
              <w:rPr>
                <w:sz w:val="20"/>
                <w:szCs w:val="20"/>
                <w:color w:val="auto"/>
              </w:rPr>
            </w:pPr>
            <w:r>
              <w:rPr>
                <w:rFonts w:ascii="Arial" w:cs="Arial" w:eastAsia="Arial" w:hAnsi="Arial"/>
                <w:sz w:val="14"/>
                <w:szCs w:val="14"/>
                <w:b w:val="1"/>
                <w:bCs w:val="1"/>
                <w:color w:val="auto"/>
              </w:rPr>
              <w:t>Hypothetical Change in Notes Payable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Yield</w:t>
            </w: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9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7"/>
              </w:rPr>
              <w:t>Hypothetical</w:t>
            </w:r>
          </w:p>
        </w:tc>
        <w:tc>
          <w:tcPr>
            <w:tcW w:w="440" w:type="dxa"/>
            <w:vAlign w:val="bottom"/>
          </w:tcPr>
          <w:p>
            <w:pPr>
              <w:spacing w:after="0"/>
              <w:rPr>
                <w:sz w:val="11"/>
                <w:szCs w:val="11"/>
                <w:color w:val="auto"/>
              </w:rPr>
            </w:pPr>
          </w:p>
        </w:tc>
        <w:tc>
          <w:tcPr>
            <w:tcW w:w="10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FV of Notes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FV</w:t>
            </w:r>
          </w:p>
        </w:tc>
        <w:tc>
          <w:tcPr>
            <w:tcW w:w="26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Yield</w:t>
            </w: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132"/>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60"/>
              <w:spacing w:after="0"/>
              <w:rPr>
                <w:sz w:val="20"/>
                <w:szCs w:val="20"/>
                <w:color w:val="auto"/>
              </w:rPr>
            </w:pPr>
            <w:r>
              <w:rPr>
                <w:rFonts w:ascii="Arial" w:cs="Arial" w:eastAsia="Arial" w:hAnsi="Arial"/>
                <w:sz w:val="18"/>
                <w:szCs w:val="18"/>
                <w:color w:val="auto"/>
              </w:rPr>
              <w:t>(with conversion feature)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26.5%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63.7</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62.4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24.5%</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63.7</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65.0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27.5%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63.7</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61.2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23.5%</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63.7</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66.4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Senior notes:</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(with conversion feature)</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7.1</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24.5%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27.5%</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7.1</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23.5%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41.2</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41.2</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42.0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41.2</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39.6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41.2</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42.9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PPP Loan</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4.6</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4.6</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 2020</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2"/>
                <w:szCs w:val="12"/>
                <w:color w:val="auto"/>
              </w:rPr>
            </w:pPr>
          </w:p>
        </w:tc>
        <w:tc>
          <w:tcPr>
            <w:tcW w:w="17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 (Level 3)</w:t>
            </w:r>
          </w:p>
        </w:tc>
        <w:tc>
          <w:tcPr>
            <w:tcW w:w="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MidCap Credit Facility</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41.2</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 convertible notes</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December 2020 note</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Mann Group promissory notes</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PPP Loan</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p>
        </w:tc>
        <w:tc>
          <w:tcPr>
            <w:tcW w:w="1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17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2"/>
                <w:szCs w:val="12"/>
                <w:color w:val="auto"/>
              </w:rPr>
            </w:pPr>
          </w:p>
        </w:tc>
        <w:tc>
          <w:tcPr>
            <w:tcW w:w="17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 (Level 3)</w:t>
            </w:r>
          </w:p>
        </w:tc>
        <w:tc>
          <w:tcPr>
            <w:tcW w:w="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MidCap Credit Facility</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 convertible notes</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June 2020 note</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2020 note</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Mann Group promissory notes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p>
        </w:tc>
        <w:tc>
          <w:tcPr>
            <w:tcW w:w="1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17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7" w:name="page28"/>
    <w:bookmarkEnd w:id="27"/>
    <w:p>
      <w:pPr>
        <w:ind w:right="40"/>
        <w:spacing w:after="0" w:line="311" w:lineRule="auto"/>
        <w:rPr>
          <w:sz w:val="20"/>
          <w:szCs w:val="20"/>
          <w:color w:val="auto"/>
        </w:rPr>
      </w:pPr>
      <w:r>
        <w:rPr>
          <w:rFonts w:ascii="Arial" w:cs="Arial" w:eastAsia="Arial" w:hAnsi="Arial"/>
          <w:sz w:val="16"/>
          <w:szCs w:val="16"/>
          <w:i w:val="1"/>
          <w:iCs w:val="1"/>
          <w:color w:val="auto"/>
        </w:rPr>
        <w:t xml:space="preserve">Milestone Rights Liability </w:t>
      </w:r>
      <w:r>
        <w:rPr>
          <w:rFonts w:ascii="Arial" w:cs="Arial" w:eastAsia="Arial" w:hAnsi="Arial"/>
          <w:sz w:val="16"/>
          <w:szCs w:val="16"/>
          <w:color w:val="auto"/>
        </w:rPr>
        <w:t>— The fair value measurement of the Milestone Rights liability is sensitive to the discount rate and the timing of achievement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The Company utilized Monte-Carlo Simulation Method to simulate the Net Sales under a neutral framework to estimate the payment. The Company then discounted the future expected payments at cost of debt with a term equal to the simulated time to payout based on cumulative sales.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May 21, 2020, the Company filed with the Secretary of State of the State of Delaware a Certificate of Amendment of its Amended and Restated Certificate of Incorporation to increase the authorized number of shares of the Company’s common stock from 280,000,000 to 400,000,000 shares. As of September 30, 2020 and December 31, 2019, 230,922,513 and 211,787,573 shares of common stock, respectively, were issued and outstanding and no shares of preferred stock were outstanding.</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CF Sales Agreement. Under the CF Sales Agreement, Cantor Fitzgerald may sell shares by any method deemed to be an “at the market offering” as defined in Rule 415 under the Securities Act of 1933, as amended. For the nine months ended September 30, 2020, the Company sold an aggregate of 9,401,827 shares of the Company’s common stock at a weighted average purchase price of $1.66 per share for an aggregate gross proceeds of approximately $15.6 million pursuant to the CF Sales Agreement.</w:t>
      </w:r>
    </w:p>
    <w:p>
      <w:pPr>
        <w:spacing w:after="0" w:line="19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December 2018, the Company entered into an underwriting agreement with Leerink Partners LLC relating to the issuance and sale in a public offering of 26,666,667 shares of the Company’s common stock and warrants to purchase up to an aggregate of 26,666,667 shares of the Company’s common stock (the “December warrants”) at a combined purchase price of $1.50 per share and accompanying warrant. The shares of common stock and the December warrants were immediately separable. The December warrants were immediately exercisable at issuance at a price of $1.60 per share and had an expiry date of December 26, 2019. On December 26, 2019, 11,583,333 December warrants expired unexercised and 7,250,000 remained available for purchase at a price of $1.60 per share, which were subsequently exercised in June 2020.</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On June 24, 2020, the Company prepaid the June 2020 note with the issuance of 1,235,094 shares of the Company’s common stock, in accordance with the terms of the June 2020 note. On October 9, 2020, the Company prepaid the December 2020 note with the issuance of 1,377,356 shares of the Company’s common stock, in accordance with the terms of the December 2020 note. The number of shares issued for the prepayments on June 24, 2020 and October 9, 2020 were determined based on the Company’s closing stock price on the settlement date. See Note 6 – </w:t>
      </w:r>
      <w:r>
        <w:rPr>
          <w:rFonts w:ascii="Arial" w:cs="Arial" w:eastAsia="Arial" w:hAnsi="Arial"/>
          <w:sz w:val="17"/>
          <w:szCs w:val="17"/>
          <w:i w:val="1"/>
          <w:iCs w:val="1"/>
          <w:color w:val="auto"/>
        </w:rPr>
        <w:t>Borrowings</w:t>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Expense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May 16, 2018, the Company adopted the 2018 Equity Incentive Plan (the “2018 Plan”) as the successor to and continuation of the 2013 Equity Incentive Plan (the “2013 Plan”). The 2018 Plan initially consisted of 12,000,000 new shares plus the number of unallocated shares remaining available for grant for new awards under the 2013 Plan. In May 2020, the 2018 Plan was amended to increase the number of shares of common stock that may be issued under the 2018 Plan by 12,500,000 shares.</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Effective upon the approval of the 2018 Plan by the Company’s stockholders in May 2018, no additional awards have been or may be granted under the 2013 Plan. Any Prior Plans’ Returning Shares will increase the number of shares issuable under the 2018 Plan. The “Prior Plans’ Returning Shares” are shares subject to outstanding stock awards granted under the 2013 Plan or the 2004 Equity Incentive Plan (collectively, “Prior Plans”) that, from and after the effective date of the 2018 Plan, (i) expire or terminate for any reason prior to exercise or settlement, (ii) are forfeited, cancelled or otherwise returned to the Company because of the failure to meet a contingency or condition required for the vesting of such shares, or (iii) other than with respect to outstanding stock options and stock appreciation rights granted under the Prior Plans with an exercise or strike price of at least 100% of the fair market value of the underlying common stock on the date of grant, are reacquired or withheld (or not issued) by the Company to satisfy a tax withholding obligation in connection with a stock award.</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2018 Plan provides for the granting of stock awards including stock options and restricted stock units to employees, directors and consultants. The Company’s board of directors or its compensation committee determines eligibility, vesting schedules and criteria, and exercise prices for stock awards granted under the 2018 Plan. Options and restricted stock unit awards under the 2018 Plan or the Prior Plans expire not more than ten years from the date of the grant and are exercisable upon vesting. Stock options that vest over time generally vest over four years. Current time-based vesting stock option grants vest and become exercisable at the rate of 25% after one year and ratably on a monthly basis over a period of 36 months thereafter. The Company also issues PNQ awards with performance conditions. For PNQs, the Company evaluates the probability that the performance conditions will be met and estimates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both"/>
        <w:ind w:right="240"/>
        <w:spacing w:after="0" w:line="301" w:lineRule="auto"/>
        <w:rPr>
          <w:sz w:val="20"/>
          <w:szCs w:val="20"/>
          <w:color w:val="auto"/>
        </w:rPr>
      </w:pPr>
      <w:r>
        <w:rPr>
          <w:rFonts w:ascii="Arial" w:cs="Arial" w:eastAsia="Arial" w:hAnsi="Arial"/>
          <w:sz w:val="16"/>
          <w:szCs w:val="16"/>
          <w:color w:val="auto"/>
        </w:rPr>
        <w:t>the service period for recognition of the associated expense. Restricted stock units with time-based vesting generally vest at a rate of 25% per year over four years with consideration satisfied by service to the Company. The Company also issues restricted stock units with market conditions. The grant date fair value and the effect of the market conditions was estimated using a Monte Carlo valuation. The resulting stock-based compensation expense will be recognized over the service period regardless of whether the market conditions are achieved, as long as the service condition is rendered.</w:t>
      </w:r>
    </w:p>
    <w:p>
      <w:pPr>
        <w:spacing w:after="0" w:line="157"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Total stock-based compensation expense recognized in the accompanying condensed consolidated statements of operations for the three and nine months ended September 30, 2020 and 2019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8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80" w:type="dxa"/>
            <w:vAlign w:val="bottom"/>
            <w:gridSpan w:val="6"/>
            <w:vMerge w:val="continue"/>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RSUs and options</w:t>
            </w:r>
          </w:p>
        </w:tc>
        <w:tc>
          <w:tcPr>
            <w:tcW w:w="15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15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 compensation expense</w:t>
            </w:r>
          </w:p>
        </w:tc>
        <w:tc>
          <w:tcPr>
            <w:tcW w:w="15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1,294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During 2020, the Company granted the following awards: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3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440" w:type="dxa"/>
            <w:vAlign w:val="bottom"/>
          </w:tcPr>
          <w:p>
            <w:pPr>
              <w:spacing w:after="0"/>
              <w:rPr>
                <w:sz w:val="14"/>
                <w:szCs w:val="14"/>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4"/>
                <w:szCs w:val="14"/>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3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CFF0FC"/>
            </w:tcBorders>
          </w:tcPr>
          <w:p>
            <w:pPr>
              <w:spacing w:after="0"/>
              <w:rPr>
                <w:sz w:val="14"/>
                <w:szCs w:val="14"/>
                <w:color w:val="auto"/>
              </w:rPr>
            </w:pPr>
          </w:p>
        </w:tc>
        <w:tc>
          <w:tcPr>
            <w:tcW w:w="160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34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38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44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awards:</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ind w:left="260"/>
              <w:spacing w:after="0"/>
              <w:rPr>
                <w:sz w:val="20"/>
                <w:szCs w:val="20"/>
                <w:color w:val="auto"/>
              </w:rPr>
            </w:pPr>
            <w:r>
              <w:rPr>
                <w:rFonts w:ascii="Arial" w:cs="Arial" w:eastAsia="Arial" w:hAnsi="Arial"/>
                <w:sz w:val="18"/>
                <w:szCs w:val="18"/>
                <w:color w:val="auto"/>
              </w:rPr>
              <w:t>Market RSUs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1,571,000</w:t>
            </w:r>
          </w:p>
        </w:tc>
        <w:tc>
          <w:tcPr>
            <w:tcW w:w="440" w:type="dxa"/>
            <w:vAlign w:val="bottom"/>
          </w:tcPr>
          <w:p>
            <w:pPr>
              <w:jc w:val="right"/>
              <w:ind w:right="84"/>
              <w:spacing w:after="0"/>
              <w:rPr>
                <w:sz w:val="20"/>
                <w:szCs w:val="20"/>
                <w:color w:val="auto"/>
              </w:rPr>
            </w:pPr>
            <w:r>
              <w:rPr>
                <w:rFonts w:ascii="Arial" w:cs="Arial" w:eastAsia="Arial" w:hAnsi="Arial"/>
                <w:sz w:val="15"/>
                <w:szCs w:val="15"/>
                <w:color w:val="auto"/>
              </w:rPr>
              <w:t>(7)</w:t>
            </w:r>
          </w:p>
        </w:tc>
        <w:tc>
          <w:tcPr>
            <w:tcW w:w="1420" w:type="dxa"/>
            <w:vAlign w:val="bottom"/>
          </w:tcPr>
          <w:p>
            <w:pPr>
              <w:jc w:val="right"/>
              <w:spacing w:after="0"/>
              <w:rPr>
                <w:sz w:val="20"/>
                <w:szCs w:val="20"/>
                <w:color w:val="auto"/>
              </w:rPr>
            </w:pPr>
            <w:r>
              <w:rPr>
                <w:rFonts w:ascii="Arial" w:cs="Arial" w:eastAsia="Arial" w:hAnsi="Arial"/>
                <w:sz w:val="18"/>
                <w:szCs w:val="18"/>
                <w:color w:val="auto"/>
              </w:rPr>
              <w:t>1,571,000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RSUs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2,109,228</w:t>
            </w:r>
          </w:p>
        </w:tc>
        <w:tc>
          <w:tcPr>
            <w:tcW w:w="3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(2)</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1,776,250</w:t>
            </w:r>
          </w:p>
        </w:tc>
        <w:tc>
          <w:tcPr>
            <w:tcW w:w="4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(8)</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4,115,478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ind w:left="260"/>
              <w:spacing w:after="0"/>
              <w:rPr>
                <w:sz w:val="20"/>
                <w:szCs w:val="20"/>
                <w:color w:val="auto"/>
              </w:rPr>
            </w:pPr>
            <w:r>
              <w:rPr>
                <w:rFonts w:ascii="Arial" w:cs="Arial" w:eastAsia="Arial" w:hAnsi="Arial"/>
                <w:sz w:val="18"/>
                <w:szCs w:val="18"/>
                <w:color w:val="auto"/>
              </w:rPr>
              <w:t>Options</w:t>
            </w:r>
          </w:p>
        </w:tc>
        <w:tc>
          <w:tcPr>
            <w:tcW w:w="1380" w:type="dxa"/>
            <w:vAlign w:val="bottom"/>
          </w:tcPr>
          <w:p>
            <w:pPr>
              <w:jc w:val="right"/>
              <w:spacing w:after="0"/>
              <w:rPr>
                <w:sz w:val="20"/>
                <w:szCs w:val="20"/>
                <w:color w:val="auto"/>
              </w:rPr>
            </w:pPr>
            <w:r>
              <w:rPr>
                <w:rFonts w:ascii="Arial" w:cs="Arial" w:eastAsia="Arial" w:hAnsi="Arial"/>
                <w:sz w:val="18"/>
                <w:szCs w:val="18"/>
                <w:color w:val="auto"/>
              </w:rPr>
              <w:t>78,500</w:t>
            </w:r>
          </w:p>
        </w:tc>
        <w:tc>
          <w:tcPr>
            <w:tcW w:w="340" w:type="dxa"/>
            <w:vAlign w:val="bottom"/>
          </w:tcPr>
          <w:p>
            <w:pPr>
              <w:jc w:val="right"/>
              <w:spacing w:after="0"/>
              <w:rPr>
                <w:sz w:val="20"/>
                <w:szCs w:val="20"/>
                <w:color w:val="auto"/>
              </w:rPr>
            </w:pPr>
            <w:r>
              <w:rPr>
                <w:rFonts w:ascii="Arial" w:cs="Arial" w:eastAsia="Arial" w:hAnsi="Arial"/>
                <w:sz w:val="15"/>
                <w:szCs w:val="15"/>
                <w:color w:val="auto"/>
              </w:rPr>
              <w:t>(3)</w:t>
            </w:r>
          </w:p>
        </w:tc>
        <w:tc>
          <w:tcPr>
            <w:tcW w:w="1400" w:type="dxa"/>
            <w:vAlign w:val="bottom"/>
          </w:tcPr>
          <w:p>
            <w:pPr>
              <w:jc w:val="right"/>
              <w:spacing w:after="0"/>
              <w:rPr>
                <w:sz w:val="20"/>
                <w:szCs w:val="20"/>
                <w:color w:val="auto"/>
              </w:rPr>
            </w:pPr>
            <w:r>
              <w:rPr>
                <w:rFonts w:ascii="Arial" w:cs="Arial" w:eastAsia="Arial" w:hAnsi="Arial"/>
                <w:sz w:val="18"/>
                <w:szCs w:val="18"/>
                <w:color w:val="auto"/>
              </w:rPr>
              <w:t>117,900</w:t>
            </w:r>
          </w:p>
        </w:tc>
        <w:tc>
          <w:tcPr>
            <w:tcW w:w="380" w:type="dxa"/>
            <w:vAlign w:val="bottom"/>
          </w:tcPr>
          <w:p>
            <w:pPr>
              <w:jc w:val="right"/>
              <w:ind w:right="24"/>
              <w:spacing w:after="0"/>
              <w:rPr>
                <w:sz w:val="20"/>
                <w:szCs w:val="20"/>
                <w:color w:val="auto"/>
              </w:rPr>
            </w:pPr>
            <w:r>
              <w:rPr>
                <w:rFonts w:ascii="Arial" w:cs="Arial" w:eastAsia="Arial" w:hAnsi="Arial"/>
                <w:sz w:val="15"/>
                <w:szCs w:val="15"/>
                <w:color w:val="auto"/>
              </w:rPr>
              <w:t>(4)</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196,400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Non-employee director awards:</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RSUs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42,067</w:t>
            </w:r>
          </w:p>
        </w:tc>
        <w:tc>
          <w:tcPr>
            <w:tcW w:w="3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772,685</w:t>
            </w:r>
          </w:p>
        </w:tc>
        <w:tc>
          <w:tcPr>
            <w:tcW w:w="380" w:type="dxa"/>
            <w:vAlign w:val="bottom"/>
            <w:tcBorders>
              <w:bottom w:val="single" w:sz="8" w:color="CFF0FC"/>
            </w:tcBorders>
          </w:tcPr>
          <w:p>
            <w:pPr>
              <w:jc w:val="right"/>
              <w:ind w:right="24"/>
              <w:spacing w:after="0"/>
              <w:rPr>
                <w:sz w:val="20"/>
                <w:szCs w:val="20"/>
                <w:color w:val="auto"/>
              </w:rPr>
            </w:pPr>
            <w:r>
              <w:rPr>
                <w:rFonts w:ascii="Arial" w:cs="Arial" w:eastAsia="Arial" w:hAnsi="Arial"/>
                <w:sz w:val="15"/>
                <w:szCs w:val="15"/>
                <w:color w:val="auto"/>
              </w:rPr>
              <w:t>(6)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814,752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awards:</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Market RSUs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1,571,000</w:t>
            </w:r>
          </w:p>
        </w:tc>
        <w:tc>
          <w:tcPr>
            <w:tcW w:w="440" w:type="dxa"/>
            <w:vAlign w:val="bottom"/>
            <w:tcBorders>
              <w:bottom w:val="single" w:sz="8" w:color="CFF0FC"/>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1,571,000</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RSUs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272,067</w:t>
            </w:r>
          </w:p>
        </w:tc>
        <w:tc>
          <w:tcPr>
            <w:tcW w:w="3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2,881,913</w:t>
            </w:r>
          </w:p>
        </w:tc>
        <w:tc>
          <w:tcPr>
            <w:tcW w:w="3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1,776,250</w:t>
            </w:r>
          </w:p>
        </w:tc>
        <w:tc>
          <w:tcPr>
            <w:tcW w:w="4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4,930,230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260"/>
              <w:spacing w:after="0"/>
              <w:rPr>
                <w:sz w:val="20"/>
                <w:szCs w:val="20"/>
                <w:color w:val="auto"/>
              </w:rPr>
            </w:pPr>
            <w:r>
              <w:rPr>
                <w:rFonts w:ascii="Arial" w:cs="Arial" w:eastAsia="Arial" w:hAnsi="Arial"/>
                <w:sz w:val="18"/>
                <w:szCs w:val="18"/>
                <w:color w:val="auto"/>
              </w:rPr>
              <w:t>Options</w:t>
            </w: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78,500</w:t>
            </w:r>
          </w:p>
        </w:tc>
        <w:tc>
          <w:tcPr>
            <w:tcW w:w="34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117,900</w:t>
            </w:r>
          </w:p>
        </w:tc>
        <w:tc>
          <w:tcPr>
            <w:tcW w:w="3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00" w:type="dxa"/>
            <w:vAlign w:val="bottom"/>
            <w:tcBorders>
              <w:bottom w:val="single" w:sz="8" w:color="auto"/>
            </w:tcBorders>
          </w:tcPr>
          <w:p>
            <w:pPr>
              <w:spacing w:after="0"/>
              <w:rPr>
                <w:sz w:val="10"/>
                <w:szCs w:val="10"/>
                <w:color w:val="auto"/>
              </w:rPr>
            </w:pPr>
          </w:p>
        </w:tc>
        <w:tc>
          <w:tcPr>
            <w:tcW w:w="16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hanging="372"/>
        <w:spacing w:after="0" w:line="183" w:lineRule="auto"/>
        <w:tabs>
          <w:tab w:leader="none" w:pos="380" w:val="left"/>
        </w:tabs>
        <w:numPr>
          <w:ilvl w:val="0"/>
          <w:numId w:val="6"/>
        </w:numPr>
        <w:rPr>
          <w:rFonts w:ascii="Arial" w:cs="Arial" w:eastAsia="Arial" w:hAnsi="Arial"/>
          <w:sz w:val="27"/>
          <w:szCs w:val="27"/>
          <w:color w:val="auto"/>
          <w:vertAlign w:val="superscript"/>
        </w:rPr>
      </w:pPr>
      <w:r>
        <w:rPr>
          <w:rFonts w:ascii="Arial" w:cs="Arial" w:eastAsia="Arial" w:hAnsi="Arial"/>
          <w:sz w:val="15"/>
          <w:szCs w:val="15"/>
          <w:color w:val="auto"/>
        </w:rPr>
        <w:t>RSUs had a weighted average grant date fair value of $1.25 per share and a primary vesting period of four years.</w:t>
      </w:r>
    </w:p>
    <w:p>
      <w:pPr>
        <w:spacing w:after="0" w:line="10" w:lineRule="exact"/>
        <w:rPr>
          <w:rFonts w:ascii="Arial" w:cs="Arial" w:eastAsia="Arial" w:hAnsi="Arial"/>
          <w:sz w:val="27"/>
          <w:szCs w:val="27"/>
          <w:color w:val="auto"/>
          <w:vertAlign w:val="superscript"/>
        </w:rPr>
      </w:pPr>
    </w:p>
    <w:p>
      <w:pPr>
        <w:ind w:left="380" w:hanging="372"/>
        <w:spacing w:after="0" w:line="182" w:lineRule="auto"/>
        <w:tabs>
          <w:tab w:leader="none" w:pos="380" w:val="left"/>
        </w:tabs>
        <w:numPr>
          <w:ilvl w:val="0"/>
          <w:numId w:val="6"/>
        </w:numPr>
        <w:rPr>
          <w:rFonts w:ascii="Arial" w:cs="Arial" w:eastAsia="Arial" w:hAnsi="Arial"/>
          <w:sz w:val="22"/>
          <w:szCs w:val="22"/>
          <w:color w:val="auto"/>
          <w:vertAlign w:val="superscript"/>
        </w:rPr>
      </w:pPr>
      <w:r>
        <w:rPr>
          <w:rFonts w:ascii="Arial" w:cs="Arial" w:eastAsia="Arial" w:hAnsi="Arial"/>
          <w:sz w:val="13"/>
          <w:szCs w:val="13"/>
          <w:color w:val="auto"/>
        </w:rPr>
        <w:t>RSUs had a weighted average grant date fair value of $1.34 per share and a primary vesting period of four years.</w:t>
      </w:r>
    </w:p>
    <w:p>
      <w:pPr>
        <w:spacing w:after="0" w:line="10" w:lineRule="exact"/>
        <w:rPr>
          <w:rFonts w:ascii="Arial" w:cs="Arial" w:eastAsia="Arial" w:hAnsi="Arial"/>
          <w:sz w:val="22"/>
          <w:szCs w:val="22"/>
          <w:color w:val="auto"/>
          <w:vertAlign w:val="superscript"/>
        </w:rPr>
      </w:pPr>
    </w:p>
    <w:p>
      <w:pPr>
        <w:ind w:left="380" w:right="140" w:hanging="372"/>
        <w:spacing w:after="0" w:line="204" w:lineRule="auto"/>
        <w:tabs>
          <w:tab w:leader="none" w:pos="380" w:val="left"/>
        </w:tabs>
        <w:numPr>
          <w:ilvl w:val="0"/>
          <w:numId w:val="6"/>
        </w:numPr>
        <w:rPr>
          <w:rFonts w:ascii="Arial" w:cs="Arial" w:eastAsia="Arial" w:hAnsi="Arial"/>
          <w:sz w:val="29"/>
          <w:szCs w:val="29"/>
          <w:color w:val="auto"/>
          <w:vertAlign w:val="superscript"/>
        </w:rPr>
      </w:pPr>
      <w:r>
        <w:rPr>
          <w:rFonts w:ascii="Arial" w:cs="Arial" w:eastAsia="Arial" w:hAnsi="Arial"/>
          <w:sz w:val="16"/>
          <w:szCs w:val="16"/>
          <w:color w:val="auto"/>
        </w:rPr>
        <w:t>Options had a weighted average exercise price of $1.25 per share and vest over a four year period. The weighted average grant date fair value was $0.93 per share, as determined using a Black-Scholes option pricing model, with the following key assumptions: risk-free interest rate of 0.79%; expected life of approximately 5.67 years; volatility of 93.83%, and dividend yield of zero.</w:t>
      </w:r>
    </w:p>
    <w:p>
      <w:pPr>
        <w:spacing w:after="0" w:line="1" w:lineRule="exact"/>
        <w:rPr>
          <w:rFonts w:ascii="Arial" w:cs="Arial" w:eastAsia="Arial" w:hAnsi="Arial"/>
          <w:sz w:val="29"/>
          <w:szCs w:val="29"/>
          <w:color w:val="auto"/>
          <w:vertAlign w:val="superscript"/>
        </w:rPr>
      </w:pPr>
    </w:p>
    <w:p>
      <w:pPr>
        <w:ind w:left="380" w:right="140" w:hanging="372"/>
        <w:spacing w:after="0" w:line="207" w:lineRule="auto"/>
        <w:tabs>
          <w:tab w:leader="none" w:pos="380" w:val="left"/>
        </w:tabs>
        <w:numPr>
          <w:ilvl w:val="0"/>
          <w:numId w:val="6"/>
        </w:numPr>
        <w:rPr>
          <w:rFonts w:ascii="Arial" w:cs="Arial" w:eastAsia="Arial" w:hAnsi="Arial"/>
          <w:sz w:val="29"/>
          <w:szCs w:val="29"/>
          <w:color w:val="auto"/>
          <w:vertAlign w:val="superscript"/>
        </w:rPr>
      </w:pPr>
      <w:r>
        <w:rPr>
          <w:rFonts w:ascii="Arial" w:cs="Arial" w:eastAsia="Arial" w:hAnsi="Arial"/>
          <w:sz w:val="16"/>
          <w:szCs w:val="16"/>
          <w:color w:val="auto"/>
        </w:rPr>
        <w:t>Options had a weighted average exercise price of $1.34 per share and vest over a four year period. The weighted average grant date fair value was $0.99 per share, as determined using a Black-Scholes option pricing model, with the following key assumptions: risk-free interest rate of 0.39%; expected life of approximately 5.67 years; volatility of 93.83%, and dividend yield of zero.</w:t>
      </w:r>
    </w:p>
    <w:p>
      <w:pPr>
        <w:spacing w:after="0" w:line="2" w:lineRule="exact"/>
        <w:rPr>
          <w:rFonts w:ascii="Arial" w:cs="Arial" w:eastAsia="Arial" w:hAnsi="Arial"/>
          <w:sz w:val="29"/>
          <w:szCs w:val="29"/>
          <w:color w:val="auto"/>
          <w:vertAlign w:val="superscript"/>
        </w:rPr>
      </w:pPr>
    </w:p>
    <w:p>
      <w:pPr>
        <w:ind w:left="380" w:right="440" w:hanging="372"/>
        <w:spacing w:after="0" w:line="187" w:lineRule="auto"/>
        <w:tabs>
          <w:tab w:leader="none" w:pos="380" w:val="left"/>
        </w:tabs>
        <w:numPr>
          <w:ilvl w:val="0"/>
          <w:numId w:val="6"/>
        </w:numPr>
        <w:rPr>
          <w:rFonts w:ascii="Arial" w:cs="Arial" w:eastAsia="Arial" w:hAnsi="Arial"/>
          <w:sz w:val="29"/>
          <w:szCs w:val="29"/>
          <w:color w:val="auto"/>
          <w:vertAlign w:val="superscript"/>
        </w:rPr>
      </w:pPr>
      <w:r>
        <w:rPr>
          <w:rFonts w:ascii="Arial" w:cs="Arial" w:eastAsia="Arial" w:hAnsi="Arial"/>
          <w:sz w:val="16"/>
          <w:szCs w:val="16"/>
          <w:color w:val="auto"/>
        </w:rPr>
        <w:t>RSUs had a weighted average grant date fair value of $1.17 per share and vested immediately upon grant, but the underlying shares of common stock will not be delivered until there is a separation of service, such as resignation, retirement or death.</w:t>
      </w:r>
    </w:p>
    <w:p>
      <w:pPr>
        <w:spacing w:after="0" w:line="1" w:lineRule="exact"/>
        <w:rPr>
          <w:rFonts w:ascii="Arial" w:cs="Arial" w:eastAsia="Arial" w:hAnsi="Arial"/>
          <w:sz w:val="29"/>
          <w:szCs w:val="29"/>
          <w:color w:val="auto"/>
          <w:vertAlign w:val="superscript"/>
        </w:rPr>
      </w:pPr>
    </w:p>
    <w:p>
      <w:pPr>
        <w:ind w:left="380" w:right="440" w:hanging="372"/>
        <w:spacing w:after="0" w:line="187" w:lineRule="auto"/>
        <w:tabs>
          <w:tab w:leader="none" w:pos="380" w:val="left"/>
        </w:tabs>
        <w:numPr>
          <w:ilvl w:val="0"/>
          <w:numId w:val="6"/>
        </w:numPr>
        <w:rPr>
          <w:rFonts w:ascii="Arial" w:cs="Arial" w:eastAsia="Arial" w:hAnsi="Arial"/>
          <w:sz w:val="29"/>
          <w:szCs w:val="29"/>
          <w:color w:val="auto"/>
          <w:vertAlign w:val="superscript"/>
        </w:rPr>
      </w:pPr>
      <w:r>
        <w:rPr>
          <w:rFonts w:ascii="Arial" w:cs="Arial" w:eastAsia="Arial" w:hAnsi="Arial"/>
          <w:sz w:val="16"/>
          <w:szCs w:val="16"/>
          <w:color w:val="auto"/>
        </w:rPr>
        <w:t>RSUs had a weighted average grant date fair value of $1.34 per share and vested immediately upon grant, but the underlying shares of common stock will not be delivered until there is a separation of service, such as resignation, retirement or death.</w:t>
      </w:r>
    </w:p>
    <w:p>
      <w:pPr>
        <w:spacing w:after="0" w:line="1" w:lineRule="exact"/>
        <w:rPr>
          <w:rFonts w:ascii="Arial" w:cs="Arial" w:eastAsia="Arial" w:hAnsi="Arial"/>
          <w:sz w:val="29"/>
          <w:szCs w:val="29"/>
          <w:color w:val="auto"/>
          <w:vertAlign w:val="superscript"/>
        </w:rPr>
      </w:pPr>
    </w:p>
    <w:p>
      <w:pPr>
        <w:ind w:left="380" w:right="300" w:hanging="372"/>
        <w:spacing w:after="0" w:line="260" w:lineRule="auto"/>
        <w:tabs>
          <w:tab w:leader="none" w:pos="380" w:val="left"/>
        </w:tabs>
        <w:numPr>
          <w:ilvl w:val="0"/>
          <w:numId w:val="6"/>
        </w:numPr>
        <w:rPr>
          <w:rFonts w:ascii="Arial" w:cs="Arial" w:eastAsia="Arial" w:hAnsi="Arial"/>
          <w:sz w:val="25"/>
          <w:szCs w:val="25"/>
          <w:color w:val="auto"/>
          <w:vertAlign w:val="superscript"/>
        </w:rPr>
      </w:pPr>
      <w:r>
        <w:rPr>
          <w:rFonts w:ascii="Arial" w:cs="Arial" w:eastAsia="Arial" w:hAnsi="Arial"/>
          <w:sz w:val="14"/>
          <w:szCs w:val="14"/>
          <w:color w:val="auto"/>
        </w:rPr>
        <w:t>Market RSUs had a grant date fair value of $3.77 per share and will vest on May 22, 2023 provided that the closing price of the Company’s common stock on such vesting date is not less than the closing price on August 27, 2020. The number of shares delivered on the vesting date is determined by the percentile ranking of MannKind total shareholder return (TSR) over the period from August 27, 2020 until May 22, 2023 related to the TSR of the Russell 3000 Pharmaceutical &amp; Biotechnology Index over the same period, as follows: less than 25th percentile=0% of target, 25th percentile=50% of target, 50th percentile=100% of target, 75th percentile=200% percent of target, 90th percentile or higher=300% maximum. Payout values will be interpolated between the percentile rankings above.</w:t>
      </w:r>
    </w:p>
    <w:p>
      <w:pPr>
        <w:spacing w:after="0" w:line="3" w:lineRule="exact"/>
        <w:rPr>
          <w:rFonts w:ascii="Arial" w:cs="Arial" w:eastAsia="Arial" w:hAnsi="Arial"/>
          <w:sz w:val="25"/>
          <w:szCs w:val="25"/>
          <w:color w:val="auto"/>
          <w:vertAlign w:val="superscript"/>
        </w:rPr>
      </w:pPr>
    </w:p>
    <w:p>
      <w:pPr>
        <w:ind w:left="380" w:hanging="372"/>
        <w:spacing w:after="0" w:line="183" w:lineRule="auto"/>
        <w:tabs>
          <w:tab w:leader="none" w:pos="380" w:val="left"/>
        </w:tabs>
        <w:numPr>
          <w:ilvl w:val="0"/>
          <w:numId w:val="6"/>
        </w:numPr>
        <w:rPr>
          <w:rFonts w:ascii="Arial" w:cs="Arial" w:eastAsia="Arial" w:hAnsi="Arial"/>
          <w:sz w:val="23"/>
          <w:szCs w:val="23"/>
          <w:color w:val="auto"/>
          <w:vertAlign w:val="superscript"/>
        </w:rPr>
      </w:pPr>
      <w:r>
        <w:rPr>
          <w:rFonts w:ascii="Arial" w:cs="Arial" w:eastAsia="Arial" w:hAnsi="Arial"/>
          <w:sz w:val="13"/>
          <w:szCs w:val="13"/>
          <w:color w:val="auto"/>
        </w:rPr>
        <w:t>RSUs had a weighted average grant date fair value of $1.70 per share and a primary vesting period of four years.</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September 30, 2020, there was $5.6 million of unrecognized stock-based compensation expense related to options and PNQs, which is expected to be recognized over a weighted average period of approximately 2.2 years, and $5.8 million and $5.7 million of unrecognized stock-based compensation expense related to RSUs and Market RSUs, respectively, which is expected to be recognized over a weighted average period of approximately 3.7 and 2.6 years,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The Company is subject to legal proceedings and claims which arise in the ordinary course of its business. As of September 30, 2020,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Following the public announcement in January 2016 of the election by sanofi-aventis U.S. LLC (“Sanofi”) to terminate a license and collaboration agreement (the “Sanofi License Agreement”) between the Company and Sanofi and the subsequent decline in the Company’s stock price,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the Company filed a motion to dismiss the certification motion. In September 2019, the plaintiff brought a motion to amend his claim, which the court denied in January 2020. The plaintiff has appealed this denial to the Supreme Court of Israel. The Company will continue to vigorously defend against the claims advanced.</w:t>
      </w:r>
    </w:p>
    <w:p>
      <w:pPr>
        <w:spacing w:after="0" w:line="185" w:lineRule="exact"/>
        <w:rPr>
          <w:sz w:val="20"/>
          <w:szCs w:val="20"/>
          <w:color w:val="auto"/>
        </w:rPr>
      </w:pPr>
    </w:p>
    <w:p>
      <w:pPr>
        <w:ind w:right="100"/>
        <w:spacing w:after="0" w:line="313"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 In July 2013, the Company entered into an agreement with the Milestone Purchasers, pursuant to which the Company granted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Milestone Rights to receive payments up to $90.0 million upon the occurrence of specified strategic and sales milestones, $70.0 million of which remains payable upon achievement of such milestones (see Note 6 – </w:t>
      </w:r>
      <w:r>
        <w:rPr>
          <w:rFonts w:ascii="Arial" w:cs="Arial" w:eastAsia="Arial" w:hAnsi="Arial"/>
          <w:sz w:val="16"/>
          <w:szCs w:val="16"/>
          <w:i w:val="1"/>
          <w:iCs w:val="1"/>
          <w:color w:val="auto"/>
        </w:rPr>
        <w:t>Borrowings</w:t>
      </w:r>
      <w:r>
        <w:rPr>
          <w:rFonts w:ascii="Arial" w:cs="Arial" w:eastAsia="Arial" w:hAnsi="Arial"/>
          <w:sz w:val="16"/>
          <w:szCs w:val="16"/>
          <w:color w:val="auto"/>
        </w:rPr>
        <w:t>). The fair value of the Milestone Rights is recorded in the condensed consolidated balance sheet, including $1.3 million in accrued expenses and other current liabilities and $5.9 million in milestone rights and other liabilities.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 In July 2014, the Company entered into an Insulin Supply Agreement (the “Insulin Supply Agreement”) with Amphastar Pharmaceuticals,</w:t>
      </w:r>
      <w:r>
        <w:rPr>
          <w:rFonts w:ascii="Arial" w:cs="Arial" w:eastAsia="Arial" w:hAnsi="Arial"/>
          <w:sz w:val="18"/>
          <w:szCs w:val="18"/>
          <w:i w:val="1"/>
          <w:iCs w:val="1"/>
          <w:color w:val="auto"/>
        </w:rPr>
        <w:t xml:space="preserve"> </w:t>
      </w:r>
      <w:r>
        <w:rPr>
          <w:rFonts w:ascii="Arial" w:cs="Arial" w:eastAsia="Arial" w:hAnsi="Arial"/>
          <w:sz w:val="18"/>
          <w:szCs w:val="18"/>
          <w:color w:val="auto"/>
        </w:rPr>
        <w:t>Inc.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22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August 2019, the Company and Amphastar amended the Insulin Supply Agreement to extend the term to 2026 and to restructure the annual purchase commitments. As of September 30, 2020, the annual purchase requirements under the amended contract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tcPr>
          <w:p>
            <w:pPr>
              <w:jc w:val="right"/>
              <w:ind w:right="734"/>
              <w:spacing w:after="0"/>
              <w:rPr>
                <w:sz w:val="20"/>
                <w:szCs w:val="20"/>
                <w:color w:val="auto"/>
              </w:rPr>
            </w:pPr>
            <w:r>
              <w:rPr>
                <w:rFonts w:ascii="Arial" w:cs="Arial" w:eastAsia="Arial" w:hAnsi="Arial"/>
                <w:sz w:val="14"/>
                <w:szCs w:val="14"/>
                <w:b w:val="1"/>
                <w:bCs w:val="1"/>
                <w:color w:val="auto"/>
              </w:rPr>
              <w:t>Minimum</w:t>
            </w:r>
          </w:p>
        </w:tc>
      </w:tr>
      <w:tr>
        <w:trPr>
          <w:trHeight w:val="171"/>
        </w:trPr>
        <w:tc>
          <w:tcPr>
            <w:tcW w:w="90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Commitment</w:t>
            </w:r>
          </w:p>
        </w:tc>
      </w:tr>
      <w:tr>
        <w:trPr>
          <w:trHeight w:val="223"/>
        </w:trPr>
        <w:tc>
          <w:tcPr>
            <w:tcW w:w="9000" w:type="dxa"/>
            <w:vAlign w:val="bottom"/>
            <w:shd w:val="clear" w:color="auto" w:fill="CFF0FC"/>
          </w:tcPr>
          <w:p>
            <w:pPr>
              <w:jc w:val="right"/>
              <w:ind w:right="8550"/>
              <w:spacing w:after="0"/>
              <w:rPr>
                <w:sz w:val="20"/>
                <w:szCs w:val="20"/>
                <w:color w:val="auto"/>
              </w:rPr>
            </w:pPr>
            <w:r>
              <w:rPr>
                <w:rFonts w:ascii="Arial" w:cs="Arial" w:eastAsia="Arial" w:hAnsi="Arial"/>
                <w:sz w:val="18"/>
                <w:szCs w:val="18"/>
                <w:color w:val="auto"/>
                <w:w w:val="84"/>
              </w:rPr>
              <w:t>2020</w:t>
            </w: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 million</w:t>
            </w:r>
          </w:p>
        </w:tc>
      </w:tr>
      <w:tr>
        <w:trPr>
          <w:trHeight w:val="229"/>
        </w:trPr>
        <w:tc>
          <w:tcPr>
            <w:tcW w:w="9000" w:type="dxa"/>
            <w:vAlign w:val="bottom"/>
          </w:tcPr>
          <w:p>
            <w:pPr>
              <w:jc w:val="right"/>
              <w:ind w:right="8550"/>
              <w:spacing w:after="0"/>
              <w:rPr>
                <w:sz w:val="20"/>
                <w:szCs w:val="20"/>
                <w:color w:val="auto"/>
              </w:rPr>
            </w:pPr>
            <w:r>
              <w:rPr>
                <w:rFonts w:ascii="Arial" w:cs="Arial" w:eastAsia="Arial" w:hAnsi="Arial"/>
                <w:sz w:val="18"/>
                <w:szCs w:val="18"/>
                <w:color w:val="auto"/>
                <w:w w:val="84"/>
              </w:rPr>
              <w:t>2021</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6.6 million</w:t>
            </w:r>
          </w:p>
        </w:tc>
      </w:tr>
      <w:tr>
        <w:trPr>
          <w:trHeight w:val="230"/>
        </w:trPr>
        <w:tc>
          <w:tcPr>
            <w:tcW w:w="9000" w:type="dxa"/>
            <w:vAlign w:val="bottom"/>
            <w:shd w:val="clear" w:color="auto" w:fill="CFF0FC"/>
          </w:tcPr>
          <w:p>
            <w:pPr>
              <w:jc w:val="right"/>
              <w:ind w:right="8550"/>
              <w:spacing w:after="0"/>
              <w:rPr>
                <w:sz w:val="20"/>
                <w:szCs w:val="20"/>
                <w:color w:val="auto"/>
              </w:rPr>
            </w:pPr>
            <w:r>
              <w:rPr>
                <w:rFonts w:ascii="Arial" w:cs="Arial" w:eastAsia="Arial" w:hAnsi="Arial"/>
                <w:sz w:val="18"/>
                <w:szCs w:val="18"/>
                <w:color w:val="auto"/>
                <w:w w:val="84"/>
              </w:rPr>
              <w:t>2022</w:t>
            </w: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 million</w:t>
            </w:r>
          </w:p>
        </w:tc>
      </w:tr>
      <w:tr>
        <w:trPr>
          <w:trHeight w:val="230"/>
        </w:trPr>
        <w:tc>
          <w:tcPr>
            <w:tcW w:w="9000" w:type="dxa"/>
            <w:vAlign w:val="bottom"/>
          </w:tcPr>
          <w:p>
            <w:pPr>
              <w:jc w:val="right"/>
              <w:ind w:right="8550"/>
              <w:spacing w:after="0"/>
              <w:rPr>
                <w:sz w:val="20"/>
                <w:szCs w:val="20"/>
                <w:color w:val="auto"/>
              </w:rPr>
            </w:pPr>
            <w:r>
              <w:rPr>
                <w:rFonts w:ascii="Arial" w:cs="Arial" w:eastAsia="Arial" w:hAnsi="Arial"/>
                <w:sz w:val="18"/>
                <w:szCs w:val="18"/>
                <w:color w:val="auto"/>
                <w:w w:val="84"/>
              </w:rPr>
              <w:t>2023</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10.9 million</w:t>
            </w:r>
          </w:p>
        </w:tc>
      </w:tr>
      <w:tr>
        <w:trPr>
          <w:trHeight w:val="230"/>
        </w:trPr>
        <w:tc>
          <w:tcPr>
            <w:tcW w:w="9000" w:type="dxa"/>
            <w:vAlign w:val="bottom"/>
            <w:shd w:val="clear" w:color="auto" w:fill="CFF0FC"/>
          </w:tcPr>
          <w:p>
            <w:pPr>
              <w:jc w:val="right"/>
              <w:ind w:right="8550"/>
              <w:spacing w:after="0"/>
              <w:rPr>
                <w:sz w:val="20"/>
                <w:szCs w:val="20"/>
                <w:color w:val="auto"/>
              </w:rPr>
            </w:pPr>
            <w:r>
              <w:rPr>
                <w:rFonts w:ascii="Arial" w:cs="Arial" w:eastAsia="Arial" w:hAnsi="Arial"/>
                <w:sz w:val="18"/>
                <w:szCs w:val="18"/>
                <w:color w:val="auto"/>
                <w:w w:val="84"/>
              </w:rPr>
              <w:t>2024</w:t>
            </w: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 million</w:t>
            </w:r>
          </w:p>
        </w:tc>
      </w:tr>
      <w:tr>
        <w:trPr>
          <w:trHeight w:val="229"/>
        </w:trPr>
        <w:tc>
          <w:tcPr>
            <w:tcW w:w="9000" w:type="dxa"/>
            <w:vAlign w:val="bottom"/>
          </w:tcPr>
          <w:p>
            <w:pPr>
              <w:jc w:val="right"/>
              <w:ind w:right="8550"/>
              <w:spacing w:after="0"/>
              <w:rPr>
                <w:sz w:val="20"/>
                <w:szCs w:val="20"/>
                <w:color w:val="auto"/>
              </w:rPr>
            </w:pPr>
            <w:r>
              <w:rPr>
                <w:rFonts w:ascii="Arial" w:cs="Arial" w:eastAsia="Arial" w:hAnsi="Arial"/>
                <w:sz w:val="18"/>
                <w:szCs w:val="18"/>
                <w:color w:val="auto"/>
                <w:w w:val="84"/>
              </w:rPr>
              <w:t>2025</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9000" w:type="dxa"/>
            <w:vAlign w:val="bottom"/>
            <w:shd w:val="clear" w:color="auto" w:fill="CFF0FC"/>
          </w:tcPr>
          <w:p>
            <w:pPr>
              <w:jc w:val="right"/>
              <w:ind w:right="8550"/>
              <w:spacing w:after="0"/>
              <w:rPr>
                <w:sz w:val="20"/>
                <w:szCs w:val="20"/>
                <w:color w:val="auto"/>
              </w:rPr>
            </w:pPr>
            <w:r>
              <w:rPr>
                <w:rFonts w:ascii="Arial" w:cs="Arial" w:eastAsia="Arial" w:hAnsi="Arial"/>
                <w:sz w:val="18"/>
                <w:szCs w:val="18"/>
                <w:color w:val="auto"/>
                <w:w w:val="84"/>
              </w:rPr>
              <w:t>2026</w:t>
            </w: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 million</w:t>
            </w:r>
          </w:p>
        </w:tc>
      </w:tr>
    </w:tbl>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Unless terminated earlier, the term of the Insulin Supply Agreement expires on December 31, 2026 and can be renewed for additional, successive two year terms upon 12 months’ written notice given prior to the end of the initial term or any additional two year term. The Company and Amphastar each have normal and customary termination rights, including termination for a material breach that is not cured within a specific time frame or in the event of liquidation, bankruptcy or insolvency of the other party. In addition,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ind w:right="340"/>
        <w:spacing w:after="0" w:line="279" w:lineRule="auto"/>
        <w:rPr>
          <w:sz w:val="20"/>
          <w:szCs w:val="20"/>
          <w:color w:val="auto"/>
        </w:rPr>
      </w:pPr>
      <w:r>
        <w:rPr>
          <w:rFonts w:ascii="Arial" w:cs="Arial" w:eastAsia="Arial" w:hAnsi="Arial"/>
          <w:sz w:val="17"/>
          <w:szCs w:val="17"/>
          <w:color w:val="auto"/>
        </w:rPr>
        <w:t>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9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 xml:space="preserve">Warrants – </w:t>
      </w:r>
      <w:r>
        <w:rPr>
          <w:rFonts w:ascii="Arial" w:cs="Arial" w:eastAsia="Arial" w:hAnsi="Arial"/>
          <w:sz w:val="18"/>
          <w:szCs w:val="18"/>
          <w:color w:val="auto"/>
        </w:rPr>
        <w:t>In August 2019, in connection with the MidCap Credit Facility, the Company issued warrants to purchase an aggregate of 1,171,614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Company’s common stock, at an exercise price equal to $1.11 per share, to the lenders. Additional MidCap warrants will be issued if the Company accesses additional tranches under the MidCap Credit Facility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224"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Vehicle Leases – </w:t>
      </w:r>
      <w:r>
        <w:rPr>
          <w:rFonts w:ascii="Arial" w:cs="Arial" w:eastAsia="Arial" w:hAnsi="Arial"/>
          <w:sz w:val="17"/>
          <w:szCs w:val="17"/>
          <w:color w:val="auto"/>
        </w:rPr>
        <w:t>During the second quarter of 2018, the Company entered into a lease agreement with Enterprise Fleet Management Inc. for the lease of</w:t>
      </w:r>
      <w:r>
        <w:rPr>
          <w:rFonts w:ascii="Arial" w:cs="Arial" w:eastAsia="Arial" w:hAnsi="Arial"/>
          <w:sz w:val="17"/>
          <w:szCs w:val="17"/>
          <w:i w:val="1"/>
          <w:iCs w:val="1"/>
          <w:color w:val="auto"/>
        </w:rPr>
        <w:t xml:space="preserve"> </w:t>
      </w:r>
      <w:r>
        <w:rPr>
          <w:rFonts w:ascii="Arial" w:cs="Arial" w:eastAsia="Arial" w:hAnsi="Arial"/>
          <w:sz w:val="17"/>
          <w:szCs w:val="17"/>
          <w:color w:val="auto"/>
        </w:rPr>
        <w:t>119 vehicles. The lease requires monthly payments of approximately $83,000 per month including the cost of maintaining the vehicles, taxes and insurance. The lease commenced when the Company took possession of the majority of the vehicles in the second quarter of 2018 and expires 48 months after the delivery date. During 2019, 29 vehicles were removed from the fleet, resulting in a fleet size of 90 vehicles. An additional vehicle was removed from the fleet in 2020. The revised monthly payment inclusive of maintenance fees, insurance and taxes is $65,000. The lease expense is included in selling, general and administrative expenses in the accompanying condensed consolidated statement of operations.</w:t>
      </w:r>
    </w:p>
    <w:p>
      <w:pPr>
        <w:spacing w:after="0" w:line="17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Upon adoption of ASC 842, the agreement was classified as an operating lease which resulted in recording right-of-use assets and lease liabilities of approximately $1.6 million and $1.9 million, respectively, as of January 1, 2019. These amounts included approximately $1.6 million of non-current other assets and approximately $0.6 million and $1.3 million of other current liabilities and operating lease liabilities, respectively.</w:t>
      </w:r>
    </w:p>
    <w:p>
      <w:pPr>
        <w:spacing w:after="0" w:line="1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Office Lease </w:t>
      </w:r>
      <w:r>
        <w:rPr>
          <w:rFonts w:ascii="Arial" w:cs="Arial" w:eastAsia="Arial" w:hAnsi="Arial"/>
          <w:sz w:val="18"/>
          <w:szCs w:val="18"/>
          <w:color w:val="auto"/>
        </w:rPr>
        <w:t>— In May 2017, the Company executed an office lease with Russell Ranch Road II LLC for the Company’s corporate headquarters in</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Village, California. The office lease commenced in August 2017. The Company agreed to pay initial monthly lease payments of $40,951, subject to 3% annual increases, plus the estimated cost of maintaining the property and common areas by the landlord, with a five month concession from October 2017 through February 2018. The lease also provides for allowances for tenant alterations and maintenance. The lease expires in January 2023 and provides the Company with a five year renewal option. The lease expense is included in selling, general and administrative expenses in the accompanying condensed consolidated statement of operations.</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November 2017, the Company executed an office lease with Russell Ranch Road II LLC to expand the office space for the Company’s corporate headquarters in Westlake Village, California. The office lease commenced in October 2018. The Company agreed to pay initial monthly lease payments of $35,969, subject to a 3% annual increase, plus the estimated operating cost of maintaining the property by the landlord, which are allocable based an annual assessment made by the landlord. In addition, the Company received reimbursement from the landlord of $56,325 for tenant improvements and was not required to pay a first-year common area maintenance fee. The lease expires in January 2023 and provides the Company with a five year renewal option.</w:t>
      </w:r>
    </w:p>
    <w:p>
      <w:pPr>
        <w:spacing w:after="0" w:line="16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Upon adoption of ASC 842, this lease was classified as an operating lease, which resulted in recording right-of-use assets and lease liabilities of approximately $3.2 million and $3.5 million, respectively, as of January 1, 2019. These amounts included approximately $0.9 million and $2.6 million of other current liabilities and operating lease liabilities, respectively.</w:t>
      </w:r>
    </w:p>
    <w:p>
      <w:pPr>
        <w:spacing w:after="0" w:line="184"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For the three and nine months ended September 30, 2020, operating lease costs under all operating leases, including office space and equipment, was approximately $0.4 million and $1.1 million, respectively. Cash paid for all operating leases for the three and nine months ended September 30, 2020 was $0.5 million and $1.3 million, respectively. Variable lease costs were approximately $0.1 million and $0.3 million for the three and nine months ended September 30, 2020, respectively.</w:t>
      </w:r>
    </w:p>
    <w:p>
      <w:pPr>
        <w:spacing w:after="0" w:line="179"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For the three and nine months ended September 30, 2019, operating lease costs under all operating leases, including office space and equipment, was approximately $0.4 million and $1.1 million, respectively. Cash paid for all operating leases for the three and nine months ended September 30, 2019 was $0.5 million and $1.3 million, respectively. Variable lease costs were approximately $0.1 million and $0.3 million for the three and nine months ended September 30, 2019,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2020</w:t>
            </w: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30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ind w:left="1300"/>
              <w:spacing w:after="0"/>
              <w:rPr>
                <w:sz w:val="20"/>
                <w:szCs w:val="20"/>
                <w:color w:val="auto"/>
              </w:rPr>
            </w:pPr>
            <w:r>
              <w:rPr>
                <w:rFonts w:ascii="Arial" w:cs="Arial" w:eastAsia="Arial" w:hAnsi="Arial"/>
                <w:sz w:val="18"/>
                <w:szCs w:val="18"/>
                <w:color w:val="auto"/>
                <w:w w:val="87"/>
              </w:rPr>
              <w:t>2.2</w:t>
            </w:r>
          </w:p>
        </w:tc>
        <w:tc>
          <w:tcPr>
            <w:tcW w:w="3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ind w:left="1300"/>
              <w:spacing w:after="0"/>
              <w:rPr>
                <w:sz w:val="20"/>
                <w:szCs w:val="20"/>
                <w:color w:val="auto"/>
              </w:rPr>
            </w:pPr>
            <w:r>
              <w:rPr>
                <w:rFonts w:ascii="Arial" w:cs="Arial" w:eastAsia="Arial" w:hAnsi="Arial"/>
                <w:sz w:val="18"/>
                <w:szCs w:val="18"/>
                <w:color w:val="auto"/>
                <w:w w:val="87"/>
              </w:rPr>
              <w:t>3.0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4960" w:type="dxa"/>
            <w:vAlign w:val="bottom"/>
            <w:gridSpan w:val="3"/>
          </w:tcPr>
          <w:p>
            <w:pPr>
              <w:ind w:left="4340"/>
              <w:spacing w:after="0"/>
              <w:rPr>
                <w:sz w:val="20"/>
                <w:szCs w:val="20"/>
                <w:color w:val="auto"/>
              </w:rPr>
            </w:pPr>
            <w:r>
              <w:rPr>
                <w:rFonts w:ascii="Arial" w:cs="Arial" w:eastAsia="Arial" w:hAnsi="Arial"/>
                <w:sz w:val="18"/>
                <w:szCs w:val="18"/>
                <w:color w:val="auto"/>
              </w:rPr>
              <w:t>7.5%</w:t>
            </w:r>
          </w:p>
        </w:tc>
        <w:tc>
          <w:tcPr>
            <w:tcW w:w="1720" w:type="dxa"/>
            <w:vAlign w:val="bottom"/>
            <w:gridSpan w:val="2"/>
          </w:tcPr>
          <w:p>
            <w:pPr>
              <w:ind w:left="1300"/>
              <w:spacing w:after="0"/>
              <w:rPr>
                <w:sz w:val="20"/>
                <w:szCs w:val="20"/>
                <w:color w:val="auto"/>
              </w:rPr>
            </w:pPr>
            <w:r>
              <w:rPr>
                <w:rFonts w:ascii="Arial" w:cs="Arial" w:eastAsia="Arial" w:hAnsi="Arial"/>
                <w:sz w:val="18"/>
                <w:szCs w:val="18"/>
                <w:color w:val="auto"/>
                <w:w w:val="97"/>
              </w:rPr>
              <w:t>7.5%</w:t>
            </w:r>
          </w:p>
        </w:tc>
      </w:tr>
      <w:tr>
        <w:trPr>
          <w:trHeight w:val="431"/>
        </w:trPr>
        <w:tc>
          <w:tcPr>
            <w:tcW w:w="4560" w:type="dxa"/>
            <w:vAlign w:val="bottom"/>
          </w:tcPr>
          <w:p>
            <w:pPr>
              <w:spacing w:after="0"/>
              <w:rPr>
                <w:sz w:val="24"/>
                <w:szCs w:val="24"/>
                <w:color w:val="auto"/>
              </w:rPr>
            </w:pPr>
          </w:p>
        </w:tc>
        <w:tc>
          <w:tcPr>
            <w:tcW w:w="3040" w:type="dxa"/>
            <w:vAlign w:val="bottom"/>
          </w:tcPr>
          <w:p>
            <w:pPr>
              <w:jc w:val="right"/>
              <w:ind w:right="1790"/>
              <w:spacing w:after="0"/>
              <w:rPr>
                <w:sz w:val="20"/>
                <w:szCs w:val="20"/>
                <w:color w:val="auto"/>
              </w:rPr>
            </w:pPr>
            <w:r>
              <w:rPr>
                <w:rFonts w:ascii="Arial" w:cs="Arial" w:eastAsia="Arial" w:hAnsi="Arial"/>
                <w:sz w:val="18"/>
                <w:szCs w:val="18"/>
                <w:color w:val="auto"/>
              </w:rPr>
              <w:t>30</w:t>
            </w: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Future minimum office and vehicle lease payments as of September 30, 2020 and December 31, 2019,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720" w:type="dxa"/>
            <w:vAlign w:val="bottom"/>
            <w:tcBorders>
              <w:top w:val="single" w:sz="8" w:color="CFF0FC"/>
            </w:tcBorders>
            <w:shd w:val="clear" w:color="auto" w:fill="CFF0FC"/>
          </w:tcPr>
          <w:p>
            <w:pPr>
              <w:jc w:val="right"/>
              <w:ind w:right="7270"/>
              <w:spacing w:after="0"/>
              <w:rPr>
                <w:sz w:val="20"/>
                <w:szCs w:val="20"/>
                <w:color w:val="auto"/>
              </w:rPr>
            </w:pPr>
            <w:r>
              <w:rPr>
                <w:rFonts w:ascii="Arial" w:cs="Arial" w:eastAsia="Arial" w:hAnsi="Arial"/>
                <w:sz w:val="18"/>
                <w:szCs w:val="18"/>
                <w:color w:val="auto"/>
                <w:w w:val="84"/>
              </w:rPr>
              <w:t>2020</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jc w:val="right"/>
              <w:ind w:right="7270"/>
              <w:spacing w:after="0"/>
              <w:rPr>
                <w:sz w:val="20"/>
                <w:szCs w:val="20"/>
                <w:color w:val="auto"/>
              </w:rPr>
            </w:pPr>
            <w:r>
              <w:rPr>
                <w:rFonts w:ascii="Arial" w:cs="Arial" w:eastAsia="Arial" w:hAnsi="Arial"/>
                <w:sz w:val="18"/>
                <w:szCs w:val="18"/>
                <w:color w:val="auto"/>
                <w:w w:val="84"/>
              </w:rPr>
              <w:t>2021</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jc w:val="right"/>
              <w:ind w:right="7270"/>
              <w:spacing w:after="0"/>
              <w:rPr>
                <w:sz w:val="20"/>
                <w:szCs w:val="20"/>
                <w:color w:val="auto"/>
              </w:rPr>
            </w:pPr>
            <w:r>
              <w:rPr>
                <w:rFonts w:ascii="Arial" w:cs="Arial" w:eastAsia="Arial" w:hAnsi="Arial"/>
                <w:sz w:val="18"/>
                <w:szCs w:val="18"/>
                <w:color w:val="auto"/>
                <w:w w:val="84"/>
              </w:rPr>
              <w:t>2022</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jc w:val="right"/>
              <w:ind w:right="7270"/>
              <w:spacing w:after="0"/>
              <w:rPr>
                <w:sz w:val="20"/>
                <w:szCs w:val="20"/>
                <w:color w:val="auto"/>
              </w:rPr>
            </w:pPr>
            <w:r>
              <w:rPr>
                <w:rFonts w:ascii="Arial" w:cs="Arial" w:eastAsia="Arial" w:hAnsi="Arial"/>
                <w:sz w:val="18"/>
                <w:szCs w:val="18"/>
                <w:color w:val="auto"/>
                <w:w w:val="84"/>
              </w:rPr>
              <w:t>2023</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jc w:val="right"/>
              <w:ind w:right="701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assessed its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The Company’s tax years since 2016 and 2015 remain subject to examination by federal and state tax authorities,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recorded an income tax benefit of $0.2 million for the three and nine months ended September 30, 2020 for an effective tax rate of</w:t>
      </w:r>
    </w:p>
    <w:p>
      <w:pPr>
        <w:spacing w:after="0" w:line="35"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1.90% and 0.70% respectively, compared to zero effective tax rate and tax benefit for the same periods in the prior year. The income tax rates for the three and nine months ended September 30, 2020 diverge from the federal statutory rate due to the full valuation allowance offsetting the Company’s net deferred tax assets and a discrete benefit of $0.2 million related to refunded foreign withholding taxes paid in 2018.</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2019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inhaled therapeutic products for endocrine and orphan lung diseases. Our only approved product, Afrezza (insulin human) Inhalation Powder, is an ultra rapid-acting inhaled insulin that was approved by the FDA in June 2014 to improve glycemic control in adult patients with diabetes. Afrezza became available by prescription in United States retail pharmacies in February 2015.</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business is subject to significant risks, including but not limited to our need to raise additional capital to fund our operations, our ability to commercialize Afrezza successfully, our ability to manufacture sufficient quantities of Afrezza and competition from other products and technologies. Other significant risks also include the risks inherent in clinical trials and the regulatory approval process for our product candidates, which in some cases depends upon the efforts of our partners.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continue to manage the risk to our business posed by the global COVID-19 pandemic. Our sales representatives have resumed in-person sales calls to the extent permitted by state and local public health authorities and by the policies of individual healthcare providers on their call lists. Our offices in California and Connecticut have reopened to non-essential personnel, although many employees continue to work from home for a portion of each workweek. Although our productivity has been impacted by the global pandemic, we have suitably adapted to the changed business environment that now exists.</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COVID-19 pandemic continues to evolve rapidly and its ultimate impact remains highly uncertain. We do not yet know the full extent of potential delays or impacts on our business, our collaboration arrangements, commercialization efforts, healthcare systems or to the global economy as a whole. We expect the COVID-19 pandemic to continue to negatively impact our near-term revenues from Afrezza and believe it has the potential to have additional adverse impacts on our operations. We will continue to monitor the COVID-19 situation closely.</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of September 30, 2020, we had an accumulated deficit of $3.0 billion and a stockholders’ deficit of $186.4 million. We had net loss of $11.3 million and $30.8 million for the three and nine months ended September 30, 2020, respectively. To date, we have funded our operations through the sale of equity and convertible debt securities, from the receipt of upfront and milestone payments from certain collaborations, from borrowings under certain loan arrangements and from commercial product sales. As discussed below in “Liquidity and Capital Resources,” if we are unable to obtain additional funding, there will continue to be substantial doubt about our ability to continue as a going concern.</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Our critical accounting policies can be found in Item 7. Management’s Discussion and Analysis of Financial Condition and Results of Operations in our Form 10-K for the year ended December 31, 2019. See Note 1 – </w:t>
      </w:r>
      <w:r>
        <w:rPr>
          <w:rFonts w:ascii="Arial" w:cs="Arial" w:eastAsia="Arial" w:hAnsi="Arial"/>
          <w:sz w:val="16"/>
          <w:szCs w:val="16"/>
          <w:i w:val="1"/>
          <w:iCs w:val="1"/>
          <w:color w:val="auto"/>
        </w:rPr>
        <w:t>Description of Business and Significant Accounting Policies</w:t>
      </w:r>
      <w:r>
        <w:rPr>
          <w:rFonts w:ascii="Arial" w:cs="Arial" w:eastAsia="Arial" w:hAnsi="Arial"/>
          <w:sz w:val="16"/>
          <w:szCs w:val="16"/>
          <w:color w:val="auto"/>
        </w:rPr>
        <w:t xml:space="preserve"> in the condensed consolidated financial statements included in Part I – Financial Statements (Unaudited) for descriptions of the new accounting policies and impact of adoption.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tables provide a comparison of the revenue categories for the three and nine months ended September 30,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5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6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Gross revenue from commercial product sales</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12,393</w:t>
            </w:r>
          </w:p>
        </w:tc>
        <w:tc>
          <w:tcPr>
            <w:tcW w:w="2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11,150</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1,243</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15"/>
        </w:trPr>
        <w:tc>
          <w:tcPr>
            <w:tcW w:w="5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 chargebacks,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product returns and other discounts</w:t>
            </w: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(5,118)</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(4,748)</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6,402</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873</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Revenue — collaborations and services</w:t>
            </w:r>
          </w:p>
        </w:tc>
        <w:tc>
          <w:tcPr>
            <w:tcW w:w="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8,193</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(116)</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508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6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14,595</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757</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0"/>
        </w:trPr>
        <w:tc>
          <w:tcPr>
            <w:tcW w:w="5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6"/>
        </w:trPr>
        <w:tc>
          <w:tcPr>
            <w:tcW w:w="5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4"/>
              </w:rPr>
              <w:t>Nine Months Ended September 30,</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56"/>
        </w:trPr>
        <w:tc>
          <w:tcPr>
            <w:tcW w:w="5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6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Gross revenue from commercial product sales</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38,225</w:t>
            </w:r>
          </w:p>
        </w:tc>
        <w:tc>
          <w:tcPr>
            <w:tcW w:w="2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29,697</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8,528</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r>
      <w:tr>
        <w:trPr>
          <w:trHeight w:val="215"/>
        </w:trPr>
        <w:tc>
          <w:tcPr>
            <w:tcW w:w="5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 chargebacks,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product returns and other discounts</w:t>
            </w: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(15,965)</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(12,154)</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2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22,260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17,543</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4,717</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Revenue — collaborations and services</w:t>
            </w:r>
          </w:p>
        </w:tc>
        <w:tc>
          <w:tcPr>
            <w:tcW w:w="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29,502</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(5,061)</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23"/>
        </w:trPr>
        <w:tc>
          <w:tcPr>
            <w:tcW w:w="508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6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47,045</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(344)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5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Gross revenue from the sales of Afrezza increased by $1.2 million, or 11%, for the three months ended September 30, 2020 compared to the same period in the prior year. The increase was primarily driven by higher product demand with a more favorable mix of Afrezza cartridges and a price increase, partially offset by a reduction in sales to Biomm (Brazil). The gross-to-net adjustment was $5.1 million (or 41% of gross revenue) for the three months ended September 30, 2020, compared to $4.7 million (or 43% of gross revenue) for the same period in the prior year. The increase of $0.4 million was primarily driven by an increase in commercial product sales and a decrease in accounting estimates for product returns, partially offset by an increase in the utilization of our patient co-pay assistance program. As a result, net revenue from the sales of Afrezza increased by $0.9 million, or 14%, for the three months ended September 30, 2020 compared to the prior year period. During the third quarter of 2020, our sales force had varying degrees of access to physicians due to restrictions enacted in response to the COVID-19 pandemic. This limitation on access continued to have an unfavorable impact on our commercial sales during the three months ended September 30, 2020 and is expected to continue to negatively impact our near-term revenues from Afrezza.</w:t>
      </w:r>
    </w:p>
    <w:p>
      <w:pPr>
        <w:spacing w:after="0" w:line="194"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 xml:space="preserve">Net revenue from collaborations and services decreased by $0.1 million, or 1%, for the three months ended September 30, 2020 compared to the same period in the prior year. During the third quarter of 2020, the Company sold clinical supplies to UT for use in their clinical study. See Note 7 – </w:t>
      </w:r>
      <w:r>
        <w:rPr>
          <w:rFonts w:ascii="Arial" w:cs="Arial" w:eastAsia="Arial" w:hAnsi="Arial"/>
          <w:sz w:val="16"/>
          <w:szCs w:val="16"/>
          <w:i w:val="1"/>
          <w:iCs w:val="1"/>
          <w:color w:val="auto"/>
        </w:rPr>
        <w:t xml:space="preserve">Collaboration and Licensing Agreements </w:t>
      </w:r>
      <w:r>
        <w:rPr>
          <w:rFonts w:ascii="Arial" w:cs="Arial" w:eastAsia="Arial" w:hAnsi="Arial"/>
          <w:sz w:val="16"/>
          <w:szCs w:val="16"/>
          <w:color w:val="auto"/>
        </w:rPr>
        <w:t>in the condensed consolidated financial statements included in Part I – Financial Statements (Unaudited).</w:t>
      </w:r>
    </w:p>
    <w:p>
      <w:pPr>
        <w:spacing w:after="0" w:line="14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Gross revenue from the sales of Afrezza increased by $8.5 million, or 29%, for the nine months ended September 30, 2020 compared to the same period in the prior year. The increase was primarily driven by higher product demand with a more favorable mix of Afrezza cartridges and a price increase, partially offset by a reduction in sales to Biomm (Brazil). The gross-to-net adjustment was $16.0 million (or 42% of gross revenue) for the nine months ended September 30, 2020, compared to $12.2 million (or 41% of gross revenue) for the same period in the prior year. The increase of $3.8 million was primarily driven by an increase in commercial product sales and a decrease in accounting estimates for product returns, partially offset by an increase in the utilization of our patient co-pay assistance program and accounting estimates for rebates. As a result, net revenue from the sales of Afrezza increased by $4.7 million, or 27%, for the nine months ended September 30, 2020 compared to the prior year period. The stay-at-home orders implemented around the country in response to the COVID-19 pandemic negatively impacted the sales of Afrezza by limiting the access of our sales force to physicians. The COVID-19 pandemic is expected to continue to negatively impact our near-term revenues from Afrezza.</w:t>
      </w:r>
    </w:p>
    <w:p>
      <w:pPr>
        <w:spacing w:after="0" w:line="181"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 xml:space="preserve">Net revenue from collaborations and services decreased by $5.1 million, or 17%, for the nine months ended September 30, 2020 compared to the same period in the prior year. This was primarily driven by a $5.7 million decrease in revenue recognized from the UT Research Agreement, which was substantially completed in the second quarter of 2019. During the third quarter of 2020, the Company sold clinical supplies to UT. See Note 7 – </w:t>
      </w:r>
      <w:r>
        <w:rPr>
          <w:rFonts w:ascii="Arial" w:cs="Arial" w:eastAsia="Arial" w:hAnsi="Arial"/>
          <w:sz w:val="16"/>
          <w:szCs w:val="16"/>
          <w:i w:val="1"/>
          <w:iCs w:val="1"/>
          <w:color w:val="auto"/>
        </w:rPr>
        <w:t xml:space="preserve">Collaboration and Licensing Agreements </w:t>
      </w:r>
      <w:r>
        <w:rPr>
          <w:rFonts w:ascii="Arial" w:cs="Arial" w:eastAsia="Arial" w:hAnsi="Arial"/>
          <w:sz w:val="16"/>
          <w:szCs w:val="16"/>
          <w:color w:val="auto"/>
        </w:rPr>
        <w:t>in the condensed consolidated financial statements included in Part I – Financial Statements (Unaudited).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Commercial product gross profit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comparison of the commercial product gross profit categories for the three and nine months ended September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3"/>
              </w:rPr>
              <w:t>Three Months Ended September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5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566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7,275</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6,402</w:t>
            </w:r>
          </w:p>
        </w:tc>
        <w:tc>
          <w:tcPr>
            <w:tcW w:w="3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873</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cost of goods sold</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(3,508)</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r>
      <w:tr>
        <w:trPr>
          <w:trHeight w:val="263"/>
        </w:trPr>
        <w:tc>
          <w:tcPr>
            <w:tcW w:w="5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Commercial product gross profit (loss)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32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4,381</w:t>
            </w:r>
          </w:p>
        </w:tc>
        <w:tc>
          <w:tcPr>
            <w:tcW w:w="240" w:type="dxa"/>
            <w:vAlign w:val="bottom"/>
            <w:tcBorders>
              <w:bottom w:val="single" w:sz="8" w:color="CFF0FC"/>
            </w:tcBorders>
          </w:tcPr>
          <w:p>
            <w:pPr>
              <w:spacing w:after="0"/>
              <w:rPr>
                <w:sz w:val="22"/>
                <w:szCs w:val="22"/>
                <w:color w:val="auto"/>
              </w:rPr>
            </w:pPr>
          </w:p>
        </w:tc>
        <w:tc>
          <w:tcPr>
            <w:tcW w:w="1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r>
      <w:tr>
        <w:trPr>
          <w:trHeight w:val="210"/>
        </w:trPr>
        <w:tc>
          <w:tcPr>
            <w:tcW w:w="5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446"/>
        </w:trPr>
        <w:tc>
          <w:tcPr>
            <w:tcW w:w="5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4"/>
              </w:rPr>
              <w:t>Nine Months Ended September 30,</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55"/>
        </w:trPr>
        <w:tc>
          <w:tcPr>
            <w:tcW w:w="5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566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22,260</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17,543</w:t>
            </w:r>
          </w:p>
        </w:tc>
        <w:tc>
          <w:tcPr>
            <w:tcW w:w="3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4,717</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cost of goods sold</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11,432</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(4,014)</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63"/>
        </w:trPr>
        <w:tc>
          <w:tcPr>
            <w:tcW w:w="5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Commercial product gross profit</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32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8,731</w:t>
            </w:r>
          </w:p>
        </w:tc>
        <w:tc>
          <w:tcPr>
            <w:tcW w:w="24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416%</w:t>
            </w:r>
          </w:p>
        </w:tc>
      </w:tr>
      <w:tr>
        <w:trPr>
          <w:trHeight w:val="210"/>
        </w:trPr>
        <w:tc>
          <w:tcPr>
            <w:tcW w:w="5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9"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 meaningful.</w:t>
      </w:r>
    </w:p>
    <w:p>
      <w:pPr>
        <w:spacing w:after="0" w:line="2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Commercial product gross profit for the three months ended September 30, 2020 increased by $4.4 million compared to the same period in the prior year. Gross margin for the three months ended September 30, 2020 increased to 51% from a negative 11% for the same period in the prior year. The increase in gross profit and gross margin was attributable to a reduction in cost of goods sold combined with higher commercial product sales. Cost of goods sold decreased by $3.5 million, or 49%, for the three months ended September 30, 2020 compared to the same period in the prior year, primarily attributable to a $2.8 million amendment fee associated with our Insulin supply agreement in 2019, $0.5 million in reduced manufacturing-related spending and $0.5 million of costs associated with product sales in Brazil (Biomm) in 2019, partially offset by $0.4 million of decreased manufacturing activities which resulted in a reduced amount of costs capitalized to inventory.</w:t>
      </w:r>
    </w:p>
    <w:p>
      <w:pPr>
        <w:spacing w:after="0" w:line="17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Commercial product gross profit for the nine months ended September 30, 2020 increased by $8.7 million compared to the same period in the prior year. Gross margin for the nine months ended September 30, 2020 increased to 49% from 12% for the same period in the prior year. The increase in gross profit and gross margin was attributable to a reduction in cost of goods sold combined with higher commercial product sales. Cost of goods sold decreased by $4.0 million, or 26%, for the nine months ended September 30, 2020 compared to the same period in the prior year. The reduction in cost of goods sold was primarily attributable to a $2.8 million amendment fee associated with our Insulin supply agreement in 2019, $0.8 million of increased manufacturing activities which resulted in a greater amount of costs capitalized to inventory and $1.1 million in reduced manufacturing-related spending, partially offset by $0.5 million of inventory write-offs and $0.4 million in costs associated with higher commercial product sales.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tables provide a comparison of the expense categories for the three and nine months ended September 30,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3,591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7,099</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(3,508)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(255)</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1,580</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9,550</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(1,280)</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7,116</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(1,487)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(gain) on foreign currency translation</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(3,807)</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7,734</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458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1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24,482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23,374</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1,108</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3"/>
              </w:rPr>
              <w:t>Nine Months Ended September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4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0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15,446</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(4,014)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5,512</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4,879</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37,580</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(13,893)</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18,232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21,368</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(3,136)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Loss (gain) on foreign currency translation</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(4,495)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8,493</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189%</w:t>
            </w:r>
          </w:p>
        </w:tc>
      </w:tr>
      <w:tr>
        <w:trPr>
          <w:trHeight w:val="223"/>
        </w:trPr>
        <w:tc>
          <w:tcPr>
            <w:tcW w:w="46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80,290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(9,423)</w:t>
            </w:r>
          </w:p>
        </w:tc>
        <w:tc>
          <w:tcPr>
            <w:tcW w:w="13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20"/>
        </w:trPr>
        <w:tc>
          <w:tcPr>
            <w:tcW w:w="4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Cost of revenue — collaborations and services decreased by $0.3 million, or 14%, for the three months ended September 30, 2020 compared to the same period in the prior year. The decrease was attributable to resource costs related to conducting activities for our collaboration partner, UT, in addition to the cost of clinical supplies.</w:t>
      </w:r>
    </w:p>
    <w:p>
      <w:pPr>
        <w:spacing w:after="0" w:line="18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Cost of revenue — collaborations and services increased by $1.4 million, or 26%, for the nine months ended September 30, 2020 compared to the same period in the prior year. The increase was attributable to resource costs related to conducting activities for our collaboration partners, UT and Cipla, in addition to the cost of clinical supplies.</w:t>
      </w:r>
    </w:p>
    <w:p>
      <w:pPr>
        <w:spacing w:after="0" w:line="18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Research and development expenses decreased by $0.1 million, or 6%, for the three months ended September 30, 2020 compared to the same period in the prior year. The decrease was attributable to lower clinical trial spending, partially offset by an increase in preventative maintenance efforts in 2020.</w:t>
      </w:r>
    </w:p>
    <w:p>
      <w:pPr>
        <w:spacing w:after="0" w:line="12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Research and development expenses decreased by $0.2 million, or 4%, for the nine months ended September 30, 2020 compared to the same period in the prior year. The decrease was attributable to lower clinical trial spending, partially offset by an increase in preventative maintenance efforts in 2020.</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Selling expenses decreased by $1.3 million, or 13%, for the three months ended September 30, 2020 compared to the same period in the prior year. The decrease was primarily attributable to a $1.2 million reduction in promotional and marketing activities.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Selling expenses decreased by $13.9 million, or 37%, for the nine months ended September 30, 2020 compared to the same period in the prior year. The decrease was primarily attributable to a $9.3 million decrease in costs for television advertising for Afrezza and a $4.1 million decrease from a reduction in promotional and marketing activities.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General and administrative expenses decreased by $1.5 million, or 21%, for the three months ended September 30, 2020 compared to the same period in the prior year. This decrease was primarily attributable to a $0.8 million decrease in professional costs.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General and administrative expenses decreased by $3.1 million, or 15%, for the nine months ended September 30, 2020 compared to the same period in the prior year. This decrease was primarily attributable to a $1.3 million decrease in consulting costs, a $1.2 million decrease in personnel and employee related costs and a $0.3 million reduction in property taxes.</w:t>
      </w:r>
    </w:p>
    <w:p>
      <w:pPr>
        <w:spacing w:after="0" w:line="184"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 xml:space="preserve">During the nine months ended September 30, 2020, an impairment of $1.9 million was recognized for a commitment asset and debt issuance costs related to the future funding commitments of the MidCap Credit Facility (see Note 1 – </w:t>
      </w:r>
      <w:r>
        <w:rPr>
          <w:rFonts w:ascii="Arial" w:cs="Arial" w:eastAsia="Arial" w:hAnsi="Arial"/>
          <w:sz w:val="17"/>
          <w:szCs w:val="17"/>
          <w:i w:val="1"/>
          <w:iCs w:val="1"/>
          <w:color w:val="auto"/>
        </w:rPr>
        <w:t>Description of Business and Significant Accounting Policies</w:t>
      </w:r>
      <w:r>
        <w:rPr>
          <w:rFonts w:ascii="Arial" w:cs="Arial" w:eastAsia="Arial" w:hAnsi="Arial"/>
          <w:sz w:val="17"/>
          <w:szCs w:val="17"/>
          <w:color w:val="auto"/>
        </w:rPr>
        <w:t xml:space="preserve"> and Note 6 – </w:t>
      </w:r>
      <w:r>
        <w:rPr>
          <w:rFonts w:ascii="Arial" w:cs="Arial" w:eastAsia="Arial" w:hAnsi="Arial"/>
          <w:sz w:val="17"/>
          <w:szCs w:val="17"/>
          <w:i w:val="1"/>
          <w:iCs w:val="1"/>
          <w:color w:val="auto"/>
        </w:rPr>
        <w:t xml:space="preserve">Borrowings </w:t>
      </w:r>
      <w:r>
        <w:rPr>
          <w:rFonts w:ascii="Arial" w:cs="Arial" w:eastAsia="Arial" w:hAnsi="Arial"/>
          <w:sz w:val="17"/>
          <w:szCs w:val="17"/>
          <w:color w:val="auto"/>
        </w:rPr>
        <w:t>in the condensed consolidated financial statements included in Part I – Financial Statements (Unaudited).There were no asset impairments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September 30, 2020 or the three or nine months ended September 30, 2019.</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Insulin Supply Agreement with Amphastar, payment obligations are denominated in Euros. We are required to record the foreign currency translation impact of the U.S. dollar to Euro exchange rate associated with the recognized gain or loss on purchase commitments. The foreign currency translation gain decreased $7.7 million for the three months ended September 30, 2020 to a loss of $3.9 million, compared to a gain of $3.8 million for the same period in the prior year. The foreign currency translation gain decreased $8.5 million for the nine months ended September 30, 2020 to a loss of $4.0 million, compared to a gain of $4.5 million for the same period in the prior year. This impact was due to the translation of the U.S. dollar to Euro exchange rates.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tables provide a comparison of the other income (expense) categories for the three and nine months ended September 30,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57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(4,126)</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(3,069)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promissory notes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(1,162)</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3,529</w:t>
            </w:r>
          </w:p>
        </w:tc>
        <w:tc>
          <w:tcPr>
            <w:tcW w:w="14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(3,529)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127%</w:t>
            </w:r>
          </w:p>
        </w:tc>
      </w:tr>
      <w:tr>
        <w:trPr>
          <w:trHeight w:val="223"/>
        </w:trPr>
        <w:tc>
          <w:tcPr>
            <w:tcW w:w="5740" w:type="dxa"/>
            <w:vAlign w:val="bottom"/>
          </w:tcPr>
          <w:p>
            <w:pPr>
              <w:ind w:left="260"/>
              <w:spacing w:after="0"/>
              <w:rPr>
                <w:sz w:val="20"/>
                <w:szCs w:val="20"/>
                <w:color w:val="auto"/>
              </w:rPr>
            </w:pPr>
            <w:r>
              <w:rPr>
                <w:rFonts w:ascii="Arial" w:cs="Arial" w:eastAsia="Arial" w:hAnsi="Arial"/>
                <w:sz w:val="18"/>
                <w:szCs w:val="18"/>
                <w:color w:val="auto"/>
              </w:rPr>
              <w:t>Total other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4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752</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72"/>
        </w:trPr>
        <w:tc>
          <w:tcPr>
            <w:tcW w:w="5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4"/>
              </w:rPr>
              <w:t>Nine Months Ended September 30,</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55"/>
        </w:trPr>
        <w:tc>
          <w:tcPr>
            <w:tcW w:w="57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(3,212)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(5,283)</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(2,071)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promissory notes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(3,858)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(3,351)</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3,529</w:t>
            </w:r>
          </w:p>
        </w:tc>
        <w:tc>
          <w:tcPr>
            <w:tcW w:w="14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(3,529)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w:t>
            </w:r>
          </w:p>
        </w:tc>
      </w:tr>
      <w:tr>
        <w:trPr>
          <w:trHeight w:val="223"/>
        </w:trPr>
        <w:tc>
          <w:tcPr>
            <w:tcW w:w="5740" w:type="dxa"/>
            <w:vAlign w:val="bottom"/>
          </w:tcPr>
          <w:p>
            <w:pPr>
              <w:ind w:left="260"/>
              <w:spacing w:after="0"/>
              <w:rPr>
                <w:sz w:val="20"/>
                <w:szCs w:val="20"/>
                <w:color w:val="auto"/>
              </w:rPr>
            </w:pPr>
            <w:r>
              <w:rPr>
                <w:rFonts w:ascii="Arial" w:cs="Arial" w:eastAsia="Arial" w:hAnsi="Arial"/>
                <w:sz w:val="18"/>
                <w:szCs w:val="18"/>
                <w:color w:val="auto"/>
              </w:rPr>
              <w:t>Total other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14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2,486</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Interest income decreased by $0.2 million and $0.6 million, or 92% and 79%, for the three and nine months ended September 30, 2020, respectively, compared to the same period in the prior year, due to lower short-term interest rates.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Interest expense on notes decreased by $3.1 million and $2.1 million, or 74% and 39%, for the three and nine months ended September 30, 2020, respectively, compared to the same period in the prior year. The decrease was primarily due to a $3.4 million milestone obligation that was achieved in the third quarter of 2019, partially offset by interest expense from the MidCap Credit Facility.</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gain on extinguishment of debt for the three and nine months ended September 30, 2019 was primarily due to the cancellation of the 2021 notes in exchange for cash, common stock, 2024 convertible notes and non-interest bearing notes in August 2019 pursuant to an exchange agreement. There was no gain on extinguishments for the three and nine months ended September 30,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date, we have funded our operations through the sale of equity and convertible debt securities, from the receipt of upfront and milestone payments from certain collaborations, from borrowings under certain loan arrangements and from commercial product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we had $122.6 million principal amount of outstanding debt consisting of:</w:t>
      </w:r>
    </w:p>
    <w:p>
      <w:pPr>
        <w:spacing w:after="0" w:line="117" w:lineRule="exact"/>
        <w:rPr>
          <w:sz w:val="20"/>
          <w:szCs w:val="20"/>
          <w:color w:val="auto"/>
        </w:rPr>
      </w:pPr>
    </w:p>
    <w:p>
      <w:pPr>
        <w:ind w:left="1000" w:right="24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6.75%, subject to a one-month LIBOR floor of 2.00%, and payable in equal monthly installments beginning in August 2021 through maturity in August 2024;</w:t>
      </w:r>
    </w:p>
    <w:p>
      <w:pPr>
        <w:spacing w:after="0" w:line="75"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$5.0 million principal amount of 2024 convertible notes bearing interest at 5.75% per annum, with interest payable in cash or equity semiannually in arrears on February 15 and August 15 of each year, and maturing in November 2024, all of which is convertible into shares of our common stock at the option of the holder at a conversion price of $3.00 per share;</w:t>
      </w:r>
    </w:p>
    <w:p>
      <w:pPr>
        <w:spacing w:after="0" w:line="75"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$2.6 million principal amount of the December 2020 note, which was prepaid in October 2020 with the issuance of 1,377,356 shares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ind w:left="1000" w:right="120" w:hanging="493"/>
        <w:spacing w:after="0" w:line="259"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$70.1 million principal amount of indebtedness under the Mann Group promissory notes bearing interest at a fixed rate of 7.00% per annum compounded quarterly and maturing in November 2024, $35.0 million of which is convertible into shares of our common stock at the option of the Mann Group at a conversion price of $2.50 per share. Interest is paid-in-kind from August 2019 until the end of 2020, after which we have the option to either pay interest in-kind or in shares; and</w:t>
      </w:r>
    </w:p>
    <w:p>
      <w:pPr>
        <w:spacing w:after="0" w:line="78" w:lineRule="exact"/>
        <w:rPr>
          <w:rFonts w:ascii="Arial" w:cs="Arial" w:eastAsia="Arial" w:hAnsi="Arial"/>
          <w:sz w:val="18"/>
          <w:szCs w:val="18"/>
          <w:color w:val="auto"/>
        </w:rPr>
      </w:pPr>
    </w:p>
    <w:p>
      <w:pPr>
        <w:ind w:left="1000" w:right="40" w:hanging="493"/>
        <w:spacing w:after="0" w:line="275"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$4.9 million from a loan under the Paycheck Protection Program of the CARES Act, all or a portion of which may be forgiven. The PPP Loan matures in April 2022 and bears interest at a rate of 0.98% per annum. Principal and interest payments can be deferred up to ten months after the end of the Company’s covered period unless the Company is notified earlier of its loan forgiveness status. In the event the SBA does not authorize loan forgiveness, the deferred principal and interest will be payable to the lender and the Company will then make equal monthly payments as required to fully amortize the remaining principal amount by April 9, 2022.</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There can be no assurance that we will have sufficient resources to make any required repayments of principal under the MidCap Credit Facility, the 2024 convertible notes, the Mann Group promissory notes or unforgiven amounts of the PPP Loan if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The 2024 convertible notes and the Mann Group convertible note are fully convertible at any time prior to maturity as further disclosed in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To date, we have been able to timely make our required interest payments, but we cannot guarantee that we will be able to do so in the future. If we fail to pay interest on the 2024 convertible notes or under the MidCap Credit Facility, or if we fail to repay or repurchase the 2024 convertible notes, the Mann Group promissory notes, borrowings under the MidCap Credit Facility or unforgiven amounts of the PPP Loan,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7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 xml:space="preserve">In July 2013, we issued Milestone Rights to the Milestone Purchasers. The Milestone Rights provide the Milestone Purchasers certain rights to receive payments of up to $90.0 million upon the occurrence of specified strategic and sales milestones, $70.0 million of which remains payable upon achievement of such milestones. See Note 11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6 –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for further information related to the Milestone Rights.</w:t>
      </w:r>
    </w:p>
    <w:p>
      <w:pPr>
        <w:spacing w:after="0" w:line="1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liabilities and other factors raise substantial doubt about our ability to continue as a going concern. Our financial statements and related notes thereto included elsewhere in this report do not include adjustments that might result from any unfavorable outcome of this uncertainty.</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nine months ended September 30, 2020, we used $28.4 million of cash for our operating activities as a result of our net loss of $30.8 million, in addition to a net cash outflow from changes in balances of operating assets and liabilities of $14.9 million, partially offset by non-cash charges of $17.4 million. The change in operating asset and liabilities was primarily a result of deferred revenue amortization of $24.4 million, partially offset by a milestone payment from UT of $12.5 million.</w:t>
      </w:r>
    </w:p>
    <w:p>
      <w:pPr>
        <w:spacing w:after="0" w:line="18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During the nine months ended September 30, 2019, we used $83.4 million of cash for our operating activities as a result of our net loss of $37.6 million. The net cash outflow was primarily due to result of deferred revenue amortization of $29.5 million and paid-in-kind interest on Promissory note of $32.8 million, partially offset by a milestone payment from UT of $12.5 million.</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provided by investing activities of $19.7 million for the nine months ended September 30, 2020 was primarily due to the proceeds from the sale of treasury bills.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used investing activities of $22.6 million for the nine months ended September 30, 2019, was primarily due to a purchase of short-term treasury bills of $44.9 million partially offset by proceeds of from sales of treasury bills of $25.0 million.</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Cash provided by financing activities of $31.2 million for the nine months ended September 30, 2020 was primarily due to the receipt of $15.1 million in gross proceeds from at the market offerings for an aggregate of 9,401,827 shares of our common stock under the CF Sales Agreement, the exercise of outstanding warrants to purchase shares of our common stock of $11.6 million, and proceeds from the PPP Loan of $4.9 million.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both"/>
        <w:ind w:right="160"/>
        <w:spacing w:after="0" w:line="263" w:lineRule="auto"/>
        <w:rPr>
          <w:sz w:val="20"/>
          <w:szCs w:val="20"/>
          <w:color w:val="auto"/>
        </w:rPr>
      </w:pPr>
      <w:r>
        <w:rPr>
          <w:rFonts w:ascii="Arial" w:cs="Arial" w:eastAsia="Arial" w:hAnsi="Arial"/>
          <w:sz w:val="18"/>
          <w:szCs w:val="18"/>
          <w:color w:val="auto"/>
        </w:rPr>
        <w:t>Cash provided by financing activities of $64.8 million for the nine months ended September 30, 2019 was primarily due to net proceeds from the Midcap Credit Facility of $39.1 million and net proceeds from exchange of Mann Group promissory notes which was offset by payments for financing facility of $6.9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not currently profitable and have rarely generated positive net cash flows from operations. In addition, we expect to continue to incur significant expenditures for the foreseeable future in support of our manufacturing operations, sales and marketing costs for Afrezza, and collaboration and development costs for product candidates in our pipeline. As of September 30, 2020, we had an accumulated deficit of $3.0 billion and $122.6 million of total principal amount of outstanding borrowings, with limited capital resources of $52.4 million in cash and cash equivalents. These financial conditions raise substantial doubt about our ability to continue as a going concern.</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capital resources may not be sufficient to continue to meet our current and anticipated obligations over the next twelve months if we cannot increase our operating cash inflows by growing our prescription and revenue base and by obtaining access to the remaining $25.0 million borrowings that may become available under the MidCap Credit Facility (which, in turn, requires us to grow Afrezza revenue before we can access such funds). The various stay-at-home orders implemented around the country in response to the COVID-19 pandemic have negatively impacted the sales of Afrezza by limiting the access of our sales force to physicians. The COVID-19 pandemic is expected to continue to negatively impact our near-term revenues from Afrezza, which potentially shortens our cash runway.</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ability to draw the $25.0 million Tranche 3 of the MidCap Credit Facility depends on our ability to achieve certain trailing 12-month Afrezza net revenue targets, which we are unlikely to achieve. The availability of Tranche 3 also depends on TreT achieving certain development milestones, which is likely to be negatively impacted by the COVID-19 pandemic. In the event our capital resources are not sufficient, we may need to raise additional capital by selling equity or debt securities, entering into strategic business collaboration agreements with other companies, seeking other funding facilities or licensing arrangements, selling assets or by other means. However, we cannot provide assurances that additional capital will be available on acceptable terms or at all. In addition, the COVID-19 pandemic continues to have the potential for disruption of global financial markets. This disruption, if sustained or recurrent, could prevent us or make it more difficult for us to access capital or make it difficult to comply with the covenants contained in the MidCap Credit Facility, which could negatively affect our liquidity.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w:t>
      </w:r>
    </w:p>
    <w:p>
      <w:pPr>
        <w:spacing w:after="0" w:line="18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impact of the COVID-19 pandemic on Afrezza sales also increased the risk of non-compliance with a covenant relating to trailing twelve-month minimum Afrezza net revenue, tested on a monthly basis, which is set forth in the MidCap Credit Facility Agreement, as amended. In August 2020, we entered into an amendment to the MidCap Credit Facility, pursuant to which the parties agreed that no breach of this covenant between July 31, 2020 and November 30, 2020 will be deemed to occur if we have unrestricted cash of at least $40.0 million. Thereafter, if we fail to meet the minimum Afrezza net revenue covenant, any outstanding borrowings, together with accrued interest, under the MidCap Credit Facility could be declared immediately due and payable.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w:t>
      </w:r>
    </w:p>
    <w:p>
      <w:pPr>
        <w:spacing w:after="0" w:line="16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may not have sufficient resources to make any required repayments of principal under the terms of our indebtedness when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2024 convertible notes or the MidCap Term Loan, or if we fail to repay or repurchase the 2024 convertible notes, MidCap Term Loan, PPP Loan or borrowings under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jc w:val="both"/>
        <w:ind w:right="80"/>
        <w:spacing w:after="0" w:line="311" w:lineRule="auto"/>
        <w:rPr>
          <w:sz w:val="20"/>
          <w:szCs w:val="20"/>
          <w:color w:val="auto"/>
        </w:rPr>
      </w:pPr>
      <w:r>
        <w:rPr>
          <w:rFonts w:ascii="Arial" w:cs="Arial" w:eastAsia="Arial" w:hAnsi="Arial"/>
          <w:sz w:val="16"/>
          <w:szCs w:val="16"/>
          <w:color w:val="auto"/>
        </w:rPr>
        <w:t>If we are unable to meet our current and anticipated obligations over the next twelve months through our existing capital resources, or obtain new sources of capital when needed, we may have to delay or reduce the scope of our manufacturing operations, reduce or eliminate one or more of our development programs, or make significant changes to our operating plan. These factors raise substantial doubt about our ability to continue as a going concern.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and December 31, 2019, we did not have any off-balance sheet arrangements.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and Note 11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40" w:name="page41"/>
    <w:bookmarkEnd w:id="40"/>
    <w:p>
      <w:pPr>
        <w:ind w:right="408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20"/>
        <w:spacing w:after="0" w:line="255" w:lineRule="auto"/>
        <w:rPr>
          <w:sz w:val="20"/>
          <w:szCs w:val="20"/>
          <w:color w:val="auto"/>
        </w:rPr>
      </w:pPr>
      <w:r>
        <w:rPr>
          <w:rFonts w:ascii="Arial" w:cs="Arial" w:eastAsia="Arial" w:hAnsi="Arial"/>
          <w:sz w:val="18"/>
          <w:szCs w:val="18"/>
          <w:color w:val="auto"/>
        </w:rPr>
        <w:t xml:space="preserve">Interest on borrowings under the MidCap Credit Facility is determined, for any one-month period, on the basis of one-month LIBOR in effect at the beginning of such period plus 6.75%, subject to a one-month LIBOR floor of 2.00%. Accordingly, our interest expense under the MidCap Credit Facility is subject to changes in the one-month LIBOR rate. All other debt has fixed interest rates, so the interest expense associated with such debt is not exposed to changes in market interest rates. Specifically, the interest rate on amounts borrowed under the Mann Group promissory notes is fixed at 7.00%, the interest rate under the 2024 convertible notes is fixed at 5.75%, and the interest rate under the PPP Loan is fixed at 0.98%. 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information about the principal amount of outstanding debt.</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a change in the one-month LIBOR interest rate equal to 10% of the one-month LIBOR interest rate on September 30, 2020 were to have occurred, this change would not have a material effect on our interest payment obligation.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On July 1, 2019, the Company entered into a 90-day foreign currency hedging transaction to mitigate its exposure to foreign currency exchange risks associated with the then-existing third quarter amount of €1.9 million. The Company realized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currency loss during third quarter of 2019. This amount was recorded in other income and expense.</w:t>
      </w:r>
    </w:p>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Euro. For the three months ended September 30, 2020, we realized a $3.9 million currency loss, which was included in loss on foreign currency translation in the accompanying condensed consolidated statements of operations. Exchange rate fluctuations may adversely affect our expenses, results of operations, financial position and cash flows. If a change in the U.S. dollar to Euro exchange rate equal to 10% of the U.S. dollar to Euro exchange rate on September 30, 2020 were to have occurred, this change would have resulted in a foreign currency impact to our pre-tax loss of approximately $9.5 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or the Exchange Act, as of September 30,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September 30, 2020, our Chief Executive Officer and our Chief Financial Officer have concluded, as of such date, that our disclosure controls and procedures were effective.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In September 2019, the plaintiff brought a motion to amend his claim, which the court denied in January 2020. The plaintiff has appealed this denial to the Supreme Court of Israel. We will continue to vigorously defend against the claims advanced.</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to raise additional capital to fund our operations, and there is substantial doubt about our ability to continue as a going concern.*</w:t>
      </w:r>
    </w:p>
    <w:p>
      <w:pPr>
        <w:spacing w:after="0" w:line="14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report includes disclosures stating that our existing cash resources and our accumulated deficit raise substantial doubt about our ability to continue as a going concern. As of September 30, 2020, we had cash and cash equivalents of $52.4 million and accumulated deficit of $3.0 billion. 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It may be difficult for us to raise additional funds on favorable terms, or at all. The extent of our additional funding requirements will depend on a number of factors, including:</w:t>
      </w:r>
    </w:p>
    <w:p>
      <w:pPr>
        <w:spacing w:after="0" w:line="70"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degree to which revenue from Afrezza exceeds or does not exceed the minimum revenue covenants under the MidCap Credit Facility;</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degree to which we are able to generate revenue from our Technosphere drug delivery platform, including through our collaborations;</w:t>
      </w:r>
    </w:p>
    <w:p>
      <w:pPr>
        <w:spacing w:after="0" w:line="140" w:lineRule="exact"/>
        <w:rPr>
          <w:rFonts w:ascii="Arial" w:cs="Arial" w:eastAsia="Arial" w:hAnsi="Arial"/>
          <w:sz w:val="16"/>
          <w:szCs w:val="16"/>
          <w:color w:val="auto"/>
        </w:rPr>
      </w:pPr>
    </w:p>
    <w:p>
      <w:pPr>
        <w:ind w:left="1000" w:right="134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40" w:lineRule="exact"/>
        <w:rPr>
          <w:rFonts w:ascii="Arial" w:cs="Arial" w:eastAsia="Arial" w:hAnsi="Arial"/>
          <w:sz w:val="16"/>
          <w:szCs w:val="16"/>
          <w:color w:val="auto"/>
        </w:rPr>
      </w:pPr>
    </w:p>
    <w:p>
      <w:pPr>
        <w:ind w:left="1000" w:right="32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satisfy the milestone conditions necessary to access additional borrowings under the MidCap Credit Facility;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2" w:name="page43"/>
    <w:bookmarkEnd w:id="42"/>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obligation to make milestone payments;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actions taken by the FDA and other regulatory authorities affecting Afrezza and our product candidates and competitive products;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3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In addition, the COVID-19 pandemic continues to have the potential for disruption of global financial markets. This disruption, if sustained or recurrent, could prevent us or make it more difficult for us to access capital or make it difficult to comply with the covenants contained in the MidCap Credit Facility, which could negatively affect our liquidity.</w:t>
      </w:r>
    </w:p>
    <w:p>
      <w:pPr>
        <w:spacing w:after="0" w:line="17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8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 Moreover, if we do not obtain such additional funds, there may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7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6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In addition, we anticipate that revenues from our existing or future licensing arrangements for our Technosphere platform technology that involve license, milestone, royalty or other payments to us will depend on our ability to achieve the performance obligations specified in such arrangements.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3" w:name="page44"/>
    <w:bookmarkEnd w:id="43"/>
    <w:p>
      <w:pPr>
        <w:ind w:right="60"/>
        <w:spacing w:after="0" w:line="286" w:lineRule="auto"/>
        <w:rPr>
          <w:sz w:val="20"/>
          <w:szCs w:val="20"/>
          <w:color w:val="auto"/>
        </w:rPr>
      </w:pPr>
      <w:r>
        <w:rPr>
          <w:rFonts w:ascii="Arial" w:cs="Arial" w:eastAsia="Arial" w:hAnsi="Arial"/>
          <w:sz w:val="16"/>
          <w:szCs w:val="16"/>
          <w:color w:val="auto"/>
        </w:rPr>
        <w:t>Successful commercialization of Afrezza is subject to many risks, including some that are outside our control. There are numerous examples of unsuccessful product launches, second launches that underperform original expectations and other failures to fully exploit the market potential of drug products, including by pharmaceutical companies with more experience and resources than us. We ultimately may be unable to gain widespread market acceptance of Afrezza for a variety of reasons, including the treatment and dosage regimen, potential adverse effects, pricing relative to alternative products, the availability of alternative treatments and lack of coverage or adequate reimbursement. We will need to maintain and enhance our commercialization capabilities in order to successfully commercialize Afrezza in the United States, and we may not have sufficient resources to do so. The market for skilled commercial personnel is highly competitive, and we may not be able to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7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If we are unable to maintain payor coverage of, and adequate reimbursement for Afrezza, physicians may limit how much or under what circumstances they will prescribe or administer Afrezza. As a result, patients may decline to purchase Afrezza, which would have an adverse effect on our ability to generate revenues.</w:t>
      </w:r>
    </w:p>
    <w:p>
      <w:pPr>
        <w:spacing w:after="0" w:line="184"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We are responsible for the NDA for Afrezza and its maintenance. We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we fail to achieve commercialize success with Afrezza in the United States, our business, financial condition and results of operations will be materially and adversely affected.</w:t>
      </w:r>
    </w:p>
    <w:p>
      <w:pPr>
        <w:spacing w:after="0" w:line="2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and there is substantial doubt about our ability to continue as a going concern.”</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Our business, product sales, results of operations and ability to access capital could be adversely affected by the effects of health pandemics or epidemics, including the recent ongoing COVID-19 pandemic, in regions where we or third parties distribute our products or where we or third parties on which we rely have significant manufacturing facilities, concentrations of clinical trial sites or other business operations. The COVID-19 pandemic could materially affect our operations, including at our headquarters in California and at our manufacturing facility in Connecticut and with respect to our sales force and their ability to interact with health care professionals, as well as the business or operations of our suppliers, distributors or other third parties with whom we conduct business.*</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business could be adversely affected by the effects of health pandemics or epidemics in regions where we have business operations, and could cause significant disruption in the operations of third-party manufacturers and distributors upon whom we rely.</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example, the ongoing COVID-19 pandemic resulted in a number of restrictions to reduce the spread of the disease, including executive orders in California and Connecticut, and several other state and local orders across the country, which, among other things, directed individuals to shelter at their places of residence, directed schools, businesses and governmental agencies to cease non-essential operations at physical locations, prohibited certain non-essential gatherings, and ordered cessation of non-essential travel. In some places, these orders have been lifted whereas other locations, including Los Angeles County where our headquarters is located, continue to be subject to significant restrictions. In parts of the country, the number of COVID-19 cases is increasing, raising the possibility that recurring cycles of restrictions will be imposed in the future. The effects of state and local stay-at-home orders and our own work-from-home policies may negatively impact productivity, disrupt our business and delay our development programs, regulatory and commercialization timelines, the magnitude of which will depend, in part, on the length and severity of the restrictions and other limitations on our ability to conduct our business in the ordinary course. These and similar, and perhaps more severe, disruptions in our operations due to the COVID-19 pandemic could negatively impact our business, operating results and financial condition.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right="20"/>
        <w:spacing w:after="0" w:line="273"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Although we believe we have sufficient quantities of raw materials for planned manufacturing operations into 2021, a prolonged supply interruption of certain components could adversely affect our ability to conduct commercialization activities and planned clinical trials. In addition, we believe that the severity of the COVID-19 pandemic in Brazil has the potential to negatively impact the distribution of Afrezza by our partner in that country.</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and demand for Afrezza have been adversely affected by the global COVID-19 pandemic, and we expect that the COVID-19 pandemic will continue to negatively impact near-term revenues from Afrezza. Our sales representatives, who normally conduct in-person office visits with healthcare providers, were required to work from home for varying periods of time since mid-March 2020, which has had an impact to their productivity. Disruptions in the prescription volume of Afrezza could also occur:</w:t>
      </w:r>
    </w:p>
    <w:p>
      <w:pPr>
        <w:spacing w:after="0" w:line="79"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patients are physically quarantined or are unable or unwilling to visit healthcare providers,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physicians restrict access to their facilities for a material period of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healthcare providers prioritize treatment of acute or communicable illnesses over diabetes management,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pharmacies are closed or suffering supply chain disruptions,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patients lose access to employer-sponsored health insurance due to period of high unemployment, or</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result of general disruptions in the operations of payors, distributors, logistics providers and other third parties that are necessary for Afrezza to be prescribed and reimbursed.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our planned clinical trials of Afrezza and those of our partner for TreT may be affected by the COVID-19 pandemic. Clinical site initiation and patient enrollment may be delayed due to prioritization of hospital resources toward the COVID-19 pandemic. Some patients may not be able or willing to comply with clinical trial protocols if quarantines impede patient movement or interrupt healthcare services. Similarly, our ability to recruit and retain patients and principal investigators and site staff who, as healthcare providers, may have heightened exposure to COVID-19 would adversely impact our clinical trial operations.</w:t>
      </w:r>
    </w:p>
    <w:p>
      <w:pPr>
        <w:spacing w:after="0" w:line="18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the COVID-19 pandemic may be difficult to assess or predict, the pandemic continues to have the potential for disruption of global financial markets. This disruption, if sustained or recurrent, could make it more difficult for us to access capital or to comply with the covenants contained in the MidCap Credit Facility, which could negatively affect our liquidity. In addition, a recession or market correction resulting from the spread of COVID-19 could materially affect our business and the value of our common stock.</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COVID-19 pandemic continues to rapidly evolve. The ultimate impact of the COVID-19 pandemic or a similar health pandemic or epidemic is highly uncertain and subject to change. We do not yet know the full extent of potential delays or impacts on our business, our clinical trials, commercialization efforts, healthcare systems or to the global economy as a whole. These effects could have a material impact on our operations. We will continue to monitor the COVID-19 situation closely.</w:t>
      </w:r>
    </w:p>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such jurisdictions, which could limit our commercial revenues. We may not continue to be successful in establishing or maintaining regional partnerships or other arrangements with third parties for the commercialization of Afrezza outside of the United States.</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Although Afrezza has been approved in the United States by the FDA and in Brazil by ANVISA, we have not yet obtained approval in any other jurisdiction. In order to market Afrezza in a foreign jurisdiction, we must obtain regulatory approval in each such foreign jurisdiction, and we may never be able to obtain such approvals. The research, testing, manufacturing, labeling, sale, import, export, marketing, and distribution of pharmaceutical products outside the United States are subject to extensive regulation by foreign regulatory authorities, whose regulations differ from country to country. We will be required to comply with the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approval of Afrezza in the United States.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right="20"/>
        <w:spacing w:after="0" w:line="269"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the development and commercialization of Afrezza, we will likely not be able to advance these programs into clinical development unless we are able to obtain specific funding for these programs or enter into collaborations with third parties.</w:t>
      </w:r>
    </w:p>
    <w:p>
      <w:pPr>
        <w:spacing w:after="0" w:line="19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not currently profitable and have rarely generated positive net cash flow from operations. As of September 30, 2020, we had an accumulated deficit of $3.0 billion. The accumulated deficit has resulted principally from costs incurred in our research and development programs, the write-off of assets (including goodwill, inventory and property, plant and equipment) and general operating expenses. We expect to make substantial expenditures and to incur increasing operating losses in the future in order to continue the commercialization of Afrezza. In addition, under our Insulin Supply Agreement with Amphastar, we agreed to purchase certain annual minimum quantities of insulin through 2026. As of September 30, 2020, there was €80.9 million remaining in aggregate purchase commitments under this agreement. We may not have the necessary capital resources to service this contractual commitment.</w:t>
      </w:r>
    </w:p>
    <w:p>
      <w:pPr>
        <w:spacing w:after="0" w:line="19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notes to our condensed consolidated financial statements in this Quarterly Report on Form 10-Q provide details about our various debt obligations. As of September 30, 2020, we had $122.6 million principal amount of outstanding debt, consisting of:</w:t>
      </w:r>
    </w:p>
    <w:p>
      <w:pPr>
        <w:spacing w:after="0" w:line="62" w:lineRule="exact"/>
        <w:rPr>
          <w:sz w:val="20"/>
          <w:szCs w:val="20"/>
          <w:color w:val="auto"/>
        </w:rPr>
      </w:pPr>
    </w:p>
    <w:p>
      <w:pPr>
        <w:ind w:left="1000" w:right="18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6.75%, subject to a one-month LIBOR floor of 2.00%, and payable in equal monthly installments beginning in August 2021 through maturity in August 2024;</w:t>
      </w:r>
    </w:p>
    <w:p>
      <w:pPr>
        <w:spacing w:after="0" w:line="75"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 million principal amount of the 2024 convertible notes bearing interest at 5.75% per annum, with interest payable in cash or equity semiannually in arrears on February 15 and August 15 of each year, and maturing in November 2024, all of which is convertible into shares of our common stock at the option of the holder at a conversion price of $3.00 per share;</w:t>
      </w:r>
    </w:p>
    <w:p>
      <w:pPr>
        <w:spacing w:after="0" w:line="75"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$2.6 million principal amount of the December 2020 note, which was prepaid in October 2020 with the issuance of 1,377,356 shares of our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jc w:val="both"/>
        <w:ind w:left="1000" w:right="120" w:hanging="493"/>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$70.1 million principal amount of indebtedness under the Mann Group promissory notes bearing interest at a fixed rate of 7.00% per annum compounded quarterly and maturing in November 2024, $35.0 million of which is convertible into shares of our common stock at the option of the Mann Group at a conversion price of $2.50 per share. Interest is paid-in-kind from August 2019 until the end of 2020, after which we have the option to either pay interest-in-kind or in shares.</w:t>
      </w:r>
    </w:p>
    <w:p>
      <w:pPr>
        <w:spacing w:after="0" w:line="78" w:lineRule="exact"/>
        <w:rPr>
          <w:rFonts w:ascii="Arial" w:cs="Arial" w:eastAsia="Arial" w:hAnsi="Arial"/>
          <w:sz w:val="18"/>
          <w:szCs w:val="18"/>
          <w:color w:val="auto"/>
        </w:rPr>
      </w:pPr>
    </w:p>
    <w:p>
      <w:pPr>
        <w:ind w:left="1000" w:right="80" w:hanging="493"/>
        <w:spacing w:after="0" w:line="279"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$4.9 million from a loan under the Paycheck Protection Program of the CARES Act. The PPP Loan matures in April 2022 and bears interest at a rate of 0.98% per annum. On November 9, 2020, we may be required to pay the lender $1.4 million of principal and interest, which includes six months of payments deferred in accordance with the terms of the PPP Loan, and equal monthly payments of principal and interest thereafter as required to fully amortize the remaining principal amount by April 9, 2022.</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All or a portion of the PPP Loan may be forgiven by the SBA upon application to our lender by us beginning 60 days after loan approval, but not later than ten months after the end of our covered period, and upon documentation of expenditures in accordance with the SBA requirements. Under the CARES Act, loan forgiveness is available for the sum of documented payroll costs, covered rent payments, covered interest and covered utilities during the 24 week period (or eight-week period at our option) beginning on the date of loan approval. Not more than 40% of the forgiven amount may be for non-payroll costs. The amount of the PPP Loan eligible to be forgiven will be reduced if our full-time headcount declines, or if salaries and wages for employees with salaries of $100,000 or less annually are reduced by more than 25%. We will be required to repay any portion of the outstanding principal that is not forgiven, along with accrued interest, in accordance with the amortization schedule described above, and we cannot provide any assurance that we will be eligible for loan forgiveness or that any amount of the PPP Loan will ultimately be forgiven by the SBA. Furthermore, on April 28, 2020, the Secretary of the U.S. Department of the Treasury stated that the SBA will perform a full review of any PPP loan over $2.0 million before forgiving the loan.</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PPP Loan application required us to certify, among other things, that the current economic uncertainty made the PPP Loan request necessary to support our ongoing operations. While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PPP, the certification described above does not contain any objective criteria. In addition, the SBA has stated that it is unlikely that a public company with substantial market value and access to capital markets will be able to make the required certification in good faith. The lack of clarity regarding loan eligibility under the PPP has resulted in significant media coverage and controversy with respect to public companies applying for and receiving loans. If, despite our good-faith belief that we satisfied all eligible requirements for the PPP Loan, we are found to be in violation of any of the laws or governmental regulations that apply to us in connection with the PPP Loan, including the False Claims Act, or it is otherwise determined that we were not eligible to receive the PPP Loan, we may be subject to penalties, including significant civil, criminal and administrative penalties and could be required to repay the PPP Loan. In addition, our receipt of the PPP Loan may result in adverse publicity and damage to our reputation, and a review or audit by the SBA or other government entity or claims under the False Claims Act could consume significant financial and management resources. If we fail to take all actions necessary and promptly file all required reporting to ensure than no less than 90% of the PPP Loan is forgiven in accordance with the loan forgiveness provisions of the PPP, we will be in violation of the consent given by MidCap with respect to such additional indebtedness, which could lead to an event of default under the MidCap Credit Facility. Any of these events could have a material adverse effect on our business, results of operations and financial condition.</w:t>
      </w:r>
    </w:p>
    <w:p>
      <w:pPr>
        <w:spacing w:after="0" w:line="18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Under the MidCap Credit Facility, our interest rate on borrowed amounts is dependent on one-month LIBOR, which is the basic rate of interest used in lending between banks on the London interbank market. LIBOR is widely used as a reference for setting the interest rate on loans globally and is currently scheduled to be phased out in 2021. Before one-month LIBOR is phased out, we may need to renegotiate the MidCap Credit Facility to replace one-month LIBOR with a new standard, which has yet to be established. The consequences of these developments cannot entirely be predicted, but could result in higher interest rates on our loans under the MidCap Credit Facility. We cannot provide assurance that future interest rate changes will not have a material negative impact on our business, financial position, or operating results.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MidCap Credit Facility, an advance of $25.0 million will be available to us until June 30, 2021, subject to the satisfaction of certain milestone conditions associated with Afrezza net revenue and certain milestone conditions related to our collaboration with United Therapeutics. As described in Part I, Item 2 of this Quarterly Report, it is unlikely that the milestone conditions for funding Tranche 3 related to Afrezza trailing net revenue will be achieved. In addition, the COVID-19 pandemic is expected to negatively impact TreT clinical development activities being conducted by United Therapeutics. These factors make it unlikely that we will be able to satisfy the milestone conditions necessary for us to draw the remaining advance under the MidCap Credit Facility.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80"/>
        <w:spacing w:after="0" w:line="257" w:lineRule="auto"/>
        <w:rPr>
          <w:sz w:val="20"/>
          <w:szCs w:val="20"/>
          <w:color w:val="auto"/>
        </w:rPr>
      </w:pPr>
      <w:r>
        <w:rPr>
          <w:rFonts w:ascii="Arial" w:cs="Arial" w:eastAsia="Arial" w:hAnsi="Arial"/>
          <w:sz w:val="18"/>
          <w:szCs w:val="18"/>
          <w:color w:val="auto"/>
        </w:rPr>
        <w:t>Under the MidCap Credit Facility, we must comply with a minimum cash covenant of $15.0 million at all times, which will increase to $20.0 million following the funding of an additional advance. The minimum cash covenant increased to $40.0 million for any trailing twelve-month reporting period between July 31, 2020 and November 30, 2020 if the Afrezza trailing 12 month net sales target is not met during this period in accordance with an amendment to the MidCap Credit Facility. Further, the MidCap Credit Facility requires us, and any debt arrangements we may enter into in the future may require us, to comply with various covenants that limit our ability to, among other things:</w:t>
      </w:r>
    </w:p>
    <w:p>
      <w:pPr>
        <w:spacing w:after="0" w:line="80"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complete mergers or acquisitions;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indebtedness or modify existing debt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additional lines of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encumber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make other distributions to holders of our capital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certain key management personnel or organizational documents;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restrictive covenants in the MidCap Credit Facility could prevent us from pursuing business opportunities that we or our stockholders may consider beneficial.</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expect that the COVID-19 pandemic will continue to negatively impact near-term revenues from Afrezza, which could also affect our compliance with a covenant relating to trailing twelve-month minimum Afrezza net revenue, tested on a monthly basis, which is set forth in the MidCap Credit Facility Agreement, as amended. In August 2020, we entered into an amendment to the MidCap Credit Facility, pursuant to which the parties agreed that no breach of this covenant between July 31, 2020 and November 30, 2020 will be deemed to occur if we have unrestricted cash of at least $40.0 million. Thereafter, if we fail to meet this covenant, any outstanding borrowings, together with accrued interest, under the MidCap Credit Facility could be declared immediately due and payable.</w:t>
      </w:r>
    </w:p>
    <w:p>
      <w:pPr>
        <w:spacing w:after="0" w:line="19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MidCap Credit Facility.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2024 convertible notes or the MidCap Term Loan, or if we fail to repay or repurchase the 2024 convertible notes, MidCap Term Loan, PPP Loan or borrowings under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8" w:name="page49"/>
    <w:bookmarkEnd w:id="48"/>
    <w:p>
      <w:pPr>
        <w:ind w:right="2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components used in the manufacture of our product candidates;</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w:t>
      </w:r>
    </w:p>
    <w:p>
      <w:pPr>
        <w:spacing w:after="0" w:line="153"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by regulators; and</w:t>
      </w:r>
    </w:p>
    <w:p>
      <w:pPr>
        <w:spacing w:after="0" w:line="130"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may depend not only on our ability to develop our product candidates, but also our ability to improve them and to improve Afrezza in order to keep pace with emerging industry developments. We cannot assure you that we will be able to do so.</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line="263"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6" w:lineRule="exact"/>
        <w:rPr>
          <w:sz w:val="20"/>
          <w:szCs w:val="20"/>
          <w:color w:val="auto"/>
        </w:rPr>
      </w:pPr>
    </w:p>
    <w:p>
      <w:pPr>
        <w:ind w:left="1000" w:right="20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9"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w:t>
      </w:r>
    </w:p>
    <w:p>
      <w:pPr>
        <w:spacing w:after="0" w:line="130"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75"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92"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5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For the commercial manufacture of Afrezza, we need access to sufficient, reliable and affordable supplies of insulin, FDKP, our Afrezza inhaler, the related cartridges and other materials. Currently, the only source of insulin that we have qualified for Afrezza is manufactured by Amphastar. We must rely on our suppliers to comply with relevant regulatory and other legal requirements, including the production of insulin and FDKP in accordance with the FDA’s cGMP for drug products, and the production of the Afrezza inhaler and related cartridges in accordance with QSRs.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the production of Afrezza.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use our Danbury, Connecticut facility to formulate both the Afrezza and TreT inhalation powders, fill plastic cartridges with the powders, package the cartridges in blister packs, and place the blister packs into foil pouches. We utilize a contract packager to assemble the final kits of Afrezza foil-pouched blister packs along with inhalers and the package inserts. The final responsibility for TreT packaging has not yet been determined.</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0" w:name="page51"/>
    <w:bookmarkEnd w:id="50"/>
    <w:p>
      <w:pPr>
        <w:ind w:right="40"/>
        <w:spacing w:after="0" w:line="255" w:lineRule="auto"/>
        <w:rPr>
          <w:sz w:val="20"/>
          <w:szCs w:val="20"/>
          <w:color w:val="auto"/>
        </w:rPr>
      </w:pPr>
      <w:r>
        <w:rPr>
          <w:rFonts w:ascii="Arial" w:cs="Arial" w:eastAsia="Arial" w:hAnsi="Arial"/>
          <w:sz w:val="18"/>
          <w:szCs w:val="18"/>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30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depends on many factors, including the following:</w:t>
      </w:r>
    </w:p>
    <w:p>
      <w:pPr>
        <w:spacing w:after="0" w:line="129"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30"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Effectiveness of efforts by us or any future marketing partner to support and educate physicians about the benefits and advantages of Afrezza or our other products, and the perceived advantages and disadvantages of competitive products;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Coverage and reimbursement, as well as pricing relative to other treatment therapeutics and methods;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8"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3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 and other third-party payors to contain or reduce the costs of healthcare through various means. In certain foreign markets the pricing of prescription pharmaceuticals is subject to direct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the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w:t>
      </w:r>
    </w:p>
    <w:p>
      <w:pPr>
        <w:spacing w:after="0" w:line="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increases. Moreover,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(“HHS”) has solicited feedback on some of these measures and has implemented others under its existing authority. For example, in May 2019, the Centers for Medicare &amp; Medicaid Services (“CMS”) issued a final rule to allow Medicare Advantage Plans the option of using step therapy for Part B drugs beginning January 1, 2020. This final rule codified CMS’s policy change that was effective January 1, 2019. More recently, President Trump signed an executive order (one of several intended to encourage lower drug prices) on July 24, 2020 directing HHS to make rules that would exclude from the safe harbor protections of the Anti-Kickback Statute rebates paid by manufacturers to insurers, pharmacies and pharmacy benefit managers for Medicare Part D drugs, provided such rules do not increase federal spending or out-of-pocket costs to patients. Although a number of these and other measures may require additional authorization to become effective, Congress and the Trump administration have stated that they will continue to seek new</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60"/>
        <w:spacing w:after="0" w:line="288" w:lineRule="auto"/>
        <w:rPr>
          <w:sz w:val="20"/>
          <w:szCs w:val="20"/>
          <w:color w:val="auto"/>
        </w:rPr>
      </w:pPr>
      <w:r>
        <w:rPr>
          <w:rFonts w:ascii="Arial" w:cs="Arial" w:eastAsia="Arial" w:hAnsi="Arial"/>
          <w:sz w:val="16"/>
          <w:szCs w:val="16"/>
          <w:color w:val="auto"/>
        </w:rPr>
        <w:t>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payors may take in response to any drug pricing and reimbursement reform proposals or legislation. For example, it is possible that additional governmental action is taken to address the COVID-19 pandemic.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6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coverage and adequate reimbursement to the consumer from third-party payors, such as government health administration authorities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which are the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requirements governing drug pricing vary widely from country to country. In some non-U.S. jurisdictions, the proposed pricing for a drug must be approved before it may be lawfully marketed.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we or any future marketing partner is unable to obtain coverage of, and adequate payment levels reimbursement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61"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Replacing key employees may be difficult and time-consuming because of the limited number of individuals in our industry with the skills and experience required to develop, gain regulatory approval of and commercialize products successfully.</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or modifications in financial accounting standards may harm our results of operations.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3" w:name="page54"/>
    <w:bookmarkEnd w:id="53"/>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legislation enacted in 2017, informally titled the Tax Cuts and Jobs Act of 2017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and could increase our future U.S. tax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of December 31, 2019 we had federal and state net operating loss carryforwards of $2.1 billion and $1.3 billion, respectively, which we assess annually. A portion of our federal and state net operating loss carryforwards have begun to expire. Net operating loss carryforwards that expire unused will be unavailable to offset future income tax liabilities. Under the Tax Act as modified by the CARES Act, federal net operating losses incurred in tax years beginning after December 31, 2017, may be carried forward indefinitely, but the deductibility of such federal net operating losses in tax years beginning after December 31, 2020, is limited to 80% of taxable income. It is uncertain if and to what extent various states will conform to the Tax Act or the CARES Act. In addition, under Sections 382 and 383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to the end of the previous tax year regarding whether additional limitations may be placed on our net operating loss carryforwards and other tax attributes, and no additional changes in ownership that met the Section 382 ownership change threshold were identified through December 31, 2019. There is a risk that changes in ownership may occur in tax years after December 31, 2019. If a change in ownership were to occur, our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w:t>
      </w:r>
    </w:p>
    <w:p>
      <w:pPr>
        <w:spacing w:after="0" w:line="29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8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4" w:name="page55"/>
    <w:bookmarkEnd w:id="54"/>
    <w:p>
      <w:pPr>
        <w:ind w:right="30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In September 2019, the plaintiff brought a motion to amend his claim, which the court denied in January 2020. The plaintiff has appealed this denial to the Supreme Court of Israel. We will continue to vigorously defend against the claims advanced.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least for the foreseeable future, we expect that our manufacturing facility in Danbury, Connecticut will be the sole location for the manufacturing of Afrezza and TreT.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public health pandemics or epidemics (including, for example, the ongoing COVID-19 pandemic),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11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Additionally, natural disasters, public health pandemics or epidemics (including, for example, the COVID-19 pandemic), terrorism, war and telecommunication and electrical failures may result in damage to or the interruption or impairment of key business processes, or the loss or corruption of confidential information, including intellectual property, proprietary business information and personal information.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299"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4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European Union may be a source of instability in international markets, create significant currency fluctuations and pose additional risks to our business.</w:t>
      </w:r>
    </w:p>
    <w:p>
      <w:pPr>
        <w:spacing w:after="0" w:line="6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Following the result of a referendum in 2016, the U.K. left the EU on January 31, 2020. This event is commonly referred to as Brexit. Pursuant to the formal withdrawal arrangements agreed to between the U.K. and the EU, the U.K. will be subject to a transition period until December 31, 2020, (the “Transition Period”), during which EU rules will continue to apply. Negotiations between the U.K. and the EU are expected to continue in relation to the customs and trading relationship between the U.K. and the EU following the expiry of the Transition Period.</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uncertainty concerning the U.K’s legal, political and economic relationship with the EU after the Transition Period may be a source of instability in the international markets, create significant currency fluctuations, and/or otherwise adversely affect trading agreements or similar cross-border co-operation arrangements (whether economic, tax, fiscal, legal, regulatory or otherwise). These developments, or the perception that any of them could occur, have had, and may continue to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7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business.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4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57"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7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studies. For example, with the approval of Afrezza, the FDA has required that we conduct a five-year, randomized, controlled trial in patients with type 2 diabetes, the primary objective of which is to compare the incidence of pulmonary malignancy observed with Afrezza to that observed in a standard of care control group. We have an ongoing dialogue with the FDA regarding the endpoints and goals for this long-term trial and have not yet commenced this trial.</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7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1000" w:right="6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FDA and other regulatory authorities impose significant restrictions on approved products through regulations on advertising, promotional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distribution activities. This oversight encompasses, but is not limited to, direct-to-consumer advertising, healthcare provider-directed advertising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promotion, sales representative communications to healthcare professionals, promotional programming and promotional activities involving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Internet. Regulatory authorities may also review industry-sponsored scientific and educational activities that make representations regarding product safety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efficacy in a promotional context. Prescription drugs may be promoted only for the approved indications in accordance with the approved label.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FDA and other regulatory authorities may take enforcement action against a company for promoting unapproved uses of a product or for other violations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advertising and labeling laws and regulations. However, physicians may, in their independent medical judgment, prescribe legally available products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off-label uses. The FDA does not regulate the behavior of physicians in their choice of treatments but the FDA does restrict manufacturer’s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on the subject of off-label use of their products. Enforcement action may include product seizures, injunctions, significant civil or criminal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penalties or regulatory letters, which may require corrective advertising or other corrective communications to healthcare professionals. Failure to comply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such regulations also can result in adverse publicity or increased scrutiny of company activities by the U.S. Congress or other legislators.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states have also adopted regulations and reporting requirements surrounding the promotion of pharmaceuticals. Failure to comply with state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affect our ability to promote or sell our products in certain states.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8" w:name="page59"/>
    <w:bookmarkEnd w:id="58"/>
    <w:p>
      <w:pPr>
        <w:spacing w:after="0" w:line="296" w:lineRule="auto"/>
        <w:rPr>
          <w:sz w:val="20"/>
          <w:szCs w:val="20"/>
          <w:color w:val="auto"/>
        </w:rPr>
      </w:pPr>
      <w:r>
        <w:rPr>
          <w:rFonts w:ascii="Arial" w:cs="Arial" w:eastAsia="Arial" w:hAnsi="Arial"/>
          <w:sz w:val="16"/>
          <w:szCs w:val="16"/>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temporarily inactivated all Afrezza social media accounts (including Facebook, Instagram and Twitter) then, after consultation with OPDP, placed a corrective post on Facebook and Instagram.</w:t>
      </w:r>
    </w:p>
    <w:p>
      <w:pPr>
        <w:spacing w:after="0" w:line="16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of 2010, as amended by the Health Care and Education Reconciliation Act of 2010 (collectively, “PPACA”) became law in the United States. PPACA substantially changed the way healthcare is financed by both governmental and private insurers and significantly affects the healthcare industry.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PPACA of importance to us are the following:</w:t>
      </w:r>
    </w:p>
    <w:p>
      <w:pPr>
        <w:spacing w:after="0" w:line="103" w:lineRule="exact"/>
        <w:rPr>
          <w:sz w:val="20"/>
          <w:szCs w:val="20"/>
          <w:color w:val="auto"/>
        </w:rPr>
      </w:pPr>
    </w:p>
    <w:p>
      <w:pPr>
        <w:ind w:left="1000" w:right="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1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00" w:right="22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now offer 75%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jc w:val="both"/>
        <w:ind w:left="1000" w:right="44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00" w:right="220" w:hanging="493"/>
        <w:spacing w:after="0" w:line="279"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Requirements to report annually to CMS certain financial arrangements with physicians, as defined by such law, and teaching hospitals, as defined in PPACA and its implementing regulations, including reporting any “payments or transfers of value” made or distributed to physicians and teaching hospitals and reporting any ownership and investment interests held by physicians and their immediate family members and applicable group purchasing organizations during the preceding calendar year;</w:t>
      </w:r>
    </w:p>
    <w:p>
      <w:pPr>
        <w:spacing w:after="0" w:line="63" w:lineRule="exact"/>
        <w:rPr>
          <w:rFonts w:ascii="Arial" w:cs="Arial" w:eastAsia="Arial" w:hAnsi="Arial"/>
          <w:sz w:val="17"/>
          <w:szCs w:val="17"/>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certain manufacturers and authorized distributors provide to physicians; and</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9" w:name="page60"/>
    <w:bookmarkEnd w:id="59"/>
    <w:p>
      <w:pPr>
        <w:spacing w:after="0" w:line="267" w:lineRule="auto"/>
        <w:rPr>
          <w:sz w:val="20"/>
          <w:szCs w:val="20"/>
          <w:color w:val="auto"/>
        </w:rPr>
      </w:pPr>
      <w:r>
        <w:rPr>
          <w:rFonts w:ascii="Arial" w:cs="Arial" w:eastAsia="Arial" w:hAnsi="Arial"/>
          <w:sz w:val="17"/>
          <w:szCs w:val="17"/>
          <w:color w:val="auto"/>
        </w:rPr>
        <w:t>There remain judicial and congressional challenges to certain provisions of the PPACA, as well as efforts by the Trump administration to repeal or replace certain aspects of the PPACA. President Trump has signed Executive Orders and other directives designed to eliminate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several bills affecting the implementation of certain taxes under the PPACA have been signed into law. The Tax Act includes a provision that repealed,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eliminated, effective January 1, 2020, the PPACA-mandated “Cadillac” tax on high-cost employer-sponsored health coverage and medical device tax and, effective January 1, 2021, also eliminates the health insurer tax. The Bipartisan Budget Act of 2018, or the BBA, among other things, amended the PPACA, effective January 1, 2019, to close the coverage gap in most Medicare drug plans. In December 2018, CMS published a new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Texas U.S. District Court Judge ruled that the PPACA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PPACA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PPACA will impact the PPACA and our business.</w:t>
      </w:r>
    </w:p>
    <w:p>
      <w:pPr>
        <w:spacing w:after="0" w:line="1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2% per fiscal year, starting in 2013, and, following passage of the BBA, will stay in effect through 2030 unless additional Congressional action is taken. The CARES Act suspended the 2% Medicare sequester from May 1, 2020 through December 31, 2020, and extended the sequester by one year, through 2030.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7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It is also possible that additional governmental action is taken to address the COVID-19 pandemic.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ind w:right="40"/>
        <w:spacing w:after="0" w:line="263"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3" w:lineRule="exact"/>
        <w:rPr>
          <w:sz w:val="20"/>
          <w:szCs w:val="20"/>
          <w:color w:val="auto"/>
        </w:rPr>
      </w:pPr>
    </w:p>
    <w:p>
      <w:pPr>
        <w:ind w:left="1000" w:right="180" w:hanging="493"/>
        <w:spacing w:after="0" w:line="293"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56" w:lineRule="exact"/>
        <w:rPr>
          <w:rFonts w:ascii="Arial" w:cs="Arial" w:eastAsia="Arial" w:hAnsi="Arial"/>
          <w:sz w:val="16"/>
          <w:szCs w:val="16"/>
          <w:color w:val="auto"/>
        </w:rPr>
      </w:pPr>
    </w:p>
    <w:p>
      <w:pPr>
        <w:ind w:left="1000" w:hanging="493"/>
        <w:spacing w:after="0" w:line="273"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69" w:lineRule="exact"/>
        <w:rPr>
          <w:rFonts w:ascii="Arial" w:cs="Arial" w:eastAsia="Arial" w:hAnsi="Arial"/>
          <w:sz w:val="17"/>
          <w:szCs w:val="17"/>
          <w:color w:val="auto"/>
        </w:rPr>
      </w:pPr>
    </w:p>
    <w:p>
      <w:pPr>
        <w:ind w:left="1000" w:right="2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75" w:lineRule="exact"/>
        <w:rPr>
          <w:rFonts w:ascii="Arial" w:cs="Arial" w:eastAsia="Arial" w:hAnsi="Arial"/>
          <w:sz w:val="18"/>
          <w:szCs w:val="18"/>
          <w:color w:val="auto"/>
        </w:rPr>
      </w:pPr>
    </w:p>
    <w:p>
      <w:pPr>
        <w:ind w:left="1000" w:right="20" w:hanging="493"/>
        <w:spacing w:after="0" w:line="270"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HIPAA, as amended by HITECH, and their respective implementing regulations, which imposes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In addition, in May 2018, the European Union, or EU, 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72" w:lineRule="exact"/>
        <w:rPr>
          <w:rFonts w:ascii="Arial" w:cs="Arial" w:eastAsia="Arial" w:hAnsi="Arial"/>
          <w:sz w:val="17"/>
          <w:szCs w:val="17"/>
          <w:color w:val="auto"/>
        </w:rPr>
      </w:pPr>
    </w:p>
    <w:p>
      <w:pPr>
        <w:ind w:left="1000" w:right="60" w:hanging="493"/>
        <w:spacing w:after="0" w:line="273"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California Consumer Privacy Act (“CCPA”), which created individual privacy rights for California consumers (as that word is broadly defined in the law) and placed increased privacy and security obligations on entities handling personal data of consumers or households. The CCPA requires covered companies to provide new disclosures to California consumers, provide such consumers new ways to opt-out of certain sales of personal information, and allows for a new cause of action for data breaches. The CCPA will likely impact (possibly significantly) our business activities and exemplifies the vulnerability of our business to not only cyber threats but also the evolving regulatory environment related to personal data and protected health information;</w:t>
      </w:r>
    </w:p>
    <w:p>
      <w:pPr>
        <w:spacing w:after="0" w:line="69" w:lineRule="exact"/>
        <w:rPr>
          <w:rFonts w:ascii="Arial" w:cs="Arial" w:eastAsia="Arial" w:hAnsi="Arial"/>
          <w:sz w:val="17"/>
          <w:szCs w:val="17"/>
          <w:color w:val="auto"/>
        </w:rPr>
      </w:pPr>
    </w:p>
    <w:p>
      <w:pPr>
        <w:ind w:left="1000" w:right="100" w:hanging="493"/>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Physician Payments Sunshine Act under PPACA, which requires certain manufacturers of drugs, devices, biologics, and medical supplies to report annually to CMS information related to payments and other transfers of value to physicians, as defined by such law, and teaching hospitals, and ownership and investment interests held by physicians and other healthcare providers and their immediate family members; and</w:t>
      </w:r>
    </w:p>
    <w:p>
      <w:pPr>
        <w:spacing w:after="0" w:line="78" w:lineRule="exact"/>
        <w:rPr>
          <w:rFonts w:ascii="Arial" w:cs="Arial" w:eastAsia="Arial" w:hAnsi="Arial"/>
          <w:sz w:val="18"/>
          <w:szCs w:val="18"/>
          <w:color w:val="auto"/>
        </w:rPr>
      </w:pPr>
    </w:p>
    <w:p>
      <w:pPr>
        <w:ind w:left="1000" w:hanging="493"/>
        <w:spacing w:after="0" w:line="271"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spacing w:after="0" w:line="269" w:lineRule="auto"/>
        <w:rPr>
          <w:sz w:val="20"/>
          <w:szCs w:val="20"/>
          <w:color w:val="auto"/>
        </w:rPr>
      </w:pPr>
      <w:r>
        <w:rPr>
          <w:rFonts w:ascii="Arial" w:cs="Arial" w:eastAsia="Arial" w:hAnsi="Arial"/>
          <w:sz w:val="17"/>
          <w:szCs w:val="17"/>
          <w:color w:val="auto"/>
        </w:rPr>
        <w:t>Because of the breadth of these laws and the narrowness of available statutory exceptions and regulatory safe harbors, it is possible that some of our business activities could be subject to challenge under one or more of such laws. With Afrezza now available in Brazil and as we pursue additional international approvals, we will be subject to similar foreign laws and regulations. If we or our operations are found to be in violation of any of the laws described above or any other governmental regulations that apply to us, we may be subject to penalties, including significant civil, criminal and administrative penalties, damages, fines, imprisonment, disgorgement, exclusion from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9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5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6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89"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9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6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the United States moved to a first inventor to file system.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various patents providing protection for the powder component of Afrezza have terms extending into 2020, 2026, 2028, 2029 or 2030. In addition, patents providing protection for our inhaler and cartridges have terms extending into 2023, 2031 or 2032. Our method of treatment claims extend into 2026, 2029, 2030 or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3" w:name="page64"/>
    <w:bookmarkEnd w:id="63"/>
    <w:p>
      <w:pPr>
        <w:ind w:right="4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7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4" w:name="page65"/>
    <w:bookmarkEnd w:id="64"/>
    <w:p>
      <w:pPr>
        <w:spacing w:after="0" w:line="270" w:lineRule="auto"/>
        <w:rPr>
          <w:sz w:val="20"/>
          <w:szCs w:val="20"/>
          <w:color w:val="auto"/>
        </w:rPr>
      </w:pPr>
      <w:r>
        <w:rPr>
          <w:rFonts w:ascii="Arial" w:cs="Arial" w:eastAsia="Arial" w:hAnsi="Arial"/>
          <w:sz w:val="17"/>
          <w:szCs w:val="17"/>
          <w:color w:val="auto"/>
        </w:rPr>
        <w:t>Although we do not believe that Afrezza infringes any third-party patents, we have identified certain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7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ind w:right="60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the vesting of restricted stock unit awards and purchases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trading price of our common stock has been and is likely to continue to be volatile. The stock market, particularly in recent years, has experienced significant volatility particularly with respect to pharmaceutical and biotechnology stocks, and this trend may continue. The COVID-19 pandemic, for example, has negatively affected the stock market and investor sentiment and has resulted in significant volatility.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volatility of pharmaceutical and biotechnology stocks often does not relate to the operating performance of the companies represented by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business and the market price of our common stock may be influenced by a large variety of factors, including:</w:t>
      </w:r>
    </w:p>
    <w:p>
      <w:pPr>
        <w:spacing w:after="0" w:line="103" w:lineRule="exact"/>
        <w:rPr>
          <w:sz w:val="20"/>
          <w:szCs w:val="20"/>
          <w:color w:val="auto"/>
        </w:rPr>
      </w:pPr>
    </w:p>
    <w:p>
      <w:pPr>
        <w:ind w:left="1000" w:right="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successfully commercialize other products (in addition to Afrezza) based on our Technosphere drug delivery platform;</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30"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developments or disputes concerning our relationship with any of our current or future collaborators or third party manufacturers;</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66" w:name="page67"/>
    <w:bookmarkEnd w:id="66"/>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status of any legal proceedings or regulatory matters against or involving us or any of our executive officers and directors; and</w:t>
      </w:r>
    </w:p>
    <w:p>
      <w:pPr>
        <w:spacing w:after="0" w:line="142" w:lineRule="exact"/>
        <w:rPr>
          <w:rFonts w:ascii="Arial" w:cs="Arial" w:eastAsia="Arial" w:hAnsi="Arial"/>
          <w:sz w:val="17"/>
          <w:szCs w:val="17"/>
          <w:color w:val="auto"/>
        </w:rPr>
      </w:pPr>
    </w:p>
    <w:p>
      <w:pPr>
        <w:ind w:left="1000" w:right="60" w:hanging="493"/>
        <w:spacing w:after="0" w:line="259"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Statements attributed to company officials may, in fact, have originated elsewhere.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October 26, 2020, we had 232,600,608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2024 convertible notes or the Mann Group promissory notes, or upon issuance of our outstanding warrants,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ind w:right="120"/>
        <w:spacing w:after="0" w:line="277" w:lineRule="auto"/>
        <w:rPr>
          <w:sz w:val="20"/>
          <w:szCs w:val="20"/>
          <w:color w:val="auto"/>
        </w:rPr>
      </w:pPr>
      <w:r>
        <w:rPr>
          <w:rFonts w:ascii="Arial" w:cs="Arial" w:eastAsia="Arial" w:hAnsi="Arial"/>
          <w:sz w:val="18"/>
          <w:szCs w:val="18"/>
          <w:color w:val="auto"/>
        </w:rPr>
        <w:t>In addition, we may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8"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8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7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76"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or proceeding asserting a breach of fiduciary duty owed by any of our current or former directors, officers or other employees to us or our stockholders;</w:t>
      </w:r>
    </w:p>
    <w:p>
      <w:pPr>
        <w:spacing w:after="0" w:line="62" w:lineRule="exact"/>
        <w:rPr>
          <w:rFonts w:ascii="Arial" w:cs="Arial" w:eastAsia="Arial" w:hAnsi="Arial"/>
          <w:sz w:val="18"/>
          <w:szCs w:val="18"/>
          <w:color w:val="auto"/>
        </w:rPr>
      </w:pPr>
    </w:p>
    <w:p>
      <w:pPr>
        <w:jc w:val="both"/>
        <w:ind w:left="1000" w:right="220" w:hanging="493"/>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75"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or proceeding to interpret, apply, enforce or determine the validity of our amended and restated certificate of incorporation or our amended and restated bylaws;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or proceeding as to which the Delaware General Corporation Law confers jurisdiction to the Court of Chancery of the State of Delaware;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action asserting a claim against us or any of our directors, officers or other employees that is governed by the internal affairs doctrine.</w:t>
      </w:r>
    </w:p>
    <w:p>
      <w:pPr>
        <w:spacing w:after="0" w:line="28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provision does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93"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previously reported, in August 2019 we issued a $2.6 million principal amount note due December 2020 in exchange for the cancellation of existing indebtedness. On October 9, 2020, we prepaid the December 2020 note through the issuance of 1,377,356 shares of our common stock, pursuant to our election and in accordance with the terms of the December 2020 note. We relied on an exemption from registration provided by Section 3(a)(9) of the Securities Act for the issuance of such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60" w:type="dxa"/>
            <w:vAlign w:val="bottom"/>
            <w:gridSpan w:val="28"/>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60" w:type="dxa"/>
            <w:vAlign w:val="bottom"/>
            <w:gridSpan w:val="2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30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Amended and Restated Certificate of Incorporation (incorporated by reference to Exhibit 3.1 to MannKind’s Quarterly Report on</w:t>
              </w:r>
            </w:hyperlink>
          </w:p>
        </w:tc>
        <w:tc>
          <w:tcPr>
            <w:tcW w:w="660" w:type="dxa"/>
            <w:vAlign w:val="bottom"/>
            <w:tcBorders>
              <w:top w:val="single" w:sz="8" w:color="auto"/>
            </w:tcBorders>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Form 10-Q (File No. 000-50865), filed with the SEC on August 9, 2016).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900" w:type="dxa"/>
            <w:vAlign w:val="bottom"/>
            <w:tcBorders>
              <w:bottom w:val="single" w:sz="8" w:color="0000EE"/>
            </w:tcBorders>
            <w:gridSpan w:val="27"/>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gridSpan w:val="28"/>
          </w:tcPr>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Exhibit 3.1 to MannKind’s Current Report on Form 8-K (File No. 000-50865), filed with the SEC on March 2, 2017).</w:t>
              </w:r>
            </w:hyperlink>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9900" w:type="dxa"/>
            <w:vAlign w:val="bottom"/>
            <w:tcBorders>
              <w:bottom w:val="single" w:sz="8" w:color="0000EE"/>
            </w:tcBorders>
            <w:gridSpan w:val="27"/>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gridSpan w:val="28"/>
          </w:tcPr>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Exhibit 3.1 to MannKind’s Current Report on Form 8-K (File No. 000-50865), filed with the SEC on December 13, 2017).</w:t>
              </w:r>
            </w:hyperlink>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9900" w:type="dxa"/>
            <w:vAlign w:val="bottom"/>
            <w:tcBorders>
              <w:bottom w:val="single" w:sz="8" w:color="0000EE"/>
            </w:tcBorders>
            <w:gridSpan w:val="27"/>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gridSpan w:val="28"/>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Exhibit 3.1 to MannKind’s Current Report on Form 8-K (File No. 000-50865), filed with the SEC on May 27, 2020).</w:t>
              </w:r>
            </w:hyperlink>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0000EE"/>
                <w:w w:val="95"/>
              </w:rPr>
            </w:pPr>
            <w:hyperlink r:id="rId99">
              <w:r>
                <w:rPr>
                  <w:rFonts w:ascii="Arial" w:cs="Arial" w:eastAsia="Arial" w:hAnsi="Arial"/>
                  <w:sz w:val="18"/>
                  <w:szCs w:val="18"/>
                  <w:color w:val="0000EE"/>
                  <w:w w:val="95"/>
                </w:rPr>
                <w:t>Amended and Restated Bylaws (incorporated by reference to Exhibit 3.2 to MannKind’s Current Report on Form 8-K (File No. 000-</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50865)</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 xml:space="preserve"> filed with the SEC on May 27, 2020).</w:t>
              </w:r>
            </w:hyperlink>
          </w:p>
        </w:tc>
        <w:tc>
          <w:tcPr>
            <w:tcW w:w="6220" w:type="dxa"/>
            <w:vAlign w:val="bottom"/>
            <w:tcBorders>
              <w:top w:val="single" w:sz="8" w:color="0000EE"/>
            </w:tcBorders>
            <w:gridSpan w:val="15"/>
          </w:tcPr>
          <w:p>
            <w:pPr>
              <w:spacing w:after="0"/>
              <w:rPr>
                <w:sz w:val="17"/>
                <w:szCs w:val="17"/>
                <w:color w:val="auto"/>
              </w:rPr>
            </w:pPr>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40" w:type="dxa"/>
            <w:vAlign w:val="bottom"/>
          </w:tcPr>
          <w:p>
            <w:pPr>
              <w:ind w:left="1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95">
              <w:r>
                <w:rPr>
                  <w:rFonts w:ascii="Arial" w:cs="Arial" w:eastAsia="Arial" w:hAnsi="Arial"/>
                  <w:sz w:val="18"/>
                  <w:szCs w:val="18"/>
                  <w:u w:val="single" w:color="auto"/>
                  <w:color w:val="0000EE"/>
                </w:rPr>
                <w:t>3.1</w:t>
              </w:r>
            </w:hyperlink>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EE"/>
                </w:rPr>
                <w:t>3.2</w:t>
              </w:r>
            </w:hyperlink>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EE"/>
                </w:rPr>
                <w:t>3.3</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EE"/>
                </w:rPr>
                <w:t>3.4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99">
              <w:r>
                <w:rPr>
                  <w:rFonts w:ascii="Arial" w:cs="Arial" w:eastAsia="Arial" w:hAnsi="Arial"/>
                  <w:sz w:val="18"/>
                  <w:szCs w:val="18"/>
                  <w:u w:val="single" w:color="auto"/>
                  <w:color w:val="0000EE"/>
                </w:rPr>
                <w:t>3.5</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9820" w:type="dxa"/>
            <w:vAlign w:val="bottom"/>
            <w:tcBorders>
              <w:bottom w:val="single" w:sz="8" w:color="0000EE"/>
            </w:tcBorders>
            <w:gridSpan w:val="24"/>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Form of common stock certificate (incorporated by reference to Exhibit 4.2 to MannKind’s Annual Report on Form 10-K (File No. 000-</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March 16, 2017).</w:t>
              </w:r>
            </w:hyperlink>
          </w:p>
        </w:tc>
        <w:tc>
          <w:tcPr>
            <w:tcW w:w="65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9640" w:type="dxa"/>
            <w:vAlign w:val="bottom"/>
            <w:tcBorders>
              <w:bottom w:val="single" w:sz="8" w:color="0000EE"/>
            </w:tcBorders>
            <w:gridSpan w:val="22"/>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Milestone Rights Purchase Agreement, dated as of July 1, 2013, by and among MannKind, Deerfield Private Design Fund II, L.P. and</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w w:val="97"/>
              </w:rPr>
            </w:pPr>
            <w:hyperlink r:id="rId101">
              <w:r>
                <w:rPr>
                  <w:rFonts w:ascii="Arial" w:cs="Arial" w:eastAsia="Arial" w:hAnsi="Arial"/>
                  <w:sz w:val="18"/>
                  <w:szCs w:val="18"/>
                  <w:color w:val="0000EE"/>
                  <w:w w:val="97"/>
                </w:rPr>
                <w:t>Horizon Santé FLML SÁRL (incorporated by reference to Exhibit 99.3 to MannKind’s Current Report on Form 8-K (File No. 000-</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July 1, 2013).</w:t>
              </w:r>
            </w:hyperlink>
          </w:p>
        </w:tc>
        <w:tc>
          <w:tcPr>
            <w:tcW w:w="6240" w:type="dxa"/>
            <w:vAlign w:val="bottom"/>
            <w:tcBorders>
              <w:top w:val="single" w:sz="8" w:color="0000EE"/>
            </w:tcBorders>
            <w:gridSpan w:val="13"/>
          </w:tcPr>
          <w:p>
            <w:pPr>
              <w:spacing w:after="0"/>
              <w:rPr>
                <w:sz w:val="17"/>
                <w:szCs w:val="17"/>
                <w:color w:val="auto"/>
              </w:rPr>
            </w:pPr>
          </w:p>
        </w:tc>
        <w:tc>
          <w:tcPr>
            <w:tcW w:w="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0000EE"/>
                <w:w w:val="96"/>
              </w:rPr>
            </w:pPr>
            <w:hyperlink r:id="rId102">
              <w:r>
                <w:rPr>
                  <w:rFonts w:ascii="Arial" w:cs="Arial" w:eastAsia="Arial" w:hAnsi="Arial"/>
                  <w:sz w:val="18"/>
                  <w:szCs w:val="18"/>
                  <w:color w:val="0000EE"/>
                  <w:w w:val="96"/>
                </w:rPr>
                <w:t>Form of Warrant to Purchase Common Stock issued November 16, 2015 (incorporated by reference to Exhibit 4.17 to MannKind’s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Annual Report on Form 10-K (File No. 000-50865), filed with the SEC on March 15, 2016).</w:t>
              </w:r>
            </w:hyperlink>
          </w:p>
        </w:tc>
        <w:tc>
          <w:tcPr>
            <w:tcW w:w="2760" w:type="dxa"/>
            <w:vAlign w:val="bottom"/>
            <w:tcBorders>
              <w:top w:val="single" w:sz="8" w:color="0000EE"/>
            </w:tcBorders>
            <w:gridSpan w:val="6"/>
          </w:tcPr>
          <w:p>
            <w:pPr>
              <w:spacing w:after="0"/>
              <w:rPr>
                <w:sz w:val="17"/>
                <w:szCs w:val="17"/>
                <w:color w:val="auto"/>
              </w:rPr>
            </w:pPr>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Form of Common Stock Purchase Warrant issued December 26, 2018 (incorporated by reference to Exhibit 4.1 to MannKind’s Current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Report on Form 8-K (File No. 000-50865), filed with the SEC on December 21, 2018).</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92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9120" w:type="dxa"/>
            <w:vAlign w:val="bottom"/>
            <w:tcBorders>
              <w:bottom w:val="single" w:sz="8" w:color="0000EE"/>
            </w:tcBorders>
            <w:gridSpan w:val="11"/>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Amendment to Common Stock Purchase Warrant, dated December 22, 2019, by and between MannKind Corporation and CVI</w:t>
              </w:r>
            </w:hyperlink>
          </w:p>
        </w:tc>
        <w:tc>
          <w:tcPr>
            <w:tcW w:w="8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Investments, Inc. (incorporated by reference to Exhibit 4.1 to MannKind’s Current Report on Form 8-K (File No. 000-50865), filed with</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the SEC on December 23, 2019)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0000EE"/>
                <w:w w:val="95"/>
              </w:rPr>
            </w:pPr>
            <w:hyperlink r:id="rId105">
              <w:r>
                <w:rPr>
                  <w:rFonts w:ascii="Arial" w:cs="Arial" w:eastAsia="Arial" w:hAnsi="Arial"/>
                  <w:sz w:val="18"/>
                  <w:szCs w:val="18"/>
                  <w:color w:val="0000EE"/>
                  <w:w w:val="95"/>
                </w:rPr>
                <w:t>Form of Warrant to Purchase Stock issued to MidCap Financial Trust on August 6, 2019 (incorporated by reference to Exhibit 4.1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MannKind’s Current Report on Form 8-K (File No. 000-50865), filed with the SEC on August 7, 2019).</w:t>
              </w:r>
            </w:hyperlink>
          </w:p>
        </w:tc>
        <w:tc>
          <w:tcPr>
            <w:tcW w:w="1980" w:type="dxa"/>
            <w:vAlign w:val="bottom"/>
            <w:tcBorders>
              <w:top w:val="single" w:sz="8" w:color="0000EE"/>
            </w:tcBorders>
            <w:gridSpan w:val="8"/>
          </w:tcPr>
          <w:p>
            <w:pPr>
              <w:spacing w:after="0"/>
              <w:rPr>
                <w:sz w:val="17"/>
                <w:szCs w:val="17"/>
                <w:color w:val="auto"/>
              </w:rPr>
            </w:pPr>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0000EE"/>
                <w:w w:val="94"/>
              </w:rPr>
            </w:pPr>
            <w:hyperlink r:id="rId106">
              <w:r>
                <w:rPr>
                  <w:rFonts w:ascii="Arial" w:cs="Arial" w:eastAsia="Arial" w:hAnsi="Arial"/>
                  <w:sz w:val="18"/>
                  <w:szCs w:val="18"/>
                  <w:color w:val="0000EE"/>
                  <w:w w:val="94"/>
                </w:rPr>
                <w:t>Form of 5.75% Convertible Senior Subordinated Exchange Notes Due 2024 (incorporated by reference to Exhibit 4.2 to MannKind’s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Current Report on Form 8-K (File No. 000-50865), filed with the SEC on August 7, 2019).</w:t>
              </w:r>
            </w:hyperlink>
          </w:p>
        </w:tc>
        <w:tc>
          <w:tcPr>
            <w:tcW w:w="2980" w:type="dxa"/>
            <w:vAlign w:val="bottom"/>
            <w:tcBorders>
              <w:top w:val="single" w:sz="8" w:color="0000EE"/>
            </w:tcBorders>
            <w:gridSpan w:val="13"/>
          </w:tcPr>
          <w:p>
            <w:pPr>
              <w:spacing w:after="0"/>
              <w:rPr>
                <w:sz w:val="17"/>
                <w:szCs w:val="17"/>
                <w:color w:val="auto"/>
              </w:rPr>
            </w:pPr>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9560" w:type="dxa"/>
            <w:vAlign w:val="bottom"/>
            <w:tcBorders>
              <w:bottom w:val="single" w:sz="8" w:color="0000EE"/>
            </w:tcBorders>
            <w:gridSpan w:val="20"/>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Indenture, dated as of August 6, 2019, by and between MannKind Corporation and U.S. Bank National Association (incorporated by</w:t>
              </w:r>
            </w:hyperlink>
          </w:p>
        </w:tc>
        <w:tc>
          <w:tcPr>
            <w:tcW w:w="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gridSpan w:val="28"/>
          </w:tcPr>
          <w:p>
            <w:pPr>
              <w:spacing w:after="0"/>
              <w:rPr>
                <w:rFonts w:ascii="Arial" w:cs="Arial" w:eastAsia="Arial" w:hAnsi="Arial"/>
                <w:sz w:val="18"/>
                <w:szCs w:val="18"/>
                <w:u w:val="single" w:color="auto"/>
                <w:color w:val="0000EE"/>
                <w:w w:val="97"/>
              </w:rPr>
            </w:pPr>
            <w:hyperlink r:id="rId106">
              <w:r>
                <w:rPr>
                  <w:rFonts w:ascii="Arial" w:cs="Arial" w:eastAsia="Arial" w:hAnsi="Arial"/>
                  <w:sz w:val="18"/>
                  <w:szCs w:val="18"/>
                  <w:u w:val="single" w:color="auto"/>
                  <w:color w:val="0000EE"/>
                  <w:w w:val="97"/>
                </w:rPr>
                <w:t>reference to Exhibit 4.3 to MannKind’s Current Report on Form 8-K (File No. 000-50865), filed with the SEC on August 7, 2019).</w:t>
              </w:r>
            </w:hyperlink>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0000EE"/>
                <w:w w:val="99"/>
              </w:rPr>
            </w:pPr>
            <w:hyperlink r:id="rId107">
              <w:r>
                <w:rPr>
                  <w:rFonts w:ascii="Arial" w:cs="Arial" w:eastAsia="Arial" w:hAnsi="Arial"/>
                  <w:sz w:val="18"/>
                  <w:szCs w:val="18"/>
                  <w:color w:val="0000EE"/>
                  <w:w w:val="99"/>
                </w:rPr>
                <w:t>Promissory Note due September 30, 2020 made by MannKind Corporation in favor of Bruce &amp; Co., Inc., dated August 6, 2019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960" w:type="dxa"/>
            <w:vAlign w:val="bottom"/>
            <w:tcBorders>
              <w:right w:val="single" w:sz="8" w:color="0000EE"/>
            </w:tcBorders>
            <w:gridSpan w:val="11"/>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(incorporated by reference to Exhibit 4.4 to MannKind’s Current Report on Form 8-K (File No. 000-50865), filed with the SEC on</w:t>
              </w:r>
            </w:hyperlink>
          </w:p>
        </w:tc>
        <w:tc>
          <w:tcPr>
            <w:tcW w:w="5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August 7, 2019).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960" w:type="dxa"/>
            <w:vAlign w:val="bottom"/>
            <w:gridSpan w:val="1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ind w:left="180"/>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4"/>
                <w:szCs w:val="24"/>
                <w:color w:val="auto"/>
              </w:rPr>
            </w:pPr>
          </w:p>
        </w:tc>
        <w:tc>
          <w:tcPr>
            <w:tcW w:w="9160" w:type="dxa"/>
            <w:vAlign w:val="bottom"/>
            <w:tcBorders>
              <w:bottom w:val="single" w:sz="8" w:color="0000EE"/>
            </w:tcBorders>
            <w:gridSpan w:val="12"/>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Promissory Note due December 31, 2020 made by MannKind Corporation in favor of Bruce &amp; Co., Inc., dated August 6, 2019</w:t>
              </w:r>
            </w:hyperlink>
          </w:p>
        </w:tc>
        <w:tc>
          <w:tcPr>
            <w:tcW w:w="8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(incorporated by reference to Exhibit 4.5 to MannKind’s Current Report on Form 8-K (File No. 000-50865), filed with the SEC on</w:t>
              </w:r>
            </w:hyperlink>
          </w:p>
        </w:tc>
        <w:tc>
          <w:tcPr>
            <w:tcW w:w="5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August 7, 2019).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24"/>
                <w:szCs w:val="24"/>
                <w:color w:val="auto"/>
              </w:rPr>
            </w:pPr>
          </w:p>
        </w:tc>
        <w:tc>
          <w:tcPr>
            <w:tcW w:w="9860" w:type="dxa"/>
            <w:vAlign w:val="bottom"/>
            <w:tcBorders>
              <w:bottom w:val="single" w:sz="8" w:color="0000EE"/>
            </w:tcBorders>
            <w:gridSpan w:val="25"/>
          </w:tcPr>
          <w:p>
            <w:pPr>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Convertible Promissory Note made by MannKind Corporation in favor of The Mann Group LLC, dated August 6, 2019 (incorporated by</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gridSpan w:val="28"/>
          </w:tcPr>
          <w:p>
            <w:pPr>
              <w:spacing w:after="0"/>
              <w:rPr>
                <w:rFonts w:ascii="Arial" w:cs="Arial" w:eastAsia="Arial" w:hAnsi="Arial"/>
                <w:sz w:val="18"/>
                <w:szCs w:val="18"/>
                <w:u w:val="single" w:color="auto"/>
                <w:color w:val="0000EE"/>
                <w:w w:val="97"/>
              </w:rPr>
            </w:pPr>
            <w:hyperlink r:id="rId109">
              <w:r>
                <w:rPr>
                  <w:rFonts w:ascii="Arial" w:cs="Arial" w:eastAsia="Arial" w:hAnsi="Arial"/>
                  <w:sz w:val="18"/>
                  <w:szCs w:val="18"/>
                  <w:u w:val="single" w:color="auto"/>
                  <w:color w:val="0000EE"/>
                  <w:w w:val="97"/>
                </w:rPr>
                <w:t>reference to Exhibit 4.6 to MannKind’s Current Report on Form 8-K (File No. 000-50865), filed with the SEC on August 7, 2019).</w:t>
              </w:r>
            </w:hyperlink>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24"/>
                <w:szCs w:val="24"/>
                <w:color w:val="auto"/>
              </w:rPr>
            </w:pPr>
          </w:p>
        </w:tc>
        <w:tc>
          <w:tcPr>
            <w:tcW w:w="9960" w:type="dxa"/>
            <w:vAlign w:val="bottom"/>
            <w:gridSpan w:val="28"/>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Promissory Note made by MannKind Corporation in favor of The Mann Group LLC, dated August 6, 2019 (incorporated by reference to</w:t>
              </w:r>
            </w:hyperlink>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60" w:type="dxa"/>
            <w:vAlign w:val="bottom"/>
            <w:tcBorders>
              <w:top w:val="single" w:sz="8" w:color="0000EE"/>
            </w:tcBorders>
            <w:gridSpan w:val="25"/>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Exhibit 4.7 to MannKind’s Current Report on Form 8-K (File No. 000-50865), filed with the SEC on August 7, 2019).</w:t>
              </w:r>
            </w:hyperlink>
          </w:p>
        </w:tc>
        <w:tc>
          <w:tcPr>
            <w:tcW w:w="1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24"/>
                <w:szCs w:val="24"/>
                <w:color w:val="auto"/>
              </w:rPr>
            </w:pPr>
          </w:p>
        </w:tc>
        <w:tc>
          <w:tcPr>
            <w:tcW w:w="9340" w:type="dxa"/>
            <w:vAlign w:val="bottom"/>
            <w:tcBorders>
              <w:bottom w:val="single" w:sz="8" w:color="0000EE"/>
            </w:tcBorders>
            <w:gridSpan w:val="14"/>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Promissory Note, dated April 9, 2020, by and between MannKind Corporation and JPMorgan Chase Bank, N.A. (incorporated by</w:t>
              </w:r>
            </w:hyperlink>
          </w:p>
        </w:tc>
        <w:tc>
          <w:tcPr>
            <w:tcW w:w="6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gridSpan w:val="28"/>
          </w:tcPr>
          <w:p>
            <w:pPr>
              <w:spacing w:after="0"/>
              <w:rPr>
                <w:rFonts w:ascii="Arial" w:cs="Arial" w:eastAsia="Arial" w:hAnsi="Arial"/>
                <w:sz w:val="18"/>
                <w:szCs w:val="18"/>
                <w:color w:val="0000EE"/>
                <w:w w:val="97"/>
              </w:rPr>
            </w:pPr>
            <w:hyperlink r:id="rId111">
              <w:r>
                <w:rPr>
                  <w:rFonts w:ascii="Arial" w:cs="Arial" w:eastAsia="Arial" w:hAnsi="Arial"/>
                  <w:sz w:val="18"/>
                  <w:szCs w:val="18"/>
                  <w:u w:val="single" w:color="auto"/>
                  <w:color w:val="0000EE"/>
                  <w:w w:val="97"/>
                </w:rPr>
                <w:t>reference to Exhibit 99.1 to MannKind’s Current Report on Form 8-K (File No. 000-50865), filed with the SEC on April 15, 2020)</w:t>
              </w:r>
            </w:hyperlink>
            <w:r>
              <w:rPr>
                <w:rFonts w:ascii="Arial" w:cs="Arial" w:eastAsia="Arial" w:hAnsi="Arial"/>
                <w:sz w:val="18"/>
                <w:szCs w:val="18"/>
                <w:color w:val="000000"/>
                <w:w w:val="97"/>
              </w:rPr>
              <w:t>.</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gridSpan w:val="6"/>
          </w:tcPr>
          <w:p>
            <w:pPr>
              <w:ind w:left="4260"/>
              <w:spacing w:after="0"/>
              <w:rPr>
                <w:sz w:val="20"/>
                <w:szCs w:val="20"/>
                <w:color w:val="auto"/>
              </w:rPr>
            </w:pPr>
            <w:r>
              <w:rPr>
                <w:rFonts w:ascii="Arial" w:cs="Arial" w:eastAsia="Arial" w:hAnsi="Arial"/>
                <w:sz w:val="18"/>
                <w:szCs w:val="18"/>
                <w:color w:val="auto"/>
              </w:rPr>
              <w:t>69</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96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9960" w:type="dxa"/>
            <w:vAlign w:val="bottom"/>
            <w:tcBorders>
              <w:bottom w:val="single" w:sz="8" w:color="auto"/>
            </w:tcBorders>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100"/>
              <w:spacing w:after="0"/>
              <w:rPr>
                <w:sz w:val="20"/>
                <w:szCs w:val="20"/>
                <w:color w:val="auto"/>
              </w:rPr>
            </w:pPr>
            <w:r>
              <w:rPr>
                <w:rFonts w:ascii="Arial" w:cs="Arial" w:eastAsia="Arial" w:hAnsi="Arial"/>
                <w:sz w:val="18"/>
                <w:szCs w:val="18"/>
                <w:color w:val="auto"/>
              </w:rPr>
              <w:t>10.1</w:t>
            </w:r>
          </w:p>
        </w:tc>
        <w:tc>
          <w:tcPr>
            <w:tcW w:w="9940" w:type="dxa"/>
            <w:vAlign w:val="bottom"/>
            <w:tcBorders>
              <w:bottom w:val="single" w:sz="8" w:color="0000EE"/>
            </w:tcBorders>
            <w:gridSpan w:val="10"/>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Amendment No. 2 to Credit and Security Agreement, dated August 21, 2020, by and among MannKind Corporation, MannKind LLC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6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MidCap Financial Trust (incorporated by reference to Exhibit 99.1 to MannKind’s Current Report on Form 8-K (File No. 000-50865),</w:t>
              </w:r>
            </w:hyperlink>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1"/>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filed with the SEC on August 25, 2020).</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31.1</w:t>
            </w:r>
          </w:p>
        </w:tc>
        <w:tc>
          <w:tcPr>
            <w:tcW w:w="93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Certification of the Chief Executive Officer pursuant to Rules 13a-14(a) and 15d-14(a) of the Securities Exchange Act of 1934, as</w:t>
              </w:r>
            </w:hyperlink>
          </w:p>
        </w:tc>
        <w:tc>
          <w:tcPr>
            <w:tcW w:w="6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3">
              <w:r>
                <w:rPr>
                  <w:rFonts w:ascii="Arial" w:cs="Arial" w:eastAsia="Arial" w:hAnsi="Arial"/>
                  <w:sz w:val="18"/>
                  <w:szCs w:val="18"/>
                  <w:color w:val="0000EE"/>
                  <w:w w:val="84"/>
                </w:rPr>
                <w:t>amended.</w:t>
              </w:r>
            </w:hyperlink>
          </w:p>
        </w:tc>
        <w:tc>
          <w:tcPr>
            <w:tcW w:w="9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31.2</w:t>
            </w:r>
          </w:p>
        </w:tc>
        <w:tc>
          <w:tcPr>
            <w:tcW w:w="9960" w:type="dxa"/>
            <w:vAlign w:val="bottom"/>
            <w:gridSpan w:val="11"/>
          </w:tcPr>
          <w:p>
            <w:pPr>
              <w:spacing w:after="0"/>
              <w:rPr>
                <w:rFonts w:ascii="Arial" w:cs="Arial" w:eastAsia="Arial" w:hAnsi="Arial"/>
                <w:sz w:val="18"/>
                <w:szCs w:val="18"/>
                <w:color w:val="0000EE"/>
                <w:w w:val="97"/>
              </w:rPr>
            </w:pPr>
            <w:hyperlink w:anchor="page74">
              <w:r>
                <w:rPr>
                  <w:rFonts w:ascii="Arial" w:cs="Arial" w:eastAsia="Arial" w:hAnsi="Arial"/>
                  <w:sz w:val="18"/>
                  <w:szCs w:val="18"/>
                  <w:color w:val="0000EE"/>
                  <w:w w:val="97"/>
                </w:rPr>
                <w:t>Certification of the Chief Financial Officer pursuant to Rules 13a-14(a) and 15d-14(a) of the Securities Exchange Act of 1934, as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4">
              <w:r>
                <w:rPr>
                  <w:rFonts w:ascii="Arial" w:cs="Arial" w:eastAsia="Arial" w:hAnsi="Arial"/>
                  <w:sz w:val="18"/>
                  <w:szCs w:val="18"/>
                  <w:color w:val="0000EE"/>
                  <w:w w:val="84"/>
                </w:rPr>
                <w:t>amended.</w:t>
              </w:r>
            </w:hyperlink>
          </w:p>
        </w:tc>
        <w:tc>
          <w:tcPr>
            <w:tcW w:w="8600" w:type="dxa"/>
            <w:vAlign w:val="bottom"/>
            <w:tcBorders>
              <w:top w:val="single" w:sz="8" w:color="0000EE"/>
            </w:tcBorders>
            <w:gridSpan w:val="4"/>
          </w:tcPr>
          <w:p>
            <w:pPr>
              <w:spacing w:after="0"/>
              <w:rPr>
                <w:sz w:val="17"/>
                <w:szCs w:val="17"/>
                <w:color w:val="auto"/>
              </w:rPr>
            </w:pPr>
          </w:p>
        </w:tc>
        <w:tc>
          <w:tcPr>
            <w:tcW w:w="6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32.1</w:t>
            </w:r>
          </w:p>
        </w:tc>
        <w:tc>
          <w:tcPr>
            <w:tcW w:w="93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Certification of the Chief Executive Officer pursuant to Rules 13a-14(b) and 15d-14(b) of the Securities Exchange Act of 1934, as</w:t>
              </w:r>
            </w:hyperlink>
          </w:p>
        </w:tc>
        <w:tc>
          <w:tcPr>
            <w:tcW w:w="5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1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amended and Section 1350 of Chapter 63 of Title 18 of the United States Code (18 U.S.C. §1350).</w:t>
              </w:r>
            </w:hyperlink>
          </w:p>
        </w:tc>
        <w:tc>
          <w:tcPr>
            <w:tcW w:w="28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32.2</w:t>
            </w:r>
          </w:p>
        </w:tc>
        <w:tc>
          <w:tcPr>
            <w:tcW w:w="9960" w:type="dxa"/>
            <w:vAlign w:val="bottom"/>
            <w:gridSpan w:val="11"/>
          </w:tcPr>
          <w:p>
            <w:pPr>
              <w:spacing w:after="0"/>
              <w:rPr>
                <w:rFonts w:ascii="Arial" w:cs="Arial" w:eastAsia="Arial" w:hAnsi="Arial"/>
                <w:sz w:val="18"/>
                <w:szCs w:val="18"/>
                <w:color w:val="0000EE"/>
                <w:w w:val="97"/>
              </w:rPr>
            </w:pPr>
            <w:hyperlink w:anchor="page76">
              <w:r>
                <w:rPr>
                  <w:rFonts w:ascii="Arial" w:cs="Arial" w:eastAsia="Arial" w:hAnsi="Arial"/>
                  <w:sz w:val="18"/>
                  <w:szCs w:val="18"/>
                  <w:color w:val="0000EE"/>
                  <w:w w:val="97"/>
                </w:rPr>
                <w:t>Certification of the Chief Financial Officer pursuant to Rules 13a-14(b) and 15d-14(b) of the Securities Exchange Act of 1934, as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amended and Section 1350 of Chapter 63 of Title 18 of the United States Code (18 U.S.C. §1350).</w:t>
              </w:r>
            </w:hyperlink>
          </w:p>
        </w:tc>
        <w:tc>
          <w:tcPr>
            <w:tcW w:w="6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80" w:type="dxa"/>
            <w:vAlign w:val="bottom"/>
          </w:tcPr>
          <w:p>
            <w:pPr>
              <w:ind w:left="100"/>
              <w:spacing w:after="0"/>
              <w:rPr>
                <w:sz w:val="20"/>
                <w:szCs w:val="20"/>
                <w:color w:val="auto"/>
              </w:rPr>
            </w:pPr>
            <w:r>
              <w:rPr>
                <w:rFonts w:ascii="Arial" w:cs="Arial" w:eastAsia="Arial" w:hAnsi="Arial"/>
                <w:sz w:val="18"/>
                <w:szCs w:val="18"/>
                <w:color w:val="auto"/>
              </w:rPr>
              <w:t>101</w:t>
            </w:r>
          </w:p>
        </w:tc>
        <w:tc>
          <w:tcPr>
            <w:tcW w:w="70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Interactive Data Files pursuant to Rule 405 of Regulation S-T.</w:t>
            </w:r>
          </w:p>
        </w:tc>
        <w:tc>
          <w:tcPr>
            <w:tcW w:w="28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80" w:hanging="1182"/>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cover page has been formatted in Inline XBRL.</w:t>
      </w:r>
    </w:p>
    <w:p>
      <w:pPr>
        <w:spacing w:after="0" w:line="252"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______________________</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 November 4, 2020</w:t>
      </w:r>
      <w:r>
        <w:rPr>
          <w:sz w:val="20"/>
          <w:szCs w:val="20"/>
          <w:color w:val="auto"/>
        </w:rPr>
        <w:tab/>
      </w:r>
      <w:r>
        <w:rPr>
          <w:rFonts w:ascii="Arial" w:cs="Arial" w:eastAsia="Arial" w:hAnsi="Arial"/>
          <w:sz w:val="17"/>
          <w:szCs w:val="17"/>
          <w:color w:val="auto"/>
        </w:rPr>
        <w:t>MANNKIND CORPORATION</w:t>
      </w:r>
    </w:p>
    <w:p>
      <w:pPr>
        <w:spacing w:after="0" w:line="252"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(on behalf of the registrant and as the registrant’s Principal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Officer)</w:t>
      </w:r>
    </w:p>
    <w:p>
      <w:pPr>
        <w:spacing w:after="0" w:line="238"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337" w:right="3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E. Castagna, certify that:</w:t>
      </w:r>
    </w:p>
    <w:p>
      <w:pPr>
        <w:spacing w:after="0" w:line="225"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2020 of MannKind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308"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2020</w:t>
      </w:r>
    </w:p>
    <w:p>
      <w:pPr>
        <w:sectPr>
          <w:pgSz w:w="11900" w:h="16838" w:orient="portrait"/>
          <w:cols w:equalWidth="0" w:num="1">
            <w:col w:w="11240"/>
          </w:cols>
          <w:pgMar w:left="320" w:top="33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B. Binder, certify that:</w:t>
      </w:r>
    </w:p>
    <w:p>
      <w:pPr>
        <w:spacing w:after="0" w:line="225"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2020 of MannKind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308"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2020</w:t>
      </w:r>
    </w:p>
    <w:p>
      <w:pPr>
        <w:sectPr>
          <w:pgSz w:w="11900" w:h="16838" w:orient="portrait"/>
          <w:cols w:equalWidth="0" w:num="1">
            <w:col w:w="11240"/>
          </w:cols>
          <w:pgMar w:left="320" w:top="33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September 30, 2020,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68"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4th day of November,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220" w:right="20" w:hanging="212"/>
        <w:spacing w:after="0" w:line="286"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September 30, 2020,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68"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4th day of November,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left="260" w:right="180" w:hanging="252"/>
        <w:spacing w:after="0" w:line="311" w:lineRule="auto"/>
        <w:tabs>
          <w:tab w:leader="none" w:pos="260" w:val="left"/>
        </w:tabs>
        <w:numPr>
          <w:ilvl w:val="0"/>
          <w:numId w:val="38"/>
        </w:numPr>
        <w:rPr>
          <w:rFonts w:ascii="Arial" w:cs="Arial" w:eastAsia="Arial" w:hAnsi="Arial"/>
          <w:sz w:val="13"/>
          <w:szCs w:val="13"/>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endash "/>
      <w:numFmt w:val="bullet"/>
      <w:start w:val="1"/>
    </w:lvl>
  </w:abstractNum>
  <w:abstractNum w:abstractNumId="4">
    <w:nsid w:val="333AB105"/>
    <w:multiLevelType w:val="hybridMultilevel"/>
    <w:lvl w:ilvl="0">
      <w:lvlJc w:val="left"/>
      <w:lvlText w:val="%1"/>
      <w:numFmt w:val="upperLetter"/>
      <w:start w:val="68"/>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decimal"/>
      <w:start w:val="104"/>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decimal"/>
      <w:start w:val="5"/>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5"/>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bullet"/>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95" Type="http://schemas.openxmlformats.org/officeDocument/2006/relationships/hyperlink" Target="http://www.sec.gov/Archives/edgar/data/899460/000119312516676980/d225552dex31.htm" TargetMode="External"/><Relationship Id="rId96" Type="http://schemas.openxmlformats.org/officeDocument/2006/relationships/hyperlink" Target="http://www.sec.gov/Archives/edgar/data/899460/000119312517066630/d313758dex31.htm" TargetMode="External"/><Relationship Id="rId97" Type="http://schemas.openxmlformats.org/officeDocument/2006/relationships/hyperlink" Target="http://www.sec.gov/Archives/edgar/data/899460/000119312517368329/d511527dex31.htm" TargetMode="External"/><Relationship Id="rId98" Type="http://schemas.openxmlformats.org/officeDocument/2006/relationships/hyperlink" Target="http://www.sec.gov/Archives/edgar/data/899460/000119312520153051/d936164dex31.htm" TargetMode="External"/><Relationship Id="rId99" Type="http://schemas.openxmlformats.org/officeDocument/2006/relationships/hyperlink" Target="http://www.sec.gov/Archives/edgar/data/899460/000119312520153051/d936164dex32.htm" TargetMode="External"/><Relationship Id="rId100" Type="http://schemas.openxmlformats.org/officeDocument/2006/relationships/hyperlink" Target="http://www.sec.gov/Archives/edgar/data/899460/000119312517085519/d305327dex42.htm" TargetMode="External"/><Relationship Id="rId101" Type="http://schemas.openxmlformats.org/officeDocument/2006/relationships/hyperlink" Target="http://www.sec.gov/Archives/edgar/data/899460/000119312513279522/d562665dex993.htm" TargetMode="External"/><Relationship Id="rId102" Type="http://schemas.openxmlformats.org/officeDocument/2006/relationships/hyperlink" Target="http://www.sec.gov/Archives/edgar/data/899460/000119312516505366/d107849dex417.htm" TargetMode="External"/><Relationship Id="rId103" Type="http://schemas.openxmlformats.org/officeDocument/2006/relationships/hyperlink" Target="http://www.sec.gov/Archives/edgar/data/899460/000119312518354835/d668953dex41.htm" TargetMode="External"/><Relationship Id="rId104" Type="http://schemas.openxmlformats.org/officeDocument/2006/relationships/hyperlink" Target="http://www.sec.gov/Archives/edgar/data/899460/000119312519321379/d839460dex41.htm" TargetMode="External"/><Relationship Id="rId105" Type="http://schemas.openxmlformats.org/officeDocument/2006/relationships/hyperlink" Target="http://www.sec.gov/Archives/edgar/data/899460/000119312519215305/d757696dex41.htm" TargetMode="External"/><Relationship Id="rId106" Type="http://schemas.openxmlformats.org/officeDocument/2006/relationships/hyperlink" Target="http://www.sec.gov/Archives/edgar/data/899460/000119312519215305/d757696dex43.htm" TargetMode="External"/><Relationship Id="rId107" Type="http://schemas.openxmlformats.org/officeDocument/2006/relationships/hyperlink" Target="http://www.sec.gov/Archives/edgar/data/899460/000119312519215305/d757696dex44.htm" TargetMode="External"/><Relationship Id="rId108" Type="http://schemas.openxmlformats.org/officeDocument/2006/relationships/hyperlink" Target="http://www.sec.gov/Archives/edgar/data/899460/000119312519215305/d757696dex45.htm" TargetMode="External"/><Relationship Id="rId109" Type="http://schemas.openxmlformats.org/officeDocument/2006/relationships/hyperlink" Target="http://www.sec.gov/Archives/edgar/data/899460/000119312519215305/d757696dex46.htm" TargetMode="External"/><Relationship Id="rId110" Type="http://schemas.openxmlformats.org/officeDocument/2006/relationships/hyperlink" Target="http://www.sec.gov/Archives/edgar/data/899460/000119312519215305/d757696dex47.htm" TargetMode="External"/><Relationship Id="rId111" Type="http://schemas.openxmlformats.org/officeDocument/2006/relationships/hyperlink" Target="http://www.sec.gov/Archives/edgar/data/899460/000119312520107670/d895756dex991.htm" TargetMode="External"/><Relationship Id="rId114" Type="http://schemas.openxmlformats.org/officeDocument/2006/relationships/hyperlink" Target="http://www.sec.gov/Archives/edgar/data/0000899460/000119312520230054/d53673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2020-11-04T15:35:25Z</dcterms:created>
  <dcterms:modified xsi:type="dcterms:W3CDTF">2020-11-04T15:35:25Z</dcterms:modified>
</cp:coreProperties>
</file>