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December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000-50865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13-3607736</w:t>
      </w:r>
    </w:p>
    <w:p>
      <w:pPr>
        <w:spacing w:after="0" w:line="31" w:lineRule="exact"/>
        <w:rPr>
          <w:sz w:val="24"/>
          <w:szCs w:val="24"/>
          <w:color w:val="auto"/>
        </w:rPr>
      </w:pPr>
    </w:p>
    <w:p>
      <w:pPr>
        <w:sectPr>
          <w:pgSz w:w="11900" w:h="16838" w:orient="portrait"/>
          <w:cols w:equalWidth="0" w:num="3">
            <w:col w:w="4520" w:space="720"/>
            <w:col w:w="2860" w:space="720"/>
            <w:col w:w="2040"/>
          </w:cols>
          <w:pgMar w:left="440" w:top="368" w:right="59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160"/>
          </w:cols>
          <w:pgMar w:left="440" w:top="368" w:right="599" w:bottom="1440" w:gutter="0" w:footer="0" w:header="0"/>
          <w:type w:val="continuous"/>
        </w:sectPr>
      </w:pPr>
    </w:p>
    <w:p>
      <w:pPr>
        <w:spacing w:after="0" w:line="44"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30930 Russell Ranch Road, Suite 300</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Westlake Village, California</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91362</w:t>
      </w:r>
    </w:p>
    <w:p>
      <w:pPr>
        <w:spacing w:after="0" w:line="50" w:lineRule="exact"/>
        <w:rPr>
          <w:sz w:val="24"/>
          <w:szCs w:val="24"/>
          <w:color w:val="auto"/>
        </w:rPr>
      </w:pPr>
    </w:p>
    <w:p>
      <w:pPr>
        <w:sectPr>
          <w:pgSz w:w="11900" w:h="16838" w:orient="portrait"/>
          <w:cols w:equalWidth="0" w:num="2">
            <w:col w:w="7400" w:space="720"/>
            <w:col w:w="2740"/>
          </w:cols>
          <w:pgMar w:left="440" w:top="368" w:right="59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2840"/>
          </w:cols>
          <w:pgMar w:left="440" w:top="368" w:right="5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(818) 661-5000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 A.2. of Form 8-K):</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19, 2018, we entered into an underwriting agreement (the “Underwriting Agreement”) with Leerink Partners LLC, as representative of the several underwriters named therein (collectively, the “Underwriters”), relating to the issuance and sale in a public offering of 26,666,667 shares of our common stock, par value $0.01 per share (the “Common Shares”) and warrants to purchase up to an aggregate of 26,666,667 Common Shares (the “Warrants”). The combined price to the public in the offering for each Common Share and accompanying Warrant is $1.50. Each Warrant will have an exercise price of $1.60 per share, will be exercisable immediately and will expire on the 12-month anniversary of the date of issuance. The Common Shares and Warrants can only be purchased together but will be issued separately and will be immediately separable upon issuance. The net proceeds to us from the offering are expected to be approximately $37.3 million, after deducting the underwriting discounts and commissions and estimated offering expenses payable by us, and excluding any proceeds we may receive upon exercise of the Warrants. The closing of the offering is expected to occur on December 26, 2018, subject to customary closing conditions.</w:t>
      </w:r>
    </w:p>
    <w:p>
      <w:pPr>
        <w:spacing w:after="0" w:line="18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agreements by us, customary conditions to closing, indemnification obligations of us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offering is being made pursuant to our registration statement on Form S-3 (Registration Statement No. 333-210792), previously filed with the Securities and Exchange Commission (“SEC”) and declared effective by the SEC on April 27, 2016, and a prospectus supplement thereunder. Copies of the Underwriting Agreement and form of Warrant are filed as Exhibits 1.1 and 4.1 to this report, respectively. The foregoing descriptions of the Underwriting Agreement and Warrant do not purport to be complete and are qualified in their entirety by reference to such exhibits. A copy of the opinion of Cooley LLP relating to the legality of the issuance and sale of the shares in the offering is attached to this report as Exhibit 5.1.</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December 19, 2018, we issued a press release announcing the offering and a press release announcing that we had priced the offering. Copies of these press releases are attached to this report as Exhibit 99.1 and Exhibit 99.2,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Statements in this report that are not strictly historical in nature, including statements regarding our expectations with respect to our public offering of Common Shares and Warrants, including the anticipated closing date, the anticipated net proceeds to us from the offering and our anticipated use of the net proceeds from the offering, are forward-looking statements. These statements are only predictions based on current information and expectations and involve a number of risks and uncertainties. Actual events or results may differ materially from those projected in any of such statements due to various factors, including market risks and uncertainties and the satisfaction of customary closing conditions for an offering of securities. For a discussion of these and other factors, please refer to our quarterly report on Form 10-Q for the quarter ended September 30, 2018 as well as our subsequent filings with the SEC. You are cautioned not to place undue reliance on these forward-looking statements, which speak only as of the date hereof. This caution is made under the safe harbor provisions of the Private Securities Litigation Reform Act of 1995. All forward-looking statements are qualified in their entirety by this cautionary statement and we undertake no obligation to revise or update this report to reflect events or circumstances after the date hereof, except as required by law.</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0" w:type="dxa"/>
            <w:vAlign w:val="bottom"/>
            <w:gridSpan w:val="5"/>
            <w:vMerge w:val="restart"/>
          </w:tcPr>
          <w:p>
            <w:pPr>
              <w:ind w:left="1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Underwriting Agreement, dated December 19, 2018, by and between MannKind Corporation and Leerink Partners LLC, as representative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Arial" w:cs="Arial" w:eastAsia="Arial" w:hAnsi="Arial"/>
                <w:sz w:val="18"/>
                <w:szCs w:val="18"/>
                <w:color w:val="0000EE"/>
              </w:rPr>
              <w:t>of the several underwriters named therein</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30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Form of Common Stock Purchase Warrant</w:t>
            </w:r>
          </w:p>
        </w:tc>
        <w:tc>
          <w:tcPr>
            <w:tcW w:w="68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0000EE"/>
              </w:rPr>
              <w:t>Opinion of Cooley LLP</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35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6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71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Press Release, dated December 19, 2018, titled “MannKind Announces Proposed Public Offering”</w:t>
            </w:r>
          </w:p>
        </w:tc>
        <w:tc>
          <w:tcPr>
            <w:tcW w:w="2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 xml:space="preserve">Press Release, dated December 19, 2018, titled “MannKind Announces Pricing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40 Million Public Offering”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70" w:right="5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December 20, 2018</w:t>
      </w:r>
      <w:r>
        <w:rPr>
          <w:sz w:val="20"/>
          <w:szCs w:val="20"/>
          <w:color w:val="auto"/>
        </w:rPr>
        <w:tab/>
      </w: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David Thomson, Ph.D., J.D.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Thomson,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Vice President, General Counsel and Secretary</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26,666,667 Shares of Common Stock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up to 26,666,667 Shares of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December 19,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MannKind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confirms its agreement with Leerink Partners LLC (“</w:t>
      </w:r>
      <w:r>
        <w:rPr>
          <w:rFonts w:ascii="Arial" w:cs="Arial" w:eastAsia="Arial" w:hAnsi="Arial"/>
          <w:sz w:val="17"/>
          <w:szCs w:val="17"/>
          <w:u w:val="single" w:color="auto"/>
          <w:color w:val="auto"/>
        </w:rPr>
        <w:t>Leerink</w:t>
      </w:r>
      <w:r>
        <w:rPr>
          <w:rFonts w:ascii="Arial" w:cs="Arial" w:eastAsia="Arial" w:hAnsi="Arial"/>
          <w:sz w:val="17"/>
          <w:szCs w:val="17"/>
          <w:color w:val="auto"/>
        </w:rPr>
        <w:t xml:space="preserve">”) and each of the other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which term shall also include any underwriter substituted as hereinafter provided in Section 10 hereof), for which Leerink is acting as representative (in such capacity, the “</w:t>
      </w:r>
      <w:r>
        <w:rPr>
          <w:rFonts w:ascii="Arial" w:cs="Arial" w:eastAsia="Arial" w:hAnsi="Arial"/>
          <w:sz w:val="17"/>
          <w:szCs w:val="17"/>
          <w:u w:val="single" w:color="auto"/>
          <w:color w:val="auto"/>
        </w:rPr>
        <w:t>Representative</w:t>
      </w:r>
      <w:r>
        <w:rPr>
          <w:rFonts w:ascii="Arial" w:cs="Arial" w:eastAsia="Arial" w:hAnsi="Arial"/>
          <w:sz w:val="17"/>
          <w:szCs w:val="17"/>
          <w:color w:val="auto"/>
        </w:rPr>
        <w:t>”), with respect to the sale by the Company and the purchase by the Underwriters, acting severally and not jointly, of an aggregate of 26,666,667 units (the “</w:t>
      </w:r>
      <w:r>
        <w:rPr>
          <w:rFonts w:ascii="Arial" w:cs="Arial" w:eastAsia="Arial" w:hAnsi="Arial"/>
          <w:sz w:val="17"/>
          <w:szCs w:val="17"/>
          <w:u w:val="single" w:color="auto"/>
          <w:color w:val="auto"/>
        </w:rPr>
        <w:t>Units</w:t>
      </w:r>
      <w:r>
        <w:rPr>
          <w:rFonts w:ascii="Arial" w:cs="Arial" w:eastAsia="Arial" w:hAnsi="Arial"/>
          <w:sz w:val="17"/>
          <w:szCs w:val="17"/>
          <w:color w:val="auto"/>
        </w:rPr>
        <w:t>”), each of which Unit shall consist of (i) one share of common stock, $0.01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(the shares of Common Stock constituting a part of the Units, collectively,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and (ii) a warrant of the Company,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to purchase one share of Common Stock (such warrants constituting a part of the Units, collectively, the “</w:t>
      </w:r>
      <w:r>
        <w:rPr>
          <w:rFonts w:ascii="Arial" w:cs="Arial" w:eastAsia="Arial" w:hAnsi="Arial"/>
          <w:sz w:val="17"/>
          <w:szCs w:val="17"/>
          <w:u w:val="single" w:color="auto"/>
          <w:color w:val="auto"/>
        </w:rPr>
        <w:t>Warrants</w:t>
      </w:r>
      <w:r>
        <w:rPr>
          <w:rFonts w:ascii="Arial" w:cs="Arial" w:eastAsia="Arial" w:hAnsi="Arial"/>
          <w:sz w:val="17"/>
          <w:szCs w:val="17"/>
          <w:color w:val="auto"/>
        </w:rPr>
        <w:t>,” and such Warrants, together with the Shares,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in the respective amounts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used herein, “</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issuable upon exercise of the Warrants.</w:t>
      </w:r>
    </w:p>
    <w:p>
      <w:pPr>
        <w:spacing w:after="0" w:line="18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 deems advisable after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has been executed and delivered.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shelf registration statement on Form S-3 (No.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333-210792), covering the public offering and sale of certain securities, including the Securities,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and the rules and regulations of the Commission promulgated thereunder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 which shelf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declared effective on April 27, 2016. Such registration statement, as of any time, means such registration statement as amended by any post-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amendments thereto to such time, including the exhibits and any schedules thereto at such time, the documents incorporated or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therein at such time pursuant to Item 12 of Form S-3 under the 1933 Act and the documents otherwise deemed to be a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as of such time pursuant to Rule 430B under the 1933 Act Regulations (“</w:t>
      </w:r>
      <w:r>
        <w:rPr>
          <w:rFonts w:ascii="Arial" w:cs="Arial" w:eastAsia="Arial" w:hAnsi="Arial"/>
          <w:sz w:val="17"/>
          <w:szCs w:val="17"/>
          <w:u w:val="single" w:color="auto"/>
          <w:color w:val="auto"/>
        </w:rPr>
        <w:t>Rule 430B</w:t>
      </w:r>
      <w:r>
        <w:rPr>
          <w:rFonts w:ascii="Arial" w:cs="Arial" w:eastAsia="Arial" w:hAnsi="Arial"/>
          <w:sz w:val="17"/>
          <w:szCs w:val="17"/>
          <w:color w:val="auto"/>
        </w:rPr>
        <w:t>”), is referred to herein as the “Registration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the “Registration Statement” without reference to a time means such registration statement as amended by</w:t>
      </w:r>
    </w:p>
    <w:p>
      <w:pPr>
        <w:sectPr>
          <w:pgSz w:w="11900" w:h="16838" w:orient="portrait"/>
          <w:cols w:equalWidth="0" w:num="1">
            <w:col w:w="11020"/>
          </w:cols>
          <w:pgMar w:left="440" w:top="121" w:right="4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Arial" w:cs="Arial" w:eastAsia="Arial" w:hAnsi="Arial"/>
          <w:sz w:val="16"/>
          <w:szCs w:val="16"/>
          <w:u w:val="single" w:color="auto"/>
          <w:color w:val="auto"/>
        </w:rPr>
        <w:t>Rule 462(b) Registration Statement</w:t>
      </w:r>
      <w:r>
        <w:rPr>
          <w:rFonts w:ascii="Arial" w:cs="Arial" w:eastAsia="Arial" w:hAnsi="Arial"/>
          <w:sz w:val="16"/>
          <w:szCs w:val="16"/>
          <w:color w:val="auto"/>
        </w:rPr>
        <w:t>” and, after such filing, the term “Registration Statement” as used herein shall include any such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Arial" w:cs="Arial" w:eastAsia="Arial" w:hAnsi="Arial"/>
          <w:sz w:val="16"/>
          <w:szCs w:val="16"/>
          <w:u w:val="single" w:color="auto"/>
          <w:color w:val="auto"/>
        </w:rPr>
        <w:t>Rule 424(b)</w:t>
      </w:r>
      <w:r>
        <w:rPr>
          <w:rFonts w:ascii="Arial" w:cs="Arial" w:eastAsia="Arial" w:hAnsi="Arial"/>
          <w:sz w:val="16"/>
          <w:szCs w:val="16"/>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left="440" w:right="3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6:30 P.M., New York City time, on December 19, 2018 or such other time as agreed by the Company and the Representative.</w:t>
      </w:r>
    </w:p>
    <w:p>
      <w:pPr>
        <w:spacing w:after="0" w:line="62" w:lineRule="exact"/>
        <w:rPr>
          <w:sz w:val="20"/>
          <w:szCs w:val="20"/>
          <w:color w:val="auto"/>
        </w:rPr>
      </w:pPr>
    </w:p>
    <w:p>
      <w:pPr>
        <w:ind w:left="440" w:right="58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xml:space="preserve">” means any Issuer General Use Free Writing Prospectuses (as defined below)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7"/>
          <w:szCs w:val="17"/>
          <w:u w:val="single" w:color="auto"/>
          <w:color w:val="auto"/>
        </w:rPr>
        <w:t>Schedule B-1</w:t>
      </w:r>
      <w:r>
        <w:rPr>
          <w:rFonts w:ascii="Arial" w:cs="Arial" w:eastAsia="Arial" w:hAnsi="Arial"/>
          <w:sz w:val="17"/>
          <w:szCs w:val="17"/>
          <w:color w:val="auto"/>
        </w:rPr>
        <w:t xml:space="preserve"> hereto, all considered together.</w:t>
      </w:r>
    </w:p>
    <w:p>
      <w:pPr>
        <w:spacing w:after="0" w:line="57" w:lineRule="exact"/>
        <w:rPr>
          <w:sz w:val="20"/>
          <w:szCs w:val="20"/>
          <w:color w:val="auto"/>
        </w:rPr>
      </w:pPr>
    </w:p>
    <w:p>
      <w:pPr>
        <w:ind w:left="44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w:t>
      </w:r>
      <w:r>
        <w:rPr>
          <w:rFonts w:ascii="Arial" w:cs="Arial" w:eastAsia="Arial" w:hAnsi="Arial"/>
          <w:sz w:val="18"/>
          <w:szCs w:val="18"/>
          <w:u w:val="single" w:color="auto"/>
          <w:color w:val="auto"/>
        </w:rPr>
        <w:t>Rule 433</w:t>
      </w:r>
      <w:r>
        <w:rPr>
          <w:rFonts w:ascii="Arial" w:cs="Arial" w:eastAsia="Arial" w:hAnsi="Arial"/>
          <w:sz w:val="18"/>
          <w:szCs w:val="18"/>
          <w:color w:val="auto"/>
        </w:rPr>
        <w:t>”) of the 1933 Act Regulations, including without limitation any “free writing prospectus” (as defined in Rule 405 (“</w:t>
      </w:r>
      <w:r>
        <w:rPr>
          <w:rFonts w:ascii="Arial" w:cs="Arial" w:eastAsia="Arial" w:hAnsi="Arial"/>
          <w:sz w:val="18"/>
          <w:szCs w:val="18"/>
          <w:u w:val="single" w:color="auto"/>
          <w:color w:val="auto"/>
        </w:rPr>
        <w:t>Rule 405</w:t>
      </w:r>
      <w:r>
        <w:rPr>
          <w:rFonts w:ascii="Arial" w:cs="Arial" w:eastAsia="Arial" w:hAnsi="Arial"/>
          <w:sz w:val="18"/>
          <w:szCs w:val="18"/>
          <w:color w:val="auto"/>
        </w:rPr>
        <w:t>”) of the 1933 Act Regulations)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ind w:left="440" w:right="1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General Use Free Writing Prospectus</w:t>
      </w:r>
      <w:r>
        <w:rPr>
          <w:rFonts w:ascii="Arial" w:cs="Arial" w:eastAsia="Arial" w:hAnsi="Arial"/>
          <w:sz w:val="18"/>
          <w:szCs w:val="18"/>
          <w:color w:val="auto"/>
        </w:rPr>
        <w:t>”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as evidenced by its being specified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w:t>
      </w:r>
    </w:p>
    <w:p>
      <w:pPr>
        <w:spacing w:after="0" w:line="73" w:lineRule="exact"/>
        <w:rPr>
          <w:sz w:val="20"/>
          <w:szCs w:val="20"/>
          <w:color w:val="auto"/>
        </w:rPr>
      </w:pPr>
    </w:p>
    <w:p>
      <w:pPr>
        <w:ind w:left="440"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Limited Use Free Writing Prospectus</w:t>
      </w:r>
      <w:r>
        <w:rPr>
          <w:rFonts w:ascii="Arial" w:cs="Arial" w:eastAsia="Arial" w:hAnsi="Arial"/>
          <w:sz w:val="18"/>
          <w:szCs w:val="18"/>
          <w:color w:val="auto"/>
        </w:rPr>
        <w:t>” means any Issuer Free Writing Prospectus that is not an Issuer General Use Free Writing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references in this Agreement to financial statements, schedules and other information which is “contained,” “included” or “stated” (or other references of like import) in the Registration Statement, any preliminary prospectus or the Prospectus shall be deemed to include all such financial statements,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Arial" w:cs="Arial" w:eastAsia="Arial" w:hAnsi="Arial"/>
          <w:sz w:val="17"/>
          <w:szCs w:val="17"/>
          <w:u w:val="single" w:color="auto"/>
          <w:color w:val="auto"/>
        </w:rPr>
        <w:t>1934 Act</w:t>
      </w:r>
      <w:r>
        <w:rPr>
          <w:rFonts w:ascii="Arial" w:cs="Arial" w:eastAsia="Arial" w:hAnsi="Arial"/>
          <w:sz w:val="17"/>
          <w:szCs w:val="17"/>
          <w:color w:val="auto"/>
        </w:rPr>
        <w:t>”), incorporated or deemed to be incorporated by reference in the Registration Statement, such preliminary prospectus or the Prospectus, as the case may be, at or after the execution and delivery of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660" w:firstLine="444"/>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as of the date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and the Closing Time (as defined below), and agrees with each Underwriter, as follows:</w:t>
      </w:r>
    </w:p>
    <w:p>
      <w:pPr>
        <w:spacing w:after="0" w:line="62" w:lineRule="exact"/>
        <w:rPr>
          <w:rFonts w:ascii="Arial" w:cs="Arial" w:eastAsia="Arial" w:hAnsi="Arial"/>
          <w:sz w:val="18"/>
          <w:szCs w:val="18"/>
          <w:color w:val="auto"/>
        </w:rPr>
      </w:pPr>
    </w:p>
    <w:p>
      <w:pPr>
        <w:ind w:left="440" w:right="220" w:firstLine="428"/>
        <w:spacing w:after="0" w:line="273" w:lineRule="auto"/>
        <w:tabs>
          <w:tab w:leader="none" w:pos="1078"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70" w:lineRule="exact"/>
        <w:rPr>
          <w:sz w:val="20"/>
          <w:szCs w:val="20"/>
          <w:color w:val="auto"/>
        </w:rPr>
      </w:pPr>
    </w:p>
    <w:p>
      <w:pPr>
        <w:ind w:left="440" w:right="80" w:firstLine="423"/>
        <w:spacing w:after="0" w:line="255" w:lineRule="auto"/>
        <w:rPr>
          <w:sz w:val="20"/>
          <w:szCs w:val="20"/>
          <w:color w:val="auto"/>
        </w:rPr>
      </w:pPr>
      <w:r>
        <w:rPr>
          <w:rFonts w:ascii="Arial" w:cs="Arial" w:eastAsia="Arial" w:hAnsi="Arial"/>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81" w:lineRule="exact"/>
        <w:rPr>
          <w:sz w:val="20"/>
          <w:szCs w:val="20"/>
          <w:color w:val="auto"/>
        </w:rPr>
      </w:pPr>
    </w:p>
    <w:p>
      <w:pPr>
        <w:ind w:left="440" w:right="40" w:firstLine="423"/>
        <w:spacing w:after="0" w:line="286" w:lineRule="auto"/>
        <w:rPr>
          <w:sz w:val="20"/>
          <w:szCs w:val="20"/>
          <w:color w:val="auto"/>
        </w:rPr>
      </w:pPr>
      <w:r>
        <w:rPr>
          <w:rFonts w:ascii="Arial" w:cs="Arial" w:eastAsia="Arial" w:hAnsi="Arial"/>
          <w:sz w:val="17"/>
          <w:szCs w:val="17"/>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Arial" w:cs="Arial" w:eastAsia="Arial" w:hAnsi="Arial"/>
          <w:sz w:val="17"/>
          <w:szCs w:val="17"/>
          <w:u w:val="single" w:color="auto"/>
          <w:color w:val="auto"/>
        </w:rPr>
        <w:t>1934 Act Regulations</w:t>
      </w:r>
      <w:r>
        <w:rPr>
          <w:rFonts w:ascii="Arial" w:cs="Arial" w:eastAsia="Arial" w:hAnsi="Arial"/>
          <w:sz w:val="17"/>
          <w:szCs w:val="17"/>
          <w:color w:val="auto"/>
        </w:rPr>
        <w:t>”).</w:t>
      </w:r>
    </w:p>
    <w:p>
      <w:pPr>
        <w:spacing w:after="0" w:line="57" w:lineRule="exact"/>
        <w:rPr>
          <w:sz w:val="20"/>
          <w:szCs w:val="20"/>
          <w:color w:val="auto"/>
        </w:rPr>
      </w:pPr>
    </w:p>
    <w:p>
      <w:pPr>
        <w:ind w:left="440" w:right="140" w:firstLine="423"/>
        <w:spacing w:after="0" w:line="264" w:lineRule="auto"/>
        <w:rPr>
          <w:sz w:val="20"/>
          <w:szCs w:val="20"/>
          <w:color w:val="auto"/>
        </w:rPr>
      </w:pPr>
      <w:r>
        <w:rPr>
          <w:rFonts w:ascii="Arial" w:cs="Arial" w:eastAsia="Arial" w:hAnsi="Arial"/>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 w:name="page8"/>
    <w:bookmarkEnd w:id="7"/>
    <w:p>
      <w:pPr>
        <w:ind w:right="20" w:firstLine="428"/>
        <w:spacing w:after="0" w:line="288" w:lineRule="auto"/>
        <w:tabs>
          <w:tab w:leader="none" w:pos="688"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Accurate Disclosure</w:t>
      </w:r>
      <w:r>
        <w:rPr>
          <w:rFonts w:ascii="Arial" w:cs="Arial" w:eastAsia="Arial" w:hAnsi="Arial"/>
          <w:sz w:val="16"/>
          <w:szCs w:val="16"/>
          <w:color w:val="auto"/>
        </w:rPr>
        <w:t>. Neither the Registration Statement nor any amendment thereto, at its effective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or</w:t>
      </w:r>
    </w:p>
    <w:p>
      <w:pPr>
        <w:ind w:firstLine="4"/>
        <w:spacing w:after="0" w:line="267" w:lineRule="auto"/>
        <w:tabs>
          <w:tab w:leader="none" w:pos="28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79" w:lineRule="exact"/>
        <w:rPr>
          <w:sz w:val="20"/>
          <w:szCs w:val="20"/>
          <w:color w:val="auto"/>
        </w:rPr>
      </w:pPr>
    </w:p>
    <w:p>
      <w:pPr>
        <w:ind w:right="140" w:firstLine="423"/>
        <w:spacing w:after="0" w:line="272" w:lineRule="auto"/>
        <w:rPr>
          <w:sz w:val="20"/>
          <w:szCs w:val="20"/>
          <w:color w:val="auto"/>
        </w:rPr>
      </w:pPr>
      <w:r>
        <w:rPr>
          <w:rFonts w:ascii="Arial" w:cs="Arial" w:eastAsia="Arial" w:hAnsi="Arial"/>
          <w:sz w:val="17"/>
          <w:szCs w:val="17"/>
          <w:color w:val="auto"/>
        </w:rPr>
        <w:t>The representations and warranties in this Section 1(a)(ii)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the first sentence under the heading “Underwriting—Commissions and Discounts,” the information in the second and third paragraphs under the heading “Underwriting—Price Stabilization, Short Positions and Penalty Bids” and the information under the heading “Underwriting—Electronic Distribution,” in each case contained in the Prospectus (collectively, the “</w:t>
      </w:r>
      <w:r>
        <w:rPr>
          <w:rFonts w:ascii="Arial" w:cs="Arial" w:eastAsia="Arial" w:hAnsi="Arial"/>
          <w:sz w:val="17"/>
          <w:szCs w:val="17"/>
          <w:u w:val="single" w:color="auto"/>
          <w:color w:val="auto"/>
        </w:rPr>
        <w:t>Underwriter Information</w:t>
      </w:r>
      <w:r>
        <w:rPr>
          <w:rFonts w:ascii="Arial" w:cs="Arial" w:eastAsia="Arial" w:hAnsi="Arial"/>
          <w:sz w:val="17"/>
          <w:szCs w:val="17"/>
          <w:color w:val="auto"/>
        </w:rPr>
        <w:t>”).</w:t>
      </w:r>
    </w:p>
    <w:p>
      <w:pPr>
        <w:spacing w:after="0" w:line="70" w:lineRule="exact"/>
        <w:rPr>
          <w:sz w:val="20"/>
          <w:szCs w:val="20"/>
          <w:color w:val="auto"/>
        </w:rPr>
      </w:pPr>
    </w:p>
    <w:p>
      <w:pPr>
        <w:ind w:right="20" w:firstLine="428"/>
        <w:spacing w:after="0" w:line="270" w:lineRule="auto"/>
        <w:tabs>
          <w:tab w:leader="none" w:pos="73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the Prospectus, including any document incorporated by reference therein, or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has been, or will be, filed with the Commission in accordance with the requirements of the 1933 Act and the 1933 Act Regulations. Each Issuer Free Writing Prospectus that the Company has filed, or is required to file, pursuant to Rule 433(d), or that was prepared by or on behalf of or used or referred to by the Company, complies or will comply in all material respects with the requirements of the 1933 Act and the 1933 Act Regulations. Except for the Issuer General Use Free Writing Prospectuses, if any, and electronic road shows, if any, each furnished to the Representative before first use, the Company has not prepared, used or referred to, and will not, without the prior consent of the Representative, prepare, use or refer to, any “issuer free writing prospectus” (as defined in Rule 433).</w:t>
      </w:r>
    </w:p>
    <w:p>
      <w:pPr>
        <w:spacing w:after="0" w:line="69" w:lineRule="exact"/>
        <w:rPr>
          <w:rFonts w:ascii="Arial" w:cs="Arial" w:eastAsia="Arial" w:hAnsi="Arial"/>
          <w:sz w:val="17"/>
          <w:szCs w:val="17"/>
          <w:color w:val="auto"/>
        </w:rPr>
      </w:pPr>
    </w:p>
    <w:p>
      <w:pPr>
        <w:ind w:right="20" w:firstLine="428"/>
        <w:spacing w:after="0" w:line="257"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xml:space="preserve">. At the time of filing the Registration Statement and any post-effective amendments thereto,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8" w:name="page9"/>
    <w:bookmarkEnd w:id="8"/>
    <w:p>
      <w:pPr>
        <w:ind w:right="100" w:firstLine="428"/>
        <w:spacing w:after="0" w:line="291" w:lineRule="auto"/>
        <w:tabs>
          <w:tab w:leader="none" w:pos="67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Accountants</w:t>
      </w:r>
      <w:r>
        <w:rPr>
          <w:rFonts w:ascii="Arial" w:cs="Arial" w:eastAsia="Arial" w:hAnsi="Arial"/>
          <w:sz w:val="16"/>
          <w:szCs w:val="16"/>
          <w:color w:val="auto"/>
        </w:rPr>
        <w:t>. The accounting firm that certified the financial statements and supporting schedules of the Company and its consolidated Subsidiaries that are included or incorporated by reference in the Registration Statement, the General Disclosure Package and the Prospectus (A) is an independent public accountant as required by the 1933 Act, the 1933 Act Regulations and the Public Company Accounting Oversight Board (United States) (the “</w:t>
      </w:r>
      <w:r>
        <w:rPr>
          <w:rFonts w:ascii="Arial" w:cs="Arial" w:eastAsia="Arial" w:hAnsi="Arial"/>
          <w:sz w:val="16"/>
          <w:szCs w:val="16"/>
          <w:u w:val="single" w:color="auto"/>
          <w:color w:val="auto"/>
        </w:rPr>
        <w:t>PCAOB</w:t>
      </w:r>
      <w:r>
        <w:rPr>
          <w:rFonts w:ascii="Arial" w:cs="Arial" w:eastAsia="Arial" w:hAnsi="Arial"/>
          <w:sz w:val="16"/>
          <w:szCs w:val="16"/>
          <w:color w:val="auto"/>
        </w:rPr>
        <w:t>”), (B) is a registered public accounting firm, as defined by the PCAOB, which, to the Company’s knowledge, has not had its registration superseded or revoked and which has not requested that such registration be withdrawn, and (C) with respect to the Company, is not and has not been in violation of the auditor independence requirements of the Sarbanes-Oxley Act of 2002 and the rules and regulations promulgated thereunder (collectively,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the rules and regulations of the Commission.</w:t>
      </w:r>
    </w:p>
    <w:p>
      <w:pPr>
        <w:spacing w:after="0" w:line="59" w:lineRule="exact"/>
        <w:rPr>
          <w:rFonts w:ascii="Arial" w:cs="Arial" w:eastAsia="Arial" w:hAnsi="Arial"/>
          <w:sz w:val="16"/>
          <w:szCs w:val="16"/>
          <w:color w:val="auto"/>
        </w:rPr>
      </w:pPr>
    </w:p>
    <w:p>
      <w:pPr>
        <w:ind w:firstLine="428"/>
        <w:spacing w:after="0" w:line="285" w:lineRule="auto"/>
        <w:tabs>
          <w:tab w:leader="none" w:pos="72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comply as to form in all material respects with Regulation S-X under the 1933 Act and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to the extent of adjustments to accounting standards and practices noted therein and except in the case of unaudited financial statements to the extent they may exclude footnotes or may be condensed or summary statements.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under the 1933 Act, to the extent applicable.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64" w:lineRule="exact"/>
        <w:rPr>
          <w:rFonts w:ascii="Arial" w:cs="Arial" w:eastAsia="Arial" w:hAnsi="Arial"/>
          <w:sz w:val="16"/>
          <w:szCs w:val="16"/>
          <w:color w:val="auto"/>
        </w:rPr>
      </w:pPr>
    </w:p>
    <w:p>
      <w:pPr>
        <w:ind w:right="220" w:firstLine="428"/>
        <w:spacing w:after="0" w:line="286" w:lineRule="auto"/>
        <w:tabs>
          <w:tab w:leader="none" w:pos="77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Compliance with the Sarbanes-Oxley Act of 2002</w:t>
      </w:r>
      <w:r>
        <w:rPr>
          <w:rFonts w:ascii="Arial" w:cs="Arial" w:eastAsia="Arial" w:hAnsi="Arial"/>
          <w:sz w:val="17"/>
          <w:szCs w:val="17"/>
          <w:color w:val="auto"/>
        </w:rPr>
        <w:t>. There is and has been no failure on the part of the Company or, to the Company’s knowledge, any of the Company’s directors or officers, in their capacities as such, to comply in all material respects with any provision of the Sarbanes-Oxley Act, including Section 402 related to loans and Sections 302 and 906 related to certifications.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9" w:name="page10"/>
    <w:bookmarkEnd w:id="9"/>
    <w:p>
      <w:pPr>
        <w:ind w:right="60" w:firstLine="428"/>
        <w:spacing w:after="0" w:line="289" w:lineRule="auto"/>
        <w:tabs>
          <w:tab w:leader="none" w:pos="828"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that could, individually or in the aggregate, reasonably be expected to have a material adverse effect on the Company and its Subsidiaries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(B) there have been no transactions entered into by the Company or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that are, individually or in the aggregate, material to the Company and its Subsidiaries considered as one enterprise, and (D) there has been no dividend or distribution of any kind declared, paid or made by the Company on any class of its capital stock.</w:t>
      </w:r>
    </w:p>
    <w:p>
      <w:pPr>
        <w:spacing w:after="0" w:line="58" w:lineRule="exact"/>
        <w:rPr>
          <w:rFonts w:ascii="Arial" w:cs="Arial" w:eastAsia="Arial" w:hAnsi="Arial"/>
          <w:sz w:val="16"/>
          <w:szCs w:val="16"/>
          <w:color w:val="auto"/>
        </w:rPr>
      </w:pPr>
    </w:p>
    <w:p>
      <w:pPr>
        <w:ind w:firstLine="428"/>
        <w:spacing w:after="0" w:line="255" w:lineRule="auto"/>
        <w:tabs>
          <w:tab w:leader="none" w:pos="728"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be so qualified or to be in good standing, individually or in the aggregate, would not reasonably be expected to result in a Material Adverse Effect.</w:t>
      </w:r>
    </w:p>
    <w:p>
      <w:pPr>
        <w:spacing w:after="0" w:line="81" w:lineRule="exact"/>
        <w:rPr>
          <w:rFonts w:ascii="Arial" w:cs="Arial" w:eastAsia="Arial" w:hAnsi="Arial"/>
          <w:sz w:val="18"/>
          <w:szCs w:val="18"/>
          <w:color w:val="auto"/>
        </w:rPr>
      </w:pPr>
    </w:p>
    <w:p>
      <w:pPr>
        <w:ind w:right="120" w:firstLine="428"/>
        <w:spacing w:after="0" w:line="269" w:lineRule="auto"/>
        <w:tabs>
          <w:tab w:leader="none" w:pos="678"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Company’s Subsidiaries</w:t>
      </w:r>
      <w:r>
        <w:rPr>
          <w:rFonts w:ascii="Arial" w:cs="Arial" w:eastAsia="Arial" w:hAnsi="Arial"/>
          <w:sz w:val="17"/>
          <w:szCs w:val="17"/>
          <w:color w:val="auto"/>
        </w:rPr>
        <w:t>. Each subsidiary of the Company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be so qualified or to be in good standing, individually or in the aggregate, would not reasonably be expected to result in a Material Adverse Effect.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rights, rights of first refusal or similar rights of any securityholder of such Subsidiary. The only Subsidiaries are MannKind LLC, Technosphere International C.V., MannKind Netherlands B.V. and MannKind Deutschland GmbH.</w:t>
      </w:r>
    </w:p>
    <w:p>
      <w:pPr>
        <w:spacing w:after="0" w:line="74" w:lineRule="exact"/>
        <w:rPr>
          <w:rFonts w:ascii="Arial" w:cs="Arial" w:eastAsia="Arial" w:hAnsi="Arial"/>
          <w:sz w:val="17"/>
          <w:szCs w:val="17"/>
          <w:color w:val="auto"/>
        </w:rPr>
      </w:pPr>
    </w:p>
    <w:p>
      <w:pPr>
        <w:ind w:right="620" w:firstLine="428"/>
        <w:spacing w:after="0" w:line="291" w:lineRule="auto"/>
        <w:tabs>
          <w:tab w:leader="none" w:pos="728"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(except for subsequent issuances, if any, (A) pursuant to this Agreement,</w:t>
      </w:r>
    </w:p>
    <w:p>
      <w:pPr>
        <w:ind w:right="60" w:firstLine="4"/>
        <w:spacing w:after="0" w:line="252" w:lineRule="auto"/>
        <w:tabs>
          <w:tab w:leader="none" w:pos="28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reservations, agreements or employee benefit plans in existence as of the date hereof and referred to in the Registration Statement, the General Disclosure Package and the Prospectus or (C) pursuant to the conversion of convertible securities or exercise of options in existence as of the date hereof and referred to in the Registration Statement, the General Disclosure Package and the Prospectus). All of the outstanding shares of capital stock of the Company have been duly authorized and are validly issued, fully paid and non-assessable. None of the outstanding shares of capital stock of the Company was issued in violation of the preemptive rights, rights of first refusal or other similar rights of any securityholder of the Company.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10" w:name="page11"/>
    <w:bookmarkEnd w:id="10"/>
    <w:p>
      <w:pPr>
        <w:ind w:left="780" w:hanging="35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28"/>
        <w:spacing w:after="0" w:line="271" w:lineRule="auto"/>
        <w:tabs>
          <w:tab w:leader="none" w:pos="8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purchased by the Underwriters from the Company have been duly authorized for issuance and sale to the Underwriters pursuant to this Agreement. When issued and delivered by the Company pursuant to this Agreement against payment of the consideration set forth herein, the Shares will be validly issued, fully paid and non-assessable. The issuance of the Securities is not subject to the preemptive rights, rights of first refusal or other similar rights of any securityholder of the Company. The Common Stock (including the Warrant Shares) conforms to all statements relating thereto contained in the Registration Statement, the General Disclosure Package and the Prospectus under the captions “Description of Capital Stock—Common Stock” and “Description of the Securities We Are Offering—Common Stock” and such description conforms to the rights set forth in the instruments defining the same. No holder of Securities or Warrant Shares will be subject to personal liability by reason of being such a holder.</w:t>
      </w:r>
    </w:p>
    <w:p>
      <w:pPr>
        <w:spacing w:after="0" w:line="70" w:lineRule="exact"/>
        <w:rPr>
          <w:rFonts w:ascii="Arial" w:cs="Arial" w:eastAsia="Arial" w:hAnsi="Arial"/>
          <w:sz w:val="17"/>
          <w:szCs w:val="17"/>
          <w:color w:val="auto"/>
        </w:rPr>
      </w:pPr>
    </w:p>
    <w:p>
      <w:pPr>
        <w:ind w:firstLine="428"/>
        <w:spacing w:after="0" w:line="271" w:lineRule="auto"/>
        <w:tabs>
          <w:tab w:leader="none" w:pos="81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Warrants</w:t>
      </w:r>
      <w:r>
        <w:rPr>
          <w:rFonts w:ascii="Arial" w:cs="Arial" w:eastAsia="Arial" w:hAnsi="Arial"/>
          <w:sz w:val="17"/>
          <w:szCs w:val="17"/>
          <w:color w:val="auto"/>
        </w:rPr>
        <w:t xml:space="preserve">. The form of the Warrants,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has been duly authorized by the Company. When executed and delivered by the Company pursuant to this Agreement, the Warrants will be valid and binding agreements of the Company, enforceable against the Company in accordance with their terms. The Warrant Shares have been duly authorized, and the Company has reserved from its duly authorized capital stock the maximum number of Warrant Shares issuable pursuant to this Agreement and the Warrants. The Warrant Shares, when issued and delivered upon exercise of the Warrants in accordance therewith, will be validly issued, fully paid and nonassessable, and the issuance of the Warrant Shares is not subject to preemptive rights, rights of first refusal or other similar rights of any securityholder of the Company. The Warrants conform to all statements relating thereto contained in the Registration Statement, the General Disclosure Package and the Prospectus under the caption “Description of the Securities We Are Offering—Warrants.”</w:t>
      </w:r>
    </w:p>
    <w:p>
      <w:pPr>
        <w:spacing w:after="0" w:line="70" w:lineRule="exact"/>
        <w:rPr>
          <w:rFonts w:ascii="Arial" w:cs="Arial" w:eastAsia="Arial" w:hAnsi="Arial"/>
          <w:sz w:val="17"/>
          <w:szCs w:val="17"/>
          <w:color w:val="auto"/>
        </w:rPr>
      </w:pPr>
    </w:p>
    <w:p>
      <w:pPr>
        <w:ind w:right="120" w:firstLine="428"/>
        <w:spacing w:after="0" w:line="259" w:lineRule="auto"/>
        <w:tabs>
          <w:tab w:leader="none" w:pos="7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or the Warrants, other than those rights that have been disclosed in the Registration Statement, the General Disclosure Package and the Prospectus and have been duly waived.</w:t>
      </w:r>
    </w:p>
    <w:p>
      <w:pPr>
        <w:spacing w:after="0" w:line="78" w:lineRule="exact"/>
        <w:rPr>
          <w:rFonts w:ascii="Arial" w:cs="Arial" w:eastAsia="Arial" w:hAnsi="Arial"/>
          <w:sz w:val="18"/>
          <w:szCs w:val="18"/>
          <w:color w:val="auto"/>
        </w:rPr>
      </w:pPr>
    </w:p>
    <w:p>
      <w:pPr>
        <w:ind w:right="20" w:firstLine="428"/>
        <w:spacing w:after="0" w:line="270" w:lineRule="auto"/>
        <w:tabs>
          <w:tab w:leader="none" w:pos="81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any Subsidiary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Arial" w:cs="Arial" w:eastAsia="Arial" w:hAnsi="Arial"/>
          <w:sz w:val="17"/>
          <w:szCs w:val="17"/>
          <w:u w:val="single" w:color="auto"/>
          <w:color w:val="auto"/>
        </w:rPr>
        <w:t>Agreements and Instruments</w:t>
      </w:r>
      <w:r>
        <w:rPr>
          <w:rFonts w:ascii="Arial" w:cs="Arial" w:eastAsia="Arial" w:hAnsi="Arial"/>
          <w:sz w:val="17"/>
          <w:szCs w:val="17"/>
          <w:color w:val="auto"/>
        </w:rPr>
        <w:t>”), except in the case of this clause (B) for such defaults that would not, individually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its Subsidiaries or any of their respective properties, assets or operations (each, a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except in the case of this clause (C) for such violations that would not, individually or in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1" w:name="page12"/>
    <w:bookmarkEnd w:id="1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reasonably be expected to result in a Material Adverse Effect. The execution, delivery and performance of this Agreement and the Warrants, the consummation of the transactions contemplated herein, therein and in the Registration Statement, the General Disclosure Package and the Prospectus (including the issuance and sale of the Securities, the issuance of the Warrant Shares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individually or in the aggregate, reasonably be expected to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67" w:lineRule="exact"/>
        <w:rPr>
          <w:sz w:val="20"/>
          <w:szCs w:val="20"/>
          <w:color w:val="auto"/>
        </w:rPr>
      </w:pPr>
    </w:p>
    <w:p>
      <w:pPr>
        <w:ind w:left="880" w:hanging="45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Shares and the Warrant Shares have been approved for listing on the Nasdaq Global Market, subject to notice of issuance.</w:t>
      </w:r>
    </w:p>
    <w:p>
      <w:pPr>
        <w:spacing w:after="0" w:line="140" w:lineRule="exact"/>
        <w:rPr>
          <w:rFonts w:ascii="Arial" w:cs="Arial" w:eastAsia="Arial" w:hAnsi="Arial"/>
          <w:sz w:val="16"/>
          <w:szCs w:val="16"/>
          <w:color w:val="auto"/>
        </w:rPr>
      </w:pPr>
    </w:p>
    <w:p>
      <w:pPr>
        <w:ind w:right="60" w:firstLine="428"/>
        <w:spacing w:after="0" w:line="259" w:lineRule="auto"/>
        <w:tabs>
          <w:tab w:leader="none" w:pos="91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suppliers, manufacturers, customers or contractors, which, in either case, would not, individually or in the aggregate, reasonably be expected to result in a Material Adverse Effect.</w:t>
      </w:r>
    </w:p>
    <w:p>
      <w:pPr>
        <w:spacing w:after="0" w:line="78" w:lineRule="exact"/>
        <w:rPr>
          <w:rFonts w:ascii="Arial" w:cs="Arial" w:eastAsia="Arial" w:hAnsi="Arial"/>
          <w:sz w:val="18"/>
          <w:szCs w:val="18"/>
          <w:color w:val="auto"/>
        </w:rPr>
      </w:pPr>
    </w:p>
    <w:p>
      <w:pPr>
        <w:ind w:firstLine="428"/>
        <w:spacing w:after="0" w:line="289" w:lineRule="auto"/>
        <w:tabs>
          <w:tab w:leader="none" w:pos="81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the General Disclosure Package and the Prospectus, there is no action, suit, proceeding, inquiry or investigation before or brought by any Governmental Entity (including, without limitation, any action, suit proceeding, inquiry or investigation before or brought by the U.S.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now pending or, to the knowledge of the Company, threatened against or affecting the Company or its Subsidiaries, which would reasonably be expected to materially and adversely affect their respective properties or assets or the consummation of the transactions contemplated in this Agreement or the Warrants or the performance by the Company of its obligations hereunder or thereunder;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58" w:lineRule="exact"/>
        <w:rPr>
          <w:rFonts w:ascii="Arial" w:cs="Arial" w:eastAsia="Arial" w:hAnsi="Arial"/>
          <w:sz w:val="16"/>
          <w:szCs w:val="16"/>
          <w:color w:val="auto"/>
        </w:rPr>
      </w:pPr>
    </w:p>
    <w:p>
      <w:pPr>
        <w:ind w:firstLine="428"/>
        <w:spacing w:after="0" w:line="264"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2" w:name="page13"/>
    <w:bookmarkEnd w:id="12"/>
    <w:p>
      <w:pPr>
        <w:ind w:right="20" w:firstLine="428"/>
        <w:spacing w:after="0" w:line="291" w:lineRule="auto"/>
        <w:tabs>
          <w:tab w:leader="none" w:pos="81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or under the Warrants, in connection with the offering, issuance or sale of the Securities hereunder, the issuance of the Warrant Shares or the consummation of the transactions contemplated by this Agreement or the Warrants, except such as have been already obtained or as may be required under the 1933 Act, the 1933 Act Regulations, the rules of the Nasdaq Stock Market LLC, state securities laws or the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accordance with FINRA Conduct Rule 5110(b)(7)(C)(i), the Securities have been registered with the Commission on Form S-3 under the 1933 Act pursuant to the standards for such Form S-3 in effect prior to October 21, 1992.</w:t>
      </w:r>
    </w:p>
    <w:p>
      <w:pPr>
        <w:spacing w:after="0" w:line="59" w:lineRule="exact"/>
        <w:rPr>
          <w:rFonts w:ascii="Arial" w:cs="Arial" w:eastAsia="Arial" w:hAnsi="Arial"/>
          <w:sz w:val="16"/>
          <w:szCs w:val="16"/>
          <w:color w:val="auto"/>
        </w:rPr>
      </w:pPr>
    </w:p>
    <w:p>
      <w:pPr>
        <w:ind w:firstLine="428"/>
        <w:spacing w:after="0" w:line="288" w:lineRule="auto"/>
        <w:tabs>
          <w:tab w:leader="none" w:pos="86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Except as set forth in the Registration Statement, the General Disclosure Package and the Prospectus, the Company and its Subsidiaries possess such permits, licenses, approvals, consents and other 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Governmental Entities necessary to conduct the business now operated by them, except where the failure so to possess would not, individually or in the aggregate, result in a Material Adverse Effect. The Company and its Subsidiaries are in compliance with the terms and conditions of all Governmental Licenses, except where the failure so to comply would not, individually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result in a Material Adverse Effect. Neither the Company nor its Subsidiaries has received any notice of proceedings relating to the revocation or modification of any Governmental Licenses which, individually or in the aggregate, if the subject of an unfavorable decision, ruling or finding, would reasonably be expected to result in a Material Adverse Effect.</w:t>
      </w:r>
    </w:p>
    <w:p>
      <w:pPr>
        <w:spacing w:after="0" w:line="61" w:lineRule="exact"/>
        <w:rPr>
          <w:rFonts w:ascii="Arial" w:cs="Arial" w:eastAsia="Arial" w:hAnsi="Arial"/>
          <w:sz w:val="16"/>
          <w:szCs w:val="16"/>
          <w:color w:val="auto"/>
        </w:rPr>
      </w:pPr>
    </w:p>
    <w:p>
      <w:pPr>
        <w:ind w:firstLine="428"/>
        <w:spacing w:after="0" w:line="269" w:lineRule="auto"/>
        <w:tabs>
          <w:tab w:leader="none" w:pos="91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Subsidiaries have good and marketable title to all real property owned by them and good title to all other properties owned by them (other than Intellectual Property, which is covered in Section 1(a)(xxiv) below), in each case, free and clear of all mortgages, pledges, liens, security interests, claims, restrictions or encumbrances of any kind except such as (A) are described in the Registration Statement, the General Disclosure Package and the Prospectus or (B) do not, individually or in the aggregate, materially affect the value of such property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4" w:lineRule="exact"/>
        <w:rPr>
          <w:rFonts w:ascii="Arial" w:cs="Arial" w:eastAsia="Arial" w:hAnsi="Arial"/>
          <w:sz w:val="17"/>
          <w:szCs w:val="17"/>
          <w:color w:val="auto"/>
        </w:rPr>
      </w:pPr>
    </w:p>
    <w:p>
      <w:pPr>
        <w:ind w:firstLine="428"/>
        <w:spacing w:after="0" w:line="293" w:lineRule="auto"/>
        <w:tabs>
          <w:tab w:leader="none" w:pos="90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each of its Subsidiaries owns, possesses or has valid and enforceable licenses to use all Intellectual Property (as defined below) necessary for the conduct of the Company’s and it Subsidiaries’ business as now conducted and as contemplated by the Registration Statement, the General Disclosure Package and the Prospectus, except as such failure to own, possess, or acquire such rights would not reasonably be expected, individually or in the aggregate, to result in a Material Adverse Effect. Furthermore, except as disclosed in the Registration Statement, the General Disclosure Package and the Prospectus: (A) to the knowledge of the Company, there is no infringement, misappropriation or violation by third parties of any such Intellectual Property; (B) there is no pending or, to the knowledge of the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threatened, action, suit, proceeding or claim by others challenging the Company’s or any of its Subsidiaries’ rights in or to any such Intellectual Property;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its Subsidiaries has received any written notice of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in the case of clauses (A), (B), (C), (D) and (E) above, for any such invalidity, unenforceability, infringement, violation, misappropriation, action, suit, proceeding or claim as would not, individually or in the aggregate, reasonably be expected to result in a Material Adverse Effect. “</w:t>
      </w:r>
      <w:r>
        <w:rPr>
          <w:rFonts w:ascii="Arial" w:cs="Arial" w:eastAsia="Arial" w:hAnsi="Arial"/>
          <w:sz w:val="16"/>
          <w:szCs w:val="16"/>
          <w:u w:val="single" w:color="auto"/>
          <w:color w:val="auto"/>
        </w:rPr>
        <w:t>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61" w:lineRule="exact"/>
        <w:rPr>
          <w:sz w:val="20"/>
          <w:szCs w:val="20"/>
          <w:color w:val="auto"/>
        </w:rPr>
      </w:pPr>
    </w:p>
    <w:p>
      <w:pPr>
        <w:ind w:firstLine="428"/>
        <w:spacing w:after="0" w:line="268" w:lineRule="auto"/>
        <w:tabs>
          <w:tab w:leader="none" w:pos="85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Regulatory Consents and Permits</w:t>
      </w:r>
      <w:r>
        <w:rPr>
          <w:rFonts w:ascii="Arial" w:cs="Arial" w:eastAsia="Arial" w:hAnsi="Arial"/>
          <w:sz w:val="17"/>
          <w:szCs w:val="17"/>
          <w:color w:val="auto"/>
        </w:rPr>
        <w:t>. Except as set forth in the Registration Statement, the General Disclosure Package and the Prospectus, the Company and each of its Subsidiaries have such permits, licenses, patents, franchises, certificates of need and other approvals and other authorizations (the “</w:t>
      </w:r>
      <w:r>
        <w:rPr>
          <w:rFonts w:ascii="Arial" w:cs="Arial" w:eastAsia="Arial" w:hAnsi="Arial"/>
          <w:sz w:val="17"/>
          <w:szCs w:val="17"/>
          <w:u w:val="single" w:color="auto"/>
          <w:color w:val="auto"/>
        </w:rPr>
        <w:t>Regulatory Permits</w:t>
      </w:r>
      <w:r>
        <w:rPr>
          <w:rFonts w:ascii="Arial" w:cs="Arial" w:eastAsia="Arial" w:hAnsi="Arial"/>
          <w:sz w:val="17"/>
          <w:szCs w:val="17"/>
          <w:color w:val="auto"/>
        </w:rPr>
        <w:t>”) issued by the appropriate domestic or foreign regional, federal, state, or local regulatory agencies or bodies necessary to conduct the business of the Company and its Subsidiaries, including, without limitation, any Investigational New Drug Application (an “</w:t>
      </w:r>
      <w:r>
        <w:rPr>
          <w:rFonts w:ascii="Arial" w:cs="Arial" w:eastAsia="Arial" w:hAnsi="Arial"/>
          <w:sz w:val="17"/>
          <w:szCs w:val="17"/>
          <w:u w:val="single" w:color="auto"/>
          <w:color w:val="auto"/>
        </w:rPr>
        <w:t>IND</w:t>
      </w:r>
      <w:r>
        <w:rPr>
          <w:rFonts w:ascii="Arial" w:cs="Arial" w:eastAsia="Arial" w:hAnsi="Arial"/>
          <w:sz w:val="17"/>
          <w:szCs w:val="17"/>
          <w:color w:val="auto"/>
        </w:rPr>
        <w:t>”) and/or New Drug Application (an “</w:t>
      </w:r>
      <w:r>
        <w:rPr>
          <w:rFonts w:ascii="Arial" w:cs="Arial" w:eastAsia="Arial" w:hAnsi="Arial"/>
          <w:sz w:val="17"/>
          <w:szCs w:val="17"/>
          <w:u w:val="single" w:color="auto"/>
          <w:color w:val="auto"/>
        </w:rPr>
        <w:t>NDA</w:t>
      </w:r>
      <w:r>
        <w:rPr>
          <w:rFonts w:ascii="Arial" w:cs="Arial" w:eastAsia="Arial" w:hAnsi="Arial"/>
          <w:sz w:val="17"/>
          <w:szCs w:val="17"/>
          <w:color w:val="auto"/>
        </w:rPr>
        <w:t>”), as required by the FDA, or any other authorizations issued by domestic or foreign regional, federal, state, or local agencies or bodies engaged in the regulation of pharmaceuticals such as those being developed by the Company and its Subsidiaries, except for any of the foregoing that would not reasonably be expected to, individually or in the aggregate, have a Material Adverse Effect; the Company is in compliance in all material respects with the requirements of the Regulatory Permits, and all of the Regulatory Permits are valid and in full force and effect, except where any invalidity, individually or in the aggregate, would not reasonably be expected to have a Material Adverse Effect; the Company has not received any written notice of proceedings relating to the revocation, termination, modification or impairment of rights of any of the Regulatory Permits that, individually or in the aggregate, if the subject of an unfavorable decision, ruling or finding, would reasonably be expected to result in a Material Adverse Effect; the Company has not failed to submit to the FDA any IND or NDA necessary to conduct the business of the Company, any such filings that were required to be made were in material compliance with applicable laws when filed, and no material deficiencies have been asserted by the FDA with respect to any such filings or submissions that were made.</w:t>
      </w:r>
    </w:p>
    <w:p>
      <w:pPr>
        <w:spacing w:after="0" w:line="75" w:lineRule="exact"/>
        <w:rPr>
          <w:rFonts w:ascii="Arial" w:cs="Arial" w:eastAsia="Arial" w:hAnsi="Arial"/>
          <w:sz w:val="17"/>
          <w:szCs w:val="17"/>
          <w:color w:val="auto"/>
        </w:rPr>
      </w:pPr>
    </w:p>
    <w:p>
      <w:pPr>
        <w:ind w:right="160" w:firstLine="428"/>
        <w:spacing w:after="0" w:line="302" w:lineRule="auto"/>
        <w:tabs>
          <w:tab w:leader="none" w:pos="90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FDA Compliance</w:t>
      </w:r>
      <w:r>
        <w:rPr>
          <w:rFonts w:ascii="Arial" w:cs="Arial" w:eastAsia="Arial" w:hAnsi="Arial"/>
          <w:sz w:val="16"/>
          <w:szCs w:val="16"/>
          <w:color w:val="auto"/>
        </w:rPr>
        <w:t>. Each of the Company and its Subsidiaries: (A) is and at all times has been in compliance with all statutes, rules and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as would not, individually or in the aggregate, reasonably be expected to result in a Material Adverse Effect; (B)</w:t>
      </w:r>
    </w:p>
    <w:p>
      <w:pPr>
        <w:spacing w:after="0" w:line="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4" w:name="page15"/>
    <w:bookmarkEnd w:id="1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not received any FDA Form 483, notice of adverse finding, warning letter, untitled letter or other correspondence or notice from the FDA or any other Governmental Entity alleging or asserting noncompliance in any material respect with any Applicable Laws or any licenses, certificates, approvals, clearances, authorizations, permits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w:t>
      </w:r>
    </w:p>
    <w:p>
      <w:pPr>
        <w:ind w:right="20" w:firstLine="4"/>
        <w:spacing w:after="0" w:line="285" w:lineRule="auto"/>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Entity or third party alleging that any product operation or activity is in violation of any Applicable Laws or Authorizations and has no knowledge that any such Governmental Entity or third party is considering any such claim, litigation, arbitration, action, suit, investigation or proceeding; (E) has not received notice that any Governmental Entity has taken, is taking or intends to take action to limit, suspend, modify or revoke any Authorizations and has no knowledge that any such Governmental Entity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62" w:lineRule="exact"/>
        <w:rPr>
          <w:rFonts w:ascii="Arial" w:cs="Arial" w:eastAsia="Arial" w:hAnsi="Arial"/>
          <w:sz w:val="16"/>
          <w:szCs w:val="16"/>
          <w:color w:val="auto"/>
        </w:rPr>
      </w:pPr>
    </w:p>
    <w:p>
      <w:pPr>
        <w:ind w:firstLine="428"/>
        <w:spacing w:after="0" w:line="286" w:lineRule="auto"/>
        <w:tabs>
          <w:tab w:leader="none" w:pos="958"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Except as disclosed in the Registration Statement, the General Disclosure Package and the Prospectus, neither the Company nor any of its Subsidiaries has failed to file with the applicable regulatory authorities (including, without limitation, the FDA, or any foreign, federal, state, provincial or local governmental or regulatory authority performing functions similar to those performed by the FDA) any required filing, declaration, listing, registration, report or submission, except for such failures that, individually or in the aggregate, would not reasonably be expected to have a Material Adverse Effect; except as disclosed in the Registration Statement, the General Disclosure Package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 The Company has operated and currently is, in all material respects, in compliance with the United States Federal Food, Drug, and Cosmetic Act, all applicable rules and regulations of the FDA and other federal, state, local and foreign governmental bodies exercising comparable authority (collectively, the “</w:t>
      </w:r>
      <w:r>
        <w:rPr>
          <w:rFonts w:ascii="Arial" w:cs="Arial" w:eastAsia="Arial" w:hAnsi="Arial"/>
          <w:sz w:val="16"/>
          <w:szCs w:val="16"/>
          <w:u w:val="single" w:color="auto"/>
          <w:color w:val="auto"/>
        </w:rPr>
        <w:t>Health Care Laws</w:t>
      </w:r>
      <w:r>
        <w:rPr>
          <w:rFonts w:ascii="Arial" w:cs="Arial" w:eastAsia="Arial" w:hAnsi="Arial"/>
          <w:sz w:val="16"/>
          <w:szCs w:val="16"/>
          <w:color w:val="auto"/>
        </w:rPr>
        <w:t>”). The Company has no knowledge of any studies, tests or trials not described in the Registration Statement, the General Disclosure Package or the Prospectus the results of which reasonably call into question in any material respect the results of the studies, tests and trials described in the Registration Statement, the General Disclosure Package and the Prospectus.</w:t>
      </w:r>
    </w:p>
    <w:p>
      <w:pPr>
        <w:spacing w:after="0" w:line="66" w:lineRule="exact"/>
        <w:rPr>
          <w:rFonts w:ascii="Arial" w:cs="Arial" w:eastAsia="Arial" w:hAnsi="Arial"/>
          <w:sz w:val="16"/>
          <w:szCs w:val="16"/>
          <w:color w:val="auto"/>
        </w:rPr>
      </w:pPr>
    </w:p>
    <w:p>
      <w:pPr>
        <w:ind w:right="80" w:firstLine="428"/>
        <w:spacing w:after="0" w:line="259"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To the Company’s knowledge, the studies, tests and preclinical and clinical investigations conducted by or on behalf of the Company and described in the Registration Statement, the General Disclosure Package and the Prospectus were and, if still pending, are, in all material respects, being conducted in accordance with established protocols, procedures and controls pursuant to, where applicable, accepted professional scientific standards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products or product candidates comparable to those being developed by the Company, and all Applicable Laws and Authorizations, including, without limitation, the Federal Food, Drug, and Cosmetic Act and implementing regulations including good laboratory practice (“</w:t>
      </w:r>
      <w:r>
        <w:rPr>
          <w:rFonts w:ascii="Arial" w:cs="Arial" w:eastAsia="Arial" w:hAnsi="Arial"/>
          <w:sz w:val="17"/>
          <w:szCs w:val="17"/>
          <w:u w:val="single" w:color="auto"/>
          <w:color w:val="auto"/>
        </w:rPr>
        <w:t>GLP</w:t>
      </w:r>
      <w:r>
        <w:rPr>
          <w:rFonts w:ascii="Arial" w:cs="Arial" w:eastAsia="Arial" w:hAnsi="Arial"/>
          <w:sz w:val="17"/>
          <w:szCs w:val="17"/>
          <w:color w:val="auto"/>
        </w:rPr>
        <w:t>”) regulations (21 C.F.R. Part 58) if any such studies, tests or preclinical and clinical investigations are being conducted pursuant to GLP, and good clinical practice and IND requirements (21 C.F.R. Parts 50, 54, 56, and 312) if any such studies, tests or preclinical and clinical investigations were or are subject to good clinical practice regulations or were or are being conducted under an IND; the descriptions of the results of such studies, tests and trials contained in the Registration Statement, the General Disclosure Package and the Prospectus are accurate in all material respects and fairly present the data derived from such studies, tests and trials; except to the extent disclosed in the Registration Statement, the General Disclosure Package and the Prospectus, the Company is not aware of any studies, tests or trials the results of which the Company believes reasonably call into question the study, test, or trial results described or referred to in the Registration Statement, the General Disclosure Package and the Prospectus when viewed in the context in which such results are described and the clinical state of development; and neither the Company nor any of its Subsidiaries have received any written notices or correspondence from any Governmental Entity requiring the termination, suspension or material modification of any studies, tests or preclinical or clinical investigations conducted by or on behalf of the Company or any of its Subsidiaries.</w:t>
      </w:r>
    </w:p>
    <w:p>
      <w:pPr>
        <w:spacing w:after="0" w:line="80" w:lineRule="exact"/>
        <w:rPr>
          <w:sz w:val="20"/>
          <w:szCs w:val="20"/>
          <w:color w:val="auto"/>
        </w:rPr>
      </w:pPr>
    </w:p>
    <w:p>
      <w:pPr>
        <w:ind w:firstLine="428"/>
        <w:spacing w:after="0" w:line="283" w:lineRule="auto"/>
        <w:tabs>
          <w:tab w:leader="none" w:pos="908"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disclosed in the Registration Statement, the General Disclosure Package and the Prospectus or as would not, individually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w:t>
      </w:r>
    </w:p>
    <w:p>
      <w:pPr>
        <w:spacing w:after="0" w:line="3" w:lineRule="exact"/>
        <w:rPr>
          <w:rFonts w:ascii="Arial" w:cs="Arial" w:eastAsia="Arial" w:hAnsi="Arial"/>
          <w:sz w:val="16"/>
          <w:szCs w:val="16"/>
          <w:color w:val="auto"/>
        </w:rPr>
      </w:pPr>
    </w:p>
    <w:p>
      <w:pPr>
        <w:ind w:right="20" w:firstLine="4"/>
        <w:spacing w:after="0" w:line="255" w:lineRule="auto"/>
        <w:tabs>
          <w:tab w:leader="none" w:pos="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82" w:lineRule="exact"/>
        <w:rPr>
          <w:rFonts w:ascii="Arial" w:cs="Arial" w:eastAsia="Arial" w:hAnsi="Arial"/>
          <w:sz w:val="18"/>
          <w:szCs w:val="18"/>
          <w:color w:val="auto"/>
        </w:rPr>
      </w:pPr>
    </w:p>
    <w:p>
      <w:pPr>
        <w:ind w:right="80" w:firstLine="428"/>
        <w:spacing w:after="0" w:line="293" w:lineRule="auto"/>
        <w:tabs>
          <w:tab w:leader="none" w:pos="85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effective internal control over financial reporting (as defined under Rule 13-a15 and 15d-15 under the rules and regulations of the Commission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6" w:name="page17"/>
    <w:bookmarkEnd w:id="1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adversely affected, or is reasonably likely to materially adversely affect, the Company’s internal control over financial reporting. The Company and each of its Subsidiaries maintains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5" w:lineRule="exact"/>
        <w:rPr>
          <w:sz w:val="20"/>
          <w:szCs w:val="20"/>
          <w:color w:val="auto"/>
        </w:rPr>
      </w:pPr>
    </w:p>
    <w:p>
      <w:pPr>
        <w:ind w:firstLine="428"/>
        <w:spacing w:after="0" w:line="269" w:lineRule="auto"/>
        <w:tabs>
          <w:tab w:leader="none" w:pos="90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in conformity with GAAP. The United States federal income tax returns of the Company through the fiscal year ended December 31, 2017 have been settled and no assessment in connection therewith has been made against the Company. The Company and its Subsidiaries have filed all other tax returns that are required to have been filed by them pursuant to applicable foreign, state, local or other law except insofar as the failure to file such returns would not reasonably be expected to result in a Material Adverse Effect, and have paid all taxes due pursuant to such returns or pursuant to any assessment received by the Company and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in conformity with GAAP, adequate to meet any assessments or re-assessments for additional income tax for any years not finally determined, except to the extent of any inadequacy that would not reasonably be expected to result in a Material Adverse Effect.</w:t>
      </w:r>
    </w:p>
    <w:p>
      <w:pPr>
        <w:spacing w:after="0" w:line="71" w:lineRule="exact"/>
        <w:rPr>
          <w:rFonts w:ascii="Arial" w:cs="Arial" w:eastAsia="Arial" w:hAnsi="Arial"/>
          <w:sz w:val="17"/>
          <w:szCs w:val="17"/>
          <w:color w:val="auto"/>
        </w:rPr>
      </w:pPr>
    </w:p>
    <w:p>
      <w:pPr>
        <w:ind w:right="140" w:firstLine="428"/>
        <w:spacing w:after="0" w:line="264" w:lineRule="auto"/>
        <w:tabs>
          <w:tab w:leader="none" w:pos="95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w:t>
      </w:r>
    </w:p>
    <w:p>
      <w:pPr>
        <w:spacing w:after="0" w:line="73" w:lineRule="exact"/>
        <w:rPr>
          <w:rFonts w:ascii="Arial" w:cs="Arial" w:eastAsia="Arial" w:hAnsi="Arial"/>
          <w:sz w:val="18"/>
          <w:szCs w:val="18"/>
          <w:color w:val="auto"/>
        </w:rPr>
      </w:pPr>
    </w:p>
    <w:p>
      <w:pPr>
        <w:ind w:right="180" w:firstLine="428"/>
        <w:spacing w:after="0" w:line="271" w:lineRule="auto"/>
        <w:tabs>
          <w:tab w:leader="none" w:pos="100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To the knowledge of the Company,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7"/>
          <w:szCs w:val="17"/>
          <w:u w:val="single" w:color="auto"/>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ERISA. “</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the Company or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u w:val="single" w:color="auto"/>
          <w:color w:val="auto"/>
        </w:rPr>
        <w:t>Code</w:t>
      </w:r>
      <w:r>
        <w:rPr>
          <w:rFonts w:ascii="Arial" w:cs="Arial" w:eastAsia="Arial" w:hAnsi="Arial"/>
          <w:sz w:val="17"/>
          <w:szCs w:val="17"/>
          <w:color w:val="auto"/>
        </w:rPr>
        <w:t>”) of which the Company or its Subsidiaries is a member. To the Company’s knowledge, no “reportable event” (as defined under ERISA) has occurred or is reasonably expected to occur with respect to any “employee benefit plan” established or maintained by the Company, its Subsidiaries or any of</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4" w:right="47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or any of their ERISA Affiliates has incurred or reasonably expects to incur any liability under (A) Title IV of ERISA with respect to termination of, or withdrawal from, any “employee benefit plan” or (B)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81" w:lineRule="exact"/>
        <w:rPr>
          <w:sz w:val="20"/>
          <w:szCs w:val="20"/>
          <w:color w:val="auto"/>
        </w:rPr>
      </w:pPr>
    </w:p>
    <w:p>
      <w:pPr>
        <w:ind w:firstLine="428"/>
        <w:spacing w:after="0" w:line="286" w:lineRule="auto"/>
        <w:tabs>
          <w:tab w:leader="none" w:pos="99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spacing w:after="0" w:line="57" w:lineRule="exact"/>
        <w:rPr>
          <w:rFonts w:ascii="Arial" w:cs="Arial" w:eastAsia="Arial" w:hAnsi="Arial"/>
          <w:sz w:val="17"/>
          <w:szCs w:val="17"/>
          <w:color w:val="auto"/>
        </w:rPr>
      </w:pPr>
    </w:p>
    <w:p>
      <w:pPr>
        <w:ind w:right="80" w:firstLine="428"/>
        <w:spacing w:after="0" w:line="264"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Related-Party Transactions</w:t>
      </w:r>
      <w:r>
        <w:rPr>
          <w:rFonts w:ascii="Arial" w:cs="Arial" w:eastAsia="Arial" w:hAnsi="Arial"/>
          <w:sz w:val="18"/>
          <w:szCs w:val="18"/>
          <w:color w:val="auto"/>
        </w:rPr>
        <w:t>. There are no business relationships or related-party transactions involving the Company, its Subsidiaries or any other Person required to be described in the Registration Statement, the General Disclosure Package or the Prospectus that have not been described as required.</w:t>
      </w:r>
    </w:p>
    <w:p>
      <w:pPr>
        <w:spacing w:after="0" w:line="73" w:lineRule="exact"/>
        <w:rPr>
          <w:rFonts w:ascii="Arial" w:cs="Arial" w:eastAsia="Arial" w:hAnsi="Arial"/>
          <w:sz w:val="18"/>
          <w:szCs w:val="18"/>
          <w:color w:val="auto"/>
        </w:rPr>
      </w:pPr>
    </w:p>
    <w:p>
      <w:pPr>
        <w:ind w:right="40" w:firstLine="428"/>
        <w:spacing w:after="0" w:line="259" w:lineRule="auto"/>
        <w:tabs>
          <w:tab w:leader="none" w:pos="99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Company’s knowledge,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8" w:lineRule="exact"/>
        <w:rPr>
          <w:rFonts w:ascii="Arial" w:cs="Arial" w:eastAsia="Arial" w:hAnsi="Arial"/>
          <w:sz w:val="18"/>
          <w:szCs w:val="18"/>
          <w:color w:val="auto"/>
        </w:rPr>
      </w:pPr>
    </w:p>
    <w:p>
      <w:pPr>
        <w:ind w:right="80" w:firstLine="428"/>
        <w:spacing w:after="0" w:line="259" w:lineRule="auto"/>
        <w:tabs>
          <w:tab w:leader="none" w:pos="10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Unlawful Contributions or Other Payments</w:t>
      </w:r>
      <w:r>
        <w:rPr>
          <w:rFonts w:ascii="Arial" w:cs="Arial" w:eastAsia="Arial" w:hAnsi="Arial"/>
          <w:sz w:val="18"/>
          <w:szCs w:val="18"/>
          <w:color w:val="auto"/>
        </w:rPr>
        <w:t>. None of the Company, its Subsidiaries or, to the Company’s knowledge, any employee or agent of the Company or its Subsidiaries has made any contribution or other payment to any official of, or candidate for, any federal, state or foreign office in violation of any law or of the character required to be disclosed in the Registration Statement, the General Disclosure Package or the Prospectus.</w:t>
      </w:r>
    </w:p>
    <w:p>
      <w:pPr>
        <w:spacing w:after="0" w:line="78" w:lineRule="exact"/>
        <w:rPr>
          <w:rFonts w:ascii="Arial" w:cs="Arial" w:eastAsia="Arial" w:hAnsi="Arial"/>
          <w:sz w:val="18"/>
          <w:szCs w:val="18"/>
          <w:color w:val="auto"/>
        </w:rPr>
      </w:pPr>
    </w:p>
    <w:p>
      <w:pPr>
        <w:ind w:right="20" w:firstLine="428"/>
        <w:spacing w:after="0" w:line="270" w:lineRule="auto"/>
        <w:tabs>
          <w:tab w:leader="none" w:pos="109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its Subsidiaries, or, to the knowledge of the Company, any director, officer, agent, employee or affiliate of the Company or its Subsidiaries or other person acting on behalf of the Company or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have and, to the knowledge of the Company, their respective affiliates have conducted their businesses in compliance with the FCPA and have instituted and maintain policies and procedures designed to ensure, and which are reasonably expected to continue to ensure, continued compliance therewith.</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8" w:name="page19"/>
    <w:bookmarkEnd w:id="18"/>
    <w:p>
      <w:pPr>
        <w:ind w:right="100" w:firstLine="428"/>
        <w:spacing w:after="0" w:line="255" w:lineRule="auto"/>
        <w:tabs>
          <w:tab w:leader="none" w:pos="99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Governmental Entity involving the Company or its Subsidiaries with respect to the Money Laundering Laws is pending or, to the knowledge of the Company, threatened.</w:t>
      </w:r>
    </w:p>
    <w:p>
      <w:pPr>
        <w:spacing w:after="0" w:line="85" w:lineRule="exact"/>
        <w:rPr>
          <w:sz w:val="20"/>
          <w:szCs w:val="20"/>
          <w:color w:val="auto"/>
        </w:rPr>
      </w:pPr>
    </w:p>
    <w:p>
      <w:pPr>
        <w:ind w:right="40" w:firstLine="423"/>
        <w:spacing w:after="0" w:line="289"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its Subsidiaries, or, to the knowledge of the Company, any director, officer agent, employee, affiliate or representative of the Company or its Subsidiaries is an individual or entity (“</w:t>
      </w:r>
      <w:r>
        <w:rPr>
          <w:rFonts w:ascii="Arial" w:cs="Arial" w:eastAsia="Arial" w:hAnsi="Arial"/>
          <w:sz w:val="16"/>
          <w:szCs w:val="16"/>
          <w:u w:val="single" w:color="auto"/>
          <w:color w:val="auto"/>
        </w:rPr>
        <w:t>Person</w:t>
      </w:r>
      <w:r>
        <w:rPr>
          <w:rFonts w:ascii="Arial" w:cs="Arial" w:eastAsia="Arial" w:hAnsi="Arial"/>
          <w:sz w:val="16"/>
          <w:szCs w:val="16"/>
          <w:color w:val="auto"/>
        </w:rPr>
        <w:t>”)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any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Subsidiary, any joint venture partner or any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59" w:lineRule="exact"/>
        <w:rPr>
          <w:sz w:val="20"/>
          <w:szCs w:val="20"/>
          <w:color w:val="auto"/>
        </w:rPr>
      </w:pPr>
    </w:p>
    <w:p>
      <w:pPr>
        <w:ind w:right="100" w:firstLine="423"/>
        <w:spacing w:after="0" w:line="264"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Lending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 does not have any material lending or other relationship with any banking or lending affiliate of any Underwriter and (B) does not intend to use any of the proceeds from the sale of the Securities to repay any outstanding debt owed to any affiliate of any Underwriter.</w:t>
      </w:r>
    </w:p>
    <w:p>
      <w:pPr>
        <w:spacing w:after="0" w:line="73" w:lineRule="exact"/>
        <w:rPr>
          <w:sz w:val="20"/>
          <w:szCs w:val="20"/>
          <w:color w:val="auto"/>
        </w:rPr>
      </w:pPr>
    </w:p>
    <w:p>
      <w:pPr>
        <w:ind w:right="240" w:firstLine="423"/>
        <w:spacing w:after="0" w:line="312"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to be reliable and accurate in all material respects and, to the extent required, the Company has obtained the written consent to the use of such data from such sources.</w:t>
      </w:r>
    </w:p>
    <w:p>
      <w:pPr>
        <w:spacing w:after="0" w:line="39"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No Rating</w:t>
      </w:r>
      <w:r>
        <w:rPr>
          <w:rFonts w:ascii="Arial" w:cs="Arial" w:eastAsia="Arial" w:hAnsi="Arial"/>
          <w:sz w:val="18"/>
          <w:szCs w:val="18"/>
          <w:color w:val="auto"/>
        </w:rPr>
        <w:t>. Neither the Company nor any of its Subsidiaries has any debt securities or preferred stock that are rated by any “nationally recognized statistical rating agency” (as defined in Section 3(a)(62) of the 1934 Act).</w:t>
      </w:r>
    </w:p>
    <w:p>
      <w:pPr>
        <w:spacing w:after="0" w:line="62" w:lineRule="exact"/>
        <w:rPr>
          <w:sz w:val="20"/>
          <w:szCs w:val="20"/>
          <w:color w:val="auto"/>
        </w:rPr>
      </w:pPr>
    </w:p>
    <w:p>
      <w:pPr>
        <w:ind w:firstLine="423"/>
        <w:spacing w:after="0" w:line="253"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u w:val="single" w:color="auto"/>
          <w:color w:val="auto"/>
        </w:rPr>
        <w:t>Privacy and Data Protection</w:t>
      </w:r>
      <w:r>
        <w:rPr>
          <w:rFonts w:ascii="Arial" w:cs="Arial" w:eastAsia="Arial" w:hAnsi="Arial"/>
          <w:sz w:val="18"/>
          <w:szCs w:val="18"/>
          <w:color w:val="auto"/>
        </w:rPr>
        <w:t>. The Company and its Subsidiaries have operated their business in a manner compliant in all material respects with all United States federal, state and local and non-United States privacy, data security and data protection laws and regulations applicable to the Company’s collection, use, transfer, protection, disposal, disclosure, handling, storage and analysis of personal data. The Company and its Subsidiaries have been and are in compliance in all material respects with internal policies and procedures designed to ensure the integrity and security of the data collected, handled or stored in connection with their business; the Company and its Subsidiaries have been and are in compliance in all material respects with internal policies and procedures designed to ensure compliance with the Health Care Laws that govern privacy and data security and take, and have taken reasonably appropriate steps designed to assure compliance with such policies and procedures. The Company and its Subsidiaries have taken reasonable steps to maintain the confidentiality of their personally identifiable information,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19" w:name="page20"/>
    <w:bookmarkEnd w:id="19"/>
    <w:p>
      <w:pPr>
        <w:ind w:left="4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protected health information, consumer information and other confidential information of the Company, its Subsidiaries and any third parties in their possession (“</w:t>
      </w:r>
      <w:r>
        <w:rPr>
          <w:rFonts w:ascii="Arial" w:cs="Arial" w:eastAsia="Arial" w:hAnsi="Arial"/>
          <w:sz w:val="17"/>
          <w:szCs w:val="17"/>
          <w:u w:val="single" w:color="auto"/>
          <w:color w:val="auto"/>
        </w:rPr>
        <w:t>Sensitive Company Data</w:t>
      </w:r>
      <w:r>
        <w:rPr>
          <w:rFonts w:ascii="Arial" w:cs="Arial" w:eastAsia="Arial" w:hAnsi="Arial"/>
          <w:sz w:val="17"/>
          <w:szCs w:val="17"/>
          <w:color w:val="auto"/>
        </w:rPr>
        <w:t>”).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w:t>
      </w:r>
      <w:r>
        <w:rPr>
          <w:rFonts w:ascii="Arial" w:cs="Arial" w:eastAsia="Arial" w:hAnsi="Arial"/>
          <w:sz w:val="17"/>
          <w:szCs w:val="17"/>
          <w:u w:val="single" w:color="auto"/>
          <w:color w:val="auto"/>
        </w:rPr>
        <w:t>Company IT Assets</w:t>
      </w:r>
      <w:r>
        <w:rPr>
          <w:rFonts w:ascii="Arial" w:cs="Arial" w:eastAsia="Arial" w:hAnsi="Arial"/>
          <w:sz w:val="17"/>
          <w:szCs w:val="17"/>
          <w:color w:val="auto"/>
        </w:rPr>
        <w:t>”) are adequate and operational for, in accordance with their documentation and functional specifications, the business of the Company and its Subsidiaries as now operated and as currently proposed to be conducted as described in the Registration Statement, the General Disclosure Package and the Prospectus. The Company and its Subsidiaries have used reasonable efforts to establish, and have established, commercially reasonable disaster recovery and security plans, procedures and facilities for the business consistent with industry standards and practices in all material respects, including, without limitation, for the Company IT Assets and data held or used by or for the Company and its Subsidiaries. The Company and its Subsidiaries have not suffered or incurred any security breaches, compromises or incidents with respect to any Company IT Asset or Sensitive Company Data except where such breaches, compromises or incidents would not reasonably be expected to, individually or in the aggregate, result in a Material Adverse Effect; and there has been no unauthorized or illegal use of or access to any Company IT Asset or Sensitive Company Data by any unauthorized third party. The Company and its Subsidiaries have not been required to notify any individual of any information security breach, compromise or incident involving Sensitive Company Data.</w:t>
      </w:r>
    </w:p>
    <w:p>
      <w:pPr>
        <w:spacing w:after="0" w:line="77" w:lineRule="exact"/>
        <w:rPr>
          <w:sz w:val="20"/>
          <w:szCs w:val="20"/>
          <w:color w:val="auto"/>
        </w:rPr>
      </w:pPr>
    </w:p>
    <w:p>
      <w:pPr>
        <w:jc w:val="both"/>
        <w:ind w:left="420" w:right="180" w:firstLine="423"/>
        <w:spacing w:after="0" w:line="264"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u w:val="single" w:color="auto"/>
          <w:color w:val="auto"/>
        </w:rPr>
        <w:t>No Broker Fees</w:t>
      </w:r>
      <w:r>
        <w:rPr>
          <w:rFonts w:ascii="Arial" w:cs="Arial" w:eastAsia="Arial" w:hAnsi="Arial"/>
          <w:sz w:val="18"/>
          <w:szCs w:val="18"/>
          <w:color w:val="auto"/>
        </w:rPr>
        <w:t>. Except pursuant to this Agreement, there are no contracts, agreements or understandings between the Company and any person that would give rise to a valid claim against the Company or any Underwriter for a brokerage commission, finder’s fee or other like payment in connection with the offering of the Securities contemplated hereby.</w:t>
      </w:r>
    </w:p>
    <w:p>
      <w:pPr>
        <w:spacing w:after="0" w:line="73" w:lineRule="exact"/>
        <w:rPr>
          <w:sz w:val="20"/>
          <w:szCs w:val="20"/>
          <w:color w:val="auto"/>
        </w:rPr>
      </w:pPr>
    </w:p>
    <w:p>
      <w:pPr>
        <w:ind w:left="420" w:right="420" w:firstLine="423"/>
        <w:spacing w:after="0" w:line="264" w:lineRule="auto"/>
        <w:rPr>
          <w:sz w:val="20"/>
          <w:szCs w:val="20"/>
          <w:color w:val="auto"/>
        </w:rPr>
      </w:pPr>
      <w:r>
        <w:rPr>
          <w:rFonts w:ascii="Arial" w:cs="Arial" w:eastAsia="Arial" w:hAnsi="Arial"/>
          <w:sz w:val="18"/>
          <w:szCs w:val="18"/>
          <w:color w:val="auto"/>
        </w:rPr>
        <w:t xml:space="preserve">(xlvi) </w:t>
      </w: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Each financial or operational projection or other “forward-looking statement” (as defined by Section 27A of the 1933 Act or Section 21E of the 1934 Act) contained in the Registration Statement, the General Disclosure Package or the Prospectus was so included by the Company in good faith and with reasonable basis.</w:t>
      </w:r>
    </w:p>
    <w:p>
      <w:pPr>
        <w:spacing w:after="0" w:line="181" w:lineRule="exact"/>
        <w:rPr>
          <w:sz w:val="20"/>
          <w:szCs w:val="20"/>
          <w:color w:val="auto"/>
        </w:rPr>
      </w:pPr>
    </w:p>
    <w:p>
      <w:pPr>
        <w:ind w:left="-20" w:right="120" w:firstLine="444"/>
        <w:spacing w:after="0" w:line="264"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delivered to the Representative or to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Underwriters delivered pursuant to this Agreement shall be deemed a representation and warranty by the Company to each Underwriter as to the matters covered thereby.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ind w:left="-20" w:right="60" w:firstLine="444"/>
        <w:spacing w:after="0" w:line="293"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On the basis of the representations and warranties herein contained and subject to the terms and conditions herein set forth,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agrees to sell to each Underwriter, severally and not jointly, and each Underwriter, severally and not jointly, agrees to purchase from the Company, the respective number of Shares and Warrants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plus any additional number of Shares or Warrants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 The purchase price for each Unit to be paid by the several Underwriters to the Company shall be $1.41.</w:t>
      </w:r>
    </w:p>
    <w:p>
      <w:pPr>
        <w:spacing w:after="0" w:line="164" w:lineRule="exact"/>
        <w:rPr>
          <w:rFonts w:ascii="Arial" w:cs="Arial" w:eastAsia="Arial" w:hAnsi="Arial"/>
          <w:sz w:val="16"/>
          <w:szCs w:val="16"/>
          <w:color w:val="auto"/>
        </w:rPr>
      </w:pPr>
    </w:p>
    <w:p>
      <w:pPr>
        <w:ind w:left="-20" w:firstLine="444"/>
        <w:spacing w:after="0" w:line="264"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Delivery of the Shares</w:t>
      </w:r>
      <w:r>
        <w:rPr>
          <w:rFonts w:ascii="Arial" w:cs="Arial" w:eastAsia="Arial" w:hAnsi="Arial"/>
          <w:sz w:val="18"/>
          <w:szCs w:val="18"/>
          <w:color w:val="auto"/>
        </w:rPr>
        <w:t>. Delivery of certificates or security entitlements for the Shares shall be made at the offices of Covington &amp; Burling LLP,</w:t>
      </w:r>
      <w:r>
        <w:rPr>
          <w:rFonts w:ascii="Arial" w:cs="Arial" w:eastAsia="Arial" w:hAnsi="Arial"/>
          <w:sz w:val="18"/>
          <w:szCs w:val="18"/>
          <w:i w:val="1"/>
          <w:iCs w:val="1"/>
          <w:color w:val="auto"/>
        </w:rPr>
        <w:t xml:space="preserve"> </w:t>
      </w:r>
      <w:r>
        <w:rPr>
          <w:rFonts w:ascii="Arial" w:cs="Arial" w:eastAsia="Arial" w:hAnsi="Arial"/>
          <w:sz w:val="18"/>
          <w:szCs w:val="18"/>
          <w:color w:val="auto"/>
        </w:rPr>
        <w:t>or at such other place as shall be agreed upon by the Representative and the Company, at 10:00 A.M. (New York City time) on the third (fourth, if the pricing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occurs after 4:30 P.M. (New York City time) on any given day) business day after the date hereof (unless postponed in accordance with the provisions of Section 10), or such other time not later than 10 business days after such date as shall be agreed upon by the Representative and the Company (such time and date of delivery being herein called “</w:t>
      </w:r>
      <w:r>
        <w:rPr>
          <w:rFonts w:ascii="Arial" w:cs="Arial" w:eastAsia="Arial" w:hAnsi="Arial"/>
          <w:sz w:val="18"/>
          <w:szCs w:val="18"/>
          <w:u w:val="single" w:color="auto"/>
          <w:color w:val="auto"/>
        </w:rPr>
        <w:t>Closing Time</w:t>
      </w:r>
      <w:r>
        <w:rPr>
          <w:rFonts w:ascii="Arial" w:cs="Arial" w:eastAsia="Arial" w:hAnsi="Arial"/>
          <w:sz w:val="18"/>
          <w:szCs w:val="18"/>
          <w:color w:val="auto"/>
        </w:rPr>
        <w:t>”). Delivery of the Shares at the Closing Time shall be made through the facilities of The Depository Trust Company unless the Representative shall otherwise instruct.</w:t>
      </w:r>
    </w:p>
    <w:p>
      <w:pPr>
        <w:spacing w:after="0" w:line="187" w:lineRule="exact"/>
        <w:rPr>
          <w:sz w:val="20"/>
          <w:szCs w:val="20"/>
          <w:color w:val="auto"/>
        </w:rPr>
      </w:pPr>
    </w:p>
    <w:p>
      <w:pPr>
        <w:ind w:firstLine="444"/>
        <w:spacing w:after="0" w:line="270" w:lineRule="auto"/>
        <w:tabs>
          <w:tab w:leader="none" w:pos="68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Delivery of the Warrants</w:t>
      </w:r>
      <w:r>
        <w:rPr>
          <w:rFonts w:ascii="Arial" w:cs="Arial" w:eastAsia="Arial" w:hAnsi="Arial"/>
          <w:sz w:val="17"/>
          <w:szCs w:val="17"/>
          <w:color w:val="auto"/>
        </w:rPr>
        <w:t>. One business day prior to the Closing Time, the Representative shall provide the Company with a list of investors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Underwriters allocated Warrants pursuant to the public offering contemplated by this Agreement (the “</w:t>
      </w:r>
      <w:r>
        <w:rPr>
          <w:rFonts w:ascii="Arial" w:cs="Arial" w:eastAsia="Arial" w:hAnsi="Arial"/>
          <w:sz w:val="17"/>
          <w:szCs w:val="17"/>
          <w:u w:val="single" w:color="auto"/>
          <w:color w:val="auto"/>
        </w:rPr>
        <w:t>Allocation List</w:t>
      </w:r>
      <w:r>
        <w:rPr>
          <w:rFonts w:ascii="Arial" w:cs="Arial" w:eastAsia="Arial" w:hAnsi="Arial"/>
          <w:sz w:val="17"/>
          <w:szCs w:val="17"/>
          <w:color w:val="auto"/>
        </w:rPr>
        <w:t>”). The Allocation List shall specify the name, address and number of Warrants to be sold to each such investor. In lieu of delivering the Warrants to the Representative, at the Closing Time, the Company shall deliver the Warrants by mailing the respective number of Warrants to each investor in accordance with the Allocation List through a U.S. nationally recognized overnight courier service. If the Company, upon the instruction of the Representative, registers any Warrant in the name of any person or entity to which any Underwriter intends to sell such Warrant, then such Underwriter shall have the right to thereafter, but prior to the Closing Time, request the re-registration of such Warrant (and the Company shall be required to re-register such Warrant) in the name of any other person or entity (it being understood that such re-registration is intended to permit an Underwriter to resell such Warrant in the event that the person or entity to which such Underwriter originally intended to sell such Warrant shall fail to pay the purchase price of such Warrant or the Unit of which such Warrant is a constituent Security).</w:t>
      </w:r>
    </w:p>
    <w:p>
      <w:pPr>
        <w:spacing w:after="0" w:line="177" w:lineRule="exact"/>
        <w:rPr>
          <w:rFonts w:ascii="Arial" w:cs="Arial" w:eastAsia="Arial" w:hAnsi="Arial"/>
          <w:sz w:val="17"/>
          <w:szCs w:val="17"/>
          <w:color w:val="auto"/>
        </w:rPr>
      </w:pPr>
    </w:p>
    <w:p>
      <w:pPr>
        <w:ind w:right="100" w:firstLine="444"/>
        <w:spacing w:after="0" w:line="271" w:lineRule="auto"/>
        <w:tabs>
          <w:tab w:leader="none" w:pos="6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Securities shall be made to the Company by wire transfer of immediately available funds to a bank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by the Company, against (i) delivery to the Representative for the respective accounts of the Underwriters of certificates or security entitlements for the Shares to be purchased by them and (ii) written confirmation reasonably satisfactory to the Representative that the Warrants have been deposited with a U.S. nationally recognized overnight courier service in accordance with Section 2(c) hereof. It is understood that each Underwriter has authorized the Representative, for its account, to accept delivery of and receipt for, and to make payment of the purchase price for, the Securities which it has agreed to purchase. Leerink, individually and not as representative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sz w:val="20"/>
          <w:szCs w:val="20"/>
          <w:color w:val="auto"/>
        </w:rPr>
      </w:pPr>
    </w:p>
    <w:p>
      <w:pPr>
        <w:ind w:right="40" w:firstLine="444"/>
        <w:spacing w:after="0" w:line="269" w:lineRule="auto"/>
        <w:tabs>
          <w:tab w:leader="none" w:pos="68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 w:name="page22"/>
    <w:bookmarkEnd w:id="21"/>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47" w:lineRule="exact"/>
        <w:rPr>
          <w:sz w:val="20"/>
          <w:szCs w:val="20"/>
          <w:color w:val="auto"/>
        </w:rPr>
      </w:pPr>
    </w:p>
    <w:p>
      <w:pPr>
        <w:ind w:firstLine="444"/>
        <w:spacing w:after="0" w:line="285"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w:t>
      </w:r>
      <w:r>
        <w:rPr>
          <w:rFonts w:ascii="Arial" w:cs="Arial" w:eastAsia="Arial" w:hAnsi="Arial"/>
          <w:sz w:val="16"/>
          <w:szCs w:val="16"/>
          <w:u w:val="single" w:color="auto"/>
          <w:color w:val="auto"/>
        </w:rPr>
        <w:t>Rule 172</w:t>
      </w:r>
      <w:r>
        <w:rPr>
          <w:rFonts w:ascii="Arial" w:cs="Arial" w:eastAsia="Arial" w:hAnsi="Arial"/>
          <w:sz w:val="16"/>
          <w:szCs w:val="16"/>
          <w:color w:val="auto"/>
        </w:rPr>
        <w:t>”) of the 1933 Act Regulations,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384" w:lineRule="exact"/>
        <w:rPr>
          <w:rFonts w:ascii="Arial" w:cs="Arial" w:eastAsia="Arial" w:hAnsi="Arial"/>
          <w:sz w:val="16"/>
          <w:szCs w:val="16"/>
          <w:color w:val="auto"/>
        </w:rPr>
      </w:pPr>
    </w:p>
    <w:p>
      <w:pPr>
        <w:ind w:firstLine="444"/>
        <w:spacing w:after="0" w:line="255"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ind w:right="100" w:firstLine="444"/>
        <w:spacing w:after="0" w:line="286"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Underwriter reasonably requested, and the Company hereby consents to the use of such copies for purposes permitted by the 1933 Act. The Company will furnish to each Underwriter, without charge, during the period when a prospectus relating to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7" w:lineRule="exact"/>
        <w:rPr>
          <w:sz w:val="20"/>
          <w:szCs w:val="20"/>
          <w:color w:val="auto"/>
        </w:rPr>
      </w:pPr>
    </w:p>
    <w:p>
      <w:pPr>
        <w:ind w:right="80" w:firstLine="444"/>
        <w:spacing w:after="0" w:line="255"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best efforts, in cooperation with the Underwriters, to qualify the Securities and the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for 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3" w:lineRule="exact"/>
        <w:rPr>
          <w:rFonts w:ascii="Arial" w:cs="Arial" w:eastAsia="Arial" w:hAnsi="Arial"/>
          <w:sz w:val="18"/>
          <w:szCs w:val="18"/>
          <w:color w:val="auto"/>
        </w:rPr>
      </w:pPr>
    </w:p>
    <w:p>
      <w:pPr>
        <w:ind w:right="60" w:firstLine="444"/>
        <w:spacing w:after="0" w:line="264" w:lineRule="auto"/>
        <w:tabs>
          <w:tab w:leader="none" w:pos="66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right="780" w:firstLine="444"/>
        <w:spacing w:after="0" w:line="308"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Securities in the manner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General Disclosure Package and the Prospectus under the heading “Use of Proceeds.”</w:t>
      </w:r>
    </w:p>
    <w:p>
      <w:pPr>
        <w:spacing w:after="0" w:line="146" w:lineRule="exact"/>
        <w:rPr>
          <w:rFonts w:ascii="Arial" w:cs="Arial" w:eastAsia="Arial" w:hAnsi="Arial"/>
          <w:sz w:val="17"/>
          <w:szCs w:val="17"/>
          <w:color w:val="auto"/>
        </w:rPr>
      </w:pPr>
    </w:p>
    <w:p>
      <w:pPr>
        <w:ind w:right="240" w:firstLine="444"/>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maintain the listing of the Common Stock (including the Shares and the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 the Nasdaq Global Market.</w:t>
      </w:r>
    </w:p>
    <w:p>
      <w:pPr>
        <w:spacing w:after="0" w:line="170" w:lineRule="exact"/>
        <w:rPr>
          <w:rFonts w:ascii="Arial" w:cs="Arial" w:eastAsia="Arial" w:hAnsi="Arial"/>
          <w:sz w:val="18"/>
          <w:szCs w:val="18"/>
          <w:color w:val="auto"/>
        </w:rPr>
      </w:pPr>
    </w:p>
    <w:p>
      <w:pPr>
        <w:ind w:firstLine="444"/>
        <w:spacing w:after="0" w:line="285"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90 days from the date of the Prospectus, the Company will not,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the Representative, directly or indirectly, (i)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of an option or warrant or the conversion of a convertible security outstanding on the date hereof and referred to in the Registration Statement, the General Disclosure Package and the Prospectus; (C) any shares of Common Stock issued or options to purchase Common Stock granted pursuant to existing employee benefit plans of the Company in existence as of the date hereof and referred to in the Registration Statement, the General Disclosure Package and the Prospectus; (D) any shares of Common Stock issued pursuant to any non-employee director stock plan or dividend reinvestment plan in existence as of the date hereof and referred to in the Registration Statement, the General Disclosure Package and the Prospectus; (E) the filing by the Company of any registration statement on Form S-8 or a successor form thereto; (F) the entry into agreements providing for the issuance by the Company of shares of Common Stock or any security convertible into or exercisable for shares of Common Stock in connection with the acquisition by the Company of the securities, business, property or other assets of another person or entity pursuant to an employee benefit plan assumed by the Company in connection with such acquisition, and the issuance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securities pursuant to any such agreement; or (G) the entry into agreements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in the case of clauses (F) and (G), the aggregate number of shares of Common Stock that the Company may sell or issue or agree to sell or issue pursuant to clauses (F) and (G) shall not exceed 5% of the total number of shares of the Common Stock issued and outstanding as of immediately prior to the completion of the transactions contemplated by this Agreement, and provided further that, in the case of clauses (F) and (G), the Company shall cause each recipient of such securities to execute and deliver, on or prior to the issuance of such securities, a lock-up agreement on substantially the same terms as the lock-up agreements described in Section 5(i) hereof to the extent and for the duration that such terms remain in effect at the time of the transfer and the Company shall authorize its transfer agent to decline to make any transfer of such shares in violation of such lock-up agreements.</w:t>
      </w:r>
    </w:p>
    <w:p>
      <w:pPr>
        <w:spacing w:after="0" w:line="167" w:lineRule="exact"/>
        <w:rPr>
          <w:sz w:val="20"/>
          <w:szCs w:val="20"/>
          <w:color w:val="auto"/>
        </w:rPr>
      </w:pPr>
    </w:p>
    <w:p>
      <w:pPr>
        <w:jc w:val="both"/>
        <w:ind w:right="120" w:firstLine="444"/>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6" w:lineRule="exact"/>
        <w:rPr>
          <w:rFonts w:ascii="Arial" w:cs="Arial" w:eastAsia="Arial" w:hAnsi="Arial"/>
          <w:sz w:val="18"/>
          <w:szCs w:val="18"/>
          <w:color w:val="auto"/>
        </w:rPr>
      </w:pPr>
    </w:p>
    <w:p>
      <w:pPr>
        <w:ind w:firstLine="444"/>
        <w:spacing w:after="0" w:line="268"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agrees that, unless it obtains the prior written consent of the Representative, it will not make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General Use Free Writing Prospectuses listed on </w:t>
      </w:r>
      <w:r>
        <w:rPr>
          <w:rFonts w:ascii="Arial" w:cs="Arial" w:eastAsia="Arial" w:hAnsi="Arial"/>
          <w:sz w:val="17"/>
          <w:szCs w:val="17"/>
          <w:u w:val="single" w:color="auto"/>
          <w:color w:val="auto"/>
        </w:rPr>
        <w:t>Schedule B-2</w:t>
      </w:r>
      <w:r>
        <w:rPr>
          <w:rFonts w:ascii="Arial" w:cs="Arial" w:eastAsia="Arial" w:hAnsi="Arial"/>
          <w:sz w:val="17"/>
          <w:szCs w:val="17"/>
          <w:color w:val="auto"/>
        </w:rPr>
        <w:t xml:space="preserve"> hereto, if any, and any “road show that is a written communication” within the meaning of Rule 433(d)(8)(i) that has been reviewed by the Representative and approved by them in writing.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85" w:lineRule="exact"/>
        <w:rPr>
          <w:rFonts w:ascii="Arial" w:cs="Arial" w:eastAsia="Arial" w:hAnsi="Arial"/>
          <w:sz w:val="17"/>
          <w:szCs w:val="17"/>
          <w:color w:val="auto"/>
        </w:rPr>
      </w:pPr>
    </w:p>
    <w:p>
      <w:pPr>
        <w:ind w:right="40" w:firstLine="444"/>
        <w:spacing w:after="0" w:line="297"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The Company shall, at all times while any Warrants are outstanding, use its best efforts to maintain a registration statement covering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 and sale of the Warrant Shares upon exercise of the Warrants such that the Warrant Shares, when issued, will not be subject to resale restrictions under the 1933 Act. The Company shall, at all times while any Warrants are outstanding, reserve and keep available out of the aggregate of its authorized but unissued and otherwise unreserved Common Stock, solely for the purpose of enabling it to issue Warrant Shares upon exercise of such Warrants, the number of Warrant Shares that are initially issuable and deliverable upon the exercise of the then-outstanding Warrants.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84"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and Warrant Shares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(up to a maximum aggregate amount of $8,000 for the reasonable fees and disbursements of counsel for the Underwriters),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employees, directors and officers of the Company and any such consultants, and the cost of any aircraft chartered in connection with the road show shall be shared equally between the Company and the Underwriters, (viii) the costs, fees and expenses incurred by the Underwriters in connection with determining their compliance with the rules and regulations of FINRA related to the Underwriters’ participation in the offering and distribution of the Securities, including any related filing fees and the reasonable fees and disbursements of counsel to the Underwriters (up to a maximum aggregate amount of $8,000 for the reasonable fees and disbursements of counsel for the Underwriters), (ix) the fees and expenses incurred in connection with the listing of the Shares and the Warrant Shares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 the costs of mailing the Warrants in accordance with Section 2(c) hereof.</w:t>
      </w:r>
    </w:p>
    <w:p>
      <w:pPr>
        <w:spacing w:after="0" w:line="397" w:lineRule="exact"/>
        <w:rPr>
          <w:rFonts w:ascii="Arial" w:cs="Arial" w:eastAsia="Arial" w:hAnsi="Arial"/>
          <w:sz w:val="16"/>
          <w:szCs w:val="16"/>
          <w:color w:val="auto"/>
        </w:rPr>
      </w:pPr>
    </w:p>
    <w:p>
      <w:pPr>
        <w:ind w:right="80" w:firstLine="444"/>
        <w:spacing w:after="0" w:line="276" w:lineRule="auto"/>
        <w:tabs>
          <w:tab w:leader="none" w:pos="69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 in accordance with the provisions of Section 5, Section 9(a)</w:t>
      </w:r>
      <w:r>
        <w:rPr>
          <w:rFonts w:ascii="Arial" w:cs="Arial" w:eastAsia="Arial" w:hAnsi="Arial"/>
          <w:sz w:val="17"/>
          <w:szCs w:val="17"/>
          <w:i w:val="1"/>
          <w:iCs w:val="1"/>
          <w:color w:val="auto"/>
        </w:rPr>
        <w:t xml:space="preserve"> </w:t>
      </w:r>
      <w:r>
        <w:rPr>
          <w:rFonts w:ascii="Arial" w:cs="Arial" w:eastAsia="Arial" w:hAnsi="Arial"/>
          <w:sz w:val="17"/>
          <w:szCs w:val="17"/>
          <w:color w:val="auto"/>
        </w:rPr>
        <w:t>(i), Section 9(a)(iii) or Section 10 hereof, the Company shall reimburse the Underwriters for all of their reasonably documented out-of-pocket expenses, including the reasonable fees and disbursements of counsel for the Underwriters; provided, however, that if this Agreement is terminated by the Representative pursuant to Section 10, the Company shall have no obligation to reimburse any of the out-of-pocket expenses of the Underwriters that have failed to purchase the Securities that they have agreed to purchase hereunder.</w:t>
      </w:r>
    </w:p>
    <w:p>
      <w:pPr>
        <w:spacing w:after="0" w:line="173"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79" w:lineRule="exact"/>
        <w:rPr>
          <w:sz w:val="20"/>
          <w:szCs w:val="20"/>
          <w:color w:val="auto"/>
        </w:rPr>
      </w:pPr>
    </w:p>
    <w:p>
      <w:pPr>
        <w:ind w:right="180" w:firstLine="444"/>
        <w:spacing w:after="0" w:line="297"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 The Registration Statement, including any Rule 462(b) Registration Statement, has become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 w:name="page26"/>
    <w:bookmarkEnd w:id="25"/>
    <w:p>
      <w:pPr>
        <w:ind w:right="20" w:firstLine="444"/>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Counsel for Company</w:t>
      </w:r>
      <w:r>
        <w:rPr>
          <w:rFonts w:ascii="Arial" w:cs="Arial" w:eastAsia="Arial" w:hAnsi="Arial"/>
          <w:sz w:val="18"/>
          <w:szCs w:val="18"/>
          <w:color w:val="auto"/>
        </w:rPr>
        <w:t>. At the Closing Time, the Representative shall have received the opinion and negative assurance letter, each</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Cooley LLP, counsel for the Company, together with the opinion of K&amp;L Gates LLP, special counsel for the Company with respect to intellectual property matters, each in form and substance satisfactory to counsel for the Underwriters, together with signed or reproduced copies of each such opinion and letter for each of the other Underwriters.</w:t>
      </w:r>
    </w:p>
    <w:p>
      <w:pPr>
        <w:spacing w:after="0" w:line="186" w:lineRule="exact"/>
        <w:rPr>
          <w:rFonts w:ascii="Arial" w:cs="Arial" w:eastAsia="Arial" w:hAnsi="Arial"/>
          <w:sz w:val="18"/>
          <w:szCs w:val="18"/>
          <w:color w:val="auto"/>
        </w:rPr>
      </w:pPr>
    </w:p>
    <w:p>
      <w:pPr>
        <w:ind w:right="40" w:firstLine="444"/>
        <w:spacing w:after="0" w:line="255"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Covington &amp; Burling LLP, counsel for the Underwriters, together with signed or reproduced copies of such letter for each of the other Underwriters in form and substance satisfactory to the Representative.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9" w:lineRule="exact"/>
        <w:rPr>
          <w:rFonts w:ascii="Arial" w:cs="Arial" w:eastAsia="Arial" w:hAnsi="Arial"/>
          <w:sz w:val="18"/>
          <w:szCs w:val="18"/>
          <w:color w:val="auto"/>
        </w:rPr>
      </w:pPr>
    </w:p>
    <w:p>
      <w:pPr>
        <w:ind w:left="700" w:hanging="2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At the Closing Time, the Representative shall have received a certificate of the principal executive officer of the</w:t>
      </w:r>
    </w:p>
    <w:p>
      <w:pPr>
        <w:spacing w:after="0" w:line="34" w:lineRule="exact"/>
        <w:rPr>
          <w:rFonts w:ascii="Arial" w:cs="Arial" w:eastAsia="Arial" w:hAnsi="Arial"/>
          <w:sz w:val="17"/>
          <w:szCs w:val="17"/>
          <w:color w:val="auto"/>
        </w:rPr>
      </w:pPr>
    </w:p>
    <w:p>
      <w:pPr>
        <w:spacing w:after="0" w:line="270" w:lineRule="auto"/>
        <w:rPr>
          <w:rFonts w:ascii="Arial" w:cs="Arial" w:eastAsia="Arial" w:hAnsi="Arial"/>
          <w:sz w:val="17"/>
          <w:szCs w:val="17"/>
          <w:color w:val="auto"/>
        </w:rPr>
      </w:pPr>
      <w:r>
        <w:rPr>
          <w:rFonts w:ascii="Arial" w:cs="Arial" w:eastAsia="Arial" w:hAnsi="Arial"/>
          <w:sz w:val="17"/>
          <w:szCs w:val="17"/>
          <w:color w:val="auto"/>
        </w:rPr>
        <w:t>Company and of the principal financial officer of the Company, dated the Closing Time, to the effect that (i) there has been no Material Adverse Change (as defined below),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78" w:lineRule="exact"/>
        <w:rPr>
          <w:rFonts w:ascii="Arial" w:cs="Arial" w:eastAsia="Arial" w:hAnsi="Arial"/>
          <w:sz w:val="17"/>
          <w:szCs w:val="17"/>
          <w:color w:val="auto"/>
        </w:rPr>
      </w:pPr>
    </w:p>
    <w:p>
      <w:pPr>
        <w:ind w:right="80" w:firstLine="444"/>
        <w:spacing w:after="0" w:line="257"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 shall have received from Deloitte &amp; Touche</w:t>
      </w:r>
      <w:r>
        <w:rPr>
          <w:rFonts w:ascii="Arial" w:cs="Arial" w:eastAsia="Arial" w:hAnsi="Arial"/>
          <w:sz w:val="18"/>
          <w:szCs w:val="18"/>
          <w:i w:val="1"/>
          <w:iCs w:val="1"/>
          <w:color w:val="auto"/>
        </w:rPr>
        <w:t xml:space="preserve"> </w:t>
      </w:r>
      <w:r>
        <w:rPr>
          <w:rFonts w:ascii="Arial" w:cs="Arial" w:eastAsia="Arial" w:hAnsi="Arial"/>
          <w:sz w:val="18"/>
          <w:szCs w:val="18"/>
          <w:color w:val="auto"/>
        </w:rPr>
        <w:t>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8" w:lineRule="exact"/>
        <w:rPr>
          <w:rFonts w:ascii="Arial" w:cs="Arial" w:eastAsia="Arial" w:hAnsi="Arial"/>
          <w:sz w:val="18"/>
          <w:szCs w:val="18"/>
          <w:color w:val="auto"/>
        </w:rPr>
      </w:pPr>
    </w:p>
    <w:p>
      <w:pPr>
        <w:jc w:val="both"/>
        <w:ind w:right="100" w:firstLine="444"/>
        <w:spacing w:after="0" w:line="264"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 shall have received from Deloitte &amp; Touche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Section 5(e), except that the specified date referred to shall be a date not more than three business days prior to the Closing Time.</w:t>
      </w:r>
    </w:p>
    <w:p>
      <w:pPr>
        <w:spacing w:after="0" w:line="181" w:lineRule="exact"/>
        <w:rPr>
          <w:rFonts w:ascii="Arial" w:cs="Arial" w:eastAsia="Arial" w:hAnsi="Arial"/>
          <w:sz w:val="18"/>
          <w:szCs w:val="18"/>
          <w:color w:val="auto"/>
        </w:rPr>
      </w:pPr>
    </w:p>
    <w:p>
      <w:pPr>
        <w:ind w:right="560" w:firstLine="444"/>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Shares and the Warrant Shares shall have been approved for listing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only to official notice of issuance.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6" w:name="page27"/>
    <w:bookmarkEnd w:id="26"/>
    <w:p>
      <w:pPr>
        <w:ind w:right="300" w:firstLine="444"/>
        <w:spacing w:after="0" w:line="27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right="60" w:firstLine="444"/>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signed by all of the Company’s directors and officers.</w:t>
      </w:r>
    </w:p>
    <w:p>
      <w:pPr>
        <w:spacing w:after="0" w:line="170" w:lineRule="exact"/>
        <w:rPr>
          <w:rFonts w:ascii="Arial" w:cs="Arial" w:eastAsia="Arial" w:hAnsi="Arial"/>
          <w:sz w:val="18"/>
          <w:szCs w:val="18"/>
          <w:color w:val="auto"/>
        </w:rPr>
      </w:pPr>
    </w:p>
    <w:p>
      <w:pPr>
        <w:ind w:right="40" w:firstLine="444"/>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Material Adverse Change; Maintenance of Rating</w:t>
      </w:r>
      <w:r>
        <w:rPr>
          <w:rFonts w:ascii="Arial" w:cs="Arial" w:eastAsia="Arial" w:hAnsi="Arial"/>
          <w:sz w:val="18"/>
          <w:szCs w:val="18"/>
          <w:color w:val="auto"/>
        </w:rPr>
        <w:t>. Since the date of this Agreement or since the respective dates as of which information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the Registration Statement, the General Disclosure Package or the Prospectus, and through and including the Closing Time, in the judgment of the Representative there shall not have occurred any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444"/>
        <w:spacing w:after="0" w:line="308" w:lineRule="auto"/>
        <w:tabs>
          <w:tab w:leader="none" w:pos="695"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Chief Financial Officer’s Certificates</w:t>
      </w:r>
      <w:r>
        <w:rPr>
          <w:rFonts w:ascii="Arial" w:cs="Arial" w:eastAsia="Arial" w:hAnsi="Arial"/>
          <w:sz w:val="17"/>
          <w:szCs w:val="17"/>
          <w:color w:val="auto"/>
        </w:rPr>
        <w:t>. On the date hereof and at the Closing Time, the Representative shall have received a certificate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Chief Financial Officer of the Company, dated as of such date, in form and substance satisfactory to the Representative.</w:t>
      </w:r>
    </w:p>
    <w:p>
      <w:pPr>
        <w:spacing w:after="0" w:line="146" w:lineRule="exact"/>
        <w:rPr>
          <w:rFonts w:ascii="Arial" w:cs="Arial" w:eastAsia="Arial" w:hAnsi="Arial"/>
          <w:sz w:val="17"/>
          <w:szCs w:val="17"/>
          <w:color w:val="auto"/>
        </w:rPr>
      </w:pPr>
    </w:p>
    <w:p>
      <w:pPr>
        <w:ind w:right="40" w:firstLine="444"/>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w:t>
      </w:r>
    </w:p>
    <w:p>
      <w:pPr>
        <w:spacing w:after="0" w:line="188" w:lineRule="exact"/>
        <w:rPr>
          <w:rFonts w:ascii="Arial" w:cs="Arial" w:eastAsia="Arial" w:hAnsi="Arial"/>
          <w:sz w:val="18"/>
          <w:szCs w:val="18"/>
          <w:color w:val="auto"/>
        </w:rPr>
      </w:pPr>
    </w:p>
    <w:p>
      <w:pPr>
        <w:ind w:right="240" w:firstLine="444"/>
        <w:spacing w:after="0" w:line="259" w:lineRule="auto"/>
        <w:tabs>
          <w:tab w:leader="none" w:pos="74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5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terminated by the Representative by notice to the Company at any time at or prior to Closing Time and such termination shall be without liability of any party to any other party except as provided in Section 4 and except that Sections 1, 4, 6, 7, 8, 14, 15 and 16 shall survive any such termination and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4"/>
        <w:spacing w:after="0" w:line="264"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501(b) under the 1933 Act (each, an “</w:t>
      </w:r>
      <w:r>
        <w:rPr>
          <w:rFonts w:ascii="Arial" w:cs="Arial" w:eastAsia="Arial" w:hAnsi="Arial"/>
          <w:sz w:val="18"/>
          <w:szCs w:val="18"/>
          <w:u w:val="single" w:color="auto"/>
          <w:color w:val="auto"/>
        </w:rPr>
        <w:t>Affiliate</w:t>
      </w:r>
      <w:r>
        <w:rPr>
          <w:rFonts w:ascii="Arial" w:cs="Arial" w:eastAsia="Arial" w:hAnsi="Arial"/>
          <w:sz w:val="18"/>
          <w:szCs w:val="18"/>
          <w:color w:val="auto"/>
        </w:rPr>
        <w:t>”)), its selling agents and each person, if any, who controls any Underwriter within the meaning of Section 15 of the 1933 Act or Section 20 of the 1934 Act as follows:</w:t>
      </w:r>
    </w:p>
    <w:p>
      <w:pPr>
        <w:spacing w:after="0" w:line="73" w:lineRule="exact"/>
        <w:rPr>
          <w:rFonts w:ascii="Arial" w:cs="Arial" w:eastAsia="Arial" w:hAnsi="Arial"/>
          <w:sz w:val="18"/>
          <w:szCs w:val="18"/>
          <w:color w:val="auto"/>
        </w:rPr>
      </w:pPr>
    </w:p>
    <w:p>
      <w:pPr>
        <w:ind w:left="440" w:firstLine="428"/>
        <w:spacing w:after="0" w:line="272" w:lineRule="auto"/>
        <w:tabs>
          <w:tab w:leader="none" w:pos="107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7"/>
          <w:szCs w:val="17"/>
          <w:u w:val="single" w:color="auto"/>
          <w:color w:val="auto"/>
        </w:rPr>
        <w:t>Marketing Materials</w:t>
      </w:r>
      <w:r>
        <w:rPr>
          <w:rFonts w:ascii="Arial" w:cs="Arial" w:eastAsia="Arial" w:hAnsi="Arial"/>
          <w:sz w:val="17"/>
          <w:szCs w:val="17"/>
          <w:color w:val="auto"/>
        </w:rPr>
        <w:t>”), including any roadshow or investor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7" w:name="page28"/>
    <w:bookmarkEnd w:id="27"/>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presentations made to investors by the Company (whether in person or electronically), or the omission or alleged omission in any preliminary prospectus, any Issuer Free Writing Prospectus, the General Disclosure Package, the Prospectus (or any amendment or supplement thereto) or any Marketing Materials of a material fact necessary in order to make the statements therein, in the light of the circumstances under which they were made, not misleading;</w:t>
      </w:r>
    </w:p>
    <w:p>
      <w:pPr>
        <w:spacing w:after="0" w:line="79" w:lineRule="exact"/>
        <w:rPr>
          <w:sz w:val="20"/>
          <w:szCs w:val="20"/>
          <w:color w:val="auto"/>
        </w:rPr>
      </w:pPr>
    </w:p>
    <w:p>
      <w:pPr>
        <w:ind w:left="440" w:right="240" w:firstLine="428"/>
        <w:spacing w:after="0" w:line="279" w:lineRule="auto"/>
        <w:tabs>
          <w:tab w:leader="none" w:pos="11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63" w:lineRule="exact"/>
        <w:rPr>
          <w:rFonts w:ascii="Arial" w:cs="Arial" w:eastAsia="Arial" w:hAnsi="Arial"/>
          <w:sz w:val="17"/>
          <w:szCs w:val="17"/>
          <w:color w:val="auto"/>
        </w:rPr>
      </w:pPr>
    </w:p>
    <w:p>
      <w:pPr>
        <w:ind w:left="440" w:firstLine="428"/>
        <w:spacing w:after="0" w:line="277"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from the failure by the Company to deliver to any investor any of the Warrants; and</w:t>
      </w:r>
    </w:p>
    <w:p>
      <w:pPr>
        <w:spacing w:after="0" w:line="62" w:lineRule="exact"/>
        <w:rPr>
          <w:rFonts w:ascii="Arial" w:cs="Arial" w:eastAsia="Arial" w:hAnsi="Arial"/>
          <w:sz w:val="18"/>
          <w:szCs w:val="18"/>
          <w:color w:val="auto"/>
        </w:rPr>
      </w:pPr>
    </w:p>
    <w:p>
      <w:pPr>
        <w:ind w:left="440" w:right="20" w:firstLine="428"/>
        <w:spacing w:after="0" w:line="279"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(ii) or (iii) above;</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7" w:lineRule="exact"/>
        <w:rPr>
          <w:sz w:val="20"/>
          <w:szCs w:val="20"/>
          <w:color w:val="auto"/>
        </w:rPr>
      </w:pPr>
    </w:p>
    <w:p>
      <w:pPr>
        <w:ind w:right="160" w:firstLine="444"/>
        <w:spacing w:after="0" w:line="293"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Section 6(a),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64" w:lineRule="exact"/>
        <w:rPr>
          <w:rFonts w:ascii="Arial" w:cs="Arial" w:eastAsia="Arial" w:hAnsi="Arial"/>
          <w:sz w:val="16"/>
          <w:szCs w:val="16"/>
          <w:color w:val="auto"/>
        </w:rPr>
      </w:pPr>
    </w:p>
    <w:p>
      <w:pPr>
        <w:ind w:firstLine="444"/>
        <w:spacing w:after="0" w:line="271"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w:t>
      </w:r>
      <w:r>
        <w:rPr>
          <w:rFonts w:ascii="Arial" w:cs="Arial" w:eastAsia="Arial" w:hAnsi="Arial"/>
          <w:sz w:val="17"/>
          <w:szCs w:val="17"/>
          <w:i w:val="1"/>
          <w:iCs w:val="1"/>
          <w:color w:val="auto"/>
        </w:rPr>
        <w:t xml:space="preserve"> </w:t>
      </w:r>
      <w:r>
        <w:rPr>
          <w:rFonts w:ascii="Arial" w:cs="Arial" w:eastAsia="Arial" w:hAnsi="Arial"/>
          <w:sz w:val="17"/>
          <w:szCs w:val="17"/>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9" w:lineRule="exact"/>
        <w:rPr>
          <w:sz w:val="20"/>
          <w:szCs w:val="20"/>
          <w:color w:val="auto"/>
        </w:rPr>
      </w:pPr>
    </w:p>
    <w:p>
      <w:pPr>
        <w:ind w:right="100" w:firstLine="444"/>
        <w:spacing w:after="0" w:line="286"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and such indemnifying party has not disputed in good faith and in writing such request for reimbursement,</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indemnifying party shall have received notice of the terms of such settlement at least 30 days prior to such settlement being entered into and</w:t>
      </w:r>
    </w:p>
    <w:p>
      <w:pPr>
        <w:spacing w:after="0" w:line="32" w:lineRule="exact"/>
        <w:rPr>
          <w:rFonts w:ascii="Arial" w:cs="Arial" w:eastAsia="Arial" w:hAnsi="Arial"/>
          <w:sz w:val="16"/>
          <w:szCs w:val="16"/>
          <w:color w:val="auto"/>
        </w:rPr>
      </w:pPr>
    </w:p>
    <w:p>
      <w:pPr>
        <w:ind w:left="320" w:hanging="316"/>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indemnifying party shall not have reimbursed such indemnified party in accordance with such request prior to the date of such settlement.</w:t>
      </w:r>
    </w:p>
    <w:p>
      <w:pPr>
        <w:spacing w:after="0" w:line="234"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(a) in such proportion as is appropriate to reflect the relative benefits received by the Company, on the one hand, and the Underwriters, on the other hand, from the offering of the Securities pursuant to this Agreement or (b) if the allocation provided by clause (a) is not permitted by applicable law, in such proportion as is appropriate to reflect not only the relative benefits referred to in clause (a)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79"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29" w:name="page30"/>
    <w:bookmarkEnd w:id="29"/>
    <w:p>
      <w:pPr>
        <w:ind w:right="3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54"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discounts and commissions received by such Underwriter in connection with the Securities underwritten by it.</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respective number of Shares and Warrants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or any of its Subsidiaries submitted pursuant hereto, shall remain operative and in full force and effect regardless of (a) any investigation made by or on behalf of any Underwriter or its Affiliates or selling agents, any person controlling any Underwriter, its officers or directors or any person controlling the Company and (b) delivery of and payment for the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left="680" w:hanging="236"/>
        <w:spacing w:after="0"/>
        <w:tabs>
          <w:tab w:leader="none" w:pos="680"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 may terminate this Agreement, by notice to the Company, at any time at or prior to the Closing Time if</w:t>
      </w:r>
    </w:p>
    <w:p>
      <w:pPr>
        <w:spacing w:after="0" w:line="34" w:lineRule="exact"/>
        <w:rPr>
          <w:rFonts w:ascii="Arial" w:cs="Arial" w:eastAsia="Arial" w:hAnsi="Arial"/>
          <w:sz w:val="17"/>
          <w:szCs w:val="17"/>
          <w:color w:val="auto"/>
        </w:rPr>
      </w:pPr>
    </w:p>
    <w:p>
      <w:pPr>
        <w:ind w:right="60" w:firstLine="4"/>
        <w:spacing w:after="0" w:line="281" w:lineRule="auto"/>
        <w:tabs>
          <w:tab w:leader="none" w:pos="2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has been, in the judgment of the Representative, since the time of execution of this Agreement or since the respective dates as of which information is given in the Registration Statement, the General Disclosure Package or the Prospectus, any Material Adverse Change, (ii)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(iii) trading in any securities of the Company has been suspended or materially limited by the Commission or the Nasdaq Global Market, or (iv) if trading generally on the NYSE American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Entity,</w:t>
      </w:r>
    </w:p>
    <w:p>
      <w:pPr>
        <w:spacing w:after="0" w:line="6" w:lineRule="exact"/>
        <w:rPr>
          <w:rFonts w:ascii="Arial" w:cs="Arial" w:eastAsia="Arial" w:hAnsi="Arial"/>
          <w:sz w:val="16"/>
          <w:szCs w:val="16"/>
          <w:color w:val="auto"/>
        </w:rPr>
      </w:pPr>
    </w:p>
    <w:p>
      <w:pPr>
        <w:ind w:right="600" w:firstLine="4"/>
        <w:spacing w:after="0" w:line="323"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material disruption has occurred in commercial banking or securities settlement or clearance services in the United States or with respect to Clearstream or Euroclear systems in Europe, or (vi) a banking moratorium has been declared by either Federal or New York authorities.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 w:name="page31"/>
    <w:bookmarkEnd w:id="30"/>
    <w:p>
      <w:pPr>
        <w:ind w:right="160" w:firstLine="444"/>
        <w:spacing w:after="0" w:line="264"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w:t>
      </w:r>
      <w:r>
        <w:rPr>
          <w:rFonts w:ascii="Arial" w:cs="Arial" w:eastAsia="Arial" w:hAnsi="Arial"/>
          <w:sz w:val="18"/>
          <w:szCs w:val="18"/>
          <w:color w:val="auto"/>
        </w:rPr>
        <w:t>. If this Agreement is terminated pursuant to this Section,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4 hereof, and provided further that Sections 1, 4, 6, 7, 8, 14, 15 and 16 shall survive such termination and remain in full force and effect.</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80" w:lineRule="exact"/>
        <w:rPr>
          <w:sz w:val="20"/>
          <w:szCs w:val="20"/>
          <w:color w:val="auto"/>
        </w:rPr>
      </w:pPr>
    </w:p>
    <w:p>
      <w:pPr>
        <w:ind w:left="440" w:right="200" w:firstLine="428"/>
        <w:spacing w:after="0" w:line="286" w:lineRule="auto"/>
        <w:tabs>
          <w:tab w:leader="none" w:pos="10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aggregate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57" w:lineRule="exact"/>
        <w:rPr>
          <w:rFonts w:ascii="Arial" w:cs="Arial" w:eastAsia="Arial" w:hAnsi="Arial"/>
          <w:sz w:val="17"/>
          <w:szCs w:val="17"/>
          <w:color w:val="auto"/>
        </w:rPr>
      </w:pPr>
    </w:p>
    <w:p>
      <w:pPr>
        <w:ind w:left="440" w:right="140" w:firstLine="428"/>
        <w:spacing w:after="0" w:line="277" w:lineRule="auto"/>
        <w:tabs>
          <w:tab w:leader="none" w:pos="11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number of Securities to be purchased on such date, this Agreement shall terminate without liability on the part of any non-defaulting Underwriter.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(i) the Representative or (ii) the Company shall have the right to postpone the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Notwithstanding anything to the contrary set forth herein, the parties acknowledge and agree that the Company shall be solely responsible for delivery of the Warrants to investors in accordance with Section 2(c) hereof and under no circumstances shall any failure by the Company to deliver such Warrants constitute a default by the Underwriters of their obligations under this Agreement.</w:t>
      </w:r>
    </w:p>
    <w:p>
      <w:pPr>
        <w:spacing w:after="0" w:line="181"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Leerink at 1301 Avenue of the Americas,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th</w:t>
      </w:r>
      <w:r>
        <w:rPr>
          <w:rFonts w:ascii="Arial" w:cs="Arial" w:eastAsia="Arial" w:hAnsi="Arial"/>
          <w:sz w:val="18"/>
          <w:szCs w:val="18"/>
          <w:color w:val="auto"/>
        </w:rPr>
        <w:t xml:space="preserve"> Floor, New York, NY 10019, attention of Stuart R. Nayman with a copy (which copy shall not constitute notice) to Covington &amp; Burling LLP at The New York Times Building, 620 8</w:t>
      </w:r>
      <w:r>
        <w:rPr>
          <w:rFonts w:ascii="Arial" w:cs="Arial" w:eastAsia="Arial" w:hAnsi="Arial"/>
          <w:sz w:val="15"/>
          <w:szCs w:val="15"/>
          <w:color w:val="auto"/>
        </w:rPr>
        <w:t>th</w:t>
      </w:r>
      <w:r>
        <w:rPr>
          <w:rFonts w:ascii="Arial" w:cs="Arial" w:eastAsia="Arial" w:hAnsi="Arial"/>
          <w:sz w:val="18"/>
          <w:szCs w:val="18"/>
          <w:color w:val="auto"/>
        </w:rPr>
        <w:t xml:space="preserve"> Avenue, New York, NY 10018, attention of Donald J. Murray; notices to the Company shall be directed to it at 30930 Russell Ranch Road, Suite 300, Westlake Village, CA 91362, attention General Counsel, with a copy (which copy shall not constitute notice) to Cooley LLP, 4401 Eastgate Mall, San Diego, CA 92121, attention Sean Clayton.</w:t>
      </w:r>
    </w:p>
    <w:p>
      <w:pPr>
        <w:spacing w:after="0" w:line="191"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 w:name="page32"/>
    <w:bookmarkEnd w:id="3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66"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their respective successors, the controlling persons and officers and directors referred to in Sections 6 and 7 and their heirs and legal representatives, any legal or equitable right, remedy or claim under or in respect of this Agreement or any provision herein contained.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(a) the federal courts of the United States of America located in the City and County of New York, Borough of Manhattan or (b) the courts of the State of New York located in the City and County of New York, Borough of Manhattan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2" w:name="page33"/>
    <w:bookmarkEnd w:id="32"/>
    <w:p>
      <w:pPr>
        <w:ind w:right="2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440" w:top="274" w:right="619" w:bottom="1440" w:gutter="0" w:footer="0" w:header="0"/>
        </w:sectPr>
      </w:pPr>
    </w:p>
    <w:bookmarkStart w:id="33" w:name="page34"/>
    <w:bookmarkEnd w:id="33"/>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Steven B. Binder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CFO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Giaquinto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Giaquinto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Sr.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themselves and as Representative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NDERWRITING</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gridSpan w:val="3"/>
            <w:vMerge w:val="restart"/>
          </w:tcPr>
          <w:p>
            <w:pPr>
              <w:spacing w:after="0"/>
              <w:rPr>
                <w:sz w:val="20"/>
                <w:szCs w:val="20"/>
                <w:color w:val="auto"/>
              </w:rPr>
            </w:pPr>
            <w:r>
              <w:rPr>
                <w:rFonts w:ascii="Arial" w:cs="Arial" w:eastAsia="Arial" w:hAnsi="Arial"/>
                <w:sz w:val="14"/>
                <w:szCs w:val="14"/>
                <w:color w:val="auto"/>
              </w:rPr>
              <w:t>Name of Underwriter</w:t>
            </w:r>
          </w:p>
        </w:tc>
        <w:tc>
          <w:tcPr>
            <w:tcW w:w="880" w:type="dxa"/>
            <w:vAlign w:val="bottom"/>
          </w:tcPr>
          <w:p>
            <w:pPr>
              <w:jc w:val="right"/>
              <w:ind w:right="56"/>
              <w:spacing w:after="0"/>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54"/>
        </w:trPr>
        <w:tc>
          <w:tcPr>
            <w:tcW w:w="9080" w:type="dxa"/>
            <w:vAlign w:val="bottom"/>
            <w:gridSpan w:val="3"/>
            <w:vMerge w:val="continue"/>
          </w:tcPr>
          <w:p>
            <w:pPr>
              <w:spacing w:after="0"/>
              <w:rPr>
                <w:sz w:val="13"/>
                <w:szCs w:val="13"/>
                <w:color w:val="auto"/>
              </w:rPr>
            </w:pPr>
          </w:p>
        </w:tc>
        <w:tc>
          <w:tcPr>
            <w:tcW w:w="880" w:type="dxa"/>
            <w:vAlign w:val="bottom"/>
          </w:tcPr>
          <w:p>
            <w:pPr>
              <w:jc w:val="right"/>
              <w:ind w:right="176"/>
              <w:spacing w:after="0" w:line="154"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92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1"/>
              </w:rPr>
              <w:t>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Leerink Partners LLC</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20,931,899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20,931,899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880" w:type="dxa"/>
            <w:vAlign w:val="bottom"/>
          </w:tcPr>
          <w:p>
            <w:pPr>
              <w:jc w:val="right"/>
              <w:spacing w:after="0"/>
              <w:rPr>
                <w:sz w:val="20"/>
                <w:szCs w:val="20"/>
                <w:color w:val="auto"/>
              </w:rPr>
            </w:pPr>
            <w:r>
              <w:rPr>
                <w:rFonts w:ascii="Arial" w:cs="Arial" w:eastAsia="Arial" w:hAnsi="Arial"/>
                <w:sz w:val="18"/>
                <w:szCs w:val="18"/>
                <w:color w:val="auto"/>
              </w:rPr>
              <w:t>2,867,384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2,867,384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26,666,667</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26,666,667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4" w:right="41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540" w:type="dxa"/>
            <w:vAlign w:val="bottom"/>
            <w:gridSpan w:val="5"/>
          </w:tcPr>
          <w:p>
            <w:pPr>
              <w:jc w:val="center"/>
              <w:ind w:right="4520"/>
              <w:spacing w:after="0"/>
              <w:rPr>
                <w:sz w:val="20"/>
                <w:szCs w:val="20"/>
                <w:color w:val="auto"/>
              </w:rPr>
            </w:pPr>
            <w:r>
              <w:rPr>
                <w:rFonts w:ascii="Arial" w:cs="Arial" w:eastAsia="Arial" w:hAnsi="Arial"/>
                <w:sz w:val="18"/>
                <w:szCs w:val="18"/>
                <w:color w:val="auto"/>
                <w:w w:val="96"/>
              </w:rPr>
              <w:t>SCHEDULE B-1</w:t>
            </w:r>
          </w:p>
        </w:tc>
      </w:tr>
      <w:tr>
        <w:trPr>
          <w:trHeight w:val="39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4"/>
          </w:tcPr>
          <w:p>
            <w:pPr>
              <w:jc w:val="center"/>
              <w:ind w:right="5020"/>
              <w:spacing w:after="0"/>
              <w:rPr>
                <w:sz w:val="20"/>
                <w:szCs w:val="20"/>
                <w:color w:val="auto"/>
              </w:rPr>
            </w:pPr>
            <w:r>
              <w:rPr>
                <w:rFonts w:ascii="Arial" w:cs="Arial" w:eastAsia="Arial" w:hAnsi="Arial"/>
                <w:sz w:val="18"/>
                <w:szCs w:val="18"/>
                <w:color w:val="auto"/>
                <w:w w:val="91"/>
              </w:rPr>
              <w:t>Pricing Terms</w:t>
            </w:r>
          </w:p>
        </w:tc>
      </w:tr>
      <w:tr>
        <w:trPr>
          <w:trHeight w:val="20"/>
        </w:trPr>
        <w:tc>
          <w:tcPr>
            <w:tcW w:w="4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26"/>
        </w:trPr>
        <w:tc>
          <w:tcPr>
            <w:tcW w:w="4500" w:type="dxa"/>
            <w:vAlign w:val="bottom"/>
            <w:gridSpan w:val="2"/>
          </w:tcPr>
          <w:p>
            <w:pPr>
              <w:spacing w:after="0"/>
              <w:rPr>
                <w:sz w:val="20"/>
                <w:szCs w:val="20"/>
                <w:color w:val="auto"/>
              </w:rPr>
            </w:pPr>
            <w:r>
              <w:rPr>
                <w:rFonts w:ascii="Arial" w:cs="Arial" w:eastAsia="Arial" w:hAnsi="Arial"/>
                <w:sz w:val="14"/>
                <w:szCs w:val="14"/>
                <w:color w:val="auto"/>
              </w:rPr>
              <w:t>Issuer:</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MannKind Corporation (NASDAQ: MNKD)</w:t>
            </w: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290"/>
        </w:trPr>
        <w:tc>
          <w:tcPr>
            <w:tcW w:w="4500" w:type="dxa"/>
            <w:vAlign w:val="bottom"/>
            <w:gridSpan w:val="2"/>
          </w:tcPr>
          <w:p>
            <w:pPr>
              <w:spacing w:after="0"/>
              <w:rPr>
                <w:sz w:val="20"/>
                <w:szCs w:val="20"/>
                <w:color w:val="auto"/>
              </w:rPr>
            </w:pPr>
            <w:r>
              <w:rPr>
                <w:rFonts w:ascii="Arial" w:cs="Arial" w:eastAsia="Arial" w:hAnsi="Arial"/>
                <w:sz w:val="18"/>
                <w:szCs w:val="18"/>
                <w:color w:val="auto"/>
              </w:rPr>
              <w:t>Number of Shares and Warrants:</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7"/>
              </w:rPr>
              <w:t>26,666,667 Shares and accompanying Warrants to purchase up to</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26,666,667 Shares</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w w:val="97"/>
              </w:rPr>
              <w:t>Price per Share and accompanying Warrant to the public:</w:t>
            </w:r>
          </w:p>
        </w:tc>
        <w:tc>
          <w:tcPr>
            <w:tcW w:w="6540" w:type="dxa"/>
            <w:vAlign w:val="bottom"/>
            <w:gridSpan w:val="5"/>
          </w:tcPr>
          <w:p>
            <w:pPr>
              <w:ind w:left="1360"/>
              <w:spacing w:after="0"/>
              <w:rPr>
                <w:sz w:val="20"/>
                <w:szCs w:val="20"/>
                <w:color w:val="auto"/>
              </w:rPr>
            </w:pPr>
            <w:r>
              <w:rPr>
                <w:rFonts w:ascii="Arial" w:cs="Arial" w:eastAsia="Arial" w:hAnsi="Arial"/>
                <w:sz w:val="18"/>
                <w:szCs w:val="18"/>
                <w:color w:val="auto"/>
              </w:rPr>
              <w:t>$1.50</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$0.09 per Share and accompanying Warrant</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Initial Warrant Exercise Price: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$1.60, subject to adjustments as described in the Prospectus</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Warrant Exercisability Date: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December 26, 2018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Warrant Expiration Date: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December 26, 2019</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Estimated Net Proceeds Before Expenses:</w:t>
            </w:r>
          </w:p>
        </w:tc>
        <w:tc>
          <w:tcPr>
            <w:tcW w:w="6540" w:type="dxa"/>
            <w:vAlign w:val="bottom"/>
            <w:gridSpan w:val="5"/>
          </w:tcPr>
          <w:p>
            <w:pPr>
              <w:ind w:left="1360"/>
              <w:spacing w:after="0"/>
              <w:rPr>
                <w:sz w:val="20"/>
                <w:szCs w:val="20"/>
                <w:color w:val="auto"/>
              </w:rPr>
            </w:pPr>
            <w:r>
              <w:rPr>
                <w:rFonts w:ascii="Arial" w:cs="Arial" w:eastAsia="Arial" w:hAnsi="Arial"/>
                <w:sz w:val="18"/>
                <w:szCs w:val="18"/>
                <w:color w:val="auto"/>
              </w:rPr>
              <w:t>$37,600,000.47</w:t>
            </w:r>
          </w:p>
        </w:tc>
      </w:tr>
    </w:tbl>
    <w:p>
      <w:pPr>
        <w:sectPr>
          <w:pgSz w:w="11900" w:h="16838" w:orient="portrait"/>
          <w:cols w:equalWidth="0" w:num="1">
            <w:col w:w="11040"/>
          </w:cols>
          <w:pgMar w:left="440" w:top="274" w:right="4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Issuer General Use Free Writing Prospectuses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(Attached)</w:t>
      </w:r>
    </w:p>
    <w:p>
      <w:pPr>
        <w:sectPr>
          <w:pgSz w:w="11900" w:h="16838" w:orient="portrait"/>
          <w:cols w:equalWidth="0" w:num="1">
            <w:col w:w="9019"/>
          </w:cols>
          <w:pgMar w:left="1440" w:top="274" w:right="1440" w:bottom="1440" w:gutter="0" w:footer="0" w:header="0"/>
        </w:sectPr>
      </w:pPr>
    </w:p>
    <w:bookmarkStart w:id="37" w:name="page38"/>
    <w:bookmarkEnd w:id="37"/>
    <w:p>
      <w:pPr>
        <w:ind w:right="8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described below are being offered by MannKind pursuant to a shelf registration statement on Form S-3 (No. 333-210792) previously filed by MannKind with the Securities and Exchange Commission (SEC) on April 18, 2016 and declared effective on April 27, 2016. A preliminary prospectus supplement related to the offering and accompanying prospectus has been be filed with the SEC and is available on the SEC website located at http://www.sec.gov. Copies of the preliminary prospectus supplement and the accompanying prospectus related to the Offering, when available, may be obtained from Leerink Partners LLC, Attention: Syndicate Department, One Federal Street, 37</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Boston, MA 02110, telephone: (800) 808-7525, ext. 6132, or by email at syndicate@leerink.com. These preliminary terms shall not constitute an offer to sell or the solicitation of an offer to buy these securities, nor shall there be any sale of any securities in any state or other jurisdiction in which such offer, solicitation or sale would be unlawful prior to the registration or qualification under the securities laws of any such state or other jurisdiction.</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The information below constitutes preliminary terms relating to the offering by MannKind Corporation of shares of its common stock and warrants to purchase shares of its common stock (the “Offering”) and should be read together with the aforementioned preliminary prospectus supplement dated December 19, 2018 relating to the Offering and the accompanying prospectus.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67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9"/>
              </w:rPr>
              <w:t>COMMON STOCK PURCHASE WARRANT</w:t>
            </w:r>
          </w:p>
        </w:tc>
        <w:tc>
          <w:tcPr>
            <w:tcW w:w="184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674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rPr>
              <w:t>MANNKIND CORPORATION</w:t>
            </w:r>
          </w:p>
        </w:tc>
        <w:tc>
          <w:tcPr>
            <w:tcW w:w="1840" w:type="dxa"/>
            <w:vAlign w:val="bottom"/>
          </w:tcPr>
          <w:p>
            <w:pPr>
              <w:spacing w:after="0"/>
              <w:rPr>
                <w:sz w:val="24"/>
                <w:szCs w:val="24"/>
                <w:color w:val="auto"/>
              </w:rPr>
            </w:pPr>
          </w:p>
        </w:tc>
      </w:tr>
      <w:tr>
        <w:trPr>
          <w:trHeight w:val="445"/>
        </w:trPr>
        <w:tc>
          <w:tcPr>
            <w:tcW w:w="2440" w:type="dxa"/>
            <w:vAlign w:val="bottom"/>
          </w:tcPr>
          <w:p>
            <w:pPr>
              <w:spacing w:after="0"/>
              <w:rPr>
                <w:sz w:val="20"/>
                <w:szCs w:val="20"/>
                <w:color w:val="auto"/>
              </w:rPr>
            </w:pPr>
            <w:r>
              <w:rPr>
                <w:rFonts w:ascii="Arial" w:cs="Arial" w:eastAsia="Arial" w:hAnsi="Arial"/>
                <w:sz w:val="18"/>
                <w:szCs w:val="18"/>
                <w:color w:val="auto"/>
              </w:rPr>
              <w:t>Warrant Shares:</w:t>
            </w: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Initial Exercise Date:</w:t>
            </w:r>
          </w:p>
        </w:tc>
        <w:tc>
          <w:tcPr>
            <w:tcW w:w="1840" w:type="dxa"/>
            <w:vAlign w:val="bottom"/>
          </w:tcPr>
          <w:p>
            <w:pPr>
              <w:ind w:left="180"/>
              <w:spacing w:after="0"/>
              <w:rPr>
                <w:sz w:val="20"/>
                <w:szCs w:val="20"/>
                <w:color w:val="auto"/>
              </w:rPr>
            </w:pPr>
            <w:r>
              <w:rPr>
                <w:rFonts w:ascii="Arial" w:cs="Arial" w:eastAsia="Arial" w:hAnsi="Arial"/>
                <w:sz w:val="18"/>
                <w:szCs w:val="18"/>
                <w:color w:val="auto"/>
                <w:w w:val="97"/>
              </w:rPr>
              <w:t>December [26], 2018</w:t>
            </w:r>
          </w:p>
        </w:tc>
      </w:tr>
      <w:tr>
        <w:trPr>
          <w:trHeight w:val="230"/>
        </w:trPr>
        <w:tc>
          <w:tcPr>
            <w:tcW w:w="2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Issue Date:</w:t>
            </w:r>
          </w:p>
        </w:tc>
        <w:tc>
          <w:tcPr>
            <w:tcW w:w="1840" w:type="dxa"/>
            <w:vAlign w:val="bottom"/>
          </w:tcPr>
          <w:p>
            <w:pPr>
              <w:ind w:left="180"/>
              <w:spacing w:after="0"/>
              <w:rPr>
                <w:sz w:val="20"/>
                <w:szCs w:val="20"/>
                <w:color w:val="auto"/>
              </w:rPr>
            </w:pPr>
            <w:r>
              <w:rPr>
                <w:rFonts w:ascii="Arial" w:cs="Arial" w:eastAsia="Arial" w:hAnsi="Arial"/>
                <w:sz w:val="18"/>
                <w:szCs w:val="18"/>
                <w:color w:val="auto"/>
                <w:w w:val="97"/>
              </w:rPr>
              <w:t>December [26], 2018</w:t>
            </w:r>
          </w:p>
        </w:tc>
      </w:tr>
      <w:tr>
        <w:trPr>
          <w:trHeight w:val="392"/>
        </w:trPr>
        <w:tc>
          <w:tcPr>
            <w:tcW w:w="11020" w:type="dxa"/>
            <w:vAlign w:val="bottom"/>
            <w:gridSpan w:val="7"/>
          </w:tcPr>
          <w:p>
            <w:pPr>
              <w:ind w:left="880"/>
              <w:spacing w:after="0"/>
              <w:rPr>
                <w:sz w:val="20"/>
                <w:szCs w:val="20"/>
                <w:color w:val="auto"/>
              </w:rPr>
            </w:pPr>
            <w:r>
              <w:rPr>
                <w:rFonts w:ascii="Arial" w:cs="Arial" w:eastAsia="Arial" w:hAnsi="Arial"/>
                <w:sz w:val="18"/>
                <w:szCs w:val="18"/>
                <w:color w:val="auto"/>
                <w:w w:val="97"/>
              </w:rPr>
              <w:t>THIS COMMON STOCK PURCHASE WARRANT (the “Warrant” and the term “Warrants” below refers to this Warrant and all other</w:t>
            </w:r>
          </w:p>
        </w:tc>
      </w:tr>
      <w:tr>
        <w:trPr>
          <w:trHeight w:val="20"/>
        </w:trPr>
        <w:tc>
          <w:tcPr>
            <w:tcW w:w="51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7"/>
        </w:trPr>
        <w:tc>
          <w:tcPr>
            <w:tcW w:w="9180" w:type="dxa"/>
            <w:vAlign w:val="bottom"/>
            <w:gridSpan w:val="6"/>
          </w:tcPr>
          <w:p>
            <w:pPr>
              <w:spacing w:after="0"/>
              <w:rPr>
                <w:sz w:val="20"/>
                <w:szCs w:val="20"/>
                <w:color w:val="auto"/>
              </w:rPr>
            </w:pPr>
            <w:r>
              <w:rPr>
                <w:rFonts w:ascii="Arial" w:cs="Arial" w:eastAsia="Arial" w:hAnsi="Arial"/>
                <w:sz w:val="18"/>
                <w:szCs w:val="18"/>
                <w:color w:val="auto"/>
                <w:w w:val="93"/>
              </w:rPr>
              <w:t>warrants to purchase Common Stock originally issued by the Company on the date hereof) certifies that, for value received,</w:t>
            </w:r>
          </w:p>
        </w:tc>
        <w:tc>
          <w:tcPr>
            <w:tcW w:w="1840" w:type="dxa"/>
            <w:vAlign w:val="bottom"/>
          </w:tcPr>
          <w:p>
            <w:pPr>
              <w:ind w:left="900"/>
              <w:spacing w:after="0"/>
              <w:rPr>
                <w:sz w:val="20"/>
                <w:szCs w:val="20"/>
                <w:color w:val="auto"/>
              </w:rPr>
            </w:pPr>
            <w:r>
              <w:rPr>
                <w:rFonts w:ascii="Arial" w:cs="Arial" w:eastAsia="Arial" w:hAnsi="Arial"/>
                <w:sz w:val="18"/>
                <w:szCs w:val="18"/>
                <w:color w:val="auto"/>
                <w:w w:val="87"/>
              </w:rPr>
              <w:t>or its assigns</w:t>
            </w:r>
          </w:p>
        </w:tc>
      </w:tr>
    </w:tbl>
    <w:p>
      <w:pPr>
        <w:ind w:right="280"/>
        <w:spacing w:after="0" w:line="28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December [26], 2019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thereafter, to subscribe for and purchase from MannKind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9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for all purposes of this Warrant, the following terms have the meanings set forth in this Section 1:</w:t>
      </w:r>
    </w:p>
    <w:p>
      <w:pPr>
        <w:spacing w:after="0" w:line="62"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270" w:right="439" w:bottom="1440" w:gutter="0" w:footer="0" w:header="0"/>
        </w:sectPr>
      </w:pPr>
    </w:p>
    <w:bookmarkStart w:id="38" w:name="page39"/>
    <w:bookmarkEnd w:id="38"/>
    <w:p>
      <w:pPr>
        <w:ind w:firstLine="42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remain closed.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3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62" w:lineRule="exact"/>
        <w:rPr>
          <w:sz w:val="20"/>
          <w:szCs w:val="20"/>
          <w:color w:val="auto"/>
        </w:rPr>
      </w:pPr>
    </w:p>
    <w:p>
      <w:pPr>
        <w:ind w:right="16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330 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Brand Blvd., Suite 701, Glendale, CA 91203, and any successor transfer agent of the Company.</w:t>
      </w:r>
    </w:p>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17" w:lineRule="exact"/>
        <w:rPr>
          <w:sz w:val="20"/>
          <w:szCs w:val="20"/>
          <w:color w:val="auto"/>
        </w:rPr>
      </w:pPr>
    </w:p>
    <w:p>
      <w:pPr>
        <w:jc w:val="both"/>
        <w:ind w:right="80" w:firstLine="428"/>
        <w:spacing w:after="0" w:line="259" w:lineRule="auto"/>
        <w:tabs>
          <w:tab w:leader="none" w:pos="74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8"/>
          <w:szCs w:val="18"/>
          <w:u w:val="single" w:color="auto"/>
          <w:color w:val="auto"/>
        </w:rPr>
        <w:t>Notice of Exercise</w:t>
      </w:r>
      <w:r>
        <w:rPr>
          <w:rFonts w:ascii="Arial" w:cs="Arial" w:eastAsia="Arial" w:hAnsi="Arial"/>
          <w:sz w:val="18"/>
          <w:szCs w:val="18"/>
          <w:color w:val="auto"/>
        </w:rPr>
        <w:t>”) and, within the earlier of (i) 12:00 pm (Eastern Time) on the second Trading Day and (ii) 12:00 pm</w:t>
      </w:r>
    </w:p>
    <w:p>
      <w:pPr>
        <w:sectPr>
          <w:pgSz w:w="11900" w:h="16838" w:orient="portrait"/>
          <w:cols w:equalWidth="0" w:num="1">
            <w:col w:w="10540"/>
          </w:cols>
          <w:pgMar w:left="880" w:top="274" w:right="479" w:bottom="1440" w:gutter="0" w:footer="0" w:header="0"/>
        </w:sectPr>
      </w:pPr>
    </w:p>
    <w:bookmarkStart w:id="39" w:name="page40"/>
    <w:bookmarkEnd w:id="3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(Eastern Time) on the last Trading Day of the applicable Standard Settlement Period (as defined in Section 2(d)(i) herein) following the date said Notice of Exercise is delivered to the Company, payment of the aggregate Exercise Price of the shares thereby purchased pursuant to the applicable Notice of Exercise by wire transfer or cashier’s check drawn on a United States bank or, if available, pursuant to the cashless exercise procedure specified in Section 2(c) below if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7"/>
          <w:szCs w:val="17"/>
          <w:b w:val="1"/>
          <w:bCs w:val="1"/>
          <w:color w:val="auto"/>
        </w:rPr>
        <w:t>The Holder and any</w:t>
      </w:r>
      <w:r>
        <w:rPr>
          <w:rFonts w:ascii="Arial" w:cs="Arial" w:eastAsia="Arial" w:hAnsi="Arial"/>
          <w:sz w:val="17"/>
          <w:szCs w:val="17"/>
          <w:color w:val="auto"/>
        </w:rPr>
        <w:t xml:space="preserve"> </w:t>
      </w:r>
      <w:r>
        <w:rPr>
          <w:rFonts w:ascii="Arial" w:cs="Arial" w:eastAsia="Arial" w:hAnsi="Arial"/>
          <w:sz w:val="17"/>
          <w:szCs w:val="17"/>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1" w:lineRule="exact"/>
        <w:rPr>
          <w:sz w:val="20"/>
          <w:szCs w:val="20"/>
          <w:color w:val="auto"/>
        </w:rPr>
      </w:pPr>
    </w:p>
    <w:p>
      <w:pPr>
        <w:ind w:right="60" w:firstLine="428"/>
        <w:spacing w:after="0" w:line="282" w:lineRule="auto"/>
        <w:tabs>
          <w:tab w:leader="none" w:pos="75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$[___]</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right="80" w:firstLine="428"/>
        <w:spacing w:after="0" w:line="257" w:lineRule="auto"/>
        <w:tabs>
          <w:tab w:leader="none" w:pos="74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and there is also no effective registration statement registering the resale by the Holder of the Warrant Shares, then this Warrant may also be exercised, in whole or in part, at such time by means of a “cashless exercise” in which the Holder shall be entitled to receive a number of Warrant Shares equal to the quotient obtained by dividing [(A-B) × (X)] by (A), where:</w:t>
      </w:r>
    </w:p>
    <w:p>
      <w:pPr>
        <w:spacing w:after="0" w:line="93" w:lineRule="exact"/>
        <w:rPr>
          <w:rFonts w:ascii="Arial" w:cs="Arial" w:eastAsia="Arial" w:hAnsi="Arial"/>
          <w:sz w:val="18"/>
          <w:szCs w:val="18"/>
          <w:color w:val="auto"/>
        </w:rPr>
      </w:pPr>
    </w:p>
    <w:p>
      <w:pPr>
        <w:ind w:left="980" w:hanging="538"/>
        <w:spacing w:after="0" w:line="255"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w:t>
      </w:r>
    </w:p>
    <w:p>
      <w:pPr>
        <w:sectPr>
          <w:pgSz w:w="11900" w:h="16838" w:orient="portrait"/>
          <w:cols w:equalWidth="0" w:num="1">
            <w:col w:w="10540"/>
          </w:cols>
          <w:pgMar w:left="880" w:top="274" w:right="479" w:bottom="1440" w:gutter="0" w:footer="0" w:header="0"/>
        </w:sectPr>
      </w:pPr>
    </w:p>
    <w:bookmarkStart w:id="40" w:name="page41"/>
    <w:bookmarkEnd w:id="40"/>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Exercise is executed during “regular trading hours” on a Trading Day and is delivered to the Company within two</w:t>
      </w:r>
    </w:p>
    <w:p>
      <w:pPr>
        <w:spacing w:after="0" w:line="35" w:lineRule="exact"/>
        <w:rPr>
          <w:sz w:val="20"/>
          <w:szCs w:val="20"/>
          <w:color w:val="auto"/>
        </w:rPr>
      </w:pPr>
    </w:p>
    <w:p>
      <w:pPr>
        <w:ind w:left="1000" w:right="220" w:hanging="5"/>
        <w:spacing w:after="0" w:line="254" w:lineRule="auto"/>
        <w:tabs>
          <w:tab w:leader="none" w:pos="12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5" w:lineRule="exact"/>
        <w:rPr>
          <w:rFonts w:ascii="Arial" w:cs="Arial" w:eastAsia="Arial" w:hAnsi="Arial"/>
          <w:sz w:val="18"/>
          <w:szCs w:val="18"/>
          <w:color w:val="auto"/>
        </w:rPr>
      </w:pPr>
    </w:p>
    <w:p>
      <w:pPr>
        <w:ind w:left="780" w:hanging="338"/>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the Exercise Price, as adjusted hereunder; and</w:t>
      </w:r>
    </w:p>
    <w:p>
      <w:pPr>
        <w:spacing w:after="0" w:line="131" w:lineRule="exact"/>
        <w:rPr>
          <w:sz w:val="20"/>
          <w:szCs w:val="20"/>
          <w:color w:val="auto"/>
        </w:rPr>
      </w:pPr>
    </w:p>
    <w:p>
      <w:pPr>
        <w:ind w:left="980" w:right="240" w:hanging="538"/>
        <w:spacing w:after="0" w:line="277"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right="20" w:firstLine="423"/>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73"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0" w:lineRule="exact"/>
        <w:rPr>
          <w:sz w:val="20"/>
          <w:szCs w:val="20"/>
          <w:color w:val="auto"/>
        </w:rPr>
      </w:pPr>
    </w:p>
    <w:p>
      <w:pPr>
        <w:ind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w:t>
      </w:r>
    </w:p>
    <w:p>
      <w:pPr>
        <w:sectPr>
          <w:pgSz w:w="11900" w:h="16838" w:orient="portrait"/>
          <w:cols w:equalWidth="0" w:num="1">
            <w:col w:w="10580"/>
          </w:cols>
          <w:pgMar w:left="880" w:top="274" w:right="439" w:bottom="1440" w:gutter="0" w:footer="0" w:header="0"/>
        </w:sectPr>
      </w:pPr>
    </w:p>
    <w:bookmarkStart w:id="41" w:name="page42"/>
    <w:bookmarkEnd w:id="41"/>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9" w:lineRule="exact"/>
        <w:rPr>
          <w:sz w:val="20"/>
          <w:szCs w:val="20"/>
          <w:color w:val="auto"/>
        </w:rPr>
      </w:pPr>
    </w:p>
    <w:p>
      <w:pPr>
        <w:ind w:right="340"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if the conditions of a cashless exercise are otherwise met, this Warrant shall be automatically exercised via cashless exercise pursuant to this Section 2(c).</w:t>
      </w:r>
    </w:p>
    <w:p>
      <w:pPr>
        <w:spacing w:after="0" w:line="62" w:lineRule="exact"/>
        <w:rPr>
          <w:sz w:val="20"/>
          <w:szCs w:val="20"/>
          <w:color w:val="auto"/>
        </w:rPr>
      </w:pPr>
    </w:p>
    <w:p>
      <w:pPr>
        <w:ind w:left="760" w:hanging="33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60" w:firstLine="380"/>
        <w:spacing w:after="0" w:line="283" w:lineRule="auto"/>
        <w:tabs>
          <w:tab w:leader="none" w:pos="1658"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w:t>
      </w:r>
    </w:p>
    <w:p>
      <w:pPr>
        <w:spacing w:after="0" w:line="5" w:lineRule="exact"/>
        <w:rPr>
          <w:rFonts w:ascii="Arial" w:cs="Arial" w:eastAsia="Arial" w:hAnsi="Arial"/>
          <w:sz w:val="16"/>
          <w:szCs w:val="16"/>
          <w:color w:val="auto"/>
        </w:rPr>
      </w:pPr>
    </w:p>
    <w:p>
      <w:pPr>
        <w:ind w:left="100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w:t>
      </w:r>
    </w:p>
    <w:p>
      <w:pPr>
        <w:sectPr>
          <w:pgSz w:w="11900" w:h="16838" w:orient="portrait"/>
          <w:cols w:equalWidth="0" w:num="1">
            <w:col w:w="10580"/>
          </w:cols>
          <w:pgMar w:left="880" w:top="274" w:right="439" w:bottom="1440" w:gutter="0" w:footer="0" w:header="0"/>
        </w:sectPr>
      </w:pPr>
    </w:p>
    <w:bookmarkStart w:id="42" w:name="page43"/>
    <w:bookmarkEnd w:id="42"/>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Holder rescinds such exercise. The Company agrees to maintain a transfer agent that is a participant in the FAST program so long as this Warrant remains outstanding and exercisable. As used herein, “</w:t>
      </w:r>
      <w:r>
        <w:rPr>
          <w:rFonts w:ascii="Arial" w:cs="Arial" w:eastAsia="Arial" w:hAnsi="Arial"/>
          <w:sz w:val="18"/>
          <w:szCs w:val="18"/>
          <w:u w:val="single" w:color="auto"/>
          <w:color w:val="auto"/>
        </w:rPr>
        <w:t>Standard Settlement Period</w:t>
      </w:r>
      <w:r>
        <w:rPr>
          <w:rFonts w:ascii="Arial" w:cs="Arial" w:eastAsia="Arial" w:hAnsi="Arial"/>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79" w:lineRule="exact"/>
        <w:rPr>
          <w:sz w:val="20"/>
          <w:szCs w:val="20"/>
          <w:color w:val="auto"/>
        </w:rPr>
      </w:pPr>
    </w:p>
    <w:p>
      <w:pPr>
        <w:ind w:left="440" w:firstLine="380"/>
        <w:spacing w:after="0" w:line="259" w:lineRule="auto"/>
        <w:tabs>
          <w:tab w:leader="none" w:pos="1148"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8" w:lineRule="exact"/>
        <w:rPr>
          <w:rFonts w:ascii="Arial" w:cs="Arial" w:eastAsia="Arial" w:hAnsi="Arial"/>
          <w:sz w:val="18"/>
          <w:szCs w:val="18"/>
          <w:color w:val="auto"/>
        </w:rPr>
      </w:pPr>
    </w:p>
    <w:p>
      <w:pPr>
        <w:ind w:left="440" w:right="20" w:firstLine="380"/>
        <w:spacing w:after="0" w:line="286" w:lineRule="auto"/>
        <w:tabs>
          <w:tab w:leader="none" w:pos="1198"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57" w:lineRule="exact"/>
        <w:rPr>
          <w:rFonts w:ascii="Arial" w:cs="Arial" w:eastAsia="Arial" w:hAnsi="Arial"/>
          <w:sz w:val="17"/>
          <w:szCs w:val="17"/>
          <w:color w:val="auto"/>
        </w:rPr>
      </w:pPr>
    </w:p>
    <w:p>
      <w:pPr>
        <w:ind w:left="440" w:right="20" w:firstLine="380"/>
        <w:spacing w:after="0" w:line="284" w:lineRule="auto"/>
        <w:tabs>
          <w:tab w:leader="none" w:pos="1177"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was entitled to receive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w:t>
      </w:r>
    </w:p>
    <w:p>
      <w:pPr>
        <w:spacing w:after="0" w:line="2" w:lineRule="exact"/>
        <w:rPr>
          <w:rFonts w:ascii="Arial" w:cs="Arial" w:eastAsia="Arial" w:hAnsi="Arial"/>
          <w:sz w:val="16"/>
          <w:szCs w:val="16"/>
          <w:color w:val="auto"/>
        </w:rPr>
      </w:pPr>
    </w:p>
    <w:p>
      <w:pPr>
        <w:ind w:left="440" w:right="40" w:hanging="4"/>
        <w:spacing w:after="0" w:line="252"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Holder’s total purchase price (including brokerage commissions, if any) for the shares of Common Stock so purchased exceeds (y)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w:t>
      </w:r>
    </w:p>
    <w:p>
      <w:pPr>
        <w:sectPr>
          <w:pgSz w:w="11900" w:h="16838" w:orient="portrait"/>
          <w:cols w:equalWidth="0" w:num="1">
            <w:col w:w="10000"/>
          </w:cols>
          <w:pgMar w:left="1440" w:top="274" w:right="459" w:bottom="1440" w:gutter="0" w:footer="0" w:header="0"/>
        </w:sectPr>
      </w:pPr>
    </w:p>
    <w:bookmarkStart w:id="43" w:name="page44"/>
    <w:bookmarkEnd w:id="43"/>
    <w:p>
      <w:pPr>
        <w:ind w:left="572"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1" w:lineRule="exact"/>
        <w:rPr>
          <w:sz w:val="20"/>
          <w:szCs w:val="20"/>
          <w:color w:val="auto"/>
        </w:rPr>
      </w:pPr>
    </w:p>
    <w:p>
      <w:pPr>
        <w:ind w:left="572" w:right="40" w:firstLine="380"/>
        <w:spacing w:after="0" w:line="259" w:lineRule="auto"/>
        <w:tabs>
          <w:tab w:leader="none" w:pos="1259"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8" w:lineRule="exact"/>
        <w:rPr>
          <w:rFonts w:ascii="Arial" w:cs="Arial" w:eastAsia="Arial" w:hAnsi="Arial"/>
          <w:sz w:val="18"/>
          <w:szCs w:val="18"/>
          <w:color w:val="auto"/>
        </w:rPr>
      </w:pPr>
    </w:p>
    <w:p>
      <w:pPr>
        <w:ind w:left="572" w:firstLine="380"/>
        <w:spacing w:after="0" w:line="270" w:lineRule="auto"/>
        <w:tabs>
          <w:tab w:leader="none" w:pos="132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3" w:lineRule="exact"/>
        <w:rPr>
          <w:rFonts w:ascii="Arial" w:cs="Arial" w:eastAsia="Arial" w:hAnsi="Arial"/>
          <w:sz w:val="17"/>
          <w:szCs w:val="17"/>
          <w:color w:val="auto"/>
        </w:rPr>
      </w:pPr>
    </w:p>
    <w:p>
      <w:pPr>
        <w:ind w:left="572" w:right="40" w:firstLine="380"/>
        <w:spacing w:after="0" w:line="277" w:lineRule="auto"/>
        <w:tabs>
          <w:tab w:leader="none" w:pos="137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left="-428" w:right="140" w:firstLine="428"/>
        <w:spacing w:after="0" w:line="264"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Holder’s Exercise Limitations</w:t>
      </w:r>
      <w:r>
        <w:rPr>
          <w:rFonts w:ascii="Arial" w:cs="Arial" w:eastAsia="Arial" w:hAnsi="Arial"/>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w:t>
      </w:r>
    </w:p>
    <w:p>
      <w:pPr>
        <w:sectPr>
          <w:pgSz w:w="11900" w:h="16838" w:orient="portrait"/>
          <w:cols w:equalWidth="0" w:num="1">
            <w:col w:w="10132"/>
          </w:cols>
          <w:pgMar w:left="1308" w:top="274" w:right="459" w:bottom="1440" w:gutter="0" w:footer="0" w:header="0"/>
        </w:sectPr>
      </w:pPr>
    </w:p>
    <w:bookmarkStart w:id="44" w:name="page45"/>
    <w:bookmarkEnd w:id="44"/>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w:t>
      </w:r>
    </w:p>
    <w:p>
      <w:pPr>
        <w:sectPr>
          <w:pgSz w:w="11900" w:h="16838" w:orient="portrait"/>
          <w:cols w:equalWidth="0" w:num="1">
            <w:col w:w="10580"/>
          </w:cols>
          <w:pgMar w:left="880" w:top="274" w:right="439" w:bottom="1440" w:gutter="0" w:footer="0" w:header="0"/>
        </w:sectPr>
      </w:pPr>
    </w:p>
    <w:bookmarkStart w:id="45" w:name="page46"/>
    <w:bookmarkEnd w:id="45"/>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5"/>
          <w:szCs w:val="15"/>
          <w:color w:val="auto"/>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117" w:lineRule="exact"/>
        <w:rPr>
          <w:sz w:val="20"/>
          <w:szCs w:val="20"/>
          <w:color w:val="auto"/>
        </w:rPr>
      </w:pPr>
    </w:p>
    <w:p>
      <w:pPr>
        <w:ind w:firstLine="428"/>
        <w:spacing w:after="0" w:line="287" w:lineRule="auto"/>
        <w:tabs>
          <w:tab w:leader="none" w:pos="74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64" w:lineRule="exact"/>
        <w:rPr>
          <w:rFonts w:ascii="Arial" w:cs="Arial" w:eastAsia="Arial" w:hAnsi="Arial"/>
          <w:sz w:val="16"/>
          <w:szCs w:val="16"/>
          <w:color w:val="auto"/>
        </w:rPr>
      </w:pPr>
    </w:p>
    <w:p>
      <w:pPr>
        <w:ind w:left="760" w:hanging="33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00" w:firstLine="428"/>
        <w:spacing w:after="0" w:line="255" w:lineRule="auto"/>
        <w:tabs>
          <w:tab w:leader="none" w:pos="74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Subsequent Rights Offerings</w:t>
      </w:r>
      <w:r>
        <w:rPr>
          <w:rFonts w:ascii="Arial" w:cs="Arial" w:eastAsia="Arial" w:hAnsi="Arial"/>
          <w:sz w:val="18"/>
          <w:szCs w:val="18"/>
          <w:color w:val="auto"/>
        </w:rPr>
        <w:t xml:space="preserve"> In addition to any adjustments pursuant to Section 3(a) above, if at any time while this Warrant is outstanding the Company grants, issues or sells any Common Stock Equivalents or rights to purchase stock, warrants, securities or other property pro rata to all record holders of Common Stock (the “</w:t>
      </w:r>
      <w:r>
        <w:rPr>
          <w:rFonts w:ascii="Arial" w:cs="Arial" w:eastAsia="Arial" w:hAnsi="Arial"/>
          <w:sz w:val="18"/>
          <w:szCs w:val="18"/>
          <w:u w:val="single" w:color="auto"/>
          <w:color w:val="auto"/>
        </w:rPr>
        <w:t>Purchase Rights</w:t>
      </w:r>
      <w:r>
        <w:rPr>
          <w:rFonts w:ascii="Arial" w:cs="Arial" w:eastAsia="Arial" w:hAnsi="Arial"/>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w:t>
      </w:r>
    </w:p>
    <w:p>
      <w:pPr>
        <w:sectPr>
          <w:pgSz w:w="11900" w:h="16838" w:orient="portrait"/>
          <w:cols w:equalWidth="0" w:num="1">
            <w:col w:w="10580"/>
          </w:cols>
          <w:pgMar w:left="880" w:top="274" w:right="439" w:bottom="1440" w:gutter="0" w:footer="0" w:header="0"/>
        </w:sectPr>
      </w:pPr>
    </w:p>
    <w:bookmarkStart w:id="46" w:name="page47"/>
    <w:bookmarkEnd w:id="4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5" w:lineRule="exact"/>
        <w:rPr>
          <w:sz w:val="20"/>
          <w:szCs w:val="20"/>
          <w:color w:val="auto"/>
        </w:rPr>
      </w:pPr>
    </w:p>
    <w:p>
      <w:pPr>
        <w:ind w:firstLine="428"/>
        <w:spacing w:after="0" w:line="286" w:lineRule="auto"/>
        <w:tabs>
          <w:tab w:leader="none" w:pos="75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(other than as contemplated by Section 3(a) above),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66" w:lineRule="exact"/>
        <w:rPr>
          <w:rFonts w:ascii="Arial" w:cs="Arial" w:eastAsia="Arial" w:hAnsi="Arial"/>
          <w:sz w:val="16"/>
          <w:szCs w:val="16"/>
          <w:color w:val="auto"/>
        </w:rPr>
      </w:pPr>
    </w:p>
    <w:p>
      <w:pPr>
        <w:ind w:firstLine="428"/>
        <w:spacing w:after="0" w:line="289" w:lineRule="auto"/>
        <w:tabs>
          <w:tab w:leader="none" w:pos="74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exclusive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w:t>
      </w:r>
    </w:p>
    <w:p>
      <w:pPr>
        <w:sectPr>
          <w:pgSz w:w="11900" w:h="16838" w:orient="portrait"/>
          <w:cols w:equalWidth="0" w:num="1">
            <w:col w:w="10540"/>
          </w:cols>
          <w:pgMar w:left="880" w:top="274" w:right="47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in lieu of each Warrant Share that would have been issuable upon such exercise immediately prior to the occurrence of such Fundamental Transaction (without regard to any limitation in Section 2(e) on the exercise of this Warrant), the same securities and/or other property as would have been paid for a Warrant Share as if such Warrant Share were outstanding on and as of the closing of such Fundamental Transaction (without regard to any limitation in Section 2(e) on the exercise of this Warrant) (the “</w:t>
      </w:r>
      <w:r>
        <w:rPr>
          <w:rFonts w:ascii="Arial" w:cs="Arial" w:eastAsia="Arial" w:hAnsi="Arial"/>
          <w:sz w:val="16"/>
          <w:szCs w:val="16"/>
          <w:u w:val="single" w:color="auto"/>
          <w:color w:val="auto"/>
        </w:rPr>
        <w:t>Alternate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Warrant and to covenant to, at the option of the Holder, deliver to the Holder in exchange for this Warrant a warrant of the Successor Entity evidenced by a written instrument substantially similar in form and substance to this Warrant which is exercisable for the Alternate Consideration (without regard to any limitations on the exercise of this Warrant), and with an exercise price which applies the exercise price hereunder to such Alternate Consideration consistent with this Section 3(e).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70" w:lineRule="exact"/>
        <w:rPr>
          <w:sz w:val="20"/>
          <w:szCs w:val="20"/>
          <w:color w:val="auto"/>
        </w:rPr>
      </w:pPr>
    </w:p>
    <w:p>
      <w:pPr>
        <w:jc w:val="both"/>
        <w:ind w:right="40" w:firstLine="428"/>
        <w:spacing w:after="0" w:line="286" w:lineRule="auto"/>
        <w:tabs>
          <w:tab w:leader="none" w:pos="72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ectPr>
          <w:pgSz w:w="11900" w:h="16838" w:orient="portrait"/>
          <w:cols w:equalWidth="0" w:num="1">
            <w:col w:w="10580"/>
          </w:cols>
          <w:pgMar w:left="880" w:top="274" w:right="439" w:bottom="1440" w:gutter="0" w:footer="0" w:header="0"/>
        </w:sectPr>
      </w:pPr>
    </w:p>
    <w:bookmarkStart w:id="48" w:name="page49"/>
    <w:bookmarkEnd w:id="48"/>
    <w:p>
      <w:pPr>
        <w:ind w:left="332" w:hanging="332"/>
        <w:spacing w:after="0"/>
        <w:tabs>
          <w:tab w:leader="none" w:pos="3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2" w:right="220" w:firstLine="411"/>
        <w:spacing w:after="0" w:line="312" w:lineRule="auto"/>
        <w:tabs>
          <w:tab w:leader="none" w:pos="693"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8" w:lineRule="exact"/>
        <w:rPr>
          <w:rFonts w:ascii="Arial" w:cs="Arial" w:eastAsia="Arial" w:hAnsi="Arial"/>
          <w:sz w:val="16"/>
          <w:szCs w:val="16"/>
          <w:color w:val="auto"/>
        </w:rPr>
      </w:pPr>
    </w:p>
    <w:p>
      <w:pPr>
        <w:ind w:left="12" w:firstLine="411"/>
        <w:spacing w:after="0" w:line="284" w:lineRule="auto"/>
        <w:tabs>
          <w:tab w:leader="none" w:pos="743"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would constitute, or contain, material, non-public information regarding the Company or any of its subsidiaries, then prior to delivering such notice, the Company shall promptly request the Holder’s agreement to receive material non-public information and to hold such information in confidence. If the Holder does not so agree, then the Company shall be excused from delivering the notice; provided that the Company shall promptly deliver such notice after such time, if any, that delivery would not provide the Holder with material non-public information regarding the Company or any of its subsidiaries. The Holder shall remain entitled to exercise this Warrant during the period commencing on the date of such notice to the effective date of the event triggering such notice except as may otherwise be expressly set forth herein.</w:t>
      </w:r>
    </w:p>
    <w:p>
      <w:pPr>
        <w:sectPr>
          <w:pgSz w:w="11900" w:h="16838" w:orient="portrait"/>
          <w:cols w:equalWidth="0" w:num="1">
            <w:col w:w="10152"/>
          </w:cols>
          <w:pgMar w:left="1308" w:top="274" w:right="439" w:bottom="1440" w:gutter="0" w:footer="0" w:header="0"/>
        </w:sectPr>
      </w:pPr>
    </w:p>
    <w:bookmarkStart w:id="49" w:name="page50"/>
    <w:bookmarkEnd w:id="49"/>
    <w:p>
      <w:pPr>
        <w:spacing w:after="0"/>
        <w:tabs>
          <w:tab w:leader="none" w:pos="8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117" w:lineRule="exact"/>
        <w:rPr>
          <w:sz w:val="20"/>
          <w:szCs w:val="20"/>
          <w:color w:val="auto"/>
        </w:rPr>
      </w:pPr>
    </w:p>
    <w:p>
      <w:pPr>
        <w:ind w:firstLine="428"/>
        <w:spacing w:after="0" w:line="288" w:lineRule="auto"/>
        <w:tabs>
          <w:tab w:leader="none" w:pos="74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1" w:lineRule="exact"/>
        <w:rPr>
          <w:rFonts w:ascii="Arial" w:cs="Arial" w:eastAsia="Arial" w:hAnsi="Arial"/>
          <w:sz w:val="16"/>
          <w:szCs w:val="16"/>
          <w:color w:val="auto"/>
        </w:rPr>
      </w:pPr>
    </w:p>
    <w:p>
      <w:pPr>
        <w:ind w:right="20" w:firstLine="428"/>
        <w:spacing w:after="0" w:line="273" w:lineRule="auto"/>
        <w:tabs>
          <w:tab w:leader="none" w:pos="75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70" w:lineRule="exact"/>
        <w:rPr>
          <w:rFonts w:ascii="Arial" w:cs="Arial" w:eastAsia="Arial" w:hAnsi="Arial"/>
          <w:sz w:val="17"/>
          <w:szCs w:val="17"/>
          <w:color w:val="auto"/>
        </w:rPr>
      </w:pPr>
    </w:p>
    <w:p>
      <w:pPr>
        <w:ind w:left="740" w:hanging="312"/>
        <w:spacing w:after="0"/>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register this Warrant, upon records to be maintained by the Company for that purpose (the</w:t>
      </w:r>
    </w:p>
    <w:p>
      <w:pPr>
        <w:spacing w:after="0" w:line="3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right="280" w:firstLine="428"/>
        <w:spacing w:after="0" w:line="308" w:lineRule="auto"/>
        <w:tabs>
          <w:tab w:leader="none" w:pos="74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ectPr>
          <w:pgSz w:w="11900" w:h="16838" w:orient="portrait"/>
          <w:cols w:equalWidth="0" w:num="1">
            <w:col w:w="10560"/>
          </w:cols>
          <w:pgMar w:left="880" w:top="274" w:right="459" w:bottom="1440" w:gutter="0" w:footer="0" w:header="0"/>
        </w:sectPr>
      </w:pPr>
    </w:p>
    <w:bookmarkStart w:id="50" w:name="page51"/>
    <w:bookmarkEnd w:id="50"/>
    <w:p>
      <w:pPr>
        <w:ind w:left="-428" w:right="160" w:firstLine="428"/>
        <w:spacing w:after="0" w:line="297" w:lineRule="auto"/>
        <w:tabs>
          <w:tab w:leader="none" w:pos="32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50" w:lineRule="exact"/>
        <w:rPr>
          <w:rFonts w:ascii="Arial" w:cs="Arial" w:eastAsia="Arial" w:hAnsi="Arial"/>
          <w:sz w:val="16"/>
          <w:szCs w:val="16"/>
          <w:color w:val="auto"/>
        </w:rPr>
      </w:pPr>
    </w:p>
    <w:p>
      <w:pPr>
        <w:ind w:left="-428" w:right="200" w:firstLine="428"/>
        <w:spacing w:after="0" w:line="342"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 w:lineRule="exact"/>
        <w:rPr>
          <w:rFonts w:ascii="Arial" w:cs="Arial" w:eastAsia="Arial" w:hAnsi="Arial"/>
          <w:sz w:val="16"/>
          <w:szCs w:val="16"/>
          <w:color w:val="auto"/>
        </w:rPr>
      </w:pPr>
    </w:p>
    <w:p>
      <w:pPr>
        <w:ind w:left="332" w:hanging="332"/>
        <w:spacing w:after="0"/>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12" w:right="20" w:firstLine="405"/>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75" w:lineRule="exact"/>
        <w:rPr>
          <w:sz w:val="20"/>
          <w:szCs w:val="20"/>
          <w:color w:val="auto"/>
        </w:rPr>
      </w:pPr>
    </w:p>
    <w:p>
      <w:pPr>
        <w:ind w:left="12" w:firstLine="405"/>
        <w:spacing w:after="0" w:line="257" w:lineRule="auto"/>
        <w:rPr>
          <w:sz w:val="20"/>
          <w:szCs w:val="20"/>
          <w:color w:val="auto"/>
        </w:rPr>
      </w:pPr>
      <w:r>
        <w:rPr>
          <w:rFonts w:ascii="Arial" w:cs="Arial" w:eastAsia="Arial" w:hAnsi="Arial"/>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w:t>
      </w:r>
    </w:p>
    <w:p>
      <w:pPr>
        <w:sectPr>
          <w:pgSz w:w="11900" w:h="16838" w:orient="portrait"/>
          <w:cols w:equalWidth="0" w:num="1">
            <w:col w:w="10132"/>
          </w:cols>
          <w:pgMar w:left="1308" w:top="274" w:right="459" w:bottom="1440" w:gutter="0" w:footer="0" w:header="0"/>
        </w:sectPr>
      </w:pPr>
    </w:p>
    <w:bookmarkStart w:id="51" w:name="page52"/>
    <w:bookmarkEnd w:id="51"/>
    <w:p>
      <w:pPr>
        <w:ind w:left="12"/>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50" w:lineRule="exact"/>
        <w:rPr>
          <w:sz w:val="20"/>
          <w:szCs w:val="20"/>
          <w:color w:val="auto"/>
        </w:rPr>
      </w:pPr>
    </w:p>
    <w:p>
      <w:pPr>
        <w:jc w:val="both"/>
        <w:ind w:left="12" w:firstLine="405"/>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3" w:lineRule="exact"/>
        <w:rPr>
          <w:sz w:val="20"/>
          <w:szCs w:val="20"/>
          <w:color w:val="auto"/>
        </w:rPr>
      </w:pPr>
    </w:p>
    <w:p>
      <w:pPr>
        <w:ind w:left="-428" w:firstLine="428"/>
        <w:spacing w:after="0" w:line="264"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w:t>
      </w:r>
    </w:p>
    <w:p>
      <w:pPr>
        <w:spacing w:after="0" w:line="73" w:lineRule="exact"/>
        <w:rPr>
          <w:rFonts w:ascii="Arial" w:cs="Arial" w:eastAsia="Arial" w:hAnsi="Arial"/>
          <w:sz w:val="18"/>
          <w:szCs w:val="18"/>
          <w:color w:val="auto"/>
        </w:rPr>
      </w:pPr>
    </w:p>
    <w:p>
      <w:pPr>
        <w:ind w:left="-428" w:right="340" w:firstLine="428"/>
        <w:spacing w:after="0" w:line="308" w:lineRule="auto"/>
        <w:tabs>
          <w:tab w:leader="none" w:pos="29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8" w:lineRule="exact"/>
        <w:rPr>
          <w:rFonts w:ascii="Arial" w:cs="Arial" w:eastAsia="Arial" w:hAnsi="Arial"/>
          <w:sz w:val="17"/>
          <w:szCs w:val="17"/>
          <w:color w:val="auto"/>
        </w:rPr>
      </w:pPr>
    </w:p>
    <w:p>
      <w:pPr>
        <w:ind w:left="-428" w:right="60" w:firstLine="428"/>
        <w:spacing w:after="0" w:line="273" w:lineRule="auto"/>
        <w:tabs>
          <w:tab w:leader="none" w:pos="32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0" w:lineRule="exact"/>
        <w:rPr>
          <w:rFonts w:ascii="Arial" w:cs="Arial" w:eastAsia="Arial" w:hAnsi="Arial"/>
          <w:sz w:val="17"/>
          <w:szCs w:val="17"/>
          <w:color w:val="auto"/>
        </w:rPr>
      </w:pPr>
    </w:p>
    <w:p>
      <w:pPr>
        <w:ind w:left="-428" w:right="100" w:firstLine="428"/>
        <w:spacing w:after="0" w:line="271" w:lineRule="auto"/>
        <w:tabs>
          <w:tab w:leader="none" w:pos="32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hereunder (including, without limitation, any Notice of Exercise)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ectPr>
          <w:pgSz w:w="11900" w:h="16838" w:orient="portrait"/>
          <w:cols w:equalWidth="0" w:num="1">
            <w:col w:w="10132"/>
          </w:cols>
          <w:pgMar w:left="1308" w:top="274" w:right="459" w:bottom="1440" w:gutter="0" w:footer="0" w:header="0"/>
        </w:sectPr>
      </w:pPr>
    </w:p>
    <w:bookmarkStart w:id="52" w:name="page53"/>
    <w:bookmarkEnd w:id="52"/>
    <w:p>
      <w:pPr>
        <w:ind w:right="120" w:firstLine="428"/>
        <w:spacing w:after="0" w:line="259"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jc w:val="both"/>
        <w:ind w:firstLine="428"/>
        <w:spacing w:after="0" w:line="259"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ind w:right="160" w:firstLine="428"/>
        <w:spacing w:after="0" w:line="259" w:lineRule="auto"/>
        <w:tabs>
          <w:tab w:leader="none" w:pos="7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8" w:lineRule="exact"/>
        <w:rPr>
          <w:rFonts w:ascii="Arial" w:cs="Arial" w:eastAsia="Arial" w:hAnsi="Arial"/>
          <w:sz w:val="18"/>
          <w:szCs w:val="18"/>
          <w:color w:val="auto"/>
        </w:rPr>
      </w:pPr>
    </w:p>
    <w:p>
      <w:pPr>
        <w:ind w:right="180" w:firstLine="428"/>
        <w:spacing w:after="0" w:line="277"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62" w:lineRule="exact"/>
        <w:rPr>
          <w:rFonts w:ascii="Arial" w:cs="Arial" w:eastAsia="Arial" w:hAnsi="Arial"/>
          <w:sz w:val="18"/>
          <w:szCs w:val="18"/>
          <w:color w:val="auto"/>
        </w:rPr>
      </w:pPr>
    </w:p>
    <w:p>
      <w:pPr>
        <w:ind w:right="20" w:firstLine="428"/>
        <w:spacing w:after="0" w:line="312" w:lineRule="auto"/>
        <w:tabs>
          <w:tab w:leader="none" w:pos="80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8" w:lineRule="exact"/>
        <w:rPr>
          <w:rFonts w:ascii="Arial" w:cs="Arial" w:eastAsia="Arial" w:hAnsi="Arial"/>
          <w:sz w:val="16"/>
          <w:szCs w:val="16"/>
          <w:color w:val="auto"/>
        </w:rPr>
      </w:pPr>
    </w:p>
    <w:p>
      <w:pPr>
        <w:ind w:right="100" w:firstLine="428"/>
        <w:spacing w:after="0" w:line="277" w:lineRule="auto"/>
        <w:tabs>
          <w:tab w:leader="none" w:pos="7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62" w:lineRule="exact"/>
        <w:rPr>
          <w:rFonts w:ascii="Arial" w:cs="Arial" w:eastAsia="Arial" w:hAnsi="Arial"/>
          <w:sz w:val="18"/>
          <w:szCs w:val="18"/>
          <w:color w:val="auto"/>
        </w:rPr>
      </w:pPr>
    </w:p>
    <w:p>
      <w:pPr>
        <w:ind w:right="520" w:firstLine="428"/>
        <w:spacing w:after="0" w:line="277" w:lineRule="auto"/>
        <w:tabs>
          <w:tab w:leader="none" w:pos="7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Receipt of this Warrant by the Holder shall constitute acceptance of and agreement to all of the terms and conditions contained herein.</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80"/>
          </w:cols>
          <w:pgMar w:left="880" w:top="274" w:right="439" w:bottom="1440" w:gutter="0" w:footer="0" w:header="0"/>
        </w:sectPr>
      </w:pPr>
    </w:p>
    <w:bookmarkStart w:id="53" w:name="page54"/>
    <w:bookmarkEnd w:id="53"/>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80"/>
          </w:cols>
          <w:pgMar w:left="440" w:top="274" w:right="579" w:bottom="1440" w:gutter="0" w:footer="0" w:header="0"/>
        </w:sectPr>
      </w:pPr>
    </w:p>
    <w:bookmarkStart w:id="54" w:name="page55"/>
    <w:bookmarkEnd w:id="5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EXERCISE</w:t>
      </w:r>
    </w:p>
    <w:p>
      <w:pPr>
        <w:sectPr>
          <w:pgSz w:w="11900" w:h="16838" w:orient="portrait"/>
          <w:cols w:equalWidth="0" w:num="1">
            <w:col w:w="10740"/>
          </w:cols>
          <w:pgMar w:left="440" w:top="270" w:right="7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129" w:lineRule="exact"/>
        <w:rPr>
          <w:sz w:val="20"/>
          <w:szCs w:val="20"/>
          <w:color w:val="auto"/>
        </w:rPr>
      </w:pPr>
    </w:p>
    <w:p>
      <w:pPr>
        <w:sectPr>
          <w:pgSz w:w="11900" w:h="16838" w:orient="portrait"/>
          <w:cols w:equalWidth="0" w:num="2">
            <w:col w:w="300" w:space="180"/>
            <w:col w:w="10260"/>
          </w:cols>
          <w:pgMar w:left="440" w:top="270" w:right="719" w:bottom="1440" w:gutter="0" w:footer="0" w:header="0"/>
          <w:type w:val="continuous"/>
        </w:sectPr>
      </w:pPr>
    </w:p>
    <w:p>
      <w:pPr>
        <w:ind w:left="880"/>
        <w:spacing w:after="0"/>
        <w:tabs>
          <w:tab w:leader="none" w:pos="1260" w:val="left"/>
          <w:tab w:leader="none" w:pos="5120" w:val="left"/>
        </w:tabs>
        <w:rPr>
          <w:sz w:val="20"/>
          <w:szCs w:val="20"/>
          <w:color w:val="auto"/>
        </w:rPr>
      </w:pPr>
      <w:r>
        <w:rPr>
          <w:rFonts w:ascii="Arial" w:cs="Arial" w:eastAsia="Arial" w:hAnsi="Arial"/>
          <w:sz w:val="18"/>
          <w:szCs w:val="18"/>
          <w:color w:val="auto"/>
        </w:rPr>
        <w:t>(1)</w:t>
        <w:tab/>
        <w:t>The undersigned hereby elects to purchase</w:t>
      </w:r>
      <w:r>
        <w:rPr>
          <w:sz w:val="20"/>
          <w:szCs w:val="20"/>
          <w:color w:val="auto"/>
        </w:rPr>
        <w:tab/>
      </w:r>
      <w:r>
        <w:rPr>
          <w:rFonts w:ascii="Arial" w:cs="Arial" w:eastAsia="Arial" w:hAnsi="Arial"/>
          <w:sz w:val="16"/>
          <w:szCs w:val="16"/>
          <w:color w:val="auto"/>
        </w:rPr>
        <w:t>Warrant Shares of the Company pursuant to the terms of the attached Warrant</w:t>
      </w:r>
    </w:p>
    <w:p>
      <w:pPr>
        <w:sectPr>
          <w:pgSz w:w="11900" w:h="16838" w:orient="portrait"/>
          <w:cols w:equalWidth="0" w:num="1">
            <w:col w:w="10740"/>
          </w:cols>
          <w:pgMar w:left="440" w:top="270" w:right="7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(only if exercised in full), and tenders herewith payment of the exercise price in full, together with all applicable transfer taxes, if any.</w:t>
      </w:r>
    </w:p>
    <w:p>
      <w:pPr>
        <w:spacing w:after="0" w:line="211" w:lineRule="exact"/>
        <w:rPr>
          <w:sz w:val="20"/>
          <w:szCs w:val="20"/>
          <w:color w:val="auto"/>
        </w:rPr>
      </w:pPr>
    </w:p>
    <w:p>
      <w:pPr>
        <w:ind w:left="1440" w:right="5520" w:hanging="555"/>
        <w:spacing w:after="0" w:line="397" w:lineRule="auto"/>
        <w:tabs>
          <w:tab w:leader="none" w:pos="1279"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 shall take the form of (check applicable box): [ ] in lawful money of the United States; or</w:t>
      </w:r>
    </w:p>
    <w:p>
      <w:pPr>
        <w:spacing w:after="0" w:line="2" w:lineRule="exact"/>
        <w:rPr>
          <w:sz w:val="20"/>
          <w:szCs w:val="20"/>
          <w:color w:val="auto"/>
        </w:rPr>
      </w:pPr>
    </w:p>
    <w:p>
      <w:pPr>
        <w:ind w:left="1440" w:right="180" w:hanging="4"/>
        <w:spacing w:after="0" w:line="264" w:lineRule="auto"/>
        <w:tabs>
          <w:tab w:leader="none" w:pos="16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486410</wp:posOffset>
            </wp:positionV>
            <wp:extent cx="1397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1121410</wp:posOffset>
            </wp:positionV>
            <wp:extent cx="1397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803910</wp:posOffset>
            </wp:positionV>
            <wp:extent cx="13976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486410</wp:posOffset>
            </wp:positionV>
            <wp:extent cx="1397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-130810</wp:posOffset>
            </wp:positionV>
            <wp:extent cx="41935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-121920</wp:posOffset>
            </wp:positionV>
            <wp:extent cx="41935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-121920</wp:posOffset>
            </wp:positionV>
            <wp:extent cx="41935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22860</wp:posOffset>
            </wp:positionV>
            <wp:extent cx="41935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9354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-121920</wp:posOffset>
            </wp:positionV>
            <wp:extent cx="41935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ectPr>
          <w:pgSz w:w="11900" w:h="16838" w:orient="portrait"/>
          <w:cols w:equalWidth="0" w:num="1">
            <w:col w:w="10740"/>
          </w:cols>
          <w:pgMar w:left="440" w:top="270" w:right="71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117" w:lineRule="exact"/>
        <w:rPr>
          <w:sz w:val="20"/>
          <w:szCs w:val="20"/>
          <w:color w:val="auto"/>
        </w:rPr>
      </w:pPr>
    </w:p>
    <w:p>
      <w:pPr>
        <w:ind w:left="440" w:right="1440"/>
        <w:spacing w:after="0" w:line="44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-130810</wp:posOffset>
            </wp:positionV>
            <wp:extent cx="29330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-130810</wp:posOffset>
            </wp:positionV>
            <wp:extent cx="29330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14605</wp:posOffset>
            </wp:positionV>
            <wp:extent cx="29330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14605</wp:posOffset>
            </wp:positionV>
            <wp:extent cx="29330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14605</wp:posOffset>
            </wp:positionV>
            <wp:extent cx="28727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14605</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14605</wp:posOffset>
            </wp:positionV>
            <wp:extent cx="28727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FORM OF LOCK-UP AGREEMENT</w:t>
      </w: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(Attached)</w:t>
      </w:r>
    </w:p>
    <w:p>
      <w:pPr>
        <w:sectPr>
          <w:pgSz w:w="11900" w:h="16838" w:orient="portrait"/>
          <w:cols w:equalWidth="0" w:num="1">
            <w:col w:w="10020"/>
          </w:cols>
          <w:pgMar w:left="1440" w:top="274" w:right="4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Lock-Up Agreement</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December______,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Proposed Public Offering by MannKind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undersigned, a stockholder, officer and/or director of MannKind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understands that Leerink Partners LLC (“</w:t>
      </w:r>
      <w:r>
        <w:rPr>
          <w:rFonts w:ascii="Arial" w:cs="Arial" w:eastAsia="Arial" w:hAnsi="Arial"/>
          <w:sz w:val="17"/>
          <w:szCs w:val="17"/>
          <w:u w:val="single" w:color="auto"/>
          <w:color w:val="auto"/>
        </w:rPr>
        <w:t>Leerink</w:t>
      </w:r>
      <w:r>
        <w:rPr>
          <w:rFonts w:ascii="Arial" w:cs="Arial" w:eastAsia="Arial" w:hAnsi="Arial"/>
          <w:sz w:val="17"/>
          <w:szCs w:val="17"/>
          <w:color w:val="auto"/>
        </w:rPr>
        <w:t>”) proposes to enter into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with the Company providing for the public offering (the “</w:t>
      </w:r>
      <w:r>
        <w:rPr>
          <w:rFonts w:ascii="Arial" w:cs="Arial" w:eastAsia="Arial" w:hAnsi="Arial"/>
          <w:sz w:val="17"/>
          <w:szCs w:val="17"/>
          <w:u w:val="single" w:color="auto"/>
          <w:color w:val="auto"/>
        </w:rPr>
        <w:t>Public Offering</w:t>
      </w:r>
      <w:r>
        <w:rPr>
          <w:rFonts w:ascii="Arial" w:cs="Arial" w:eastAsia="Arial" w:hAnsi="Arial"/>
          <w:sz w:val="17"/>
          <w:szCs w:val="17"/>
          <w:color w:val="auto"/>
        </w:rPr>
        <w:t>”) of shares (the “</w:t>
      </w:r>
      <w:r>
        <w:rPr>
          <w:rFonts w:ascii="Arial" w:cs="Arial" w:eastAsia="Arial" w:hAnsi="Arial"/>
          <w:sz w:val="17"/>
          <w:szCs w:val="17"/>
          <w:u w:val="single" w:color="auto"/>
          <w:color w:val="auto"/>
        </w:rPr>
        <w:t>Securities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that, during the period beginning on the date hereof and ending on the date that is 90 days from the date of the Underwriting Agreement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without the prior written consent of Leerink,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7"/>
          <w:szCs w:val="17"/>
          <w:u w:val="single" w:color="auto"/>
          <w:color w:val="auto"/>
        </w:rPr>
        <w:t>Lock-Up Securities</w:t>
      </w:r>
      <w:r>
        <w:rPr>
          <w:rFonts w:ascii="Arial" w:cs="Arial" w:eastAsia="Arial" w:hAnsi="Arial"/>
          <w:sz w:val="17"/>
          <w:szCs w:val="17"/>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the foregoing, and subject to the conditions below, the undersigned may without the prior written consent of Leerink:</w:t>
      </w:r>
    </w:p>
    <w:p>
      <w:pPr>
        <w:spacing w:after="0" w:line="129" w:lineRule="exact"/>
        <w:rPr>
          <w:sz w:val="20"/>
          <w:szCs w:val="20"/>
          <w:color w:val="auto"/>
        </w:rPr>
      </w:pPr>
    </w:p>
    <w:p>
      <w:pPr>
        <w:ind w:right="300" w:firstLine="444"/>
        <w:spacing w:after="0" w:line="276" w:lineRule="auto"/>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transfer Lock-Up Securities, provided, in each case, that (1) Leerink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(4) the undersigned does not otherwise voluntarily effect any public filing or report regarding such transfers (other than a filing on a Form 5 made after the expiration of the Lock-Up Period):</w:t>
      </w:r>
    </w:p>
    <w:p>
      <w:pPr>
        <w:spacing w:after="0" w:line="77" w:lineRule="exact"/>
        <w:rPr>
          <w:rFonts w:ascii="Arial" w:cs="Arial" w:eastAsia="Arial" w:hAnsi="Arial"/>
          <w:sz w:val="17"/>
          <w:szCs w:val="17"/>
          <w:color w:val="auto"/>
        </w:rPr>
      </w:pPr>
    </w:p>
    <w:p>
      <w:pPr>
        <w:ind w:left="1420" w:hanging="538"/>
        <w:spacing w:after="0"/>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ectPr>
          <w:pgSz w:w="11900" w:h="16838" w:orient="portrait"/>
          <w:cols w:equalWidth="0" w:num="1">
            <w:col w:w="10960"/>
          </w:cols>
          <w:pgMar w:left="440" w:top="270" w:right="499" w:bottom="1440" w:gutter="0" w:footer="0" w:header="0"/>
        </w:sectPr>
      </w:pPr>
    </w:p>
    <w:bookmarkStart w:id="58" w:name="page59"/>
    <w:bookmarkEnd w:id="58"/>
    <w:p>
      <w:pPr>
        <w:jc w:val="both"/>
        <w:ind w:left="1420" w:right="440" w:hanging="538"/>
        <w:spacing w:after="0" w:line="264"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86" w:lineRule="exact"/>
        <w:rPr>
          <w:rFonts w:ascii="Arial" w:cs="Arial" w:eastAsia="Arial" w:hAnsi="Arial"/>
          <w:sz w:val="18"/>
          <w:szCs w:val="18"/>
          <w:color w:val="auto"/>
        </w:rPr>
      </w:pPr>
    </w:p>
    <w:p>
      <w:pPr>
        <w:ind w:left="1420" w:right="140" w:hanging="538"/>
        <w:spacing w:after="0" w:line="264"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 or</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w:t>
      </w:r>
    </w:p>
    <w:p>
      <w:pPr>
        <w:spacing w:after="0" w:line="225" w:lineRule="exact"/>
        <w:rPr>
          <w:sz w:val="20"/>
          <w:szCs w:val="20"/>
          <w:color w:val="auto"/>
        </w:rPr>
      </w:pPr>
    </w:p>
    <w:p>
      <w:pPr>
        <w:ind w:right="1080" w:firstLine="444"/>
        <w:spacing w:after="0" w:line="308" w:lineRule="auto"/>
        <w:tabs>
          <w:tab w:leader="none" w:pos="6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transfer Lock-Up Securities pursuant to a qualified domestic relations order or in connection with a divorce settlement, provided that Lock-Up Securities received upon such transfer remain subject to the terms of this lock-up agreement;</w:t>
      </w:r>
    </w:p>
    <w:p>
      <w:pPr>
        <w:spacing w:after="0" w:line="146" w:lineRule="exact"/>
        <w:rPr>
          <w:rFonts w:ascii="Arial" w:cs="Arial" w:eastAsia="Arial" w:hAnsi="Arial"/>
          <w:sz w:val="17"/>
          <w:szCs w:val="17"/>
          <w:color w:val="auto"/>
        </w:rPr>
      </w:pPr>
    </w:p>
    <w:p>
      <w:pPr>
        <w:ind w:left="680" w:hanging="23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transfer Lock-Up Securities by will or intestate succession upon the death of the undersigned; and</w:t>
      </w:r>
    </w:p>
    <w:p>
      <w:pPr>
        <w:spacing w:after="0" w:line="225" w:lineRule="exact"/>
        <w:rPr>
          <w:rFonts w:ascii="Arial" w:cs="Arial" w:eastAsia="Arial" w:hAnsi="Arial"/>
          <w:sz w:val="18"/>
          <w:szCs w:val="18"/>
          <w:color w:val="auto"/>
        </w:rPr>
      </w:pPr>
    </w:p>
    <w:p>
      <w:pPr>
        <w:ind w:firstLine="444"/>
        <w:spacing w:after="0" w:line="264" w:lineRule="auto"/>
        <w:tabs>
          <w:tab w:leader="none" w:pos="6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transfer Lock-Up Securities to the Company in satisfaction of any tax withholding obligation, provided that any filing under Section 16 of the Exchange Act made during the Lock-Up Period in connection with such transfer shall clearly indicate in the footnotes thereto that the filing relates to the circumstances described in this clause.</w:t>
      </w:r>
    </w:p>
    <w:p>
      <w:pPr>
        <w:spacing w:after="0" w:line="181"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Furthermore, no provision in this lock-up agreement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in each case for cash or on a “cashless” or “net exercise” basis, pursuant to any stock option, stock bonus or other stock plan or arrangement in existence as of the date of this lock-up agreement; provided, however, that the underlying shares of Common Stock shall continue to be subject to the restrictions on transfer set forth in this lock-up agreement and that any filing under Section 16 of the Exchange Act made in connection with such exercise or exchange shall clearly indicate in the footnotes thereto that (a) the filing relates to the circumstances described in this clause (2) and (b) no shares of Common Stock were sold by the reporting person; and (3) the transfer of Lock-Up Securities pursuant to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the Lock-Up Securities held by the undersigned shall remain subject to the restrictions on transfer set forth in this lock-up agreement.</w:t>
      </w:r>
    </w:p>
    <w:p>
      <w:pPr>
        <w:spacing w:after="0" w:line="169"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Notwithstanding anything herein to the contrary, nothing herein shall prevent the undersigned from establishing a 10b5-1 trading plan that complies with Rule 10b5-1 under the Exchange Act (a “</w:t>
      </w:r>
      <w:r>
        <w:rPr>
          <w:rFonts w:ascii="Arial" w:cs="Arial" w:eastAsia="Arial" w:hAnsi="Arial"/>
          <w:sz w:val="16"/>
          <w:szCs w:val="16"/>
          <w:u w:val="single" w:color="auto"/>
          <w:color w:val="auto"/>
        </w:rPr>
        <w:t>10b5-1 Trading Plan</w:t>
      </w:r>
      <w:r>
        <w:rPr>
          <w:rFonts w:ascii="Arial" w:cs="Arial" w:eastAsia="Arial" w:hAnsi="Arial"/>
          <w:sz w:val="16"/>
          <w:szCs w:val="16"/>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10b5-1 Trading Plan is not required to be reported in any public report or filing with the Securities Exchange Commission, or otherwise and (ii) the undersigned does not otherwise voluntarily effect any public filing or report regarding the establishment or amendment of such 10b5-1 Trading Plan.</w:t>
      </w:r>
    </w:p>
    <w:p>
      <w:pPr>
        <w:sectPr>
          <w:pgSz w:w="11900" w:h="16838" w:orient="portrait"/>
          <w:cols w:equalWidth="0" w:num="1">
            <w:col w:w="11020"/>
          </w:cols>
          <w:pgMar w:left="440" w:top="274" w:right="439" w:bottom="1440" w:gutter="0" w:footer="0" w:header="0"/>
        </w:sectPr>
      </w:pPr>
    </w:p>
    <w:bookmarkStart w:id="59" w:name="page60"/>
    <w:bookmarkEnd w:id="59"/>
    <w:p>
      <w:pPr>
        <w:ind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also agrees and consents to the entry of stop transfer instructions with the Company’s transfer agent and registrar preventing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Leerink in writing that it has determined not to proceed with the Public Offering; (ii) the Underwriting Agreement is executed but is terminated prior to the closing of the Public Offering (other than the provisions thereof which survive termination), or (iii) January 31, 2019, in the event that the Underwriting Agreement has not been executed by such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00"/>
          </w:cols>
          <w:pgMar w:left="440" w:top="274" w:right="559" w:bottom="1440" w:gutter="0" w:footer="0" w:header="0"/>
        </w:sectPr>
      </w:pPr>
    </w:p>
    <w:bookmarkStart w:id="60" w:name="page61"/>
    <w:bookmarkEnd w:id="6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246380</wp:posOffset>
            </wp:positionV>
            <wp:extent cx="2795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-19050</wp:posOffset>
            </wp:positionV>
            <wp:extent cx="25641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trustee, or on behalf of an entity)</w:t>
      </w:r>
    </w:p>
    <w:p>
      <w:pPr>
        <w:sectPr>
          <w:pgSz w:w="11900" w:h="16838" w:orient="portrait"/>
          <w:cols w:equalWidth="0" w:num="1">
            <w:col w:w="9920"/>
          </w:cols>
          <w:pgMar w:left="1440" w:top="274" w:right="5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FORM OF WARRANT</w:t>
      </w: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Attached</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PURCHASE WARRANT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December [26],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[26], 2018</w:t>
      </w:r>
    </w:p>
    <w:p>
      <w:pPr>
        <w:spacing w:after="0" w:line="222" w:lineRule="exact"/>
        <w:rPr>
          <w:sz w:val="20"/>
          <w:szCs w:val="20"/>
          <w:color w:val="auto"/>
        </w:rPr>
      </w:pPr>
    </w:p>
    <w:p>
      <w:pPr>
        <w:sectPr>
          <w:pgSz w:w="11900" w:h="16838" w:orient="portrait"/>
          <w:cols w:equalWidth="0" w:num="3">
            <w:col w:w="3920" w:space="720"/>
            <w:col w:w="1540" w:space="340"/>
            <w:col w:w="4500"/>
          </w:cols>
          <w:pgMar w:left="440" w:top="270" w:right="439" w:bottom="1440" w:gutter="0" w:footer="0" w:header="0"/>
          <w:type w:val="continuous"/>
        </w:sectPr>
      </w:pPr>
    </w:p>
    <w:p>
      <w:pPr>
        <w:spacing w:after="0" w:line="11" w:lineRule="exact"/>
        <w:rPr>
          <w:sz w:val="20"/>
          <w:szCs w:val="20"/>
          <w:color w:val="auto"/>
        </w:rPr>
      </w:pPr>
    </w:p>
    <w:p>
      <w:pPr>
        <w:ind w:right="420" w:firstLine="881"/>
        <w:spacing w:after="0" w:line="291" w:lineRule="auto"/>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and the term “</w:t>
      </w:r>
      <w:r>
        <w:rPr>
          <w:rFonts w:ascii="Arial" w:cs="Arial" w:eastAsia="Arial" w:hAnsi="Arial"/>
          <w:sz w:val="16"/>
          <w:szCs w:val="16"/>
          <w:u w:val="single" w:color="auto"/>
          <w:color w:val="auto"/>
        </w:rPr>
        <w:t>Warrants</w:t>
      </w:r>
      <w:r>
        <w:rPr>
          <w:rFonts w:ascii="Arial" w:cs="Arial" w:eastAsia="Arial" w:hAnsi="Arial"/>
          <w:sz w:val="16"/>
          <w:szCs w:val="16"/>
          <w:color w:val="auto"/>
        </w:rPr>
        <w:t>” below refers to this Warrant and all other warrants to purchase Common Stock originally issued by the Company on the date hereof) certifies that, for value received, _____________ or its</w:t>
      </w:r>
    </w:p>
    <w:p>
      <w:pPr>
        <w:jc w:val="both"/>
        <w:spacing w:after="0" w:line="281"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December [26], 2019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MannKind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for all purposes of this Warrant, the following terms have the meanings set forth in this Section 1:</w:t>
      </w:r>
    </w:p>
    <w:p>
      <w:pPr>
        <w:spacing w:after="0" w:line="62"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remain closed.</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440" w:right="3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62" w:lineRule="exact"/>
        <w:rPr>
          <w:sz w:val="20"/>
          <w:szCs w:val="20"/>
          <w:color w:val="auto"/>
        </w:rPr>
      </w:pPr>
    </w:p>
    <w:p>
      <w:pPr>
        <w:ind w:left="440" w:right="20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ectPr>
          <w:pgSz w:w="11900" w:h="16838" w:orient="portrait"/>
          <w:cols w:equalWidth="0" w:num="1">
            <w:col w:w="11020"/>
          </w:cols>
          <w:pgMar w:left="440" w:top="270" w:right="439" w:bottom="1440" w:gutter="0" w:footer="0" w:header="0"/>
          <w:type w:val="continuous"/>
        </w:sectPr>
      </w:pPr>
    </w:p>
    <w:bookmarkStart w:id="63" w:name="page64"/>
    <w:bookmarkEnd w:id="6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330 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Brand Blvd., Suite 701, Glendale, CA 91203, and any successor transfer agent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firstLine="428"/>
        <w:spacing w:after="0" w:line="286" w:lineRule="auto"/>
        <w:tabs>
          <w:tab w:leader="none" w:pos="60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and, within the earlier of (i) 12:00 pm (Eastern Time) on the second Trading Day and (ii) 12:00 pm (Eastern Time) on the last Trading Day of the applicable Standard Settlement Period (as defined in Section 2(d)(i) herein) following the date said Notice of Exercise is delivered to the Company, payment of the aggregate Exercise Price of the shares thereby purchased pursuant to the applicable Notice of Exercise by wire transfer or cashier’s check drawn on a United States bank or, if available, pursuant to the cashless exercise procedure specified in Section 2(c) below if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w:t>
      </w:r>
    </w:p>
    <w:p>
      <w:pPr>
        <w:sectPr>
          <w:pgSz w:w="11900" w:h="16838" w:orient="portrait"/>
          <w:cols w:equalWidth="0" w:num="1">
            <w:col w:w="10540"/>
          </w:cols>
          <w:pgMar w:left="880" w:top="274" w:right="479" w:bottom="1440" w:gutter="0" w:footer="0" w:header="0"/>
        </w:sectPr>
      </w:pPr>
    </w:p>
    <w:bookmarkStart w:id="64" w:name="page65"/>
    <w:bookmarkEnd w:id="6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Warrant, acknowledge and agree that, by</w:t>
      </w:r>
      <w:r>
        <w:rPr>
          <w:rFonts w:ascii="Arial" w:cs="Arial" w:eastAsia="Arial" w:hAnsi="Arial"/>
          <w:sz w:val="16"/>
          <w:szCs w:val="16"/>
          <w:color w:val="auto"/>
        </w:rPr>
        <w:t xml:space="preserve"> </w:t>
      </w:r>
      <w:r>
        <w:rPr>
          <w:rFonts w:ascii="Arial" w:cs="Arial" w:eastAsia="Arial" w:hAnsi="Arial"/>
          <w:sz w:val="16"/>
          <w:szCs w:val="16"/>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42" w:lineRule="exact"/>
        <w:rPr>
          <w:sz w:val="20"/>
          <w:szCs w:val="20"/>
          <w:color w:val="auto"/>
        </w:rPr>
      </w:pPr>
    </w:p>
    <w:p>
      <w:pPr>
        <w:ind w:right="220" w:firstLine="428"/>
        <w:spacing w:after="0" w:line="282" w:lineRule="auto"/>
        <w:tabs>
          <w:tab w:leader="none" w:pos="61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$[___]</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right="100" w:firstLine="428"/>
        <w:spacing w:after="0" w:line="257"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and there is also no effective registration statement registering the resale by the Holder of the Warrant Shares, then this Warrant may also be exercised, in whole or in part, at such time by means of a “cashless exercise” in which the Holder shall be entitled to receive a number of Warrant Shares equal to the quotient obtained by dividing [(A-B) × (X)] by (A), where:</w:t>
      </w:r>
    </w:p>
    <w:p>
      <w:pPr>
        <w:spacing w:after="0" w:line="93" w:lineRule="exact"/>
        <w:rPr>
          <w:rFonts w:ascii="Arial" w:cs="Arial" w:eastAsia="Arial" w:hAnsi="Arial"/>
          <w:sz w:val="18"/>
          <w:szCs w:val="18"/>
          <w:color w:val="auto"/>
        </w:rPr>
      </w:pPr>
    </w:p>
    <w:p>
      <w:pPr>
        <w:ind w:left="980" w:right="20" w:hanging="538"/>
        <w:spacing w:after="0" w:line="269" w:lineRule="auto"/>
        <w:tabs>
          <w:tab w:leader="none" w:pos="735" w:val="left"/>
        </w:tabs>
        <w:numPr>
          <w:ilvl w:val="1"/>
          <w:numId w:val="65"/>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to the Company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88" w:lineRule="exact"/>
        <w:rPr>
          <w:rFonts w:ascii="Arial" w:cs="Arial" w:eastAsia="Arial" w:hAnsi="Arial"/>
          <w:sz w:val="17"/>
          <w:szCs w:val="17"/>
          <w:color w:val="auto"/>
        </w:rPr>
      </w:pPr>
    </w:p>
    <w:p>
      <w:pPr>
        <w:ind w:left="720" w:hanging="278"/>
        <w:spacing w:after="0"/>
        <w:tabs>
          <w:tab w:leader="none" w:pos="7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the Exercise Price, as adjusted hereunder; and</w:t>
      </w:r>
    </w:p>
    <w:p>
      <w:pPr>
        <w:spacing w:after="0" w:line="131" w:lineRule="exact"/>
        <w:rPr>
          <w:sz w:val="20"/>
          <w:szCs w:val="20"/>
          <w:color w:val="auto"/>
        </w:rPr>
      </w:pPr>
    </w:p>
    <w:p>
      <w:pPr>
        <w:ind w:left="980" w:right="220" w:hanging="538"/>
        <w:spacing w:after="0" w:line="277" w:lineRule="auto"/>
        <w:tabs>
          <w:tab w:leader="none" w:pos="7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firstLine="423"/>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ectPr>
          <w:pgSz w:w="11900" w:h="16838" w:orient="portrait"/>
          <w:cols w:equalWidth="0" w:num="1">
            <w:col w:w="10560"/>
          </w:cols>
          <w:pgMar w:left="880" w:top="274" w:right="459" w:bottom="1440" w:gutter="0" w:footer="0" w:header="0"/>
        </w:sectPr>
      </w:pPr>
    </w:p>
    <w:bookmarkStart w:id="65" w:name="page66"/>
    <w:bookmarkEnd w:id="65"/>
    <w:p>
      <w:pPr>
        <w:ind w:firstLine="42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0"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0" w:lineRule="exact"/>
        <w:rPr>
          <w:sz w:val="20"/>
          <w:szCs w:val="20"/>
          <w:color w:val="auto"/>
        </w:rPr>
      </w:pPr>
    </w:p>
    <w:p>
      <w:pPr>
        <w:ind w:right="340"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if the conditions of a cashless exercise are otherwise met, this Warrant shall be automatically exercised via cashless exercise pursuant to this Section 2(c).</w:t>
      </w:r>
    </w:p>
    <w:p>
      <w:pPr>
        <w:spacing w:after="0" w:line="62" w:lineRule="exact"/>
        <w:rPr>
          <w:sz w:val="20"/>
          <w:szCs w:val="20"/>
          <w:color w:val="auto"/>
        </w:rPr>
      </w:pPr>
    </w:p>
    <w:p>
      <w:pPr>
        <w:ind w:left="620" w:hanging="19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20" w:hanging="140"/>
        <w:spacing w:after="0"/>
        <w:tabs>
          <w:tab w:leader="none" w:pos="152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The Company shall cause the Warrant Shares purchased hereunder to be</w:t>
      </w:r>
    </w:p>
    <w:p>
      <w:pPr>
        <w:spacing w:after="0" w:line="34" w:lineRule="exact"/>
        <w:rPr>
          <w:rFonts w:ascii="Arial" w:cs="Arial" w:eastAsia="Arial" w:hAnsi="Arial"/>
          <w:sz w:val="17"/>
          <w:szCs w:val="17"/>
          <w:color w:val="auto"/>
        </w:rPr>
      </w:pPr>
    </w:p>
    <w:p>
      <w:pPr>
        <w:ind w:left="1000" w:right="160"/>
        <w:spacing w:after="0" w:line="261" w:lineRule="auto"/>
        <w:rPr>
          <w:rFonts w:ascii="Arial" w:cs="Arial" w:eastAsia="Arial" w:hAnsi="Arial"/>
          <w:sz w:val="17"/>
          <w:szCs w:val="17"/>
          <w:color w:val="auto"/>
        </w:rPr>
      </w:pPr>
      <w:r>
        <w:rPr>
          <w:rFonts w:ascii="Arial" w:cs="Arial" w:eastAsia="Arial" w:hAnsi="Arial"/>
          <w:sz w:val="18"/>
          <w:szCs w:val="18"/>
          <w:color w:val="auto"/>
        </w:rPr>
        <w:t>transmitted by the Transfer Agent to the Holder by crediting the account of the Holder’s or its designee’s balance account with The Depository Trust Company through</w:t>
      </w:r>
    </w:p>
    <w:p>
      <w:pPr>
        <w:sectPr>
          <w:pgSz w:w="11900" w:h="16838" w:orient="portrait"/>
          <w:cols w:equalWidth="0" w:num="1">
            <w:col w:w="10580"/>
          </w:cols>
          <w:pgMar w:left="880" w:top="274" w:right="439" w:bottom="1440" w:gutter="0" w:footer="0" w:header="0"/>
        </w:sectPr>
      </w:pPr>
    </w:p>
    <w:bookmarkStart w:id="66" w:name="page67"/>
    <w:bookmarkEnd w:id="66"/>
    <w:p>
      <w:pPr>
        <w:ind w:left="4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w:t>
      </w:r>
    </w:p>
    <w:p>
      <w:pPr>
        <w:ind w:left="440" w:hanging="4"/>
        <w:spacing w:after="0" w:line="284" w:lineRule="auto"/>
        <w:tabs>
          <w:tab w:leader="none" w:pos="72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280" w:lineRule="exact"/>
        <w:rPr>
          <w:rFonts w:ascii="Arial" w:cs="Arial" w:eastAsia="Arial" w:hAnsi="Arial"/>
          <w:sz w:val="16"/>
          <w:szCs w:val="16"/>
          <w:color w:val="auto"/>
        </w:rPr>
      </w:pPr>
    </w:p>
    <w:p>
      <w:pPr>
        <w:ind w:left="440" w:right="20" w:firstLine="380"/>
        <w:spacing w:after="0" w:line="259" w:lineRule="auto"/>
        <w:tabs>
          <w:tab w:leader="none" w:pos="1013"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020"/>
          </w:cols>
          <w:pgMar w:left="1440" w:top="274" w:right="439" w:bottom="1440" w:gutter="0" w:footer="0" w:header="0"/>
        </w:sectPr>
      </w:pPr>
    </w:p>
    <w:bookmarkStart w:id="67" w:name="page68"/>
    <w:bookmarkEnd w:id="67"/>
    <w:p>
      <w:pPr>
        <w:jc w:val="both"/>
        <w:ind w:left="440" w:firstLine="380"/>
        <w:spacing w:after="0" w:line="286" w:lineRule="auto"/>
        <w:tabs>
          <w:tab w:leader="none" w:pos="1063"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57" w:lineRule="exact"/>
        <w:rPr>
          <w:rFonts w:ascii="Arial" w:cs="Arial" w:eastAsia="Arial" w:hAnsi="Arial"/>
          <w:sz w:val="17"/>
          <w:szCs w:val="17"/>
          <w:color w:val="auto"/>
        </w:rPr>
      </w:pPr>
    </w:p>
    <w:p>
      <w:pPr>
        <w:ind w:left="440" w:right="40" w:firstLine="380"/>
        <w:spacing w:after="0" w:line="284" w:lineRule="auto"/>
        <w:tabs>
          <w:tab w:leader="none" w:pos="1042"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was entitled to receive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w:t>
      </w:r>
    </w:p>
    <w:p>
      <w:pPr>
        <w:spacing w:after="0" w:line="2" w:lineRule="exact"/>
        <w:rPr>
          <w:rFonts w:ascii="Arial" w:cs="Arial" w:eastAsia="Arial" w:hAnsi="Arial"/>
          <w:sz w:val="16"/>
          <w:szCs w:val="16"/>
          <w:color w:val="auto"/>
        </w:rPr>
      </w:pPr>
    </w:p>
    <w:p>
      <w:pPr>
        <w:ind w:left="440" w:hanging="4"/>
        <w:spacing w:after="0" w:line="267"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Holder’s total purchase price (including brokerage commissions, if any) for the shares of Common Stock so purchased exceeds (y)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4" w:lineRule="exact"/>
        <w:rPr>
          <w:rFonts w:ascii="Arial" w:cs="Arial" w:eastAsia="Arial" w:hAnsi="Arial"/>
          <w:sz w:val="17"/>
          <w:szCs w:val="17"/>
          <w:color w:val="auto"/>
        </w:rPr>
      </w:pPr>
    </w:p>
    <w:p>
      <w:pPr>
        <w:ind w:left="440" w:firstLine="380"/>
        <w:spacing w:after="0" w:line="259" w:lineRule="auto"/>
        <w:tabs>
          <w:tab w:leader="none" w:pos="99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20"/>
          </w:cols>
          <w:pgMar w:left="1440" w:top="274" w:right="439" w:bottom="1440" w:gutter="0" w:footer="0" w:header="0"/>
        </w:sectPr>
      </w:pPr>
    </w:p>
    <w:bookmarkStart w:id="68" w:name="page69"/>
    <w:bookmarkEnd w:id="68"/>
    <w:p>
      <w:pPr>
        <w:ind w:left="996" w:firstLine="380"/>
        <w:spacing w:after="0" w:line="270" w:lineRule="auto"/>
        <w:tabs>
          <w:tab w:leader="none" w:pos="1609" w:val="left"/>
        </w:tabs>
        <w:numPr>
          <w:ilvl w:val="2"/>
          <w:numId w:val="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3" w:lineRule="exact"/>
        <w:rPr>
          <w:rFonts w:ascii="Arial" w:cs="Arial" w:eastAsia="Arial" w:hAnsi="Arial"/>
          <w:sz w:val="17"/>
          <w:szCs w:val="17"/>
          <w:color w:val="auto"/>
        </w:rPr>
      </w:pPr>
    </w:p>
    <w:p>
      <w:pPr>
        <w:ind w:left="996" w:right="180" w:firstLine="380"/>
        <w:spacing w:after="0" w:line="277" w:lineRule="auto"/>
        <w:tabs>
          <w:tab w:leader="none" w:pos="1659"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left="-4" w:right="40" w:firstLine="428"/>
        <w:spacing w:after="0" w:line="284" w:lineRule="auto"/>
        <w:tabs>
          <w:tab w:leader="none" w:pos="60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1" w:lineRule="exact"/>
        <w:rPr>
          <w:rFonts w:ascii="Arial" w:cs="Arial" w:eastAsia="Arial" w:hAnsi="Arial"/>
          <w:sz w:val="16"/>
          <w:szCs w:val="16"/>
          <w:color w:val="auto"/>
        </w:rPr>
      </w:pPr>
    </w:p>
    <w:p>
      <w:pPr>
        <w:ind w:left="-4" w:right="100" w:firstLine="4"/>
        <w:spacing w:after="0" w:line="269" w:lineRule="auto"/>
        <w:tabs>
          <w:tab w:leader="none" w:pos="261"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w:t>
      </w:r>
    </w:p>
    <w:p>
      <w:pPr>
        <w:sectPr>
          <w:pgSz w:w="11900" w:h="16838" w:orient="portrait"/>
          <w:cols w:equalWidth="0" w:num="1">
            <w:col w:w="10556"/>
          </w:cols>
          <w:pgMar w:left="884" w:top="274" w:right="459" w:bottom="1440" w:gutter="0" w:footer="0" w:header="0"/>
        </w:sectPr>
      </w:pPr>
    </w:p>
    <w:bookmarkStart w:id="69" w:name="page70"/>
    <w:bookmarkEnd w:id="6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3"/>
          <w:szCs w:val="13"/>
          <w:color w:val="auto"/>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117" w:lineRule="exact"/>
        <w:rPr>
          <w:sz w:val="20"/>
          <w:szCs w:val="20"/>
          <w:color w:val="auto"/>
        </w:rPr>
      </w:pPr>
    </w:p>
    <w:p>
      <w:pPr>
        <w:ind w:right="20" w:firstLine="428"/>
        <w:spacing w:after="0" w:line="257" w:lineRule="auto"/>
        <w:tabs>
          <w:tab w:leader="none" w:pos="6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w:t>
      </w:r>
    </w:p>
    <w:p>
      <w:pPr>
        <w:sectPr>
          <w:pgSz w:w="11900" w:h="16838" w:orient="portrait"/>
          <w:cols w:equalWidth="0" w:num="1">
            <w:col w:w="10560"/>
          </w:cols>
          <w:pgMar w:left="880" w:top="274" w:right="45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59" w:lineRule="exact"/>
        <w:rPr>
          <w:sz w:val="20"/>
          <w:szCs w:val="20"/>
          <w:color w:val="auto"/>
        </w:rPr>
      </w:pPr>
    </w:p>
    <w:p>
      <w:pPr>
        <w:ind w:left="620" w:hanging="192"/>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40" w:firstLine="428"/>
        <w:spacing w:after="0" w:line="269" w:lineRule="auto"/>
        <w:tabs>
          <w:tab w:leader="none" w:pos="608"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xml:space="preserve"> In addition to any adjustments pursuant to Section 3(a) above, if at any time while this Warrant is outstanding the Company grants, issues or sells any Common Stock Equivalents or rights to purchase stock, warrants, securities or other property pro rata to all record holders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1" w:lineRule="exact"/>
        <w:rPr>
          <w:rFonts w:ascii="Arial" w:cs="Arial" w:eastAsia="Arial" w:hAnsi="Arial"/>
          <w:sz w:val="17"/>
          <w:szCs w:val="17"/>
          <w:color w:val="auto"/>
        </w:rPr>
      </w:pPr>
    </w:p>
    <w:p>
      <w:pPr>
        <w:ind w:right="120" w:firstLine="428"/>
        <w:spacing w:after="0" w:line="253" w:lineRule="auto"/>
        <w:tabs>
          <w:tab w:leader="none" w:pos="61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(other than as contemplated by Section 3(a) above),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w:t>
      </w:r>
    </w:p>
    <w:p>
      <w:pPr>
        <w:sectPr>
          <w:pgSz w:w="11900" w:h="16838" w:orient="portrait"/>
          <w:cols w:equalWidth="0" w:num="1">
            <w:col w:w="10520"/>
          </w:cols>
          <w:pgMar w:left="880" w:top="274" w:right="499" w:bottom="1440" w:gutter="0" w:footer="0" w:header="0"/>
        </w:sectPr>
      </w:pPr>
    </w:p>
    <w:bookmarkStart w:id="71" w:name="page72"/>
    <w:bookmarkEnd w:id="71"/>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64" w:lineRule="exact"/>
        <w:rPr>
          <w:sz w:val="20"/>
          <w:szCs w:val="20"/>
          <w:color w:val="auto"/>
        </w:rPr>
      </w:pPr>
    </w:p>
    <w:p>
      <w:pPr>
        <w:ind w:firstLine="428"/>
        <w:spacing w:after="0" w:line="284" w:lineRule="auto"/>
        <w:tabs>
          <w:tab w:leader="none" w:pos="60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exclusive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in lieu of each Warrant Share that would have been issuable upon such exercise immediately prior to the occurrence of such Fundamental Transaction (without regard to any limitation in Section 2(e) on the exercise of this Warrant), the same securities and/or other property as would have been paid for a Warrant Share as if such Warrant Share were outstanding on and as of the closing of such Fundamental Transaction (without regard to any limitation in Section 2(e) on the exercise of this Warrant) (the “</w:t>
      </w:r>
      <w:r>
        <w:rPr>
          <w:rFonts w:ascii="Arial" w:cs="Arial" w:eastAsia="Arial" w:hAnsi="Arial"/>
          <w:sz w:val="16"/>
          <w:szCs w:val="16"/>
          <w:u w:val="single" w:color="auto"/>
          <w:color w:val="auto"/>
        </w:rPr>
        <w:t>Alternate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w:t>
      </w:r>
    </w:p>
    <w:p>
      <w:pPr>
        <w:sectPr>
          <w:pgSz w:w="11900" w:h="16838" w:orient="portrait"/>
          <w:cols w:equalWidth="0" w:num="1">
            <w:col w:w="10540"/>
          </w:cols>
          <w:pgMar w:left="880" w:top="274" w:right="479" w:bottom="1440" w:gutter="0" w:footer="0" w:header="0"/>
        </w:sectPr>
      </w:pPr>
    </w:p>
    <w:bookmarkStart w:id="72" w:name="page73"/>
    <w:bookmarkEnd w:id="7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writing all of the obligations of the Company under this Warrant in accordance with the provisions of this Warrant and to covenant to, at the option of the Holder, deliver to the Holder in exchange for this Warrant a warrant of the Successor Entity evidenced by a written instrument substantially similar in form and substance to this Warrant which is exercisable for the Alternate Consideration (without regard to any limitations on the exercise of this Warrant), and with an exercise price which applies the exercise price hereunder to such Alternate Consideration consistent with this Section 3(e).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58" w:lineRule="exact"/>
        <w:rPr>
          <w:sz w:val="20"/>
          <w:szCs w:val="20"/>
          <w:color w:val="auto"/>
        </w:rPr>
      </w:pPr>
    </w:p>
    <w:p>
      <w:pPr>
        <w:ind w:right="60" w:firstLine="428"/>
        <w:spacing w:after="0" w:line="264" w:lineRule="auto"/>
        <w:tabs>
          <w:tab w:leader="none" w:pos="58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3" w:lineRule="exact"/>
        <w:rPr>
          <w:rFonts w:ascii="Arial" w:cs="Arial" w:eastAsia="Arial" w:hAnsi="Arial"/>
          <w:sz w:val="18"/>
          <w:szCs w:val="18"/>
          <w:color w:val="auto"/>
        </w:rPr>
      </w:pPr>
    </w:p>
    <w:p>
      <w:pPr>
        <w:ind w:left="620" w:hanging="192"/>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220" w:firstLine="380"/>
        <w:spacing w:after="0" w:line="259" w:lineRule="auto"/>
        <w:tabs>
          <w:tab w:leader="none" w:pos="152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8" w:lineRule="exact"/>
        <w:rPr>
          <w:rFonts w:ascii="Arial" w:cs="Arial" w:eastAsia="Arial" w:hAnsi="Arial"/>
          <w:sz w:val="18"/>
          <w:szCs w:val="18"/>
          <w:color w:val="auto"/>
        </w:rPr>
      </w:pPr>
    </w:p>
    <w:p>
      <w:pPr>
        <w:ind w:left="1000" w:firstLine="380"/>
        <w:spacing w:after="0" w:line="269" w:lineRule="auto"/>
        <w:tabs>
          <w:tab w:leader="none" w:pos="1573"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w:t>
      </w:r>
    </w:p>
    <w:p>
      <w:pPr>
        <w:sectPr>
          <w:pgSz w:w="11900" w:h="16838" w:orient="portrait"/>
          <w:cols w:equalWidth="0" w:num="1">
            <w:col w:w="10580"/>
          </w:cols>
          <w:pgMar w:left="880" w:top="274" w:right="439" w:bottom="1440" w:gutter="0" w:footer="0" w:header="0"/>
        </w:sectPr>
      </w:pPr>
    </w:p>
    <w:bookmarkStart w:id="73" w:name="page74"/>
    <w:bookmarkEnd w:id="73"/>
    <w:p>
      <w:pPr>
        <w:ind w:left="10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would constitute, or contain, material, non-public information regarding the Company or any of its subsidiaries, then prior to delivering such notice, the Company shall promptly request the Holder’s agreement to receive material non-public information and to hold such information in confidence. If the Holder does not so agree, then the Company shall be excused from delivering the notice; provided that the Company shall promptly deliver such notice after such time, if any, that delivery would not provide the Holder with material non-public information regarding the Company or any of its subsidiaries. The Holder shall remain entitled to exercise this Warrant during the period commencing on the date of such notice to the effective date of the event triggering such notice except as may otherwise be expressly set forth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117" w:lineRule="exact"/>
        <w:rPr>
          <w:sz w:val="20"/>
          <w:szCs w:val="20"/>
          <w:color w:val="auto"/>
        </w:rPr>
      </w:pPr>
    </w:p>
    <w:p>
      <w:pPr>
        <w:ind w:firstLine="428"/>
        <w:spacing w:after="0" w:line="288" w:lineRule="auto"/>
        <w:tabs>
          <w:tab w:leader="none" w:pos="60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ectPr>
          <w:pgSz w:w="11900" w:h="16838" w:orient="portrait"/>
          <w:cols w:equalWidth="0" w:num="1">
            <w:col w:w="10560"/>
          </w:cols>
          <w:pgMar w:left="880" w:top="274" w:right="459" w:bottom="1440" w:gutter="0" w:footer="0" w:header="0"/>
        </w:sectPr>
      </w:pPr>
    </w:p>
    <w:bookmarkStart w:id="74" w:name="page75"/>
    <w:bookmarkEnd w:id="74"/>
    <w:p>
      <w:pPr>
        <w:ind w:right="20" w:firstLine="428"/>
        <w:spacing w:after="0" w:line="273" w:lineRule="auto"/>
        <w:tabs>
          <w:tab w:leader="none" w:pos="61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70" w:lineRule="exact"/>
        <w:rPr>
          <w:rFonts w:ascii="Arial" w:cs="Arial" w:eastAsia="Arial" w:hAnsi="Arial"/>
          <w:sz w:val="17"/>
          <w:szCs w:val="17"/>
          <w:color w:val="auto"/>
        </w:rPr>
      </w:pPr>
    </w:p>
    <w:p>
      <w:pPr>
        <w:ind w:firstLine="428"/>
        <w:spacing w:after="0" w:line="259" w:lineRule="auto"/>
        <w:tabs>
          <w:tab w:leader="none" w:pos="60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20" w:firstLine="428"/>
        <w:spacing w:after="0" w:line="308" w:lineRule="auto"/>
        <w:tabs>
          <w:tab w:leader="none" w:pos="60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38" w:lineRule="exact"/>
        <w:rPr>
          <w:rFonts w:ascii="Arial" w:cs="Arial" w:eastAsia="Arial" w:hAnsi="Arial"/>
          <w:sz w:val="17"/>
          <w:szCs w:val="17"/>
          <w:color w:val="auto"/>
        </w:rPr>
      </w:pPr>
    </w:p>
    <w:p>
      <w:pPr>
        <w:ind w:right="180" w:firstLine="428"/>
        <w:spacing w:after="0" w:line="297" w:lineRule="auto"/>
        <w:tabs>
          <w:tab w:leader="none" w:pos="61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50" w:lineRule="exact"/>
        <w:rPr>
          <w:rFonts w:ascii="Arial" w:cs="Arial" w:eastAsia="Arial" w:hAnsi="Arial"/>
          <w:sz w:val="16"/>
          <w:szCs w:val="16"/>
          <w:color w:val="auto"/>
        </w:rPr>
      </w:pPr>
    </w:p>
    <w:p>
      <w:pPr>
        <w:ind w:right="200" w:firstLine="428"/>
        <w:spacing w:after="0" w:line="342" w:lineRule="auto"/>
        <w:tabs>
          <w:tab w:leader="none" w:pos="60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 w:lineRule="exact"/>
        <w:rPr>
          <w:rFonts w:ascii="Arial" w:cs="Arial" w:eastAsia="Arial" w:hAnsi="Arial"/>
          <w:sz w:val="16"/>
          <w:szCs w:val="16"/>
          <w:color w:val="auto"/>
        </w:rPr>
      </w:pPr>
    </w:p>
    <w:p>
      <w:pPr>
        <w:ind w:left="620" w:hanging="192"/>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440" w:right="120" w:firstLine="405"/>
        <w:spacing w:after="0" w:line="255" w:lineRule="auto"/>
        <w:rPr>
          <w:sz w:val="20"/>
          <w:szCs w:val="20"/>
          <w:color w:val="auto"/>
        </w:rPr>
      </w:pPr>
      <w:r>
        <w:rPr>
          <w:rFonts w:ascii="Arial" w:cs="Arial" w:eastAsia="Arial" w:hAnsi="Arial"/>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w:t>
      </w:r>
    </w:p>
    <w:p>
      <w:pPr>
        <w:sectPr>
          <w:pgSz w:w="11900" w:h="16838" w:orient="portrait"/>
          <w:cols w:equalWidth="0" w:num="1">
            <w:col w:w="10560"/>
          </w:cols>
          <w:pgMar w:left="880" w:top="274" w:right="459" w:bottom="1440" w:gutter="0" w:footer="0" w:header="0"/>
        </w:sectPr>
      </w:pPr>
    </w:p>
    <w:bookmarkStart w:id="75" w:name="page76"/>
    <w:bookmarkEnd w:id="75"/>
    <w:p>
      <w:pPr>
        <w:ind w:left="12"/>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4" w:lineRule="exact"/>
        <w:rPr>
          <w:sz w:val="20"/>
          <w:szCs w:val="20"/>
          <w:color w:val="auto"/>
        </w:rPr>
      </w:pPr>
    </w:p>
    <w:p>
      <w:pPr>
        <w:ind w:left="12" w:right="20" w:firstLine="405"/>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0" w:lineRule="exact"/>
        <w:rPr>
          <w:sz w:val="20"/>
          <w:szCs w:val="20"/>
          <w:color w:val="auto"/>
        </w:rPr>
      </w:pPr>
    </w:p>
    <w:p>
      <w:pPr>
        <w:jc w:val="both"/>
        <w:ind w:left="12" w:right="20" w:firstLine="405"/>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3" w:lineRule="exact"/>
        <w:rPr>
          <w:sz w:val="20"/>
          <w:szCs w:val="20"/>
          <w:color w:val="auto"/>
        </w:rPr>
      </w:pPr>
    </w:p>
    <w:p>
      <w:pPr>
        <w:ind w:left="-428" w:right="140" w:firstLine="428"/>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w:t>
      </w:r>
    </w:p>
    <w:p>
      <w:pPr>
        <w:spacing w:after="0" w:line="73" w:lineRule="exact"/>
        <w:rPr>
          <w:rFonts w:ascii="Arial" w:cs="Arial" w:eastAsia="Arial" w:hAnsi="Arial"/>
          <w:sz w:val="18"/>
          <w:szCs w:val="18"/>
          <w:color w:val="auto"/>
        </w:rPr>
      </w:pPr>
    </w:p>
    <w:p>
      <w:pPr>
        <w:ind w:left="-428" w:right="480" w:firstLine="428"/>
        <w:spacing w:after="0" w:line="308" w:lineRule="auto"/>
        <w:tabs>
          <w:tab w:leader="none" w:pos="16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8" w:lineRule="exact"/>
        <w:rPr>
          <w:rFonts w:ascii="Arial" w:cs="Arial" w:eastAsia="Arial" w:hAnsi="Arial"/>
          <w:sz w:val="17"/>
          <w:szCs w:val="17"/>
          <w:color w:val="auto"/>
        </w:rPr>
      </w:pPr>
    </w:p>
    <w:p>
      <w:pPr>
        <w:ind w:left="-428" w:right="40" w:firstLine="428"/>
        <w:spacing w:after="0" w:line="312" w:lineRule="auto"/>
        <w:tabs>
          <w:tab w:leader="none" w:pos="19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w:t>
      </w:r>
    </w:p>
    <w:p>
      <w:pPr>
        <w:sectPr>
          <w:pgSz w:w="11900" w:h="16838" w:orient="portrait"/>
          <w:cols w:equalWidth="0" w:num="1">
            <w:col w:w="10152"/>
          </w:cols>
          <w:pgMar w:left="1308" w:top="274" w:right="439" w:bottom="1440" w:gutter="0" w:footer="0" w:header="0"/>
        </w:sectPr>
      </w:pPr>
    </w:p>
    <w:bookmarkStart w:id="76" w:name="page77"/>
    <w:bookmarkEnd w:id="76"/>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3" w:lineRule="exact"/>
        <w:rPr>
          <w:sz w:val="20"/>
          <w:szCs w:val="20"/>
          <w:color w:val="auto"/>
        </w:rPr>
      </w:pPr>
    </w:p>
    <w:p>
      <w:pPr>
        <w:ind w:right="20" w:firstLine="428"/>
        <w:spacing w:after="0" w:line="287" w:lineRule="auto"/>
        <w:tabs>
          <w:tab w:leader="none" w:pos="618"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hereunder (including, without limitation, any Notice of Exercise) shall be in writing and shall be deemed given and effective on the earliest of (i) the time of transmission, if such notice or communication is delivered via facsimile or e-mail at the facsimile number or e-mail address specified in the books and records of the Transfer Agent prior to 5:30 P.M., New York City time, on a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 the next Trading Day after the date of transmission, if such notice or communication is delivered via facsimile or e-mail at the facsimile number or e-mail address specified in the books and records of the Transfer Agent on a day that is not a Trading Day or later than 5:30 P.M., New York City time, on any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60" w:lineRule="exact"/>
        <w:rPr>
          <w:rFonts w:ascii="Arial" w:cs="Arial" w:eastAsia="Arial" w:hAnsi="Arial"/>
          <w:sz w:val="16"/>
          <w:szCs w:val="16"/>
          <w:color w:val="auto"/>
        </w:rPr>
      </w:pPr>
    </w:p>
    <w:p>
      <w:pPr>
        <w:jc w:val="both"/>
        <w:ind w:right="200" w:firstLine="428"/>
        <w:spacing w:after="0" w:line="259" w:lineRule="auto"/>
        <w:tabs>
          <w:tab w:leader="none" w:pos="57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ind w:firstLine="428"/>
        <w:spacing w:after="0" w:line="259" w:lineRule="auto"/>
        <w:tabs>
          <w:tab w:leader="none" w:pos="57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jc w:val="both"/>
        <w:ind w:right="20" w:firstLine="428"/>
        <w:spacing w:after="0" w:line="259" w:lineRule="auto"/>
        <w:tabs>
          <w:tab w:leader="none" w:pos="61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ectPr>
          <w:pgSz w:w="11900" w:h="16838" w:orient="portrait"/>
          <w:cols w:equalWidth="0" w:num="1">
            <w:col w:w="10580"/>
          </w:cols>
          <w:pgMar w:left="880" w:top="274" w:right="439" w:bottom="1440" w:gutter="0" w:footer="0" w:header="0"/>
        </w:sectPr>
      </w:pPr>
    </w:p>
    <w:bookmarkStart w:id="77" w:name="page78"/>
    <w:bookmarkEnd w:id="77"/>
    <w:p>
      <w:pPr>
        <w:ind w:left="580" w:hanging="152"/>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102" w:lineRule="exact"/>
        <w:rPr>
          <w:rFonts w:ascii="Arial" w:cs="Arial" w:eastAsia="Arial" w:hAnsi="Arial"/>
          <w:sz w:val="16"/>
          <w:szCs w:val="16"/>
          <w:color w:val="auto"/>
        </w:rPr>
      </w:pPr>
    </w:p>
    <w:p>
      <w:pPr>
        <w:ind w:firstLine="428"/>
        <w:spacing w:after="0" w:line="312" w:lineRule="auto"/>
        <w:tabs>
          <w:tab w:leader="none" w:pos="66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8" w:lineRule="exact"/>
        <w:rPr>
          <w:rFonts w:ascii="Arial" w:cs="Arial" w:eastAsia="Arial" w:hAnsi="Arial"/>
          <w:sz w:val="16"/>
          <w:szCs w:val="16"/>
          <w:color w:val="auto"/>
        </w:rPr>
      </w:pPr>
    </w:p>
    <w:p>
      <w:pPr>
        <w:ind w:right="20" w:firstLine="428"/>
        <w:spacing w:after="0" w:line="277" w:lineRule="auto"/>
        <w:tabs>
          <w:tab w:leader="none" w:pos="61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62" w:lineRule="exact"/>
        <w:rPr>
          <w:rFonts w:ascii="Arial" w:cs="Arial" w:eastAsia="Arial" w:hAnsi="Arial"/>
          <w:sz w:val="18"/>
          <w:szCs w:val="18"/>
          <w:color w:val="auto"/>
        </w:rPr>
      </w:pPr>
    </w:p>
    <w:p>
      <w:pPr>
        <w:ind w:right="640" w:firstLine="428"/>
        <w:spacing w:after="0" w:line="277" w:lineRule="auto"/>
        <w:tabs>
          <w:tab w:leader="none" w:pos="61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Receipt of this Warrant by the Holder shall constitute acceptance of and agreement to all of the terms and conditions contained herein.</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60"/>
          </w:cols>
          <w:pgMar w:left="880" w:top="274" w:right="459" w:bottom="1440" w:gutter="0" w:footer="0" w:header="0"/>
        </w:sectPr>
      </w:pPr>
    </w:p>
    <w:bookmarkStart w:id="78" w:name="page79"/>
    <w:bookmarkEnd w:id="78"/>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80"/>
          </w:cols>
          <w:pgMar w:left="440" w:top="274" w:right="579" w:bottom="1440" w:gutter="0" w:footer="0" w:header="0"/>
        </w:sectPr>
      </w:pPr>
    </w:p>
    <w:bookmarkStart w:id="79" w:name="page80"/>
    <w:bookmarkEnd w:id="79"/>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EXERCISE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MANNKIND CORPORATION</w:t>
      </w:r>
    </w:p>
    <w:p>
      <w:pPr>
        <w:spacing w:after="0" w:line="225" w:lineRule="exact"/>
        <w:rPr>
          <w:sz w:val="20"/>
          <w:szCs w:val="20"/>
          <w:color w:val="auto"/>
        </w:rPr>
      </w:pPr>
    </w:p>
    <w:p>
      <w:pPr>
        <w:ind w:firstLine="885"/>
        <w:spacing w:after="0" w:line="308" w:lineRule="auto"/>
        <w:tabs>
          <w:tab w:leader="none" w:pos="113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140" w:hanging="255"/>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 in lawful money of the United States; or</w:t>
      </w:r>
    </w:p>
    <w:p>
      <w:pPr>
        <w:spacing w:after="0" w:line="117" w:lineRule="exact"/>
        <w:rPr>
          <w:sz w:val="20"/>
          <w:szCs w:val="20"/>
          <w:color w:val="auto"/>
        </w:rPr>
      </w:pPr>
    </w:p>
    <w:p>
      <w:pPr>
        <w:jc w:val="both"/>
        <w:ind w:left="1440" w:right="180" w:hanging="4"/>
        <w:spacing w:after="0" w:line="264" w:lineRule="auto"/>
        <w:tabs>
          <w:tab w:leader="none" w:pos="15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272415</wp:posOffset>
            </wp:positionV>
            <wp:extent cx="162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272415</wp:posOffset>
            </wp:positionV>
            <wp:extent cx="162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701040</wp:posOffset>
            </wp:positionV>
            <wp:extent cx="162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1129665</wp:posOffset>
            </wp:positionV>
            <wp:extent cx="162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-130810</wp:posOffset>
            </wp:positionV>
            <wp:extent cx="5659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-130810</wp:posOffset>
            </wp:positionV>
            <wp:extent cx="41935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-130810</wp:posOffset>
            </wp:positionV>
            <wp:extent cx="5385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-130810</wp:posOffset>
            </wp:positionV>
            <wp:extent cx="5454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14605</wp:posOffset>
            </wp:positionV>
            <wp:extent cx="6715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0600"/>
          </w:cols>
          <w:pgMar w:left="440" w:top="270" w:right="8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ASSIGNMENT FORM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-130810</wp:posOffset>
            </wp:positionV>
            <wp:extent cx="34905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-130810</wp:posOffset>
            </wp:positionV>
            <wp:extent cx="3490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14605</wp:posOffset>
            </wp:positionV>
            <wp:extent cx="34905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14605</wp:posOffset>
            </wp:positionV>
            <wp:extent cx="34905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1457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-10160</wp:posOffset>
            </wp:positionV>
            <wp:extent cx="1143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-10160</wp:posOffset>
            </wp:positionV>
            <wp:extent cx="11430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4.1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9"/>
              </w:rPr>
              <w:t>COMMON STOCK PURCHASE WARRANT</w:t>
            </w:r>
          </w:p>
        </w:tc>
      </w:tr>
      <w:tr>
        <w:trPr>
          <w:trHeight w:val="324"/>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2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rPr>
              <w:t>MANNKIND CORPORATION</w:t>
            </w:r>
          </w:p>
        </w:tc>
      </w:tr>
      <w:tr>
        <w:trPr>
          <w:trHeight w:val="419"/>
        </w:trPr>
        <w:tc>
          <w:tcPr>
            <w:tcW w:w="1200" w:type="dxa"/>
            <w:vAlign w:val="bottom"/>
          </w:tcPr>
          <w:p>
            <w:pPr>
              <w:spacing w:after="0"/>
              <w:rPr>
                <w:sz w:val="20"/>
                <w:szCs w:val="20"/>
                <w:color w:val="auto"/>
              </w:rPr>
            </w:pPr>
            <w:r>
              <w:rPr>
                <w:rFonts w:ascii="Arial" w:cs="Arial" w:eastAsia="Arial" w:hAnsi="Arial"/>
                <w:sz w:val="18"/>
                <w:szCs w:val="18"/>
                <w:color w:val="auto"/>
                <w:w w:val="90"/>
              </w:rPr>
              <w:t>Warrant Shares:</w:t>
            </w:r>
          </w:p>
        </w:tc>
        <w:tc>
          <w:tcPr>
            <w:tcW w:w="720" w:type="dxa"/>
            <w:vAlign w:val="bottom"/>
            <w:tcBorders>
              <w:bottom w:val="single" w:sz="8" w:color="auto"/>
            </w:tcBorders>
          </w:tcPr>
          <w:p>
            <w:pPr>
              <w:spacing w:after="0"/>
              <w:rPr>
                <w:sz w:val="24"/>
                <w:szCs w:val="24"/>
                <w:color w:val="auto"/>
              </w:rPr>
            </w:pPr>
          </w:p>
        </w:tc>
        <w:tc>
          <w:tcPr>
            <w:tcW w:w="4380" w:type="dxa"/>
            <w:vAlign w:val="bottom"/>
          </w:tcPr>
          <w:p>
            <w:pPr>
              <w:ind w:left="2720"/>
              <w:spacing w:after="0"/>
              <w:rPr>
                <w:sz w:val="20"/>
                <w:szCs w:val="20"/>
                <w:color w:val="auto"/>
              </w:rPr>
            </w:pPr>
            <w:r>
              <w:rPr>
                <w:rFonts w:ascii="Arial" w:cs="Arial" w:eastAsia="Arial" w:hAnsi="Arial"/>
                <w:sz w:val="18"/>
                <w:szCs w:val="18"/>
                <w:color w:val="auto"/>
                <w:w w:val="99"/>
              </w:rPr>
              <w:t>Initial Exercise Date:</w:t>
            </w:r>
          </w:p>
        </w:tc>
        <w:tc>
          <w:tcPr>
            <w:tcW w:w="1640" w:type="dxa"/>
            <w:vAlign w:val="bottom"/>
          </w:tcPr>
          <w:p>
            <w:pPr>
              <w:ind w:left="100"/>
              <w:spacing w:after="0"/>
              <w:rPr>
                <w:sz w:val="20"/>
                <w:szCs w:val="20"/>
                <w:color w:val="auto"/>
              </w:rPr>
            </w:pPr>
            <w:r>
              <w:rPr>
                <w:rFonts w:ascii="Arial" w:cs="Arial" w:eastAsia="Arial" w:hAnsi="Arial"/>
                <w:sz w:val="18"/>
                <w:szCs w:val="18"/>
                <w:color w:val="auto"/>
                <w:w w:val="90"/>
              </w:rPr>
              <w:t>December [26], 2018</w:t>
            </w:r>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380" w:type="dxa"/>
            <w:vAlign w:val="bottom"/>
          </w:tcPr>
          <w:p>
            <w:pPr>
              <w:ind w:left="2720"/>
              <w:spacing w:after="0"/>
              <w:rPr>
                <w:sz w:val="20"/>
                <w:szCs w:val="20"/>
                <w:color w:val="auto"/>
              </w:rPr>
            </w:pPr>
            <w:r>
              <w:rPr>
                <w:rFonts w:ascii="Arial" w:cs="Arial" w:eastAsia="Arial" w:hAnsi="Arial"/>
                <w:sz w:val="18"/>
                <w:szCs w:val="18"/>
                <w:color w:val="auto"/>
              </w:rPr>
              <w:t>Issue Date:</w:t>
            </w:r>
          </w:p>
        </w:tc>
        <w:tc>
          <w:tcPr>
            <w:tcW w:w="1640" w:type="dxa"/>
            <w:vAlign w:val="bottom"/>
          </w:tcPr>
          <w:p>
            <w:pPr>
              <w:ind w:left="100"/>
              <w:spacing w:after="0"/>
              <w:rPr>
                <w:sz w:val="20"/>
                <w:szCs w:val="20"/>
                <w:color w:val="auto"/>
              </w:rPr>
            </w:pPr>
            <w:r>
              <w:rPr>
                <w:rFonts w:ascii="Arial" w:cs="Arial" w:eastAsia="Arial" w:hAnsi="Arial"/>
                <w:sz w:val="18"/>
                <w:szCs w:val="18"/>
                <w:color w:val="auto"/>
                <w:w w:val="90"/>
              </w:rPr>
              <w:t>December [26], 2018</w:t>
            </w:r>
          </w:p>
        </w:tc>
      </w:tr>
    </w:tbl>
    <w:p>
      <w:pPr>
        <w:spacing w:after="0" w:line="202" w:lineRule="exact"/>
        <w:rPr>
          <w:sz w:val="20"/>
          <w:szCs w:val="20"/>
          <w:color w:val="auto"/>
        </w:rPr>
      </w:pPr>
    </w:p>
    <w:p>
      <w:pPr>
        <w:ind w:right="420" w:firstLine="881"/>
        <w:spacing w:after="0" w:line="291" w:lineRule="auto"/>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and the term “</w:t>
      </w:r>
      <w:r>
        <w:rPr>
          <w:rFonts w:ascii="Arial" w:cs="Arial" w:eastAsia="Arial" w:hAnsi="Arial"/>
          <w:sz w:val="16"/>
          <w:szCs w:val="16"/>
          <w:u w:val="single" w:color="auto"/>
          <w:color w:val="auto"/>
        </w:rPr>
        <w:t>Warrants</w:t>
      </w:r>
      <w:r>
        <w:rPr>
          <w:rFonts w:ascii="Arial" w:cs="Arial" w:eastAsia="Arial" w:hAnsi="Arial"/>
          <w:sz w:val="16"/>
          <w:szCs w:val="16"/>
          <w:color w:val="auto"/>
        </w:rPr>
        <w:t>” below refers to this Warrant and all other warrants to purchase Common Stock originally issued by the Company on the date hereof) certifies that, for value received, _____________ or its</w:t>
      </w:r>
    </w:p>
    <w:p>
      <w:pPr>
        <w:jc w:val="both"/>
        <w:spacing w:after="0" w:line="281"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December [26], 2019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MannKind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for all purposes of this Warrant, the following terms have the meanings set forth in this Section 1:</w:t>
      </w:r>
    </w:p>
    <w:p>
      <w:pPr>
        <w:spacing w:after="0" w:line="62"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remain closed.</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440" w:right="3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62" w:lineRule="exact"/>
        <w:rPr>
          <w:sz w:val="20"/>
          <w:szCs w:val="20"/>
          <w:color w:val="auto"/>
        </w:rPr>
      </w:pPr>
    </w:p>
    <w:p>
      <w:pPr>
        <w:ind w:left="440" w:right="20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2" w:name="page83"/>
    <w:bookmarkEnd w:id="8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330 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Brand Blvd., Suite 701, Glendale, CA 91203, and any successor transfer agent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firstLine="428"/>
        <w:spacing w:after="0" w:line="286" w:lineRule="auto"/>
        <w:tabs>
          <w:tab w:leader="none" w:pos="60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and, within the earlier of (i) 12:00 pm (Eastern Time) on the second Trading Day and (ii) 12:00 pm (Eastern Time) on the last Trading Day of the applicable Standard Settlement Period (as defined in Section 2(d)(i) herein) following the date said Notice of Exercise is delivered to the Company, payment of the aggregate Exercise Price of the shares thereby purchased pursuant to the applicable Notice of Exercise by wire transfer or cashier’s check drawn on a United States bank or, if available, pursuant to the cashless exercise procedure specified in Section 2(c) below if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274" w:right="479" w:bottom="1440" w:gutter="0" w:footer="0" w:header="0"/>
        </w:sectPr>
      </w:pPr>
    </w:p>
    <w:bookmarkStart w:id="83" w:name="page84"/>
    <w:bookmarkEnd w:id="8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Warrant, acknowledge and agree that, by</w:t>
      </w:r>
      <w:r>
        <w:rPr>
          <w:rFonts w:ascii="Arial" w:cs="Arial" w:eastAsia="Arial" w:hAnsi="Arial"/>
          <w:sz w:val="16"/>
          <w:szCs w:val="16"/>
          <w:color w:val="auto"/>
        </w:rPr>
        <w:t xml:space="preserve"> </w:t>
      </w:r>
      <w:r>
        <w:rPr>
          <w:rFonts w:ascii="Arial" w:cs="Arial" w:eastAsia="Arial" w:hAnsi="Arial"/>
          <w:sz w:val="16"/>
          <w:szCs w:val="16"/>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42" w:lineRule="exact"/>
        <w:rPr>
          <w:sz w:val="20"/>
          <w:szCs w:val="20"/>
          <w:color w:val="auto"/>
        </w:rPr>
      </w:pPr>
    </w:p>
    <w:p>
      <w:pPr>
        <w:ind w:right="220" w:firstLine="428"/>
        <w:spacing w:after="0" w:line="282" w:lineRule="auto"/>
        <w:tabs>
          <w:tab w:leader="none" w:pos="61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$[___]</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right="100" w:firstLine="428"/>
        <w:spacing w:after="0" w:line="257" w:lineRule="auto"/>
        <w:tabs>
          <w:tab w:leader="none" w:pos="6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and there is also no effective registration statement registering the resale by the Holder of the Warrant Shares, then this Warrant may also be exercised, in whole or in part, at such time by means of a “cashless exercise” in which the Holder shall be entitled to receive a number of Warrant Shares equal to the quotient obtained by dividing [(A-B) × (X)] by (A), where:</w:t>
      </w:r>
    </w:p>
    <w:p>
      <w:pPr>
        <w:spacing w:after="0" w:line="93" w:lineRule="exact"/>
        <w:rPr>
          <w:rFonts w:ascii="Arial" w:cs="Arial" w:eastAsia="Arial" w:hAnsi="Arial"/>
          <w:sz w:val="18"/>
          <w:szCs w:val="18"/>
          <w:color w:val="auto"/>
        </w:rPr>
      </w:pPr>
    </w:p>
    <w:p>
      <w:pPr>
        <w:ind w:left="980" w:right="20" w:hanging="538"/>
        <w:spacing w:after="0" w:line="269" w:lineRule="auto"/>
        <w:tabs>
          <w:tab w:leader="none" w:pos="7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to the Company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88" w:lineRule="exact"/>
        <w:rPr>
          <w:rFonts w:ascii="Arial" w:cs="Arial" w:eastAsia="Arial" w:hAnsi="Arial"/>
          <w:sz w:val="17"/>
          <w:szCs w:val="17"/>
          <w:color w:val="auto"/>
        </w:rPr>
      </w:pPr>
    </w:p>
    <w:p>
      <w:pPr>
        <w:ind w:left="720" w:hanging="278"/>
        <w:spacing w:after="0"/>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the Exercise Price, as adjusted hereunder; and</w:t>
      </w:r>
    </w:p>
    <w:p>
      <w:pPr>
        <w:spacing w:after="0" w:line="131" w:lineRule="exact"/>
        <w:rPr>
          <w:sz w:val="20"/>
          <w:szCs w:val="20"/>
          <w:color w:val="auto"/>
        </w:rPr>
      </w:pPr>
    </w:p>
    <w:p>
      <w:pPr>
        <w:ind w:left="980" w:right="220" w:hanging="538"/>
        <w:spacing w:after="0" w:line="277" w:lineRule="auto"/>
        <w:tabs>
          <w:tab w:leader="none" w:pos="7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firstLine="423"/>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84" w:name="page85"/>
    <w:bookmarkEnd w:id="84"/>
    <w:p>
      <w:pPr>
        <w:ind w:firstLine="42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0"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0" w:lineRule="exact"/>
        <w:rPr>
          <w:sz w:val="20"/>
          <w:szCs w:val="20"/>
          <w:color w:val="auto"/>
        </w:rPr>
      </w:pPr>
    </w:p>
    <w:p>
      <w:pPr>
        <w:ind w:right="340"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if the conditions of a cashless exercise are otherwise met, this Warrant shall be automatically exercised via cashless exercise pursuant to this Section 2(c).</w:t>
      </w:r>
    </w:p>
    <w:p>
      <w:pPr>
        <w:spacing w:after="0" w:line="62" w:lineRule="exact"/>
        <w:rPr>
          <w:sz w:val="20"/>
          <w:szCs w:val="20"/>
          <w:color w:val="auto"/>
        </w:rPr>
      </w:pPr>
    </w:p>
    <w:p>
      <w:pPr>
        <w:ind w:left="620" w:hanging="192"/>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40" w:firstLine="411"/>
        <w:spacing w:after="0" w:line="264" w:lineRule="auto"/>
        <w:tabs>
          <w:tab w:leader="none" w:pos="98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Upon Exercise</w:t>
      </w:r>
      <w:r>
        <w:rPr>
          <w:rFonts w:ascii="Arial" w:cs="Arial" w:eastAsia="Arial" w:hAnsi="Arial"/>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85" w:name="page86"/>
    <w:bookmarkEnd w:id="8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w:t>
      </w:r>
    </w:p>
    <w:p>
      <w:pPr>
        <w:spacing w:after="0" w:line="5" w:lineRule="exact"/>
        <w:rPr>
          <w:sz w:val="20"/>
          <w:szCs w:val="20"/>
          <w:color w:val="auto"/>
        </w:rPr>
      </w:pPr>
    </w:p>
    <w:p>
      <w:pPr>
        <w:ind w:right="40" w:firstLine="5"/>
        <w:spacing w:after="0" w:line="267" w:lineRule="auto"/>
        <w:tabs>
          <w:tab w:leader="none" w:pos="3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number of Trading Days comprising the Standard Settlement Period after the delivery to the Company of the Notice of Exercise (such date, the “</w:t>
      </w:r>
      <w:r>
        <w:rPr>
          <w:rFonts w:ascii="Arial" w:cs="Arial" w:eastAsia="Arial" w:hAnsi="Arial"/>
          <w:sz w:val="17"/>
          <w:szCs w:val="17"/>
          <w:u w:val="single" w:color="auto"/>
          <w:color w:val="auto"/>
        </w:rPr>
        <w:t>Warrant Share Delivery Date</w:t>
      </w:r>
      <w:r>
        <w:rPr>
          <w:rFonts w:ascii="Arial" w:cs="Arial" w:eastAsia="Arial" w:hAnsi="Arial"/>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74" w:lineRule="exact"/>
        <w:rPr>
          <w:rFonts w:ascii="Arial" w:cs="Arial" w:eastAsia="Arial" w:hAnsi="Arial"/>
          <w:sz w:val="17"/>
          <w:szCs w:val="17"/>
          <w:color w:val="auto"/>
        </w:rPr>
      </w:pPr>
    </w:p>
    <w:p>
      <w:pPr>
        <w:ind w:right="160" w:firstLine="411"/>
        <w:spacing w:after="0" w:line="259" w:lineRule="auto"/>
        <w:tabs>
          <w:tab w:leader="none" w:pos="59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00"/>
          </w:cols>
          <w:pgMar w:left="1320" w:top="274" w:right="479" w:bottom="1440" w:gutter="0" w:footer="0" w:header="0"/>
        </w:sectPr>
      </w:pPr>
    </w:p>
    <w:bookmarkStart w:id="86" w:name="page87"/>
    <w:bookmarkEnd w:id="86"/>
    <w:p>
      <w:pPr>
        <w:jc w:val="both"/>
        <w:ind w:left="440" w:firstLine="380"/>
        <w:spacing w:after="0" w:line="286" w:lineRule="auto"/>
        <w:tabs>
          <w:tab w:leader="none" w:pos="1063"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57" w:lineRule="exact"/>
        <w:rPr>
          <w:rFonts w:ascii="Arial" w:cs="Arial" w:eastAsia="Arial" w:hAnsi="Arial"/>
          <w:sz w:val="17"/>
          <w:szCs w:val="17"/>
          <w:color w:val="auto"/>
        </w:rPr>
      </w:pPr>
    </w:p>
    <w:p>
      <w:pPr>
        <w:ind w:left="440" w:right="40" w:firstLine="380"/>
        <w:spacing w:after="0" w:line="284" w:lineRule="auto"/>
        <w:tabs>
          <w:tab w:leader="none" w:pos="104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was entitled to receive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w:t>
      </w:r>
    </w:p>
    <w:p>
      <w:pPr>
        <w:spacing w:after="0" w:line="2" w:lineRule="exact"/>
        <w:rPr>
          <w:rFonts w:ascii="Arial" w:cs="Arial" w:eastAsia="Arial" w:hAnsi="Arial"/>
          <w:sz w:val="16"/>
          <w:szCs w:val="16"/>
          <w:color w:val="auto"/>
        </w:rPr>
      </w:pPr>
    </w:p>
    <w:p>
      <w:pPr>
        <w:ind w:left="440" w:hanging="4"/>
        <w:spacing w:after="0" w:line="267"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Holder’s total purchase price (including brokerage commissions, if any) for the shares of Common Stock so purchased exceeds (y)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4" w:lineRule="exact"/>
        <w:rPr>
          <w:rFonts w:ascii="Arial" w:cs="Arial" w:eastAsia="Arial" w:hAnsi="Arial"/>
          <w:sz w:val="17"/>
          <w:szCs w:val="17"/>
          <w:color w:val="auto"/>
        </w:rPr>
      </w:pPr>
    </w:p>
    <w:p>
      <w:pPr>
        <w:ind w:left="440" w:firstLine="380"/>
        <w:spacing w:after="0" w:line="259" w:lineRule="auto"/>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40" w:top="274" w:right="439" w:bottom="1440" w:gutter="0" w:footer="0" w:header="0"/>
        </w:sectPr>
      </w:pPr>
    </w:p>
    <w:bookmarkStart w:id="87" w:name="page88"/>
    <w:bookmarkEnd w:id="87"/>
    <w:p>
      <w:pPr>
        <w:ind w:left="1000" w:firstLine="380"/>
        <w:spacing w:after="0" w:line="270" w:lineRule="auto"/>
        <w:tabs>
          <w:tab w:leader="none" w:pos="1613" w:val="left"/>
        </w:tabs>
        <w:numPr>
          <w:ilvl w:val="2"/>
          <w:numId w:val="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3" w:lineRule="exact"/>
        <w:rPr>
          <w:rFonts w:ascii="Arial" w:cs="Arial" w:eastAsia="Arial" w:hAnsi="Arial"/>
          <w:sz w:val="17"/>
          <w:szCs w:val="17"/>
          <w:color w:val="auto"/>
        </w:rPr>
      </w:pPr>
    </w:p>
    <w:p>
      <w:pPr>
        <w:ind w:left="1000" w:right="180" w:firstLine="380"/>
        <w:spacing w:after="0" w:line="277" w:lineRule="auto"/>
        <w:tabs>
          <w:tab w:leader="none" w:pos="1663"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right="40" w:firstLine="428"/>
        <w:spacing w:after="0" w:line="284" w:lineRule="auto"/>
        <w:tabs>
          <w:tab w:leader="none" w:pos="608"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1" w:lineRule="exact"/>
        <w:rPr>
          <w:rFonts w:ascii="Arial" w:cs="Arial" w:eastAsia="Arial" w:hAnsi="Arial"/>
          <w:sz w:val="16"/>
          <w:szCs w:val="16"/>
          <w:color w:val="auto"/>
        </w:rPr>
      </w:pPr>
    </w:p>
    <w:p>
      <w:pPr>
        <w:ind w:right="100" w:firstLine="4"/>
        <w:spacing w:after="0" w:line="269" w:lineRule="auto"/>
        <w:tabs>
          <w:tab w:leader="none" w:pos="265"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88" w:name="page89"/>
    <w:bookmarkEnd w:id="88"/>
    <w:p>
      <w:pPr>
        <w:ind w:left="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3"/>
          <w:szCs w:val="13"/>
          <w:color w:val="auto"/>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57" w:lineRule="auto"/>
        <w:tabs>
          <w:tab w:leader="none" w:pos="104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59" w:lineRule="exact"/>
        <w:rPr>
          <w:sz w:val="20"/>
          <w:szCs w:val="20"/>
          <w:color w:val="auto"/>
        </w:rPr>
      </w:pPr>
    </w:p>
    <w:p>
      <w:pPr>
        <w:ind w:left="620" w:hanging="192"/>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40" w:firstLine="428"/>
        <w:spacing w:after="0" w:line="269" w:lineRule="auto"/>
        <w:tabs>
          <w:tab w:leader="none" w:pos="60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xml:space="preserve"> In addition to any adjustments pursuant to Section 3(a) above, if at any time while this Warrant is outstanding the Company grants, issues or sells any Common Stock Equivalents or rights to purchase stock, warrants, securities or other property pro rata to all record holders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1" w:lineRule="exact"/>
        <w:rPr>
          <w:rFonts w:ascii="Arial" w:cs="Arial" w:eastAsia="Arial" w:hAnsi="Arial"/>
          <w:sz w:val="17"/>
          <w:szCs w:val="17"/>
          <w:color w:val="auto"/>
        </w:rPr>
      </w:pPr>
    </w:p>
    <w:p>
      <w:pPr>
        <w:ind w:right="120" w:firstLine="428"/>
        <w:spacing w:after="0" w:line="253" w:lineRule="auto"/>
        <w:tabs>
          <w:tab w:leader="none" w:pos="61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(other than as contemplated by Section 3(a) above),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w:t>
      </w:r>
    </w:p>
    <w:p>
      <w:pPr>
        <w:spacing w:after="0" w:line="1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20"/>
          </w:cols>
          <w:pgMar w:left="880" w:top="274" w:right="499" w:bottom="1440" w:gutter="0" w:footer="0" w:header="0"/>
        </w:sectPr>
      </w:pPr>
    </w:p>
    <w:bookmarkStart w:id="90" w:name="page91"/>
    <w:bookmarkEnd w:id="90"/>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64" w:lineRule="exact"/>
        <w:rPr>
          <w:sz w:val="20"/>
          <w:szCs w:val="20"/>
          <w:color w:val="auto"/>
        </w:rPr>
      </w:pPr>
    </w:p>
    <w:p>
      <w:pPr>
        <w:ind w:firstLine="428"/>
        <w:spacing w:after="0" w:line="284" w:lineRule="auto"/>
        <w:tabs>
          <w:tab w:leader="none" w:pos="60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exclusive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in lieu of each Warrant Share that would have been issuable upon such exercise immediately prior to the occurrence of such Fundamental Transaction (without regard to any limitation in Section 2(e) on the exercise of this Warrant), the same securities and/or other property as would have been paid for a Warrant Share as if such Warrant Share were outstanding on and as of the closing of such Fundamental Transaction (without regard to any limitation in Section 2(e) on the exercise of this Warrant) (the “</w:t>
      </w:r>
      <w:r>
        <w:rPr>
          <w:rFonts w:ascii="Arial" w:cs="Arial" w:eastAsia="Arial" w:hAnsi="Arial"/>
          <w:sz w:val="16"/>
          <w:szCs w:val="16"/>
          <w:u w:val="single" w:color="auto"/>
          <w:color w:val="auto"/>
        </w:rPr>
        <w:t>Alternate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91" w:name="page92"/>
    <w:bookmarkEnd w:id="9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writing all of the obligations of the Company under this Warrant in accordance with the provisions of this Warrant and to covenant to, at the option of the Holder, deliver to the Holder in exchange for this Warrant a warrant of the Successor Entity evidenced by a written instrument substantially similar in form and substance to this Warrant which is exercisable for the Alternate Consideration (without regard to any limitations on the exercise of this Warrant), and with an exercise price which applies the exercise price hereunder to such Alternate Consideration consistent with this Section 3(e).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58" w:lineRule="exact"/>
        <w:rPr>
          <w:sz w:val="20"/>
          <w:szCs w:val="20"/>
          <w:color w:val="auto"/>
        </w:rPr>
      </w:pPr>
    </w:p>
    <w:p>
      <w:pPr>
        <w:ind w:right="60" w:firstLine="428"/>
        <w:spacing w:after="0" w:line="264" w:lineRule="auto"/>
        <w:tabs>
          <w:tab w:leader="none" w:pos="58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3" w:lineRule="exact"/>
        <w:rPr>
          <w:rFonts w:ascii="Arial" w:cs="Arial" w:eastAsia="Arial" w:hAnsi="Arial"/>
          <w:sz w:val="18"/>
          <w:szCs w:val="18"/>
          <w:color w:val="auto"/>
        </w:rPr>
      </w:pPr>
    </w:p>
    <w:p>
      <w:pPr>
        <w:ind w:left="620" w:hanging="192"/>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220" w:firstLine="380"/>
        <w:spacing w:after="0" w:line="259" w:lineRule="auto"/>
        <w:tabs>
          <w:tab w:leader="none" w:pos="1523"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8" w:lineRule="exact"/>
        <w:rPr>
          <w:rFonts w:ascii="Arial" w:cs="Arial" w:eastAsia="Arial" w:hAnsi="Arial"/>
          <w:sz w:val="18"/>
          <w:szCs w:val="18"/>
          <w:color w:val="auto"/>
        </w:rPr>
      </w:pPr>
    </w:p>
    <w:p>
      <w:pPr>
        <w:ind w:left="1000" w:firstLine="380"/>
        <w:spacing w:after="0" w:line="269" w:lineRule="auto"/>
        <w:tabs>
          <w:tab w:leader="none" w:pos="1573"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92" w:name="page93"/>
    <w:bookmarkEnd w:id="92"/>
    <w:p>
      <w:pPr>
        <w:ind w:left="1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would constitute, or contain, material, non-public information regarding the Company or any of its subsidiaries, then prior to delivering such notice, the Company shall promptly request the Holder’s agreement to receive material non-public information and to hold such information in confidence. If the Holder does not so agree, then the Company shall be excused from delivering the notice; provided that the Company shall promptly deliver such notice after such time, if any, that delivery would not provide the Holder with material non-public information regarding the Company or any of its subsidiaries. The Holder shall remain entitled to exercise this Warrant during the period commencing on the date of such notice to the effective date of the event triggering such notice except as may otherwise be expressly set forth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88" w:lineRule="auto"/>
        <w:tabs>
          <w:tab w:leader="none" w:pos="1048"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93" w:name="page94"/>
    <w:bookmarkEnd w:id="93"/>
    <w:p>
      <w:pPr>
        <w:ind w:right="20" w:firstLine="428"/>
        <w:spacing w:after="0" w:line="273" w:lineRule="auto"/>
        <w:tabs>
          <w:tab w:leader="none" w:pos="618"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70" w:lineRule="exact"/>
        <w:rPr>
          <w:rFonts w:ascii="Arial" w:cs="Arial" w:eastAsia="Arial" w:hAnsi="Arial"/>
          <w:sz w:val="17"/>
          <w:szCs w:val="17"/>
          <w:color w:val="auto"/>
        </w:rPr>
      </w:pPr>
    </w:p>
    <w:p>
      <w:pPr>
        <w:ind w:firstLine="428"/>
        <w:spacing w:after="0" w:line="259" w:lineRule="auto"/>
        <w:tabs>
          <w:tab w:leader="none" w:pos="60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20" w:firstLine="428"/>
        <w:spacing w:after="0" w:line="308" w:lineRule="auto"/>
        <w:tabs>
          <w:tab w:leader="none" w:pos="60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38" w:lineRule="exact"/>
        <w:rPr>
          <w:rFonts w:ascii="Arial" w:cs="Arial" w:eastAsia="Arial" w:hAnsi="Arial"/>
          <w:sz w:val="17"/>
          <w:szCs w:val="17"/>
          <w:color w:val="auto"/>
        </w:rPr>
      </w:pPr>
    </w:p>
    <w:p>
      <w:pPr>
        <w:ind w:right="180" w:firstLine="428"/>
        <w:spacing w:after="0" w:line="297" w:lineRule="auto"/>
        <w:tabs>
          <w:tab w:leader="none" w:pos="61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50" w:lineRule="exact"/>
        <w:rPr>
          <w:rFonts w:ascii="Arial" w:cs="Arial" w:eastAsia="Arial" w:hAnsi="Arial"/>
          <w:sz w:val="16"/>
          <w:szCs w:val="16"/>
          <w:color w:val="auto"/>
        </w:rPr>
      </w:pPr>
    </w:p>
    <w:p>
      <w:pPr>
        <w:ind w:right="200" w:firstLine="428"/>
        <w:spacing w:after="0" w:line="342" w:lineRule="auto"/>
        <w:tabs>
          <w:tab w:leader="none" w:pos="60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 w:lineRule="exact"/>
        <w:rPr>
          <w:rFonts w:ascii="Arial" w:cs="Arial" w:eastAsia="Arial" w:hAnsi="Arial"/>
          <w:sz w:val="16"/>
          <w:szCs w:val="16"/>
          <w:color w:val="auto"/>
        </w:rPr>
      </w:pPr>
    </w:p>
    <w:p>
      <w:pPr>
        <w:ind w:left="620" w:hanging="192"/>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440" w:right="120" w:firstLine="405"/>
        <w:spacing w:after="0" w:line="255" w:lineRule="auto"/>
        <w:rPr>
          <w:sz w:val="20"/>
          <w:szCs w:val="20"/>
          <w:color w:val="auto"/>
        </w:rPr>
      </w:pPr>
      <w:r>
        <w:rPr>
          <w:rFonts w:ascii="Arial" w:cs="Arial" w:eastAsia="Arial" w:hAnsi="Arial"/>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94" w:name="page95"/>
    <w:bookmarkEnd w:id="94"/>
    <w:p>
      <w:pPr>
        <w:ind w:left="4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4" w:lineRule="exact"/>
        <w:rPr>
          <w:sz w:val="20"/>
          <w:szCs w:val="20"/>
          <w:color w:val="auto"/>
        </w:rPr>
      </w:pPr>
    </w:p>
    <w:p>
      <w:pPr>
        <w:ind w:left="440" w:right="20" w:firstLine="405"/>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0" w:lineRule="exact"/>
        <w:rPr>
          <w:sz w:val="20"/>
          <w:szCs w:val="20"/>
          <w:color w:val="auto"/>
        </w:rPr>
      </w:pPr>
    </w:p>
    <w:p>
      <w:pPr>
        <w:jc w:val="both"/>
        <w:ind w:left="440" w:right="20" w:firstLine="405"/>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3" w:lineRule="exact"/>
        <w:rPr>
          <w:sz w:val="20"/>
          <w:szCs w:val="20"/>
          <w:color w:val="auto"/>
        </w:rPr>
      </w:pPr>
    </w:p>
    <w:p>
      <w:pPr>
        <w:ind w:right="140" w:firstLine="428"/>
        <w:spacing w:after="0" w:line="264" w:lineRule="auto"/>
        <w:tabs>
          <w:tab w:leader="none" w:pos="60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w:t>
      </w:r>
    </w:p>
    <w:p>
      <w:pPr>
        <w:spacing w:after="0" w:line="73" w:lineRule="exact"/>
        <w:rPr>
          <w:rFonts w:ascii="Arial" w:cs="Arial" w:eastAsia="Arial" w:hAnsi="Arial"/>
          <w:sz w:val="18"/>
          <w:szCs w:val="18"/>
          <w:color w:val="auto"/>
        </w:rPr>
      </w:pPr>
    </w:p>
    <w:p>
      <w:pPr>
        <w:ind w:right="480" w:firstLine="428"/>
        <w:spacing w:after="0" w:line="308" w:lineRule="auto"/>
        <w:tabs>
          <w:tab w:leader="none" w:pos="58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8" w:lineRule="exact"/>
        <w:rPr>
          <w:rFonts w:ascii="Arial" w:cs="Arial" w:eastAsia="Arial" w:hAnsi="Arial"/>
          <w:sz w:val="17"/>
          <w:szCs w:val="17"/>
          <w:color w:val="auto"/>
        </w:rPr>
      </w:pPr>
    </w:p>
    <w:p>
      <w:pPr>
        <w:ind w:right="40" w:firstLine="428"/>
        <w:spacing w:after="0" w:line="312" w:lineRule="auto"/>
        <w:tabs>
          <w:tab w:leader="none" w:pos="61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95" w:name="page96"/>
    <w:bookmarkEnd w:id="95"/>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3" w:lineRule="exact"/>
        <w:rPr>
          <w:sz w:val="20"/>
          <w:szCs w:val="20"/>
          <w:color w:val="auto"/>
        </w:rPr>
      </w:pPr>
    </w:p>
    <w:p>
      <w:pPr>
        <w:ind w:right="20" w:firstLine="428"/>
        <w:spacing w:after="0" w:line="287" w:lineRule="auto"/>
        <w:tabs>
          <w:tab w:leader="none" w:pos="61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hereunder (including, without limitation, any Notice of Exercise) shall be in writing and shall be deemed given and effective on the earliest of (i) the time of transmission, if such notice or communication is delivered via facsimile or e-mail at the facsimile number or e-mail address specified in the books and records of the Transfer Agent prior to 5:30 P.M., New York City time, on a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 the next Trading Day after the date of transmission, if such notice or communication is delivered via facsimile or e-mail at the facsimile number or e-mail address specified in the books and records of the Transfer Agent on a day that is not a Trading Day or later than 5:30 P.M., New York City time, on any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60" w:lineRule="exact"/>
        <w:rPr>
          <w:rFonts w:ascii="Arial" w:cs="Arial" w:eastAsia="Arial" w:hAnsi="Arial"/>
          <w:sz w:val="16"/>
          <w:szCs w:val="16"/>
          <w:color w:val="auto"/>
        </w:rPr>
      </w:pPr>
    </w:p>
    <w:p>
      <w:pPr>
        <w:jc w:val="both"/>
        <w:ind w:right="200" w:firstLine="428"/>
        <w:spacing w:after="0" w:line="259" w:lineRule="auto"/>
        <w:tabs>
          <w:tab w:leader="none" w:pos="57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ind w:firstLine="428"/>
        <w:spacing w:after="0" w:line="259" w:lineRule="auto"/>
        <w:tabs>
          <w:tab w:leader="none" w:pos="57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jc w:val="both"/>
        <w:ind w:right="20" w:firstLine="428"/>
        <w:spacing w:after="0" w:line="259" w:lineRule="auto"/>
        <w:tabs>
          <w:tab w:leader="none" w:pos="61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96" w:name="page97"/>
    <w:bookmarkEnd w:id="96"/>
    <w:p>
      <w:pPr>
        <w:ind w:left="580" w:hanging="152"/>
        <w:spacing w:after="0"/>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102" w:lineRule="exact"/>
        <w:rPr>
          <w:rFonts w:ascii="Arial" w:cs="Arial" w:eastAsia="Arial" w:hAnsi="Arial"/>
          <w:sz w:val="16"/>
          <w:szCs w:val="16"/>
          <w:color w:val="auto"/>
        </w:rPr>
      </w:pPr>
    </w:p>
    <w:p>
      <w:pPr>
        <w:ind w:firstLine="428"/>
        <w:spacing w:after="0" w:line="312" w:lineRule="auto"/>
        <w:tabs>
          <w:tab w:leader="none" w:pos="668"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8" w:lineRule="exact"/>
        <w:rPr>
          <w:rFonts w:ascii="Arial" w:cs="Arial" w:eastAsia="Arial" w:hAnsi="Arial"/>
          <w:sz w:val="16"/>
          <w:szCs w:val="16"/>
          <w:color w:val="auto"/>
        </w:rPr>
      </w:pPr>
    </w:p>
    <w:p>
      <w:pPr>
        <w:ind w:right="20" w:firstLine="428"/>
        <w:spacing w:after="0" w:line="277" w:lineRule="auto"/>
        <w:tabs>
          <w:tab w:leader="none" w:pos="6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62" w:lineRule="exact"/>
        <w:rPr>
          <w:rFonts w:ascii="Arial" w:cs="Arial" w:eastAsia="Arial" w:hAnsi="Arial"/>
          <w:sz w:val="18"/>
          <w:szCs w:val="18"/>
          <w:color w:val="auto"/>
        </w:rPr>
      </w:pPr>
    </w:p>
    <w:p>
      <w:pPr>
        <w:ind w:right="640" w:firstLine="428"/>
        <w:spacing w:after="0" w:line="277" w:lineRule="auto"/>
        <w:tabs>
          <w:tab w:leader="none" w:pos="6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Receipt of this Warrant by the Holder shall constitute acceptance of and agreement to all of the terms and conditions contained herein.</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97" w:name="page98"/>
    <w:bookmarkEnd w:id="97"/>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40" w:top="274" w:right="579" w:bottom="1440" w:gutter="0" w:footer="0" w:header="0"/>
        </w:sectPr>
      </w:pPr>
    </w:p>
    <w:bookmarkStart w:id="98" w:name="page99"/>
    <w:bookmarkEnd w:id="98"/>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MANNKIND CORPORATION</w:t>
      </w:r>
    </w:p>
    <w:p>
      <w:pPr>
        <w:spacing w:after="0" w:line="225" w:lineRule="exact"/>
        <w:rPr>
          <w:sz w:val="20"/>
          <w:szCs w:val="20"/>
          <w:color w:val="auto"/>
        </w:rPr>
      </w:pPr>
    </w:p>
    <w:p>
      <w:pPr>
        <w:ind w:firstLine="885"/>
        <w:spacing w:after="0" w:line="308" w:lineRule="auto"/>
        <w:tabs>
          <w:tab w:leader="none" w:pos="11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140" w:hanging="255"/>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 in lawful money of the United States; or</w:t>
      </w:r>
    </w:p>
    <w:p>
      <w:pPr>
        <w:spacing w:after="0" w:line="117" w:lineRule="exact"/>
        <w:rPr>
          <w:sz w:val="20"/>
          <w:szCs w:val="20"/>
          <w:color w:val="auto"/>
        </w:rPr>
      </w:pPr>
    </w:p>
    <w:p>
      <w:pPr>
        <w:jc w:val="both"/>
        <w:ind w:left="1440" w:right="180" w:hanging="4"/>
        <w:spacing w:after="0" w:line="264" w:lineRule="auto"/>
        <w:tabs>
          <w:tab w:leader="none" w:pos="15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229235</wp:posOffset>
            </wp:positionV>
            <wp:extent cx="19640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855345</wp:posOffset>
            </wp:positionV>
            <wp:extent cx="19640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581025</wp:posOffset>
            </wp:positionV>
            <wp:extent cx="19640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306705</wp:posOffset>
            </wp:positionV>
            <wp:extent cx="19640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-130810</wp:posOffset>
            </wp:positionV>
            <wp:extent cx="56597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-130810</wp:posOffset>
            </wp:positionV>
            <wp:extent cx="42621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-130810</wp:posOffset>
            </wp:positionV>
            <wp:extent cx="5385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-130810</wp:posOffset>
            </wp:positionV>
            <wp:extent cx="54540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14605</wp:posOffset>
            </wp:positionV>
            <wp:extent cx="67151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0600"/>
          </w:cols>
          <w:pgMar w:left="440" w:top="270" w:right="8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ASSIGNMENT FORM</w:t>
      </w:r>
    </w:p>
    <w:p>
      <w:pPr>
        <w:spacing w:after="0" w:line="23" w:lineRule="exact"/>
        <w:rPr>
          <w:sz w:val="20"/>
          <w:szCs w:val="20"/>
          <w:color w:val="auto"/>
        </w:rPr>
      </w:pPr>
    </w:p>
    <w:p>
      <w:pPr>
        <w:ind w:left="220" w:right="1440"/>
        <w:spacing w:after="0" w:line="538"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-130810</wp:posOffset>
            </wp:positionV>
            <wp:extent cx="25558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-130810</wp:posOffset>
            </wp:positionV>
            <wp:extent cx="25558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14605</wp:posOffset>
            </wp:positionV>
            <wp:extent cx="25558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14605</wp:posOffset>
            </wp:positionV>
            <wp:extent cx="25558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-10160</wp:posOffset>
            </wp:positionV>
            <wp:extent cx="13430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-10160</wp:posOffset>
            </wp:positionV>
            <wp:extent cx="11715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-10160</wp:posOffset>
            </wp:positionV>
            <wp:extent cx="1228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ectPr>
          <w:pgSz w:w="11900" w:h="16838" w:orient="portrait"/>
          <w:cols w:equalWidth="0" w:num="1">
            <w:col w:w="10800"/>
          </w:cols>
          <w:pgMar w:left="660" w:top="270"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883285"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32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Sean M. Clayton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+1 858 550 6034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sclayton@cooley.com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30930 Russell Ranch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Westlake Village, CA 91362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You have requested our opinion with respect to certain matters in connection with the offering by MannKind Corporation,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of up to 26,666,667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$0.01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to purchase up to 26,666,667 shares of the Common Stock (the “</w:t>
      </w:r>
      <w:r>
        <w:rPr>
          <w:rFonts w:ascii="Arial" w:cs="Arial" w:eastAsia="Arial" w:hAnsi="Arial"/>
          <w:sz w:val="17"/>
          <w:szCs w:val="17"/>
          <w:b w:val="1"/>
          <w:bCs w:val="1"/>
          <w:i w:val="1"/>
          <w:iCs w:val="1"/>
          <w:color w:val="auto"/>
        </w:rPr>
        <w:t>Warrant Shares</w:t>
      </w:r>
      <w:r>
        <w:rPr>
          <w:rFonts w:ascii="Arial" w:cs="Arial" w:eastAsia="Arial" w:hAnsi="Arial"/>
          <w:sz w:val="17"/>
          <w:szCs w:val="17"/>
          <w:color w:val="auto"/>
        </w:rPr>
        <w:t xml:space="preserve">”) pursuant to a Registration Statement on Form S-3 (Registration Statement No. 333-210792)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filed with the Securities and Exchange Commission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i w:val="1"/>
          <w:iCs w:val="1"/>
          <w:color w:val="auto"/>
        </w:rPr>
        <w: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i w:val="1"/>
          <w:iCs w:val="1"/>
          <w:color w:val="auto"/>
        </w:rPr>
        <w:t>”</w:t>
      </w:r>
      <w:r>
        <w:rPr>
          <w:rFonts w:ascii="Arial" w:cs="Arial" w:eastAsia="Arial" w:hAnsi="Arial"/>
          <w:sz w:val="17"/>
          <w:szCs w:val="17"/>
          <w:color w:val="auto"/>
        </w:rPr>
        <w:t>), the prospectus included within the Registration Statement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and the prospectus supplement dated December 19, 2018, filed with the Commission pursuant to Rule 424(b) of the Rules and Regulations of the Act (together with the Base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The Shares, the Warrants and the Warrant Shares are to be sold by the Company as described in the Registration Statement and the Prospectus.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this opinion, we have examined and relied upon the Registration Statement, the Prospectus, the form of Warrant to be filed as an exhibit to a current report of the Company on Form 8-K, the Company’s certificate of incorporation and bylaws, as currently in effect, and the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As to certain factual matters, we have relied upon a certificate of an officer of the Company and have not sought to independently verify such matters.</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opinion herein is expressed solely with respect to the General Corporation Law of the State of Delaware and, as to the Warrants constituting valid and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our opinion concerning the Warrants constituting valid and binding obligations of the Company:</w:t>
      </w:r>
    </w:p>
    <w:p>
      <w:pPr>
        <w:spacing w:after="0" w:line="117" w:lineRule="exact"/>
        <w:rPr>
          <w:sz w:val="20"/>
          <w:szCs w:val="20"/>
          <w:color w:val="auto"/>
        </w:rPr>
      </w:pPr>
    </w:p>
    <w:p>
      <w:pPr>
        <w:ind w:right="280" w:firstLine="444"/>
        <w:spacing w:after="0" w:line="312" w:lineRule="auto"/>
        <w:tabs>
          <w:tab w:leader="none" w:pos="65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4401 EASTGATE MALL  SAN DIEGO, CA  92121</w:t>
      </w:r>
    </w:p>
    <w:p>
      <w:pPr>
        <w:jc w:val="center"/>
        <w:spacing w:after="0"/>
        <w:rPr>
          <w:sz w:val="20"/>
          <w:szCs w:val="20"/>
          <w:color w:val="auto"/>
        </w:rPr>
      </w:pPr>
      <w:r>
        <w:rPr>
          <w:rFonts w:ascii="Arial" w:cs="Arial" w:eastAsia="Arial" w:hAnsi="Arial"/>
          <w:sz w:val="14"/>
          <w:szCs w:val="14"/>
          <w:color w:val="auto"/>
        </w:rPr>
        <w:t>T: (858) 550-6000  F: (858) 550-6420  COOLEY.COM</w:t>
      </w:r>
    </w:p>
    <w:p>
      <w:pPr>
        <w:sectPr>
          <w:pgSz w:w="11900" w:h="16838" w:orient="portrait"/>
          <w:cols w:equalWidth="0" w:num="1">
            <w:col w:w="11020"/>
          </w:cols>
          <w:pgMar w:left="440" w:top="121"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883285"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883285" cy="291465"/>
                    </a:xfrm>
                    <a:prstGeom prst="rect">
                      <a:avLst/>
                    </a:prstGeom>
                    <a:noFill/>
                  </pic:spPr>
                </pic:pic>
              </a:graphicData>
            </a:graphic>
          </wp:anchor>
        </w:drawing>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right="180" w:firstLine="444"/>
        <w:spacing w:after="0" w:line="277" w:lineRule="auto"/>
        <w:tabs>
          <w:tab w:leader="none" w:pos="7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ind w:firstLine="444"/>
        <w:spacing w:after="0" w:line="293" w:lineRule="auto"/>
        <w:tabs>
          <w:tab w:leader="none" w:pos="75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 (f) provides that provisions of the Warrants are severable to the extent an essential part of the agreed exchange is determined to be invalid and unenforceable.</w:t>
      </w:r>
    </w:p>
    <w:p>
      <w:pPr>
        <w:spacing w:after="0" w:line="164" w:lineRule="exact"/>
        <w:rPr>
          <w:rFonts w:ascii="Arial" w:cs="Arial" w:eastAsia="Arial" w:hAnsi="Arial"/>
          <w:sz w:val="16"/>
          <w:szCs w:val="16"/>
          <w:color w:val="auto"/>
        </w:rPr>
      </w:pPr>
    </w:p>
    <w:p>
      <w:pPr>
        <w:ind w:right="60" w:firstLine="444"/>
        <w:spacing w:after="0" w:line="277" w:lineRule="auto"/>
        <w:tabs>
          <w:tab w:leader="none" w:pos="7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Warrants.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Warrants, of the Company may cause the Warrants to be exercisable for more shares of Common Stock than the number that remain authorized but unissued. Further, we have assumed the Exercise Price (as defined in the Warrants) will not be adjusted to an amount below the par value per share of the Common Stock.</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the basis of the foregoing, and in reliance thereon, we are of the opinion that (i) the Shares, when sold and issued in accordance with the Registration Statement and the Prospectus, will be validly issued, fully paid and nonassessable, (ii) provided that the Warrants have been duly executed and delivered by the Company and duly delivered to the purchasers thereof against payment therefor, the Warrants, when sold and issued as contemplated in the Registration Statement and the Prospectus, will be valid and binding obligations of the Company, and (iii) the Warrant Shares, when issued and paid for in accordance with the terms of the Warrants, will be validly issued, fully paid and non-assessable.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4401 EASTGATE MALL  SAN DIEGO, CA  92121</w:t>
      </w:r>
    </w:p>
    <w:p>
      <w:pPr>
        <w:jc w:val="center"/>
        <w:ind w:right="-19"/>
        <w:spacing w:after="0"/>
        <w:rPr>
          <w:sz w:val="20"/>
          <w:szCs w:val="20"/>
          <w:color w:val="auto"/>
        </w:rPr>
      </w:pPr>
      <w:r>
        <w:rPr>
          <w:rFonts w:ascii="Arial" w:cs="Arial" w:eastAsia="Arial" w:hAnsi="Arial"/>
          <w:sz w:val="14"/>
          <w:szCs w:val="14"/>
          <w:color w:val="auto"/>
        </w:rPr>
        <w:t>T: (858) 550-6000  F: (858) 550-6420  COOLEY.COM</w:t>
      </w:r>
    </w:p>
    <w:p>
      <w:pPr>
        <w:sectPr>
          <w:pgSz w:w="11900" w:h="16838" w:orient="portrait"/>
          <w:cols w:equalWidth="0" w:num="1">
            <w:col w:w="11020"/>
          </w:cols>
          <w:pgMar w:left="440" w:top="841"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182880</wp:posOffset>
            </wp:positionV>
            <wp:extent cx="883285" cy="29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883285" cy="291465"/>
                    </a:xfrm>
                    <a:prstGeom prst="rect">
                      <a:avLst/>
                    </a:prstGeom>
                    <a:noFill/>
                  </pic:spPr>
                </pic:pic>
              </a:graphicData>
            </a:graphic>
          </wp:anchor>
        </w:drawing>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This opinion is expressed as of the date hereof, and we disclaim any responsibility to advise you of any changes in the facts stated or assumed herein or of any changes in applicable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Sean M. Clayton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COOLEY LLP  4401 EASTGATE MALL  SAN DIEGO, CA  92121</w:t>
      </w:r>
    </w:p>
    <w:p>
      <w:pPr>
        <w:jc w:val="center"/>
        <w:ind w:right="-119"/>
        <w:spacing w:after="0"/>
        <w:rPr>
          <w:sz w:val="20"/>
          <w:szCs w:val="20"/>
          <w:color w:val="auto"/>
        </w:rPr>
      </w:pPr>
      <w:r>
        <w:rPr>
          <w:rFonts w:ascii="Arial" w:cs="Arial" w:eastAsia="Arial" w:hAnsi="Arial"/>
          <w:sz w:val="14"/>
          <w:szCs w:val="14"/>
          <w:color w:val="auto"/>
        </w:rPr>
        <w:t>T: (858) 550-6000  F: (858) 550-6420  COOLEY.COM</w:t>
      </w:r>
    </w:p>
    <w:p>
      <w:pPr>
        <w:sectPr>
          <w:pgSz w:w="11900" w:h="16838" w:orient="portrait"/>
          <w:cols w:equalWidth="0" w:num="1">
            <w:col w:w="10900"/>
          </w:cols>
          <w:pgMar w:left="440" w:top="841" w:right="5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049780" cy="557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497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Announces Commencement of Public Offering</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Westlake Village, CA, December 19, 2018 </w:t>
      </w:r>
      <w:r>
        <w:rPr>
          <w:rFonts w:ascii="Arial" w:cs="Arial" w:eastAsia="Arial" w:hAnsi="Arial"/>
          <w:sz w:val="18"/>
          <w:szCs w:val="18"/>
          <w:color w:val="auto"/>
        </w:rPr>
        <w:t>– MannKind Corporation (Nasdaq: MNKD) (MannKind) today announced that it has commenced an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underwritten public offering to issue and sell shares of its common stock and warrants to purchase shares of its common stock. The offering is subject to market and other conditions, and there can be no assurance as to whether or when the offering may be completed, or as to the actual size or terms of the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is acting as sole book-running manager for the offering.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described above are being offered by MannKind pursuant to a shelf registration statement on Form S-3 (No. 333-210792) previously filed by MannKind with the Securities and Exchange Commission (SEC) on April 18, 2016 and declared effective on April 27, 2016. The offering will be made only by means of a written prospectus and prospectus supplement that form part of the registration statement. A preliminary prospectus supplement related to the offering and accompanying prospectus will be filed with the SEC and will be available on the SEC website located at http://www.sec.gov. Copies of the preliminary prospectus supplement and the accompanying prospectus related to the offering, when available, may be obtained from Leerink Partners LLC, Attention: Syndicate Department, 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 Boston, MA 02110, telephone: (800) 808-7525, ext. 6132, or by email at syndicate@leerink.com.</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any securities in any state or other jurisdiction in which such offer, solicitation or sale would be unlawful prior to the registration or qualification under the securities laws of any such state or other jurisdiction.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MannKind Corporation</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MannKind Corporation (Nasdaq: MNKD) focuses on the development and commercialization of inhaled therapeutic products for patients with diseases such as diabetes and pulmonary arterial hypertension. MannKind is currently commercializing Afrezza</w:t>
      </w:r>
      <w:r>
        <w:rPr>
          <w:rFonts w:ascii="Arial" w:cs="Arial" w:eastAsia="Arial" w:hAnsi="Arial"/>
          <w:sz w:val="14"/>
          <w:szCs w:val="14"/>
          <w:color w:val="auto"/>
        </w:rPr>
        <w:t>®</w:t>
      </w:r>
      <w:r>
        <w:rPr>
          <w:rFonts w:ascii="Arial" w:cs="Arial" w:eastAsia="Arial" w:hAnsi="Arial"/>
          <w:sz w:val="17"/>
          <w:szCs w:val="17"/>
          <w:color w:val="auto"/>
        </w:rPr>
        <w:t xml:space="preserve"> (insulin human) Inhalation Powder, the Company’s first FDA-approved product and the only inhaled rapid-acting mealtime insulin in the United States, where it is available by prescription from pharmacies nationwide. MannKind is headquartered in Westlake Village, California, and has a state-of-the art manufacturing facility in Danbury, Connecticut. The Company also employs field sales and medical representatives across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Statements in this press release that are not strictly historical in nature, including statements related to the proposed offering by MannKind, are “forward-looking statements” within the meaning of the Private Securities Litigation Reform Act of 1995. Words such as “believes,” “anticipates,” “plans,” “expects,” “intends,” “will,” “goal,” “potential” and similar expressions are intended to identify forward-looking statements. These statements are based upon MannKind’s current expectations. Actual events or results could differ materially from those anticipated in such forward-looking statements due to various factors, including market risks and uncertainties and the satisfaction of customary closing conditions for an offering of securities. For a discussion of these and other factors, please refer to MannKind’s quarterly report on Form 10-Q for the quarter ended</w:t>
      </w:r>
    </w:p>
    <w:p>
      <w:pPr>
        <w:spacing w:after="0" w:line="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September 30, 2018 as well as MannKind’s other filings with the SEC. You are cautioned not to place undue reliance on these forward-looking statements, which speak only as of the date of this press release. All forward-looking statements are qualified in their entirety by this cautionary statement, and MannKind undertakes no obligation to revise or update this press release to reflect events or circumstances after the date hereof, except as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MannKind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 Alinaya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818-661-5000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ir@mannkindcorp.com</w:t>
      </w:r>
    </w:p>
    <w:p>
      <w:pPr>
        <w:sectPr>
          <w:pgSz w:w="11900" w:h="16838" w:orient="portrait"/>
          <w:cols w:equalWidth="0" w:num="1">
            <w:col w:w="11020"/>
          </w:cols>
          <w:pgMar w:left="440" w:top="121"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049780" cy="557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497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Announces Pricing of $40 Million Public Offering</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 xml:space="preserve">Westlake Village, CA, December 19, 2018 </w:t>
      </w:r>
      <w:r>
        <w:rPr>
          <w:rFonts w:ascii="Arial" w:cs="Arial" w:eastAsia="Arial" w:hAnsi="Arial"/>
          <w:sz w:val="16"/>
          <w:szCs w:val="16"/>
          <w:color w:val="auto"/>
        </w:rPr>
        <w:t>– MannKind Corporation (Nasdaq: MNKD) (MannKind) today announced the pricing of an underwritten</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of 26,666,667 shares of its common stock and warrants to purchase up to an aggregate of 26,666,667 shares of its common stock. Each share of common stock is being sold together with a warrant to purchase one share of common stock for a combined purchase price of $1.50, for a gross deal size of $40.0 million, not including any future proceeds from the exercise of the warrants and before deducting the underwriting discounts and commissions and offering expenses. Each warrant will have an exercise price of $1.60 per share, will be exercisable immediately and will expire on the 12-month anniversary of the date of issuance. The shares of common stock and warrants can only be purchased together but will be issued separately and will be immediately separable upon issuance. The offering is expected to close on December 26, 2018, subject to customary closing conditions.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Leerink Partners is acting as sole book-running manager for the offering. BTIG, LLC and Oppenheimer &amp; Co. Inc. are acting as co-lead managers for the offering. H.C. Wainwright &amp; Co., LLC acted as a financial advisor to MannKind in connection with the offering.</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described above are being offered by MannKind pursuant to a shelf registration statement on Form S-3 (No. 333-210792) previously filed by MannKind with the Securities and Exchange Commission (SEC) on April 18, 2016 and declared effective on April 27, 2016. The offering will be made only by means of a written prospectus and prospectus supplement that form part of the registration statement. A preliminary prospectus supplement related to the offering and accompanying prospectus has been filed with the SEC and is available on the SEC website located at http://www.sec.gov. Copies of the final prospectus supplement and the accompanying prospectus related to the offering, when available, may be obtained from Leerink Partners LLC, Attention: Syndicate Department, One Federal Street, 37th Floor, Boston, MA 02110, telephone: (800) 808-7525, ext. 6132, or by email at syndicate@leerink.com.</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any securities in any state or other jurisdiction in which such offer, solicitation or sale would be unlawful prior to the registration or qualification under the securities laws of any such state or other jurisdiction.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MannKind Corporation</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MannKind Corporation (Nasdaq: MNKD) focuses on the development and commercialization of inhaled therapeutic products for patients with diseases such as diabetes and pulmonary arterial hypertension. MannKind is currently commercializing Afrezza</w:t>
      </w:r>
      <w:r>
        <w:rPr>
          <w:rFonts w:ascii="Arial" w:cs="Arial" w:eastAsia="Arial" w:hAnsi="Arial"/>
          <w:sz w:val="14"/>
          <w:szCs w:val="14"/>
          <w:color w:val="auto"/>
        </w:rPr>
        <w:t>®</w:t>
      </w:r>
      <w:r>
        <w:rPr>
          <w:rFonts w:ascii="Arial" w:cs="Arial" w:eastAsia="Arial" w:hAnsi="Arial"/>
          <w:sz w:val="17"/>
          <w:szCs w:val="17"/>
          <w:color w:val="auto"/>
        </w:rPr>
        <w:t xml:space="preserve"> (insulin human) Inhalation Powder, the Company’s first FDA-approved product and the only inhaled rapid-acting mealtime insulin in the United States, where it is available by prescription from pharmacies nationwide. MannKind is headquartered in Westlake Village, California, and has a state-of-the art manufacturing facility in Danbury, Connecticut. The Company also employs field sales and medical representatives across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Statements in this press release that are not strictly historical in nature, including statements regarding MannKind’s expectations with respect to its public offering, including the anticipated closing date, are “forward-looking statements” within the meaning of the Private Securities Litigation Reform Act of 1995. Words such as “believes,” “anticipates,” “plans,” “expects,” “intends,” “will,” “goal,” “potential” and similar expressions are intended to identify forward-looking statements. These statements are based upon MannKind’s current expectations. Actual events or results could differ materially from those anticipated in such forward-looking statements due to various factors, including market risks and uncertainties and the satisfaction of customary closing conditions for an offering of securities. For a discussion of these and other factors, please refer to MannKind’s quarterly report on Form 10-Q for the quarter ended September 30, 2018 as well as MannKind’s other filings with the SEC. You are cautioned not to place undue reliance on these forward-looking statements, which speak only as of the date of this press release.</w:t>
      </w:r>
    </w:p>
    <w:p>
      <w:pPr>
        <w:sectPr>
          <w:pgSz w:w="11900" w:h="16838" w:orient="portrait"/>
          <w:cols w:equalWidth="0" w:num="1">
            <w:col w:w="11020"/>
          </w:cols>
          <w:pgMar w:left="440" w:top="121" w:right="439" w:bottom="1440" w:gutter="0" w:footer="0" w:header="0"/>
        </w:sectPr>
      </w:pPr>
    </w:p>
    <w:bookmarkStart w:id="105" w:name="page106"/>
    <w:bookmarkEnd w:id="10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forward-looking statements are qualified in their entirety by this cautionary statement, and MannKind undertakes no obligation to revise or update this press release to reflect events or circumstances after the date hereof,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MannKind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 Alinaya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818-661-5000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ir@mannkindcorp.com</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lowerLetter"/>
      <w:start w:val="1"/>
    </w:lvl>
    <w:lvl w:ilvl="1">
      <w:lvlJc w:val="left"/>
      <w:lvlText w:val="(%2)"/>
      <w:numFmt w:val="lowerLetter"/>
      <w:start w:val="9"/>
    </w:lvl>
  </w:abstractNum>
  <w:abstractNum w:abstractNumId="2">
    <w:nsid w:val="275AC794"/>
    <w:multiLevelType w:val="hybridMultilevel"/>
    <w:lvl w:ilvl="0">
      <w:lvlJc w:val="left"/>
      <w:lvlText w:val="%1"/>
      <w:numFmt w:val="upperLetter"/>
      <w:start w:val="1"/>
    </w:lvl>
    <w:lvl w:ilvl="1">
      <w:lvlJc w:val="left"/>
      <w:lvlText w:val="(%2)"/>
      <w:numFmt w:val="lowerRoman"/>
      <w:start w:val="2"/>
    </w:lvl>
  </w:abstractNum>
  <w:abstractNum w:abstractNumId="3">
    <w:nsid w:val="39386575"/>
    <w:multiLevelType w:val="hybridMultilevel"/>
    <w:lvl w:ilvl="0">
      <w:lvlJc w:val="left"/>
      <w:lvlText w:val="(%1)"/>
      <w:numFmt w:val="upperLetter"/>
      <w:start w:val="2"/>
    </w:lvl>
    <w:lvl w:ilvl="1">
      <w:lvlJc w:val="left"/>
      <w:lvlText w:val="%2"/>
      <w:numFmt w:val="lowerRoman"/>
      <w:start w:val="1"/>
    </w:lvl>
  </w:abstractNum>
  <w:abstractNum w:abstractNumId="4">
    <w:nsid w:val="1CF10FD8"/>
    <w:multiLevelType w:val="hybridMultilevel"/>
    <w:lvl w:ilvl="0">
      <w:lvlJc w:val="left"/>
      <w:lvlText w:val="(%1)"/>
      <w:numFmt w:val="lowerRoman"/>
      <w:start w:val="3"/>
    </w:lvl>
  </w:abstractNum>
  <w:abstractNum w:abstractNumId="5">
    <w:nsid w:val="180115BE"/>
    <w:multiLevelType w:val="hybridMultilevel"/>
    <w:lvl w:ilvl="0">
      <w:lvlJc w:val="left"/>
      <w:lvlText w:val="(%1)"/>
      <w:numFmt w:val="lowerRoman"/>
      <w:start w:val="5"/>
    </w:lvl>
  </w:abstractNum>
  <w:abstractNum w:abstractNumId="6">
    <w:nsid w:val="235BA861"/>
    <w:multiLevelType w:val="hybridMultilevel"/>
    <w:lvl w:ilvl="0">
      <w:lvlJc w:val="left"/>
      <w:lvlText w:val="%1"/>
      <w:numFmt w:val="upperLetter"/>
      <w:start w:val="1"/>
    </w:lvl>
    <w:lvl w:ilvl="1">
      <w:lvlJc w:val="left"/>
      <w:lvlText w:val="(%2)"/>
      <w:numFmt w:val="lowerRoman"/>
      <w:start w:val="8"/>
    </w:lvl>
  </w:abstractNum>
  <w:abstractNum w:abstractNumId="7">
    <w:nsid w:val="47398C89"/>
    <w:multiLevelType w:val="hybridMultilevel"/>
    <w:lvl w:ilvl="0">
      <w:lvlJc w:val="left"/>
      <w:lvlText w:val="(%1)"/>
      <w:numFmt w:val="upperLetter"/>
      <w:start w:val="2"/>
    </w:lvl>
    <w:lvl w:ilvl="1">
      <w:lvlJc w:val="left"/>
      <w:lvlText w:val="%2"/>
      <w:numFmt w:val="lowerRoman"/>
      <w:start w:val="1"/>
    </w:lvl>
  </w:abstractNum>
  <w:abstractNum w:abstractNumId="8">
    <w:nsid w:val="354FE9F9"/>
    <w:multiLevelType w:val="hybridMultilevel"/>
    <w:lvl w:ilvl="0">
      <w:lvlJc w:val="left"/>
      <w:lvlText w:val="(%1)"/>
      <w:numFmt w:val="lowerRoman"/>
      <w:start w:val="12"/>
    </w:lvl>
  </w:abstractNum>
  <w:abstractNum w:abstractNumId="9">
    <w:nsid w:val="15B5AF5C"/>
    <w:multiLevelType w:val="hybridMultilevel"/>
    <w:lvl w:ilvl="0">
      <w:lvlJc w:val="left"/>
      <w:lvlText w:val="(%1)"/>
      <w:numFmt w:val="lowerRoman"/>
      <w:start w:val="17"/>
    </w:lvl>
  </w:abstractNum>
  <w:abstractNum w:abstractNumId="10">
    <w:nsid w:val="741226BB"/>
    <w:multiLevelType w:val="hybridMultilevel"/>
    <w:lvl w:ilvl="0">
      <w:lvlJc w:val="left"/>
      <w:lvlText w:val="(%1)"/>
      <w:numFmt w:val="lowerRoman"/>
      <w:start w:val="21"/>
    </w:lvl>
  </w:abstractNum>
  <w:abstractNum w:abstractNumId="11">
    <w:nsid w:val="D34B6A8"/>
    <w:multiLevelType w:val="hybridMultilevel"/>
    <w:lvl w:ilvl="0">
      <w:lvlJc w:val="left"/>
      <w:lvlText w:val="(%1)"/>
      <w:numFmt w:val="lowerRoman"/>
      <w:start w:val="25"/>
    </w:lvl>
  </w:abstractNum>
  <w:abstractNum w:abstractNumId="12">
    <w:nsid w:val="10233C99"/>
    <w:multiLevelType w:val="hybridMultilevel"/>
    <w:lvl w:ilvl="0">
      <w:lvlJc w:val="left"/>
      <w:lvlText w:val="(%1)"/>
      <w:numFmt w:val="upperLetter"/>
      <w:start w:val="3"/>
    </w:lvl>
    <w:lvl w:ilvl="1">
      <w:lvlJc w:val="left"/>
      <w:lvlText w:val="(%2)"/>
      <w:numFmt w:val="lowerRoman"/>
      <w:start w:val="27"/>
    </w:lvl>
  </w:abstractNum>
  <w:abstractNum w:abstractNumId="13">
    <w:nsid w:val="3F6AB60F"/>
    <w:multiLevelType w:val="hybridMultilevel"/>
    <w:lvl w:ilvl="0">
      <w:lvlJc w:val="left"/>
      <w:lvlText w:val="%1"/>
      <w:numFmt w:val="upperLetter"/>
      <w:start w:val="1"/>
    </w:lvl>
    <w:lvl w:ilvl="1">
      <w:lvlJc w:val="left"/>
      <w:lvlText w:val="(%2)"/>
      <w:numFmt w:val="lowerRoman"/>
      <w:start w:val="29"/>
    </w:lvl>
  </w:abstractNum>
  <w:abstractNum w:abstractNumId="14">
    <w:nsid w:val="61574095"/>
    <w:multiLevelType w:val="hybridMultilevel"/>
    <w:lvl w:ilvl="0">
      <w:lvlJc w:val="left"/>
      <w:lvlText w:val="(%1)"/>
      <w:numFmt w:val="upperLetter"/>
      <w:start w:val="4"/>
    </w:lvl>
    <w:lvl w:ilvl="1">
      <w:lvlJc w:val="left"/>
      <w:lvlText w:val="(%2)"/>
      <w:numFmt w:val="lowerRoman"/>
      <w:start w:val="30"/>
    </w:lvl>
  </w:abstractNum>
  <w:abstractNum w:abstractNumId="15">
    <w:nsid w:val="7E0C57B1"/>
    <w:multiLevelType w:val="hybridMultilevel"/>
    <w:lvl w:ilvl="0">
      <w:lvlJc w:val="left"/>
      <w:lvlText w:val="(%1)"/>
      <w:numFmt w:val="lowerRoman"/>
      <w:start w:val="31"/>
    </w:lvl>
  </w:abstractNum>
  <w:abstractNum w:abstractNumId="16">
    <w:nsid w:val="77AE35EB"/>
    <w:multiLevelType w:val="hybridMultilevel"/>
    <w:lvl w:ilvl="0">
      <w:lvlJc w:val="left"/>
      <w:lvlText w:val="(%1)"/>
      <w:numFmt w:val="lowerRoman"/>
      <w:start w:val="34"/>
    </w:lvl>
  </w:abstractNum>
  <w:abstractNum w:abstractNumId="17">
    <w:nsid w:val="579BE4F1"/>
    <w:multiLevelType w:val="hybridMultilevel"/>
    <w:lvl w:ilvl="0">
      <w:lvlJc w:val="left"/>
      <w:lvlText w:val="(%1)"/>
      <w:numFmt w:val="lowerRoman"/>
      <w:start w:val="39"/>
    </w:lvl>
  </w:abstractNum>
  <w:abstractNum w:abstractNumId="18">
    <w:nsid w:val="310C50B3"/>
    <w:multiLevelType w:val="hybridMultilevel"/>
    <w:lvl w:ilvl="0">
      <w:lvlJc w:val="left"/>
      <w:lvlText w:val="(%1)"/>
      <w:numFmt w:val="lowerLetter"/>
      <w:start w:val="2"/>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3"/>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2"/>
    </w:lvl>
  </w:abstractNum>
  <w:abstractNum w:abstractNumId="23">
    <w:nsid w:val="4AD084E9"/>
    <w:multiLevelType w:val="hybridMultilevel"/>
    <w:lvl w:ilvl="0">
      <w:lvlJc w:val="left"/>
      <w:lvlText w:val="(%1)"/>
      <w:numFmt w:val="lowerLetter"/>
      <w:start w:val="5"/>
    </w:lvl>
  </w:abstractNum>
  <w:abstractNum w:abstractNumId="24">
    <w:nsid w:val="1F48EAA1"/>
    <w:multiLevelType w:val="hybridMultilevel"/>
    <w:lvl w:ilvl="0">
      <w:lvlJc w:val="left"/>
      <w:lvlText w:val="(%1)"/>
      <w:numFmt w:val="lowerLetter"/>
      <w:start w:val="10"/>
    </w:lvl>
  </w:abstractNum>
  <w:abstractNum w:abstractNumId="25">
    <w:nsid w:val="1381823A"/>
    <w:multiLevelType w:val="hybridMultilevel"/>
    <w:lvl w:ilvl="0">
      <w:lvlJc w:val="left"/>
      <w:lvlText w:val="(%1)"/>
      <w:numFmt w:val="lowerLetter"/>
      <w:start w:val="1"/>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2"/>
    </w:lvl>
  </w:abstractNum>
  <w:abstractNum w:abstractNumId="28">
    <w:nsid w:val="6590700B"/>
    <w:multiLevelType w:val="hybridMultilevel"/>
    <w:lvl w:ilvl="0">
      <w:lvlJc w:val="left"/>
      <w:lvlText w:val="(%1)"/>
      <w:numFmt w:val="lowerLetter"/>
      <w:start w:val="8"/>
    </w:lvl>
  </w:abstractNum>
  <w:abstractNum w:abstractNumId="29">
    <w:nsid w:val="15014ACB"/>
    <w:multiLevelType w:val="hybridMultilevel"/>
    <w:lvl w:ilvl="0">
      <w:lvlJc w:val="left"/>
      <w:lvlText w:val="(%1)"/>
      <w:numFmt w:val="lowerLetter"/>
      <w:start w:val="1"/>
    </w:lvl>
    <w:lvl w:ilvl="1">
      <w:lvlJc w:val="left"/>
      <w:lvlText w:val="(%2)"/>
      <w:numFmt w:val="lowerLetter"/>
      <w:start w:val="9"/>
    </w:lvl>
  </w:abstractNum>
  <w:abstractNum w:abstractNumId="30">
    <w:nsid w:val="5F5E7FD0"/>
    <w:multiLevelType w:val="hybridMultilevel"/>
    <w:lvl w:ilvl="0">
      <w:lvlJc w:val="left"/>
      <w:lvlText w:val="(%1)"/>
      <w:numFmt w:val="lowerRoman"/>
      <w:start w:val="2"/>
    </w:lvl>
  </w:abstractNum>
  <w:abstractNum w:abstractNumId="31">
    <w:nsid w:val="98A3148"/>
    <w:multiLevelType w:val="hybridMultilevel"/>
    <w:lvl w:ilvl="0">
      <w:lvlJc w:val="left"/>
      <w:lvlText w:val="(%1)"/>
      <w:numFmt w:val="lowerLetter"/>
      <w:start w:val="2"/>
    </w:lvl>
  </w:abstractNum>
  <w:abstractNum w:abstractNumId="32">
    <w:nsid w:val="799D0247"/>
    <w:multiLevelType w:val="hybridMultilevel"/>
    <w:lvl w:ilvl="0">
      <w:lvlJc w:val="left"/>
      <w:lvlText w:val="%1"/>
      <w:numFmt w:val="lowerRoman"/>
      <w:start w:val="1"/>
    </w:lvl>
    <w:lvl w:ilvl="1">
      <w:lvlJc w:val="left"/>
      <w:lvlText w:val="(%2)"/>
      <w:numFmt w:val="lowerLetter"/>
      <w:start w:val="4"/>
    </w:lvl>
  </w:abstractNum>
  <w:abstractNum w:abstractNumId="33">
    <w:nsid w:val="6B94764"/>
    <w:multiLevelType w:val="hybridMultilevel"/>
    <w:lvl w:ilvl="0">
      <w:lvlJc w:val="left"/>
      <w:lvlText w:val="(%1)"/>
      <w:numFmt w:val="lowerRoman"/>
      <w:start w:val="2"/>
    </w:lvl>
    <w:lvl w:ilvl="1">
      <w:lvlJc w:val="left"/>
      <w:lvlText w:val="%2"/>
      <w:numFmt w:val="lowerLetter"/>
      <w:start w:val="1"/>
    </w:lvl>
  </w:abstractNum>
  <w:abstractNum w:abstractNumId="34">
    <w:nsid w:val="42C296BD"/>
    <w:multiLevelType w:val="hybridMultilevel"/>
    <w:lvl w:ilvl="0">
      <w:lvlJc w:val="left"/>
      <w:lvlText w:val="%1"/>
      <w:numFmt w:val="lowerLetter"/>
      <w:start w:val="1"/>
    </w:lvl>
    <w:lvl w:ilvl="1">
      <w:lvlJc w:val="left"/>
      <w:lvlText w:val="(%2)"/>
      <w:numFmt w:val="lowerLetter"/>
      <w:start w:val="1"/>
    </w:lvl>
  </w:abstractNum>
  <w:abstractNum w:abstractNumId="35">
    <w:nsid w:val="168E121F"/>
    <w:multiLevelType w:val="hybridMultilevel"/>
    <w:lvl w:ilvl="0">
      <w:lvlJc w:val="left"/>
      <w:lvlText w:val="(%1)"/>
      <w:numFmt w:val="lowerLetter"/>
      <w:start w:val="9"/>
    </w:lvl>
    <w:lvl w:ilvl="1">
      <w:lvlJc w:val="left"/>
      <w:lvlText w:val="%2"/>
      <w:numFmt w:val="lowerLetter"/>
      <w:start w:val="1"/>
    </w:lvl>
  </w:abstractNum>
  <w:abstractNum w:abstractNumId="36">
    <w:nsid w:val="1EBA5D23"/>
    <w:multiLevelType w:val="hybridMultilevel"/>
    <w:lvl w:ilvl="0">
      <w:lvlJc w:val="left"/>
      <w:lvlText w:val="(%1)"/>
      <w:numFmt w:val="lowerLetter"/>
      <w:start w:val="22"/>
    </w:lvl>
    <w:lvl w:ilvl="1">
      <w:lvlJc w:val="left"/>
      <w:lvlText w:val="%2"/>
      <w:numFmt w:val="lowerLetter"/>
      <w:start w:val="1"/>
    </w:lvl>
  </w:abstractNum>
  <w:abstractNum w:abstractNumId="37">
    <w:nsid w:val="661E3F1E"/>
    <w:multiLevelType w:val="hybridMultilevel"/>
    <w:lvl w:ilvl="0">
      <w:lvlJc w:val="left"/>
      <w:lvlText w:val="(%1)"/>
      <w:numFmt w:val="lowerLetter"/>
      <w:start w:val="2"/>
    </w:lvl>
  </w:abstractNum>
  <w:abstractNum w:abstractNumId="38">
    <w:nsid w:val="5DC79EA8"/>
    <w:multiLevelType w:val="hybridMultilevel"/>
    <w:lvl w:ilvl="0">
      <w:lvlJc w:val="left"/>
      <w:lvlText w:val="(%1)"/>
      <w:numFmt w:val="lowerRoman"/>
      <w:start w:val="1"/>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lowerLetter"/>
      <w:start w:val="2"/>
    </w:lvl>
    <w:lvl w:ilvl="1">
      <w:lvlJc w:val="left"/>
      <w:lvlText w:val="(%2)"/>
      <w:numFmt w:val="upperLetter"/>
      <w:start w:val="1"/>
    </w:lvl>
  </w:abstractNum>
  <w:abstractNum w:abstractNumId="41">
    <w:nsid w:val="51D9C564"/>
    <w:multiLevelType w:val="hybridMultilevel"/>
    <w:lvl w:ilvl="0">
      <w:lvlJc w:val="left"/>
      <w:lvlText w:val="%1"/>
      <w:numFmt w:val="upperLetter"/>
      <w:start w:val="1"/>
    </w:lvl>
    <w:lvl w:ilvl="1">
      <w:lvlJc w:val="left"/>
      <w:lvlText w:val="(%2)"/>
      <w:numFmt w:val="decimal"/>
      <w:start w:val="2"/>
    </w:lvl>
  </w:abstractNum>
  <w:abstractNum w:abstractNumId="42">
    <w:nsid w:val="613EFDC5"/>
    <w:multiLevelType w:val="hybridMultilevel"/>
    <w:lvl w:ilvl="0">
      <w:lvlJc w:val="left"/>
      <w:lvlText w:val="(%1)"/>
      <w:numFmt w:val="upperLetter"/>
      <w:start w:val="2"/>
    </w:lvl>
    <w:lvl w:ilvl="1">
      <w:lvlJc w:val="left"/>
      <w:lvlText w:val="%2"/>
      <w:numFmt w:val="decimal"/>
      <w:start w:val="1"/>
    </w:lvl>
  </w:abstractNum>
  <w:abstractNum w:abstractNumId="43">
    <w:nsid w:val="BF72B14"/>
    <w:multiLevelType w:val="hybridMultilevel"/>
    <w:lvl w:ilvl="0">
      <w:lvlJc w:val="left"/>
      <w:lvlText w:val="(%1)"/>
      <w:numFmt w:val="upperLetter"/>
      <w:start w:val="24"/>
    </w:lvl>
  </w:abstractNum>
  <w:abstractNum w:abstractNumId="44">
    <w:nsid w:val="11447B73"/>
    <w:multiLevelType w:val="hybridMultilevel"/>
    <w:lvl w:ilvl="0">
      <w:lvlJc w:val="left"/>
      <w:lvlText w:val="%1)"/>
      <w:numFmt w:val="lowerLetter"/>
      <w:start w:val="4"/>
    </w:lvl>
    <w:lvl w:ilvl="1">
      <w:lvlJc w:val="left"/>
      <w:lvlText w:val="%2."/>
      <w:numFmt w:val="lowerRoman"/>
      <w:start w:val="1"/>
    </w:lvl>
  </w:abstractNum>
  <w:abstractNum w:abstractNumId="45">
    <w:nsid w:val="42963E5A"/>
    <w:multiLevelType w:val="hybridMultilevel"/>
    <w:lvl w:ilvl="0">
      <w:lvlJc w:val="left"/>
      <w:lvlText w:val="%1"/>
      <w:numFmt w:val="lowerRoman"/>
      <w:start w:val="1"/>
    </w:lvl>
    <w:lvl w:ilvl="1">
      <w:lvlJc w:val="left"/>
      <w:lvlText w:val="%2."/>
      <w:numFmt w:val="lowerRoman"/>
      <w:start w:val="2"/>
    </w:lvl>
  </w:abstractNum>
  <w:abstractNum w:abstractNumId="46">
    <w:nsid w:val="A0382C5"/>
    <w:multiLevelType w:val="hybridMultilevel"/>
    <w:lvl w:ilvl="0">
      <w:lvlJc w:val="left"/>
      <w:lvlText w:val="(%1)"/>
      <w:numFmt w:val="lowerRoman"/>
      <w:start w:val="10"/>
    </w:lvl>
    <w:lvl w:ilvl="1">
      <w:lvlJc w:val="left"/>
      <w:lvlText w:val="%2"/>
      <w:numFmt w:val="lowerRoman"/>
      <w:start w:val="1"/>
    </w:lvl>
  </w:abstractNum>
  <w:abstractNum w:abstractNumId="47">
    <w:nsid w:val="8F2B15E"/>
    <w:multiLevelType w:val="hybridMultilevel"/>
    <w:lvl w:ilvl="0">
      <w:lvlJc w:val="left"/>
      <w:lvlText w:val="%1"/>
      <w:numFmt w:val="lowerLetter"/>
      <w:start w:val="1"/>
    </w:lvl>
    <w:lvl w:ilvl="1">
      <w:lvlJc w:val="left"/>
      <w:lvlText w:val="%2."/>
      <w:numFmt w:val="lowerRoman"/>
      <w:start w:val="5"/>
    </w:lvl>
  </w:abstractNum>
  <w:abstractNum w:abstractNumId="48">
    <w:nsid w:val="1A32234B"/>
    <w:multiLevelType w:val="hybridMultilevel"/>
    <w:lvl w:ilvl="0">
      <w:lvlJc w:val="left"/>
      <w:lvlText w:val="%1)"/>
      <w:numFmt w:val="lowerLetter"/>
      <w:start w:val="5"/>
    </w:lvl>
    <w:lvl w:ilvl="1">
      <w:lvlJc w:val="left"/>
      <w:lvlText w:val="%2"/>
      <w:numFmt w:val="lowerRoman"/>
      <w:start w:val="1"/>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4"/>
    </w:lvl>
  </w:abstractNum>
  <w:abstractNum w:abstractNumId="51">
    <w:nsid w:val="4962813B"/>
    <w:multiLevelType w:val="hybridMultilevel"/>
    <w:lvl w:ilvl="0">
      <w:lvlJc w:val="left"/>
      <w:lvlText w:val="%1)"/>
      <w:numFmt w:val="lowerLetter"/>
      <w:start w:val="6"/>
    </w:lvl>
  </w:abstractNum>
  <w:abstractNum w:abstractNumId="52">
    <w:nsid w:val="60B6DF70"/>
    <w:multiLevelType w:val="hybridMultilevel"/>
    <w:lvl w:ilvl="0">
      <w:lvlJc w:val="left"/>
      <w:lvlText w:val="%1)"/>
      <w:numFmt w:val="lowerLetter"/>
      <w:start w:val="7"/>
    </w:lvl>
    <w:lvl w:ilvl="1">
      <w:lvlJc w:val="left"/>
      <w:lvlText w:val="%2."/>
      <w:numFmt w:val="lowerRoman"/>
      <w:start w:val="1"/>
    </w:lvl>
  </w:abstractNum>
  <w:abstractNum w:abstractNumId="53">
    <w:nsid w:val="6A5EE64"/>
    <w:multiLevelType w:val="hybridMultilevel"/>
    <w:lvl w:ilvl="0">
      <w:lvlJc w:val="left"/>
      <w:lvlText w:val="%1)"/>
      <w:numFmt w:val="lowerLetter"/>
      <w:start w:val="1"/>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lowerLetter"/>
      <w:start w:val="2"/>
    </w:lvl>
  </w:abstractNum>
  <w:abstractNum w:abstractNumId="56">
    <w:nsid w:val="1A27709E"/>
    <w:multiLevelType w:val="hybridMultilevel"/>
    <w:lvl w:ilvl="0">
      <w:lvlJc w:val="left"/>
      <w:lvlText w:val="%1)"/>
      <w:numFmt w:val="lowerLetter"/>
      <w:start w:val="5"/>
    </w:lvl>
  </w:abstractNum>
  <w:abstractNum w:abstractNumId="57">
    <w:nsid w:val="71EA1109"/>
    <w:multiLevelType w:val="hybridMultilevel"/>
    <w:lvl w:ilvl="0">
      <w:lvlJc w:val="left"/>
      <w:lvlText w:val="%1)"/>
      <w:numFmt w:val="lowerLetter"/>
      <w:start w:val="9"/>
    </w:lvl>
  </w:abstractNum>
  <w:abstractNum w:abstractNumId="58">
    <w:nsid w:val="100F59DC"/>
    <w:multiLevelType w:val="hybridMultilevel"/>
    <w:lvl w:ilvl="0">
      <w:lvlJc w:val="left"/>
      <w:lvlText w:val="(%1)"/>
      <w:numFmt w:val="decimal"/>
      <w:start w:val="2"/>
    </w:lvl>
  </w:abstractNum>
  <w:abstractNum w:abstractNumId="59">
    <w:nsid w:val="7FB7E0AA"/>
    <w:multiLevelType w:val="hybridMultilevel"/>
    <w:lvl w:ilvl="0">
      <w:lvlJc w:val="left"/>
      <w:lvlText w:val="(%1)"/>
      <w:numFmt w:val="decimal"/>
      <w:start w:val="2"/>
    </w:lvl>
    <w:lvl w:ilvl="1">
      <w:lvlJc w:val="left"/>
      <w:lvlText w:val="["/>
      <w:numFmt w:val="bullet"/>
      <w:start w:val="1"/>
    </w:lvl>
  </w:abstractNum>
  <w:abstractNum w:abstractNumId="60">
    <w:nsid w:val="6EB5BD4"/>
    <w:multiLevelType w:val="hybridMultilevel"/>
    <w:lvl w:ilvl="0">
      <w:lvlJc w:val="left"/>
      <w:lvlText w:val="(%1)"/>
      <w:numFmt w:val="lowerLetter"/>
      <w:start w:val="1"/>
    </w:lvl>
    <w:lvl w:ilvl="1">
      <w:lvlJc w:val="left"/>
      <w:lvlText w:val="(%2)"/>
      <w:numFmt w:val="lowerLetter"/>
      <w:start w:val="9"/>
    </w:lvl>
  </w:abstractNum>
  <w:abstractNum w:abstractNumId="61">
    <w:nsid w:val="6F6DD9AC"/>
    <w:multiLevelType w:val="hybridMultilevel"/>
    <w:lvl w:ilvl="0">
      <w:lvlJc w:val="left"/>
      <w:lvlText w:val="(%1)"/>
      <w:numFmt w:val="lowerRoman"/>
      <w:start w:val="2"/>
    </w:lvl>
  </w:abstractNum>
  <w:abstractNum w:abstractNumId="62">
    <w:nsid w:val="94211F2"/>
    <w:multiLevelType w:val="hybridMultilevel"/>
    <w:lvl w:ilvl="0">
      <w:lvlJc w:val="left"/>
      <w:lvlText w:val="(%1)"/>
      <w:numFmt w:val="lowerLetter"/>
      <w:start w:val="2"/>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2"/>
    </w:lvl>
    <w:lvl w:ilvl="1">
      <w:lvlJc w:val="left"/>
      <w:lvlText w:val="(%2)"/>
      <w:numFmt w:val="upperLetter"/>
      <w:start w:val="1"/>
    </w:lvl>
  </w:abstractNum>
  <w:abstractNum w:abstractNumId="65">
    <w:nsid w:val="4C04A8AF"/>
    <w:multiLevelType w:val="hybridMultilevel"/>
    <w:lvl w:ilvl="0">
      <w:lvlJc w:val="left"/>
      <w:lvlText w:val="(%1)"/>
      <w:numFmt w:val="upperLetter"/>
      <w:start w:val="24"/>
    </w:lvl>
  </w:abstractNum>
  <w:abstractNum w:abstractNumId="66">
    <w:nsid w:val="1716703B"/>
    <w:multiLevelType w:val="hybridMultilevel"/>
    <w:lvl w:ilvl="0">
      <w:lvlJc w:val="left"/>
      <w:lvlText w:val="%1)"/>
      <w:numFmt w:val="lowerLetter"/>
      <w:start w:val="4"/>
    </w:lvl>
    <w:lvl w:ilvl="1">
      <w:lvlJc w:val="left"/>
      <w:lvlText w:val="%2."/>
      <w:numFmt w:val="lowerRoman"/>
      <w:start w:val="1"/>
    </w:lvl>
  </w:abstractNum>
  <w:abstractNum w:abstractNumId="67">
    <w:nsid w:val="14E17E33"/>
    <w:multiLevelType w:val="hybridMultilevel"/>
    <w:lvl w:ilvl="0">
      <w:lvlJc w:val="left"/>
      <w:lvlText w:val="(%1)"/>
      <w:numFmt w:val="upperLetter"/>
      <w:start w:val="2"/>
    </w:lvl>
    <w:lvl w:ilvl="1">
      <w:lvlJc w:val="left"/>
      <w:lvlText w:val="%2."/>
      <w:numFmt w:val="lowerRoman"/>
      <w:start w:val="2"/>
    </w:lvl>
  </w:abstractNum>
  <w:abstractNum w:abstractNumId="68">
    <w:nsid w:val="3222E7CD"/>
    <w:multiLevelType w:val="hybridMultilevel"/>
    <w:lvl w:ilvl="0">
      <w:lvlJc w:val="left"/>
      <w:lvlText w:val="%1"/>
      <w:numFmt w:val="lowerRoman"/>
      <w:start w:val="1"/>
    </w:lvl>
    <w:lvl w:ilvl="1">
      <w:lvlJc w:val="left"/>
      <w:lvlText w:val="%2."/>
      <w:numFmt w:val="lowerRoman"/>
      <w:start w:val="3"/>
    </w:lvl>
  </w:abstractNum>
  <w:abstractNum w:abstractNumId="69">
    <w:nsid w:val="74DE0EE3"/>
    <w:multiLevelType w:val="hybridMultilevel"/>
    <w:lvl w:ilvl="0">
      <w:lvlJc w:val="left"/>
      <w:lvlText w:val="(%1)"/>
      <w:numFmt w:val="lowerRoman"/>
      <w:start w:val="10"/>
    </w:lvl>
    <w:lvl w:ilvl="1">
      <w:lvlJc w:val="left"/>
      <w:lvlText w:val="%2."/>
      <w:numFmt w:val="lowerRoman"/>
      <w:start w:val="5"/>
    </w:lvl>
  </w:abstractNum>
  <w:abstractNum w:abstractNumId="70">
    <w:nsid w:val="68EBC5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71">
    <w:nsid w:val="2DF6D648"/>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72">
    <w:nsid w:val="46B7D44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2"/>
    </w:lvl>
  </w:abstractNum>
  <w:abstractNum w:abstractNumId="75">
    <w:nsid w:val="57FC4FBB"/>
    <w:multiLevelType w:val="hybridMultilevel"/>
    <w:lvl w:ilvl="0">
      <w:lvlJc w:val="left"/>
      <w:lvlText w:val="%1)"/>
      <w:numFmt w:val="lowerLetter"/>
      <w:start w:val="5"/>
    </w:lvl>
  </w:abstractNum>
  <w:abstractNum w:abstractNumId="76">
    <w:nsid w:val="CC1016F"/>
    <w:multiLevelType w:val="hybridMultilevel"/>
    <w:lvl w:ilvl="0">
      <w:lvlJc w:val="left"/>
      <w:lvlText w:val="%1)"/>
      <w:numFmt w:val="lowerLetter"/>
      <w:start w:val="6"/>
    </w:lvl>
    <w:lvl w:ilvl="1">
      <w:lvlJc w:val="left"/>
      <w:lvlText w:val="%2."/>
      <w:numFmt w:val="lowerRoman"/>
      <w:start w:val="1"/>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2"/>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lowerLetter"/>
      <w:start w:val="5"/>
    </w:lvl>
  </w:abstractNum>
  <w:abstractNum w:abstractNumId="81">
    <w:nsid w:val="49DA307D"/>
    <w:multiLevelType w:val="hybridMultilevel"/>
    <w:lvl w:ilvl="0">
      <w:lvlJc w:val="left"/>
      <w:lvlText w:val="%1)"/>
      <w:numFmt w:val="lowerLetter"/>
      <w:start w:val="8"/>
    </w:lvl>
  </w:abstractNum>
  <w:abstractNum w:abstractNumId="82">
    <w:nsid w:val="7055A5F5"/>
    <w:multiLevelType w:val="hybridMultilevel"/>
    <w:lvl w:ilvl="0">
      <w:lvlJc w:val="left"/>
      <w:lvlText w:val="%1)"/>
      <w:numFmt w:val="lowerLetter"/>
      <w:start w:val="12"/>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1)"/>
      <w:numFmt w:val="decimal"/>
      <w:start w:val="2"/>
    </w:lvl>
    <w:lvl w:ilvl="1">
      <w:lvlJc w:val="left"/>
      <w:lvlText w:val="["/>
      <w:numFmt w:val="bullet"/>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2"/>
    </w:lvl>
    <w:lvl w:ilvl="1">
      <w:lvlJc w:val="left"/>
      <w:lvlText w:val="(%2)"/>
      <w:numFmt w:val="upperLetter"/>
      <w:start w:val="1"/>
    </w:lvl>
  </w:abstractNum>
  <w:abstractNum w:abstractNumId="87">
    <w:nsid w:val="6AA78F7F"/>
    <w:multiLevelType w:val="hybridMultilevel"/>
    <w:lvl w:ilvl="0">
      <w:lvlJc w:val="left"/>
      <w:lvlText w:val="(%1)"/>
      <w:numFmt w:val="upperLetter"/>
      <w:start w:val="24"/>
    </w:lvl>
  </w:abstractNum>
  <w:abstractNum w:abstractNumId="88">
    <w:nsid w:val="7672BD23"/>
    <w:multiLevelType w:val="hybridMultilevel"/>
    <w:lvl w:ilvl="0">
      <w:lvlJc w:val="left"/>
      <w:lvlText w:val="%1)"/>
      <w:numFmt w:val="lowerLetter"/>
      <w:start w:val="4"/>
    </w:lvl>
    <w:lvl w:ilvl="1">
      <w:lvlJc w:val="left"/>
      <w:lvlText w:val="%2."/>
      <w:numFmt w:val="lowerRoman"/>
      <w:start w:val="1"/>
    </w:lvl>
  </w:abstractNum>
  <w:abstractNum w:abstractNumId="89">
    <w:nsid w:val="6FC75AF8"/>
    <w:multiLevelType w:val="hybridMultilevel"/>
    <w:lvl w:ilvl="0">
      <w:lvlJc w:val="left"/>
      <w:lvlText w:val="(%1)"/>
      <w:numFmt w:val="lowerRoman"/>
      <w:start w:val="3"/>
    </w:lvl>
    <w:lvl w:ilvl="1">
      <w:lvlJc w:val="left"/>
      <w:lvlText w:val="%2."/>
      <w:numFmt w:val="lowerRoman"/>
      <w:start w:val="2"/>
    </w:lvl>
  </w:abstractNum>
  <w:abstractNum w:abstractNumId="90">
    <w:nsid w:val="6A5F7029"/>
    <w:multiLevelType w:val="hybridMultilevel"/>
    <w:lvl w:ilvl="0">
      <w:lvlJc w:val="left"/>
      <w:lvlText w:val="%1"/>
      <w:numFmt w:val="lowerRoman"/>
      <w:start w:val="1"/>
    </w:lvl>
    <w:lvl w:ilvl="1">
      <w:lvlJc w:val="left"/>
      <w:lvlText w:val="%2."/>
      <w:numFmt w:val="lowerRoman"/>
      <w:start w:val="3"/>
    </w:lvl>
  </w:abstractNum>
  <w:abstractNum w:abstractNumId="91">
    <w:nsid w:val="7D5E18F8"/>
    <w:multiLevelType w:val="hybridMultilevel"/>
    <w:lvl w:ilvl="0">
      <w:lvlJc w:val="left"/>
      <w:lvlText w:val="(%1)"/>
      <w:numFmt w:val="lowerRoman"/>
      <w:start w:val="10"/>
    </w:lvl>
    <w:lvl w:ilvl="1">
      <w:lvlJc w:val="left"/>
      <w:lvlText w:val="%2."/>
      <w:numFmt w:val="lowerRoman"/>
      <w:start w:val="5"/>
    </w:lvl>
  </w:abstractNum>
  <w:abstractNum w:abstractNumId="92">
    <w:nsid w:val="5F3534A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93">
    <w:nsid w:val="73A1821B"/>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94">
    <w:nsid w:val="7DE6771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2"/>
    </w:lvl>
  </w:abstractNum>
  <w:abstractNum w:abstractNumId="97">
    <w:nsid w:val="14FCE74E"/>
    <w:multiLevelType w:val="hybridMultilevel"/>
    <w:lvl w:ilvl="0">
      <w:lvlJc w:val="left"/>
      <w:lvlText w:val="%1)"/>
      <w:numFmt w:val="lowerLetter"/>
      <w:start w:val="5"/>
    </w:lvl>
  </w:abstractNum>
  <w:abstractNum w:abstractNumId="98">
    <w:nsid w:val="6A3DD3E8"/>
    <w:multiLevelType w:val="hybridMultilevel"/>
    <w:lvl w:ilvl="0">
      <w:lvlJc w:val="left"/>
      <w:lvlText w:val="%1)"/>
      <w:numFmt w:val="lowerLetter"/>
      <w:start w:val="6"/>
    </w:lvl>
    <w:lvl w:ilvl="1">
      <w:lvlJc w:val="left"/>
      <w:lvlText w:val="%2."/>
      <w:numFmt w:val="lowerRoman"/>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2"/>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5"/>
    </w:lvl>
  </w:abstractNum>
  <w:abstractNum w:abstractNumId="103">
    <w:nsid w:val="5092CA79"/>
    <w:multiLevelType w:val="hybridMultilevel"/>
    <w:lvl w:ilvl="0">
      <w:lvlJc w:val="left"/>
      <w:lvlText w:val="%1)"/>
      <w:numFmt w:val="lowerLetter"/>
      <w:start w:val="8"/>
    </w:lvl>
  </w:abstractNum>
  <w:abstractNum w:abstractNumId="104">
    <w:nsid w:val="1D545C4D"/>
    <w:multiLevelType w:val="hybridMultilevel"/>
    <w:lvl w:ilvl="0">
      <w:lvlJc w:val="left"/>
      <w:lvlText w:val="%1)"/>
      <w:numFmt w:val="lowerLetter"/>
      <w:start w:val="12"/>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2"/>
    </w:lvl>
    <w:lvl w:ilvl="1">
      <w:lvlJc w:val="left"/>
      <w:lvlText w:val="["/>
      <w:numFmt w:val="bullet"/>
      <w:start w:val="1"/>
    </w:lvl>
  </w:abstractNum>
  <w:abstractNum w:abstractNumId="107">
    <w:nsid w:val="2A155DBC"/>
    <w:multiLevelType w:val="hybridMultilevel"/>
    <w:lvl w:ilvl="0">
      <w:lvlJc w:val="left"/>
      <w:lvlText w:val="(%1)"/>
      <w:numFmt w:val="lowerRoman"/>
      <w:start w:val="1"/>
    </w:lvl>
  </w:abstractNum>
  <w:abstractNum w:abstractNumId="108">
    <w:nsid w:val="1D9F6E5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2019-12-28T17:16:32Z</dcterms:created>
  <dcterms:modified xsi:type="dcterms:W3CDTF">2019-12-28T17:16:32Z</dcterms:modified>
</cp:coreProperties>
</file>