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gridSpan w:val="2"/>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April 30, 2021, there were 249,157,354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9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48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480" w:type="dxa"/>
            <w:vAlign w:val="bottom"/>
            <w:gridSpan w:val="21"/>
            <w:vMerge w:val="continue"/>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750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9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March 31, 2021 and December 31, 2020</w:t>
              </w:r>
            </w:hyperlink>
          </w:p>
        </w:tc>
        <w:tc>
          <w:tcPr>
            <w:tcW w:w="454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 months ended March 31, 2021 and 2020</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Three months ended March 31, 2021 and 2020</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Deficit: Three months ended March 31, 2021 and 2020</w:t>
              </w:r>
            </w:hyperlink>
          </w:p>
        </w:tc>
        <w:tc>
          <w:tcPr>
            <w:tcW w:w="26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Three months ended March 31, 2021 and 2020</w:t>
              </w:r>
            </w:hyperlink>
          </w:p>
        </w:tc>
        <w:tc>
          <w:tcPr>
            <w:tcW w:w="330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648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2. Management’s Discussion and Analysis of Financial Condition and Results of Operations</w:t>
              </w:r>
            </w:hyperlink>
          </w:p>
        </w:tc>
        <w:tc>
          <w:tcPr>
            <w:tcW w:w="346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556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4. Controls and Procedures</w:t>
              </w:r>
            </w:hyperlink>
          </w:p>
        </w:tc>
        <w:tc>
          <w:tcPr>
            <w:tcW w:w="81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5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PART II: OTHER INFORMATION</w:t>
              </w:r>
            </w:hyperlink>
          </w:p>
        </w:tc>
        <w:tc>
          <w:tcPr>
            <w:tcW w:w="79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858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888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2. Unregistered Sales of Equity Securities and Use of Proceeds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558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4. Mine Safety Disclosures</w:t>
              </w:r>
            </w:hyperlink>
          </w:p>
        </w:tc>
        <w:tc>
          <w:tcPr>
            <w:tcW w:w="758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816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6. Exhibits</w:t>
              </w:r>
            </w:hyperlink>
          </w:p>
        </w:tc>
        <w:tc>
          <w:tcPr>
            <w:tcW w:w="932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4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40" w:type="dxa"/>
            <w:vAlign w:val="bottom"/>
            <w:gridSpan w:val="13"/>
          </w:tcPr>
          <w:p>
            <w:pPr>
              <w:jc w:val="right"/>
              <w:ind w:right="36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7640" w:type="dxa"/>
            <w:vAlign w:val="bottom"/>
            <w:tcBorders>
              <w:top w:val="single" w:sz="8" w:color="CFF0FC"/>
            </w:tcBorders>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247,833</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25,867</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319,382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640" w:type="dxa"/>
            <w:vAlign w:val="bottom"/>
            <w:shd w:val="clear" w:color="auto" w:fill="CFF0FC"/>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 — current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33,275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73,705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49,335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Accrued interest — Mann Group promissory notes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PPP loan — long term</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2024 convertible notes</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84,208</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289,027</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no shares issued or outstanding as of March 31, 2021 and December 31, 2020</w:t>
            </w:r>
          </w:p>
        </w:tc>
        <w:tc>
          <w:tcPr>
            <w:tcW w:w="2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- 400,000,000 shares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249,072,677 and 242,117,089 shares issued and outstanding</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2021 and December 31, 2020, respectively</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2,885,946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2,866,303</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(3,062,059)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(3,049,143)</w:t>
            </w:r>
          </w:p>
        </w:tc>
      </w:tr>
      <w:tr>
        <w:trPr>
          <w:trHeight w:val="223"/>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(180,419)</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319,382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 Ended</w:t>
      </w:r>
    </w:p>
    <w:p>
      <w:pPr>
        <w:jc w:val="center"/>
        <w:ind w:left="71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7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60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8,099</w:t>
            </w:r>
          </w:p>
        </w:tc>
        <w:tc>
          <w:tcPr>
            <w:tcW w:w="200" w:type="dxa"/>
            <w:vAlign w:val="bottom"/>
          </w:tcPr>
          <w:p>
            <w:pPr>
              <w:spacing w:after="0"/>
              <w:rPr>
                <w:sz w:val="19"/>
                <w:szCs w:val="19"/>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15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15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foreign currency translation</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150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Mann Group promissory notes</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5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(12,916)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(12,916)</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5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246,631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jc w:val="center"/>
        <w:ind w:left="7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64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(12,916)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(12,916)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58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1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334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2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(317)</w:t>
            </w: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413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(16)</w:t>
            </w:r>
          </w:p>
        </w:tc>
      </w:tr>
      <w:tr>
        <w:trPr>
          <w:trHeight w:val="148"/>
        </w:trPr>
        <w:tc>
          <w:tcPr>
            <w:tcW w:w="3020" w:type="dxa"/>
            <w:vAlign w:val="bottom"/>
          </w:tcPr>
          <w:p>
            <w:pPr>
              <w:ind w:left="260"/>
              <w:spacing w:after="0"/>
              <w:rPr>
                <w:sz w:val="20"/>
                <w:szCs w:val="20"/>
                <w:color w:val="auto"/>
              </w:rPr>
            </w:pPr>
            <w:r>
              <w:rPr>
                <w:rFonts w:ascii="Arial" w:cs="Arial" w:eastAsia="Arial" w:hAnsi="Arial"/>
                <w:sz w:val="13"/>
                <w:szCs w:val="13"/>
                <w:color w:val="auto"/>
              </w:rPr>
              <w:t>Write-off of cumulative translation loss</w:t>
            </w:r>
          </w:p>
        </w:tc>
        <w:tc>
          <w:tcPr>
            <w:tcW w:w="2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(9,322)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(9,322)</w:t>
            </w:r>
          </w:p>
        </w:tc>
      </w:tr>
      <w:tr>
        <w:trPr>
          <w:trHeight w:val="142"/>
        </w:trPr>
        <w:tc>
          <w:tcPr>
            <w:tcW w:w="3020" w:type="dxa"/>
            <w:vAlign w:val="bottom"/>
          </w:tcPr>
          <w:p>
            <w:pPr>
              <w:spacing w:after="0" w:line="142" w:lineRule="exact"/>
              <w:rPr>
                <w:sz w:val="20"/>
                <w:szCs w:val="20"/>
                <w:color w:val="auto"/>
              </w:rPr>
            </w:pPr>
            <w:r>
              <w:rPr>
                <w:rFonts w:ascii="Arial" w:cs="Arial" w:eastAsia="Arial" w:hAnsi="Arial"/>
                <w:sz w:val="13"/>
                <w:szCs w:val="13"/>
                <w:color w:val="auto"/>
              </w:rPr>
              <w:t>BALANCE, MARCH 31, 2020</w:t>
            </w: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213,138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2,801,044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5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2021</w:t>
            </w:r>
          </w:p>
        </w:tc>
        <w:tc>
          <w:tcPr>
            <w:tcW w:w="2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242,118</w:t>
            </w:r>
          </w:p>
        </w:tc>
        <w:tc>
          <w:tcPr>
            <w:tcW w:w="240" w:type="dxa"/>
            <w:vAlign w:val="bottom"/>
            <w:tcBorders>
              <w:top w:val="single" w:sz="8" w:color="CFF0FC"/>
            </w:tcBorders>
            <w:gridSpan w:val="2"/>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2,421</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2,866,303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(3,049,143)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(180,419)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units</w:t>
            </w:r>
          </w:p>
        </w:tc>
        <w:tc>
          <w:tcPr>
            <w:tcW w:w="1160" w:type="dxa"/>
            <w:vAlign w:val="bottom"/>
            <w:gridSpan w:val="3"/>
          </w:tcPr>
          <w:p>
            <w:pPr>
              <w:jc w:val="right"/>
              <w:ind w:right="20"/>
              <w:spacing w:after="0"/>
              <w:rPr>
                <w:sz w:val="20"/>
                <w:szCs w:val="20"/>
                <w:color w:val="auto"/>
              </w:rPr>
            </w:pPr>
            <w:r>
              <w:rPr>
                <w:rFonts w:ascii="Arial" w:cs="Arial" w:eastAsia="Arial" w:hAnsi="Arial"/>
                <w:sz w:val="13"/>
                <w:szCs w:val="13"/>
                <w:color w:val="auto"/>
              </w:rPr>
              <w:t>390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2"/>
                <w:szCs w:val="12"/>
                <w:color w:val="auto"/>
              </w:rPr>
            </w:pPr>
          </w:p>
        </w:tc>
      </w:tr>
      <w:tr>
        <w:trPr>
          <w:trHeight w:val="134"/>
        </w:trPr>
        <w:tc>
          <w:tcPr>
            <w:tcW w:w="30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293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FF0FC"/>
          </w:tcPr>
          <w:p>
            <w:pPr>
              <w:spacing w:after="0"/>
              <w:rPr>
                <w:sz w:val="12"/>
                <w:szCs w:val="12"/>
                <w:color w:val="auto"/>
              </w:rPr>
            </w:pPr>
          </w:p>
        </w:tc>
      </w:tr>
      <w:tr>
        <w:trPr>
          <w:trHeight w:val="148"/>
        </w:trPr>
        <w:tc>
          <w:tcPr>
            <w:tcW w:w="302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1,935</w:t>
            </w:r>
          </w:p>
        </w:tc>
        <w:tc>
          <w:tcPr>
            <w:tcW w:w="100" w:type="dxa"/>
            <w:vAlign w:val="bottom"/>
          </w:tcPr>
          <w:p>
            <w:pPr>
              <w:spacing w:after="0"/>
              <w:rPr>
                <w:sz w:val="12"/>
                <w:szCs w:val="12"/>
                <w:color w:val="auto"/>
              </w:rPr>
            </w:pPr>
          </w:p>
        </w:tc>
      </w:tr>
      <w:tr>
        <w:trPr>
          <w:trHeight w:val="134"/>
        </w:trPr>
        <w:tc>
          <w:tcPr>
            <w:tcW w:w="30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2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3,830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9,573</w:t>
            </w:r>
          </w:p>
        </w:tc>
        <w:tc>
          <w:tcPr>
            <w:tcW w:w="100" w:type="dxa"/>
            <w:vAlign w:val="bottom"/>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convertible note interest</w:t>
            </w:r>
          </w:p>
        </w:tc>
        <w:tc>
          <w:tcPr>
            <w:tcW w:w="1160" w:type="dxa"/>
            <w:vAlign w:val="bottom"/>
            <w:gridSpan w:val="3"/>
          </w:tcPr>
          <w:p>
            <w:pPr>
              <w:jc w:val="right"/>
              <w:ind w:right="20"/>
              <w:spacing w:after="0"/>
              <w:rPr>
                <w:sz w:val="20"/>
                <w:szCs w:val="20"/>
                <w:color w:val="auto"/>
              </w:rPr>
            </w:pPr>
            <w:r>
              <w:rPr>
                <w:rFonts w:ascii="Arial" w:cs="Arial" w:eastAsia="Arial" w:hAnsi="Arial"/>
                <w:sz w:val="13"/>
                <w:szCs w:val="13"/>
                <w:color w:val="auto"/>
              </w:rPr>
              <w:t>170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r>
      <w:tr>
        <w:trPr>
          <w:trHeight w:val="134"/>
        </w:trPr>
        <w:tc>
          <w:tcPr>
            <w:tcW w:w="30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the 2024 convertible notes</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1,667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Arial" w:cs="Arial" w:eastAsia="Arial" w:hAnsi="Arial"/>
                <w:sz w:val="13"/>
                <w:szCs w:val="13"/>
                <w:color w:val="auto"/>
              </w:rPr>
              <w:t>payoff of the 2024 convertible note</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interest</w:t>
            </w:r>
          </w:p>
        </w:tc>
        <w:tc>
          <w:tcPr>
            <w:tcW w:w="1160" w:type="dxa"/>
            <w:vAlign w:val="bottom"/>
            <w:gridSpan w:val="3"/>
          </w:tcPr>
          <w:p>
            <w:pPr>
              <w:jc w:val="right"/>
              <w:ind w:right="20"/>
              <w:spacing w:after="0"/>
              <w:rPr>
                <w:sz w:val="20"/>
                <w:szCs w:val="20"/>
                <w:color w:val="auto"/>
              </w:rPr>
            </w:pPr>
            <w:r>
              <w:rPr>
                <w:rFonts w:ascii="Arial" w:cs="Arial" w:eastAsia="Arial" w:hAnsi="Arial"/>
                <w:sz w:val="13"/>
                <w:szCs w:val="13"/>
                <w:color w:val="auto"/>
              </w:rPr>
              <w:t>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r>
      <w:tr>
        <w:trPr>
          <w:trHeight w:val="148"/>
        </w:trPr>
        <w:tc>
          <w:tcPr>
            <w:tcW w:w="3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at-the-market placement</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578</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FF0FC"/>
          </w:tcPr>
          <w:p>
            <w:pPr>
              <w:spacing w:after="0"/>
              <w:rPr>
                <w:sz w:val="12"/>
                <w:szCs w:val="12"/>
                <w:color w:val="auto"/>
              </w:rPr>
            </w:pPr>
          </w:p>
        </w:tc>
      </w:tr>
      <w:tr>
        <w:trPr>
          <w:trHeight w:val="134"/>
        </w:trPr>
        <w:tc>
          <w:tcPr>
            <w:tcW w:w="3020" w:type="dxa"/>
            <w:vAlign w:val="bottom"/>
          </w:tcPr>
          <w:p>
            <w:pPr>
              <w:ind w:left="260"/>
              <w:spacing w:after="0" w:line="134" w:lineRule="exact"/>
              <w:rPr>
                <w:sz w:val="20"/>
                <w:szCs w:val="20"/>
                <w:color w:val="auto"/>
              </w:rPr>
            </w:pPr>
            <w:r>
              <w:rPr>
                <w:rFonts w:ascii="Arial" w:cs="Arial" w:eastAsia="Arial" w:hAnsi="Arial"/>
                <w:sz w:val="13"/>
                <w:szCs w:val="13"/>
                <w:color w:val="auto"/>
              </w:rPr>
              <w:t>Issuance costs associated with at-the-</w:t>
            </w: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20" w:type="dxa"/>
            <w:vAlign w:val="bottom"/>
          </w:tcPr>
          <w:p>
            <w:pPr>
              <w:ind w:left="340"/>
              <w:spacing w:after="0"/>
              <w:rPr>
                <w:sz w:val="20"/>
                <w:szCs w:val="20"/>
                <w:color w:val="auto"/>
              </w:rPr>
            </w:pPr>
            <w:r>
              <w:rPr>
                <w:rFonts w:ascii="Arial" w:cs="Arial" w:eastAsia="Arial" w:hAnsi="Arial"/>
                <w:sz w:val="13"/>
                <w:szCs w:val="13"/>
                <w:color w:val="auto"/>
              </w:rPr>
              <w:t>market placement</w:t>
            </w:r>
          </w:p>
        </w:tc>
        <w:tc>
          <w:tcPr>
            <w:tcW w:w="20" w:type="dxa"/>
            <w:vAlign w:val="bottom"/>
          </w:tcPr>
          <w:p>
            <w:pPr>
              <w:spacing w:after="0"/>
              <w:rPr>
                <w:sz w:val="12"/>
                <w:szCs w:val="1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3"/>
                <w:szCs w:val="13"/>
                <w:color w:val="auto"/>
              </w:rPr>
              <w:t>(38)</w:t>
            </w:r>
          </w:p>
        </w:tc>
      </w:tr>
      <w:tr>
        <w:trPr>
          <w:trHeight w:val="149"/>
        </w:trPr>
        <w:tc>
          <w:tcPr>
            <w:tcW w:w="3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(12,916)</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(12,916)</w:t>
            </w:r>
          </w:p>
        </w:tc>
      </w:tr>
      <w:tr>
        <w:trPr>
          <w:trHeight w:val="142"/>
        </w:trPr>
        <w:tc>
          <w:tcPr>
            <w:tcW w:w="3020" w:type="dxa"/>
            <w:vAlign w:val="bottom"/>
          </w:tcPr>
          <w:p>
            <w:pPr>
              <w:spacing w:after="0" w:line="142" w:lineRule="exact"/>
              <w:rPr>
                <w:sz w:val="20"/>
                <w:szCs w:val="20"/>
                <w:color w:val="auto"/>
              </w:rPr>
            </w:pPr>
            <w:r>
              <w:rPr>
                <w:rFonts w:ascii="Arial" w:cs="Arial" w:eastAsia="Arial" w:hAnsi="Arial"/>
                <w:sz w:val="13"/>
                <w:szCs w:val="13"/>
                <w:color w:val="auto"/>
              </w:rPr>
              <w:t>BALANCE, MARCH 31, 2021</w:t>
            </w:r>
          </w:p>
        </w:tc>
        <w:tc>
          <w:tcPr>
            <w:tcW w:w="2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249,073</w:t>
            </w:r>
          </w:p>
        </w:tc>
        <w:tc>
          <w:tcPr>
            <w:tcW w:w="240" w:type="dxa"/>
            <w:vAlign w:val="bottom"/>
            <w:gridSpan w:val="2"/>
          </w:tcPr>
          <w:p>
            <w:pPr>
              <w:spacing w:after="0"/>
              <w:rPr>
                <w:sz w:val="12"/>
                <w:szCs w:val="12"/>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2,491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2,885,946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(3,062,059)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(173,622)</w:t>
            </w:r>
          </w:p>
        </w:tc>
        <w:tc>
          <w:tcPr>
            <w:tcW w:w="100" w:type="dxa"/>
            <w:vAlign w:val="bottom"/>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6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jc w:val="right"/>
              <w:ind w:right="61"/>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68"/>
              <w:spacing w:after="0" w:line="142" w:lineRule="exact"/>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3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360" w:type="dxa"/>
            <w:vAlign w:val="bottom"/>
            <w:gridSpan w:val="2"/>
          </w:tcPr>
          <w:p>
            <w:pPr>
              <w:jc w:val="right"/>
              <w:ind w:right="90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(12,916)</w:t>
            </w:r>
          </w:p>
        </w:tc>
        <w:tc>
          <w:tcPr>
            <w:tcW w:w="1140" w:type="dxa"/>
            <w:vAlign w:val="bottom"/>
            <w:gridSpan w:val="2"/>
          </w:tcPr>
          <w:p>
            <w:pPr>
              <w:jc w:val="right"/>
              <w:ind w:right="90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(9,322)</w:t>
            </w: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500"/>
              <w:spacing w:after="0"/>
              <w:rPr>
                <w:sz w:val="20"/>
                <w:szCs w:val="20"/>
                <w:color w:val="auto"/>
              </w:rPr>
            </w:pPr>
            <w:r>
              <w:rPr>
                <w:rFonts w:ascii="Arial" w:cs="Arial" w:eastAsia="Arial" w:hAnsi="Arial"/>
                <w:sz w:val="13"/>
                <w:szCs w:val="13"/>
                <w:color w:val="auto"/>
              </w:rPr>
              <w:t>Interest expense on Mann Group promissory notes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500"/>
              <w:spacing w:after="0"/>
              <w:rPr>
                <w:sz w:val="20"/>
                <w:szCs w:val="20"/>
                <w:color w:val="auto"/>
              </w:rPr>
            </w:pPr>
            <w:r>
              <w:rPr>
                <w:rFonts w:ascii="Arial" w:cs="Arial" w:eastAsia="Arial" w:hAnsi="Arial"/>
                <w:sz w:val="13"/>
                <w:szCs w:val="13"/>
                <w:color w:val="auto"/>
              </w:rPr>
              <w:t>Asset impairment</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500"/>
              <w:spacing w:after="0"/>
              <w:rPr>
                <w:sz w:val="20"/>
                <w:szCs w:val="20"/>
                <w:color w:val="auto"/>
              </w:rPr>
            </w:pPr>
            <w:r>
              <w:rPr>
                <w:rFonts w:ascii="Arial" w:cs="Arial" w:eastAsia="Arial" w:hAnsi="Arial"/>
                <w:sz w:val="13"/>
                <w:szCs w:val="13"/>
                <w:color w:val="auto"/>
              </w:rPr>
              <w:t>Amortization of right-of-use assets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Write-off of inventory</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500"/>
              <w:spacing w:after="0"/>
              <w:rPr>
                <w:sz w:val="20"/>
                <w:szCs w:val="20"/>
                <w:color w:val="auto"/>
              </w:rPr>
            </w:pPr>
            <w:r>
              <w:rPr>
                <w:rFonts w:ascii="Arial" w:cs="Arial" w:eastAsia="Arial" w:hAnsi="Arial"/>
                <w:sz w:val="13"/>
                <w:szCs w:val="13"/>
                <w:color w:val="auto"/>
              </w:rPr>
              <w:t>Gain on foreign currency translation</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(3,838)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(1,796)</w:t>
            </w: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net</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(1,661)</w:t>
            </w:r>
          </w:p>
        </w:tc>
        <w:tc>
          <w:tcPr>
            <w:tcW w:w="0" w:type="dxa"/>
            <w:vAlign w:val="bottom"/>
          </w:tcPr>
          <w:p>
            <w:pPr>
              <w:spacing w:after="0"/>
              <w:rPr>
                <w:sz w:val="1"/>
                <w:szCs w:val="1"/>
                <w:color w:val="auto"/>
              </w:rPr>
            </w:pPr>
          </w:p>
        </w:tc>
      </w:tr>
      <w:tr>
        <w:trPr>
          <w:trHeight w:val="148"/>
        </w:trPr>
        <w:tc>
          <w:tcPr>
            <w:tcW w:w="6400" w:type="dxa"/>
            <w:vAlign w:val="bottom"/>
          </w:tcPr>
          <w:p>
            <w:pPr>
              <w:ind w:left="740"/>
              <w:spacing w:after="0"/>
              <w:rPr>
                <w:sz w:val="20"/>
                <w:szCs w:val="20"/>
                <w:color w:val="auto"/>
              </w:rPr>
            </w:pPr>
            <w:r>
              <w:rPr>
                <w:rFonts w:ascii="Arial" w:cs="Arial" w:eastAsia="Arial" w:hAnsi="Arial"/>
                <w:sz w:val="13"/>
                <w:szCs w:val="13"/>
                <w:color w:val="auto"/>
              </w:rPr>
              <w:t>Inventory</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(7,431)</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(8,235)</w:t>
            </w:r>
          </w:p>
        </w:tc>
        <w:tc>
          <w:tcPr>
            <w:tcW w:w="0" w:type="dxa"/>
            <w:vAlign w:val="bottom"/>
          </w:tcPr>
          <w:p>
            <w:pPr>
              <w:spacing w:after="0"/>
              <w:rPr>
                <w:sz w:val="1"/>
                <w:szCs w:val="1"/>
                <w:color w:val="auto"/>
              </w:rPr>
            </w:pPr>
          </w:p>
        </w:tc>
      </w:tr>
      <w:tr>
        <w:trPr>
          <w:trHeight w:val="148"/>
        </w:trPr>
        <w:tc>
          <w:tcPr>
            <w:tcW w:w="640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(333)</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(2,379)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FF0FC"/>
            </w:tcBorders>
          </w:tcPr>
          <w:p>
            <w:pPr>
              <w:ind w:left="1000"/>
              <w:spacing w:after="0" w:line="141" w:lineRule="exact"/>
              <w:rPr>
                <w:sz w:val="20"/>
                <w:szCs w:val="20"/>
                <w:color w:val="auto"/>
              </w:rPr>
            </w:pPr>
            <w:r>
              <w:rPr>
                <w:rFonts w:ascii="Arial" w:cs="Arial" w:eastAsia="Arial" w:hAnsi="Arial"/>
                <w:sz w:val="13"/>
                <w:szCs w:val="13"/>
                <w:color w:val="auto"/>
              </w:rPr>
              <w:t>Net cash used in operating activities</w:t>
            </w:r>
          </w:p>
        </w:tc>
        <w:tc>
          <w:tcPr>
            <w:tcW w:w="134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(12,731)</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Purchase of debt securities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(30,442)</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property and equipment</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(976)</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Proceeds from sale of treasury bills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CFF0FC"/>
            </w:tcBorders>
            <w:shd w:val="clear" w:color="auto" w:fill="CFF0FC"/>
          </w:tcPr>
          <w:p>
            <w:pPr>
              <w:ind w:left="1000"/>
              <w:spacing w:after="0" w:line="141" w:lineRule="exact"/>
              <w:rPr>
                <w:sz w:val="20"/>
                <w:szCs w:val="20"/>
                <w:color w:val="auto"/>
              </w:rPr>
            </w:pPr>
            <w:r>
              <w:rPr>
                <w:rFonts w:ascii="Arial" w:cs="Arial" w:eastAsia="Arial" w:hAnsi="Arial"/>
                <w:sz w:val="13"/>
                <w:szCs w:val="13"/>
                <w:color w:val="auto"/>
              </w:rPr>
              <w:t>Net cash (used in) provided by investing activities</w:t>
            </w:r>
          </w:p>
        </w:tc>
        <w:tc>
          <w:tcPr>
            <w:tcW w:w="13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(31,418)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19,850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the Senior convertible notes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400" w:type="dxa"/>
            <w:vAlign w:val="bottom"/>
          </w:tcPr>
          <w:p>
            <w:pPr>
              <w:ind w:left="260"/>
              <w:spacing w:after="0"/>
              <w:rPr>
                <w:sz w:val="20"/>
                <w:szCs w:val="20"/>
                <w:color w:val="auto"/>
              </w:rPr>
            </w:pPr>
            <w:r>
              <w:rPr>
                <w:rFonts w:ascii="Arial" w:cs="Arial" w:eastAsia="Arial" w:hAnsi="Arial"/>
                <w:sz w:val="13"/>
                <w:szCs w:val="13"/>
                <w:color w:val="auto"/>
              </w:rPr>
              <w:t>Issuance costs associated with Senior convertible notes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(7,268)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at-the-market offering</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offering</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4"/>
        </w:trPr>
        <w:tc>
          <w:tcPr>
            <w:tcW w:w="64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employment taxes related to vested restricted stock units</w:t>
            </w:r>
          </w:p>
        </w:tc>
        <w:tc>
          <w:tcPr>
            <w:tcW w:w="13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exercise of stock options</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FF0FC"/>
            </w:tcBorders>
          </w:tcPr>
          <w:p>
            <w:pPr>
              <w:ind w:left="100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134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224,977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NET INCREASE IN CASH AND CASH EQUIVALENTS AND RESTRICTED CASH</w:t>
            </w:r>
          </w:p>
        </w:tc>
        <w:tc>
          <w:tcPr>
            <w:tcW w:w="134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180,828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13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67,163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30,222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134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247,991</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9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39,184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FLOWS DISCLOSURES:</w:t>
            </w: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2360" w:type="dxa"/>
            <w:vAlign w:val="bottom"/>
            <w:gridSpan w:val="2"/>
            <w:shd w:val="clear" w:color="auto" w:fill="CFF0FC"/>
          </w:tcPr>
          <w:p>
            <w:pPr>
              <w:jc w:val="right"/>
              <w:ind w:right="901"/>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w:t>
            </w:r>
          </w:p>
        </w:tc>
        <w:tc>
          <w:tcPr>
            <w:tcW w:w="1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908"/>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on Mann Group convertible note through issuance of common stock</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Payment of 2024 convertible notes through common stock issuance</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Reclassification of the PPP Loan from current to long-term</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Payment of Mann Group convertible note interest through issuance of common stock</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stock issuance to settle employee stock purchase plan liability</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260"/>
              <w:spacing w:after="0"/>
              <w:rPr>
                <w:sz w:val="20"/>
                <w:szCs w:val="20"/>
                <w:color w:val="auto"/>
              </w:rPr>
            </w:pPr>
            <w:r>
              <w:rPr>
                <w:rFonts w:ascii="Arial" w:cs="Arial" w:eastAsia="Arial" w:hAnsi="Arial"/>
                <w:sz w:val="13"/>
                <w:szCs w:val="13"/>
                <w:color w:val="auto"/>
              </w:rPr>
              <w:t>Payment of interest on 2024 convertible notes through common stock issuance</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construction in progress and property and equipment</w:t>
            </w:r>
          </w:p>
        </w:tc>
        <w:tc>
          <w:tcPr>
            <w:tcW w:w="13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left="340" w:right="266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2020 filed with the SEC on February 25, 2021 (the “Annual Report”).</w:t>
      </w:r>
    </w:p>
    <w:p>
      <w:pPr>
        <w:spacing w:after="0" w:line="16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2021 may not be indicative of the results that may be expected for the full year.</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condensed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development and commercialization of inhaled therapeutic products for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endocrine and orphan lung diseases. The Company’s lead product is Afrezza (insulin human) Inhalation Powder, an ultra rapid-acting inhaled insulin indicated to improve glycemic control in adults with diabetes, which was approved by the U.S. Food and Drug Administration (“FDA”) in June 2014. Since September 2018, the Company has been collaborating with United Therapeutics to develop an inhaled formulation of treprostinil, known as Tyvaso DPI. In April 2021, United Therapeutics submitted a new drug application (“NDA”) to the FDA seeking approval of Tyvaso DPI.</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 GAAP.</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the commercialization of Tyvaso DPI and other product candidates in the Company’s pipeline. As of March 31, 2021, the Company had capital resources of $247.8 million in cash and cash equivalents, $29.0 million in short-term investments, $1.5 million in long-term investments, an accumulated deficit of $3.1 billion and total principal amount of outstanding borrowings of $338.4 million.</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2019, the Company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$110.0 million, of which $50.0 million was outstanding as of March 31, 2021 and December 31, 2020. Subsequent to March 31, 2021, $10.0 million of the outstanding principal amount was repaid. See Note 6 – </w:t>
      </w:r>
      <w:r>
        <w:rPr>
          <w:rFonts w:ascii="Arial" w:cs="Arial" w:eastAsia="Arial" w:hAnsi="Arial"/>
          <w:sz w:val="17"/>
          <w:szCs w:val="17"/>
          <w:i w:val="1"/>
          <w:iCs w:val="1"/>
          <w:color w:val="auto"/>
        </w:rPr>
        <w:t>Borrowings</w:t>
      </w:r>
      <w:r>
        <w:rPr>
          <w:rFonts w:ascii="Arial" w:cs="Arial" w:eastAsia="Arial" w:hAnsi="Arial"/>
          <w:sz w:val="17"/>
          <w:szCs w:val="17"/>
          <w:color w:val="auto"/>
        </w:rPr>
        <w:t>. In March 2021, the Company issued $230.0 million of 2.50% convertible senior notes due 2026 (the “Senior convertible notes”) to provide additional operating capital and pay down higher cost debt. The cash received from this debt issuance has resolved the Company’s significant risks and uncertainties regarding sources of liquidity, which previously raised substantial doubt about the Company’s ability to continue as a going concern.</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believes its resources will be sufficient to fund its operations for the next twelve months from the date of issuance of these condensed consolidated financial statements. Certain prior year amounts have been reclassified for consistency with the current year presentation. These reclassifications had no effect on the reported condensed consolidated balance sheets or statements of operations. An adjustment has been made to the condensed consolidated statements of cash flows for the three months ended March 31, 2020 to combine payment of employment taxes related to vested restricted stock units and exercise of stock options in the cash flows from financing activities. These changes in classification do not affect previously reported cash flows from operating or investing activities.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condensed consolidated financial statements include the accounts of the Company and its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which the Company expects to be entitled in exchange for those goods or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performs the following five steps: (i) identify the contract(s) with a customer, (ii) identify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at delivery for specialty pharmacies. Product revenues are recorded net of applicable reserves, including discounts, allowances, rebates, returns and other incentives. See Reserves for Variable Consideration below.</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Free Goods Program – </w:t>
      </w:r>
      <w:r>
        <w:rPr>
          <w:rFonts w:ascii="Arial" w:cs="Arial" w:eastAsia="Arial" w:hAnsi="Arial"/>
          <w:sz w:val="17"/>
          <w:szCs w:val="17"/>
          <w:color w:val="auto"/>
        </w:rPr>
        <w:t>From time to time, the Company offers programs to potential new patients that allow them to obtain free goods (prescription fills)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 of</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March 31, 2021 and, therefore, the transaction price was not reduced further during the three months ended March 31, 2021.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480"/>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Government Rebates </w:t>
      </w:r>
      <w:r>
        <w:rPr>
          <w:rFonts w:ascii="Arial" w:cs="Arial" w:eastAsia="Arial" w:hAnsi="Arial"/>
          <w:sz w:val="16"/>
          <w:szCs w:val="16"/>
          <w:color w:val="auto"/>
        </w:rPr>
        <w:t>— The Company is subject to discount obligations under Medicare and state Medicaid programs. These reserves are recorded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Payer Rebates </w:t>
      </w:r>
      <w:r>
        <w:rPr>
          <w:rFonts w:ascii="Arial" w:cs="Arial" w:eastAsia="Arial" w:hAnsi="Arial"/>
          <w:sz w:val="18"/>
          <w:szCs w:val="18"/>
          <w:color w:val="auto"/>
        </w:rPr>
        <w:t>— The Company contracts with certain private payer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ind w:right="40"/>
        <w:spacing w:after="0" w:line="286" w:lineRule="auto"/>
        <w:rPr>
          <w:sz w:val="20"/>
          <w:szCs w:val="20"/>
          <w:color w:val="auto"/>
        </w:rPr>
      </w:pPr>
      <w:r>
        <w:rPr>
          <w:rFonts w:ascii="Arial" w:cs="Arial" w:eastAsia="Arial" w:hAnsi="Arial"/>
          <w:sz w:val="16"/>
          <w:szCs w:val="16"/>
          <w:i w:val="1"/>
          <w:iCs w:val="1"/>
          <w:color w:val="auto"/>
        </w:rPr>
        <w:t xml:space="preserve">Revenue Recognition — Revenue — Collaborations and Services </w:t>
      </w:r>
      <w:r>
        <w:rPr>
          <w:rFonts w:ascii="Arial" w:cs="Arial" w:eastAsia="Arial" w:hAnsi="Arial"/>
          <w:sz w:val="16"/>
          <w:szCs w:val="16"/>
          <w:color w:val="auto"/>
        </w:rPr>
        <w:t>— The Company enters into licensing, research or other agreements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w:t>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provides research and development services and offers sales support for the co-promotion of products,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6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w:t>
      </w:r>
      <w:r>
        <w:rPr>
          <w:rFonts w:ascii="Arial" w:cs="Arial" w:eastAsia="Arial" w:hAnsi="Arial"/>
          <w:sz w:val="17"/>
          <w:szCs w:val="17"/>
          <w:color w:val="auto"/>
        </w:rPr>
        <w:t>— On April 10, 2020, the Company received the proceeds from a loan in the amount of approximately $4.9 million (the “PPP loan”) from</w:t>
      </w:r>
    </w:p>
    <w:p>
      <w:pPr>
        <w:spacing w:after="0" w:line="34" w:lineRule="exact"/>
        <w:rPr>
          <w:rFonts w:ascii="Arial" w:cs="Arial" w:eastAsia="Arial" w:hAnsi="Arial"/>
          <w:sz w:val="17"/>
          <w:szCs w:val="17"/>
          <w:i w:val="1"/>
          <w:iCs w:val="1"/>
          <w:color w:val="auto"/>
        </w:rPr>
      </w:pPr>
    </w:p>
    <w:p>
      <w:pPr>
        <w:ind w:right="160"/>
        <w:spacing w:after="0" w:line="253" w:lineRule="auto"/>
        <w:rPr>
          <w:rFonts w:ascii="Arial" w:cs="Arial" w:eastAsia="Arial" w:hAnsi="Arial"/>
          <w:sz w:val="17"/>
          <w:szCs w:val="17"/>
          <w:i w:val="1"/>
          <w:iCs w:val="1"/>
          <w:color w:val="auto"/>
        </w:rPr>
      </w:pPr>
      <w:r>
        <w:rPr>
          <w:rFonts w:ascii="Arial" w:cs="Arial" w:eastAsia="Arial" w:hAnsi="Arial"/>
          <w:sz w:val="18"/>
          <w:szCs w:val="18"/>
          <w:color w:val="auto"/>
        </w:rPr>
        <w:t xml:space="preserve">JPMorgan Chase Bank, N.A., as lender, pursuant to the Paycheck Protection Program (the “PPP”) of the Coronavirus Aid, Relief, and Economic Security Act (the “CARES Act”). The Company accounted for the PPP loan as a financial liability 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Accordingly, the PPP loan was recognized as current and long-term debt in the Company’s consolidated balance sheets and is included as PPP loan — current and PPP loan — long term. In addition, a </w:t>
      </w:r>
      <w:r>
        <w:rPr>
          <w:rFonts w:ascii="Arial" w:cs="Arial" w:eastAsia="Arial" w:hAnsi="Arial"/>
          <w:sz w:val="18"/>
          <w:szCs w:val="18"/>
          <w:i w:val="1"/>
          <w:iCs w:val="1"/>
          <w:color w:val="auto"/>
        </w:rPr>
        <w:t>di minimis</w:t>
      </w:r>
      <w:r>
        <w:rPr>
          <w:rFonts w:ascii="Arial" w:cs="Arial" w:eastAsia="Arial" w:hAnsi="Arial"/>
          <w:sz w:val="18"/>
          <w:szCs w:val="18"/>
          <w:color w:val="auto"/>
        </w:rPr>
        <w:t xml:space="preserve"> amount of accrued interest is included in accrued expenses and other current liabilities.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additional information.</w:t>
      </w:r>
    </w:p>
    <w:p>
      <w:pPr>
        <w:spacing w:after="0" w:line="19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material, labor costs and manufacturing overhead. Cost of goods sold also includes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current period manufacturing costs in excess of costs capitalized into inventory (excess capacity costs). These costs, in addition to the impact of the revaluation of inventory to standard costs, and write-offs of inventory are recorded as expenses in the period in which they are incurred, rather than as a portion of inventory costs. The cost of goods sold excludes the cost of insulin purchased under our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—The Company considers all highly liquid investments with original or remaining maturities of 90 days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at the time of purchase, that are readily convertible into cash to be cash equivalents. As of March 31, 2021 and December 31, 2020, cash equivalents were comprised of money market accounts with maturities less than 90 days from the date of purchase.</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long-term assets.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amounts reported on the condensed consolidated statement of cash flows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247,833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247,991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vMerge w:val="restart"/>
          </w:tcPr>
          <w:p>
            <w:pPr>
              <w:jc w:val="right"/>
              <w:ind w:right="19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6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60"/>
        <w:spacing w:after="0" w:line="291"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—The Company’s investments generally consist of commercial paper, corporate notes or bonds and U.S. Treasury securities.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months ended March 31, 2021, the Company held short-term and long-term investments of debt securities, including commercial paper and bonds. The Company intends to hold its investments until maturity and are therefore stated at amortized cost. Those investments with maturities less than 12 months are included in short-term investments and investments with maturities in excess of twelve months are included in long-term investments in our condensed consolidated balance sheets. The accretion or amortization of the Company’s investments is recognized as interest income or expense in the condensed consolidated statements of operations and was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for the three months ended March 31, 2021. There was no such accretion or amortization for the three months ended March 31, 2020. </w:t>
      </w:r>
      <w:r>
        <w:rPr>
          <w:rFonts w:ascii="Arial" w:cs="Arial" w:eastAsia="Arial" w:hAnsi="Arial"/>
          <w:sz w:val="16"/>
          <w:szCs w:val="16"/>
          <w:i w:val="1"/>
          <w:iCs w:val="1"/>
          <w:color w:val="auto"/>
        </w:rPr>
        <w:t>No allowance for credit losses on held-to-maturity securities was required as of March 31, 2021.</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investments. Cash and cash equivalents are held in high credit quality institutions. Cash equivalents consist of interest-bearing money market accounts. Investments generally consist of commercial paper, corporate notes or bonds and U.S. Treasury securities. The cash equivalents and investments are regularly monitored by management.</w:t>
      </w:r>
    </w:p>
    <w:p>
      <w:pPr>
        <w:spacing w:after="0" w:line="187"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Pre-Launch Inventory </w:t>
      </w:r>
      <w:r>
        <w:rPr>
          <w:rFonts w:ascii="Arial" w:cs="Arial" w:eastAsia="Arial" w:hAnsi="Arial"/>
          <w:sz w:val="16"/>
          <w:szCs w:val="16"/>
          <w:color w:val="auto"/>
        </w:rPr>
        <w:t>— An improvement to the manufacturing process for the Company’s primary excipient, fumaryl diketopiperazine (“FDKP”) was</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August 2019, the Company recorded a $1.5 million commitment asset related to the future funding commitments of the MidCap credit facility. A quarterly assessment was performed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million was recognized during the three months ended March 31, 2020 and is reflected in the Company’s condensed consolidated statement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information on the MidCap credit facility.</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long-term purchase commitments should be accrued. Losses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was $89.1 million and $95.3 million as of March 31, 2021 and December 31, 2020, respectively. No new contracts were identified in 2020 or in the first quarter of 2021 that required a new loss on purchase commitment accrual.</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$70.0 million remains payable as of March 31, 2021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RSUs, performance-based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addition to internal costs associated with conducting clinical trials.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Recently Adopted Accounting Standards </w:t>
      </w:r>
      <w:r>
        <w:rPr>
          <w:rFonts w:ascii="Arial" w:cs="Arial" w:eastAsia="Arial" w:hAnsi="Arial"/>
          <w:sz w:val="17"/>
          <w:szCs w:val="17"/>
          <w:color w:val="auto"/>
        </w:rPr>
        <w:t>— In August 2020, the FASB issued ASU 2020-06,</w:t>
      </w:r>
      <w:r>
        <w:rPr>
          <w:rFonts w:ascii="Arial" w:cs="Arial" w:eastAsia="Arial" w:hAnsi="Arial"/>
          <w:sz w:val="17"/>
          <w:szCs w:val="17"/>
          <w:i w:val="1"/>
          <w:iCs w:val="1"/>
          <w:color w:val="auto"/>
        </w:rPr>
        <w:t xml:space="preserve"> Issuer’s Accounting for Convertible Instruments and Contracts on an Entity’s Own Equity</w:t>
      </w:r>
      <w:r>
        <w:rPr>
          <w:rFonts w:ascii="Arial" w:cs="Arial" w:eastAsia="Arial" w:hAnsi="Arial"/>
          <w:sz w:val="17"/>
          <w:szCs w:val="17"/>
          <w:color w:val="auto"/>
        </w:rPr>
        <w:t>, which simplifies the accounting for certain financial instruments with characteristics of liabilities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convertible instruments and contracts on an entity’s own equity. The Company early adopted this standard as of January 1, 2021. The adoption of this standard did not have a material impact on the Company's condensed consolidated financial statements.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(2,667)</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 xml:space="preserve">As of March 31, 2021 and December 31, 2020,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89% of accounts receivable as of March 31, 2021 and approximately 82% of gross sales for the three months ended March 31,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Work-in-process and finished goods as of March 31, 2021 and December 31, 2020 include conversion costs and exclude the cost of insulin. All insulin inventory on hand was written off and the projected loss on the purchase commitment contract to purchase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t>insulin was accrued as of the end of 2015. Raw materials inventory included $0.8 million of pre-launch inventory as of March 31, 2021 and December 31, 2020, which consisted of FDKP received in November 2019 that will be used to manufacture Afrezza under an enhanced manufacturing process for FDKP. The Company expects to receive FDA approval of the new source of FDKP in 2023, after which the pre-launch raw materials inventory will be reclassified as raw materials inventory for use in the manufacturing of Afrezza and Tyvaso DPI.</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Inventory that was forecasted to become obsolete due to expiration is recorded in costs of goods sold in the accompanying condensed consolidated statements of operations. For the three months ended March 31, 2020, there was an inventory write-off of $0.5 million as a result of this assessment. There was no inventory write-off for the three months ended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Estimated Useful</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54,774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55,054</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123,344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122,687</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(96,837)</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(96,820)</w:t>
            </w:r>
          </w:p>
        </w:tc>
      </w:tr>
      <w:tr>
        <w:trPr>
          <w:trHeight w:val="223"/>
        </w:trPr>
        <w:tc>
          <w:tcPr>
            <w:tcW w:w="57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months ended March 31, 2021 and 2020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5"/>
          </w:tcPr>
          <w:p>
            <w:pPr>
              <w:jc w:val="center"/>
              <w:ind w:left="115"/>
              <w:spacing w:after="0"/>
              <w:rPr>
                <w:sz w:val="20"/>
                <w:szCs w:val="20"/>
                <w:color w:val="auto"/>
              </w:rPr>
            </w:pPr>
            <w:r>
              <w:rPr>
                <w:rFonts w:ascii="Arial" w:cs="Arial" w:eastAsia="Arial" w:hAnsi="Arial"/>
                <w:sz w:val="14"/>
                <w:szCs w:val="14"/>
                <w:b w:val="1"/>
                <w:bCs w:val="1"/>
                <w:color w:val="auto"/>
                <w:w w:val="95"/>
              </w:rPr>
              <w:t>Three Months Ended</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r>
      <w:tr>
        <w:trPr>
          <w:trHeight w:val="621"/>
        </w:trPr>
        <w:tc>
          <w:tcPr>
            <w:tcW w:w="676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color w:val="auto"/>
                <w:w w:val="97"/>
              </w:rPr>
              <w:t>Accrued expenses and other current liabilities were comprised of the following (in thousands):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5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13,756</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3,906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278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Accrued interest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4,489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 — current</w:t>
            </w:r>
          </w:p>
        </w:tc>
        <w:tc>
          <w:tcPr>
            <w:tcW w:w="5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1,337</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27,586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Included in salary and related expenses is $1.1 million of deferred social security taxes as permitted under the CARES Act. The Company is permitted to defer the employer share of social security taxes otherwise owed on dates beginning March 27, 2020 and ending December 31, 2020. Half of the total deferred payments are payable on December 31, 2021 and the remaining half are payable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 xml:space="preserve">on December 31, 2022. The amount of the deferral is based on wages paid from April through December 2020. This deferral option is no longer available if the Company receives forgiveness for its PPP loan as discussed in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principal borrowings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3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Senior convertible notes</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222,855</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16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49,406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49,335</w:t>
            </w:r>
          </w:p>
        </w:tc>
        <w:tc>
          <w:tcPr>
            <w:tcW w:w="100" w:type="dxa"/>
            <w:vAlign w:val="bottom"/>
          </w:tcPr>
          <w:p>
            <w:pPr>
              <w:spacing w:after="0"/>
              <w:rPr>
                <w:sz w:val="19"/>
                <w:szCs w:val="19"/>
                <w:color w:val="auto"/>
              </w:rPr>
            </w:pPr>
          </w:p>
        </w:tc>
      </w:tr>
      <w:tr>
        <w:trPr>
          <w:trHeight w:val="230"/>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53,453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00" w:type="dxa"/>
            <w:vAlign w:val="bottom"/>
            <w:shd w:val="clear" w:color="auto" w:fill="CFF0FC"/>
          </w:tcPr>
          <w:p>
            <w:pPr>
              <w:spacing w:after="0"/>
              <w:rPr>
                <w:sz w:val="19"/>
                <w:szCs w:val="19"/>
                <w:color w:val="auto"/>
              </w:rPr>
            </w:pPr>
          </w:p>
        </w:tc>
      </w:tr>
      <w:tr>
        <w:trPr>
          <w:trHeight w:val="229"/>
        </w:trPr>
        <w:tc>
          <w:tcPr>
            <w:tcW w:w="3160" w:type="dxa"/>
            <w:vAlign w:val="bottom"/>
          </w:tcPr>
          <w:p>
            <w:pPr>
              <w:ind w:left="260"/>
              <w:spacing w:after="0"/>
              <w:rPr>
                <w:sz w:val="20"/>
                <w:szCs w:val="20"/>
                <w:color w:val="auto"/>
              </w:rPr>
            </w:pPr>
            <w:r>
              <w:rPr>
                <w:rFonts w:ascii="Arial" w:cs="Arial" w:eastAsia="Arial" w:hAnsi="Arial"/>
                <w:sz w:val="18"/>
                <w:szCs w:val="18"/>
                <w:color w:val="auto"/>
              </w:rPr>
              <w:t>PPP loan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4,873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9"/>
                <w:szCs w:val="19"/>
                <w:color w:val="auto"/>
              </w:rPr>
            </w:pPr>
          </w:p>
        </w:tc>
      </w:tr>
      <w:tr>
        <w:trPr>
          <w:trHeight w:val="229"/>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23"/>
        </w:trPr>
        <w:tc>
          <w:tcPr>
            <w:tcW w:w="316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330,587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122,235</w:t>
            </w:r>
          </w:p>
        </w:tc>
        <w:tc>
          <w:tcPr>
            <w:tcW w:w="100" w:type="dxa"/>
            <w:vAlign w:val="bottom"/>
          </w:tcPr>
          <w:p>
            <w:pPr>
              <w:spacing w:after="0"/>
              <w:rPr>
                <w:sz w:val="19"/>
                <w:szCs w:val="19"/>
                <w:color w:val="auto"/>
              </w:rPr>
            </w:pPr>
          </w:p>
        </w:tc>
      </w:tr>
      <w:tr>
        <w:trPr>
          <w:trHeight w:val="20"/>
        </w:trPr>
        <w:tc>
          <w:tcPr>
            <w:tcW w:w="466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000" w:type="dxa"/>
            <w:vAlign w:val="bottom"/>
            <w:gridSpan w:val="9"/>
          </w:tcPr>
          <w:p>
            <w:pPr>
              <w:spacing w:after="0"/>
              <w:rPr>
                <w:sz w:val="20"/>
                <w:szCs w:val="20"/>
                <w:color w:val="auto"/>
              </w:rPr>
            </w:pPr>
            <w:r>
              <w:rPr>
                <w:rFonts w:ascii="Arial" w:cs="Arial" w:eastAsia="Arial" w:hAnsi="Arial"/>
                <w:sz w:val="18"/>
                <w:szCs w:val="18"/>
                <w:color w:val="auto"/>
                <w:w w:val="99"/>
              </w:rPr>
              <w:t>The following table provides a summary of the Company’s debt and key terms as of March 31, 2021: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1080"/>
              <w:spacing w:after="0"/>
              <w:rPr>
                <w:sz w:val="20"/>
                <w:szCs w:val="20"/>
                <w:color w:val="auto"/>
              </w:rPr>
            </w:pPr>
            <w:r>
              <w:rPr>
                <w:rFonts w:ascii="Arial" w:cs="Arial" w:eastAsia="Arial" w:hAnsi="Arial"/>
                <w:sz w:val="14"/>
                <w:szCs w:val="14"/>
                <w:b w:val="1"/>
                <w:bCs w:val="1"/>
                <w:color w:val="auto"/>
              </w:rPr>
              <w:t>Amount Due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Terms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March 31, 2021</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Annual Interest Rate</w:t>
            </w: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left="34"/>
              <w:spacing w:after="0" w:line="155" w:lineRule="exact"/>
              <w:rPr>
                <w:sz w:val="20"/>
                <w:szCs w:val="20"/>
                <w:color w:val="auto"/>
              </w:rPr>
            </w:pPr>
            <w:r>
              <w:rPr>
                <w:rFonts w:ascii="Arial" w:cs="Arial" w:eastAsia="Arial" w:hAnsi="Arial"/>
                <w:sz w:val="14"/>
                <w:szCs w:val="14"/>
                <w:b w:val="1"/>
                <w:bCs w:val="1"/>
                <w:color w:val="auto"/>
                <w:w w:val="99"/>
              </w:rPr>
              <w:t>Maturity Date</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Conversion Price</w:t>
            </w:r>
          </w:p>
        </w:tc>
      </w:tr>
      <w:tr>
        <w:trPr>
          <w:trHeight w:val="209"/>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ind w:right="53"/>
              <w:spacing w:after="0"/>
              <w:rPr>
                <w:sz w:val="20"/>
                <w:szCs w:val="20"/>
                <w:color w:val="auto"/>
              </w:rPr>
            </w:pPr>
            <w:r>
              <w:rPr>
                <w:rFonts w:ascii="Arial" w:cs="Arial" w:eastAsia="Arial" w:hAnsi="Arial"/>
                <w:sz w:val="18"/>
                <w:szCs w:val="18"/>
                <w:color w:val="auto"/>
                <w:w w:val="95"/>
              </w:rPr>
              <w:t>$230.0 million</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232"/>
              <w:spacing w:after="0"/>
              <w:rPr>
                <w:sz w:val="20"/>
                <w:szCs w:val="20"/>
                <w:color w:val="auto"/>
              </w:rPr>
            </w:pPr>
            <w:r>
              <w:rPr>
                <w:rFonts w:ascii="Arial" w:cs="Arial" w:eastAsia="Arial" w:hAnsi="Arial"/>
                <w:sz w:val="18"/>
                <w:szCs w:val="18"/>
                <w:color w:val="auto"/>
                <w:w w:val="93"/>
              </w:rPr>
              <w:t>2.50%</w:t>
            </w:r>
          </w:p>
        </w:tc>
        <w:tc>
          <w:tcPr>
            <w:tcW w:w="2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center"/>
              <w:ind w:left="34"/>
              <w:spacing w:after="0"/>
              <w:rPr>
                <w:sz w:val="20"/>
                <w:szCs w:val="20"/>
                <w:color w:val="auto"/>
              </w:rPr>
            </w:pPr>
            <w:r>
              <w:rPr>
                <w:rFonts w:ascii="Arial" w:cs="Arial" w:eastAsia="Arial" w:hAnsi="Arial"/>
                <w:sz w:val="18"/>
                <w:szCs w:val="18"/>
                <w:color w:val="auto"/>
                <w:w w:val="92"/>
              </w:rPr>
              <w:t>March 2026</w:t>
            </w: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$5.21</w:t>
            </w:r>
          </w:p>
        </w:tc>
        <w:tc>
          <w:tcPr>
            <w:tcW w:w="100" w:type="dxa"/>
            <w:vAlign w:val="bottom"/>
            <w:tcBorders>
              <w:top w:val="single" w:sz="8" w:color="auto"/>
            </w:tcBorders>
            <w:shd w:val="clear" w:color="auto" w:fill="CFF0FC"/>
          </w:tcPr>
          <w:p>
            <w:pPr>
              <w:spacing w:after="0"/>
              <w:rPr>
                <w:sz w:val="18"/>
                <w:szCs w:val="18"/>
                <w:color w:val="auto"/>
              </w:rPr>
            </w:pPr>
          </w:p>
        </w:tc>
      </w:tr>
      <w:tr>
        <w:trPr>
          <w:trHeight w:val="230"/>
        </w:trPr>
        <w:tc>
          <w:tcPr>
            <w:tcW w:w="3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$50.0 million</w:t>
            </w:r>
          </w:p>
        </w:tc>
        <w:tc>
          <w:tcPr>
            <w:tcW w:w="1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$50.0 million</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one-month</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left="34"/>
              <w:spacing w:after="0"/>
              <w:rPr>
                <w:sz w:val="20"/>
                <w:szCs w:val="20"/>
                <w:color w:val="auto"/>
              </w:rPr>
            </w:pPr>
            <w:r>
              <w:rPr>
                <w:rFonts w:ascii="Arial" w:cs="Arial" w:eastAsia="Arial" w:hAnsi="Arial"/>
                <w:sz w:val="18"/>
                <w:szCs w:val="18"/>
                <w:color w:val="auto"/>
                <w:w w:val="90"/>
              </w:rPr>
              <w:t>August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N/A</w:t>
            </w:r>
          </w:p>
        </w:tc>
      </w:tr>
      <w:tr>
        <w:trPr>
          <w:trHeight w:val="216"/>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6"/>
          </w:tcPr>
          <w:p>
            <w:pPr>
              <w:jc w:val="center"/>
              <w:ind w:right="1540"/>
              <w:spacing w:after="0"/>
              <w:rPr>
                <w:sz w:val="20"/>
                <w:szCs w:val="20"/>
                <w:color w:val="auto"/>
              </w:rPr>
            </w:pPr>
            <w:r>
              <w:rPr>
                <w:rFonts w:ascii="Arial" w:cs="Arial" w:eastAsia="Arial" w:hAnsi="Arial"/>
                <w:sz w:val="18"/>
                <w:szCs w:val="18"/>
                <w:color w:val="auto"/>
                <w:w w:val="97"/>
              </w:rPr>
              <w:t>LIBOR (2% floor)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plus 6.75%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760" w:type="dxa"/>
            <w:vAlign w:val="bottom"/>
            <w:gridSpan w:val="3"/>
            <w:shd w:val="clear" w:color="auto" w:fill="CFF0FC"/>
          </w:tcPr>
          <w:p>
            <w:pPr>
              <w:jc w:val="center"/>
              <w:ind w:right="260"/>
              <w:spacing w:after="0"/>
              <w:rPr>
                <w:sz w:val="20"/>
                <w:szCs w:val="20"/>
                <w:color w:val="auto"/>
              </w:rPr>
            </w:pPr>
            <w:r>
              <w:rPr>
                <w:rFonts w:ascii="Arial" w:cs="Arial" w:eastAsia="Arial" w:hAnsi="Arial"/>
                <w:sz w:val="18"/>
                <w:szCs w:val="18"/>
                <w:color w:val="auto"/>
                <w:w w:val="95"/>
              </w:rPr>
              <w:t>$18.4 million (plus</w:t>
            </w:r>
          </w:p>
        </w:tc>
        <w:tc>
          <w:tcPr>
            <w:tcW w:w="1760" w:type="dxa"/>
            <w:vAlign w:val="bottom"/>
            <w:gridSpan w:val="3"/>
            <w:shd w:val="clear" w:color="auto" w:fill="CFF0FC"/>
          </w:tcPr>
          <w:p>
            <w:pPr>
              <w:jc w:val="center"/>
              <w:ind w:right="280"/>
              <w:spacing w:after="0"/>
              <w:rPr>
                <w:sz w:val="20"/>
                <w:szCs w:val="20"/>
                <w:color w:val="auto"/>
              </w:rPr>
            </w:pPr>
            <w:r>
              <w:rPr>
                <w:rFonts w:ascii="Arial" w:cs="Arial" w:eastAsia="Arial" w:hAnsi="Arial"/>
                <w:sz w:val="18"/>
                <w:szCs w:val="18"/>
                <w:color w:val="auto"/>
                <w:w w:val="93"/>
              </w:rPr>
              <w:t>$28.0 million (plus</w:t>
            </w:r>
          </w:p>
        </w:tc>
        <w:tc>
          <w:tcPr>
            <w:tcW w:w="1040" w:type="dxa"/>
            <w:vAlign w:val="bottom"/>
            <w:shd w:val="clear" w:color="auto" w:fill="CFF0FC"/>
          </w:tcPr>
          <w:p>
            <w:pPr>
              <w:jc w:val="center"/>
              <w:ind w:left="232"/>
              <w:spacing w:after="0"/>
              <w:rPr>
                <w:sz w:val="20"/>
                <w:szCs w:val="20"/>
                <w:color w:val="auto"/>
              </w:rPr>
            </w:pPr>
            <w:r>
              <w:rPr>
                <w:rFonts w:ascii="Arial" w:cs="Arial" w:eastAsia="Arial" w:hAnsi="Arial"/>
                <w:sz w:val="18"/>
                <w:szCs w:val="18"/>
                <w:color w:val="auto"/>
                <w:w w:val="93"/>
              </w:rPr>
              <w:t>7.00%</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November 2024</w:t>
            </w:r>
          </w:p>
        </w:tc>
        <w:tc>
          <w:tcPr>
            <w:tcW w:w="1440" w:type="dxa"/>
            <w:vAlign w:val="bottom"/>
            <w:gridSpan w:val="2"/>
            <w:shd w:val="clear" w:color="auto" w:fill="CFF0FC"/>
          </w:tcPr>
          <w:p>
            <w:pPr>
              <w:jc w:val="center"/>
              <w:ind w:left="152"/>
              <w:spacing w:after="0"/>
              <w:rPr>
                <w:sz w:val="20"/>
                <w:szCs w:val="20"/>
                <w:color w:val="auto"/>
              </w:rPr>
            </w:pPr>
            <w:r>
              <w:rPr>
                <w:rFonts w:ascii="Arial" w:cs="Arial" w:eastAsia="Arial" w:hAnsi="Arial"/>
                <w:sz w:val="18"/>
                <w:szCs w:val="18"/>
                <w:color w:val="auto"/>
                <w:w w:val="88"/>
              </w:rPr>
              <w:t>$2.50</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$0.5 million</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96"/>
              </w:rPr>
              <w:t>$0.6 million</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6"/>
        </w:trPr>
        <w:tc>
          <w:tcPr>
            <w:tcW w:w="3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87"/>
              </w:rPr>
              <w:t>accrued interest</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87"/>
              </w:rPr>
              <w:t>accrued interest</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paid-in-kind)</w:t>
            </w:r>
          </w:p>
        </w:tc>
        <w:tc>
          <w:tcPr>
            <w:tcW w:w="1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96"/>
              </w:rPr>
              <w:t>paid-in-kind)</w:t>
            </w: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Mann Group non-convertible  note</w:t>
            </w:r>
            <w:r>
              <w:rPr>
                <w:rFonts w:ascii="Arial" w:cs="Arial" w:eastAsia="Arial" w:hAnsi="Arial"/>
                <w:sz w:val="15"/>
                <w:szCs w:val="15"/>
                <w:color w:val="auto"/>
              </w:rPr>
              <w:t>(2)</w:t>
            </w:r>
          </w:p>
        </w:tc>
        <w:tc>
          <w:tcPr>
            <w:tcW w:w="17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$35.1 million (plus</w:t>
            </w: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$35.1 million (plus</w:t>
            </w:r>
          </w:p>
        </w:tc>
        <w:tc>
          <w:tcPr>
            <w:tcW w:w="1040" w:type="dxa"/>
            <w:vAlign w:val="bottom"/>
          </w:tcPr>
          <w:p>
            <w:pPr>
              <w:jc w:val="center"/>
              <w:ind w:left="232"/>
              <w:spacing w:after="0"/>
              <w:rPr>
                <w:sz w:val="20"/>
                <w:szCs w:val="20"/>
                <w:color w:val="auto"/>
              </w:rPr>
            </w:pPr>
            <w:r>
              <w:rPr>
                <w:rFonts w:ascii="Arial" w:cs="Arial" w:eastAsia="Arial" w:hAnsi="Arial"/>
                <w:sz w:val="18"/>
                <w:szCs w:val="18"/>
                <w:color w:val="auto"/>
                <w:w w:val="93"/>
              </w:rPr>
              <w:t>7.00%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November 2024</w:t>
            </w:r>
          </w:p>
        </w:tc>
        <w:tc>
          <w:tcPr>
            <w:tcW w:w="1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rPr>
              <w:t>N/A</w:t>
            </w:r>
          </w:p>
        </w:tc>
      </w:tr>
      <w:tr>
        <w:trPr>
          <w:trHeight w:val="216"/>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$4.3 million</w:t>
            </w:r>
          </w:p>
        </w:tc>
        <w:tc>
          <w:tcPr>
            <w:tcW w:w="1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$3.6 million</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accrued interest</w:t>
            </w:r>
          </w:p>
        </w:tc>
        <w:tc>
          <w:tcPr>
            <w:tcW w:w="1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accrued interest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paid-in-kind)</w:t>
            </w:r>
          </w:p>
        </w:tc>
        <w:tc>
          <w:tcPr>
            <w:tcW w:w="12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paid-in-kind)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420"/>
              <w:spacing w:after="0"/>
              <w:rPr>
                <w:sz w:val="20"/>
                <w:szCs w:val="20"/>
                <w:color w:val="auto"/>
              </w:rPr>
            </w:pPr>
            <w:r>
              <w:rPr>
                <w:rFonts w:ascii="Arial" w:cs="Arial" w:eastAsia="Arial" w:hAnsi="Arial"/>
                <w:sz w:val="18"/>
                <w:szCs w:val="18"/>
                <w:color w:val="auto"/>
                <w:w w:val="96"/>
              </w:rPr>
              <w:t>$4.9 million</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96"/>
              </w:rPr>
              <w:t>$4.9 million</w:t>
            </w:r>
          </w:p>
        </w:tc>
        <w:tc>
          <w:tcPr>
            <w:tcW w:w="1040" w:type="dxa"/>
            <w:vAlign w:val="bottom"/>
            <w:shd w:val="clear" w:color="auto" w:fill="CFF0FC"/>
          </w:tcPr>
          <w:p>
            <w:pPr>
              <w:jc w:val="center"/>
              <w:ind w:left="232"/>
              <w:spacing w:after="0"/>
              <w:rPr>
                <w:sz w:val="20"/>
                <w:szCs w:val="20"/>
                <w:color w:val="auto"/>
              </w:rPr>
            </w:pPr>
            <w:r>
              <w:rPr>
                <w:rFonts w:ascii="Arial" w:cs="Arial" w:eastAsia="Arial" w:hAnsi="Arial"/>
                <w:sz w:val="18"/>
                <w:szCs w:val="18"/>
                <w:color w:val="auto"/>
                <w:w w:val="93"/>
              </w:rPr>
              <w:t>0.98%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54"/>
              <w:spacing w:after="0"/>
              <w:rPr>
                <w:sz w:val="20"/>
                <w:szCs w:val="20"/>
                <w:color w:val="auto"/>
              </w:rPr>
            </w:pPr>
            <w:r>
              <w:rPr>
                <w:rFonts w:ascii="Arial" w:cs="Arial" w:eastAsia="Arial" w:hAnsi="Arial"/>
                <w:sz w:val="18"/>
                <w:szCs w:val="18"/>
                <w:color w:val="auto"/>
                <w:w w:val="96"/>
              </w:rPr>
              <w:t>April 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rPr>
              <w:t>N/A</w:t>
            </w: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2024 convertible notes</w:t>
            </w:r>
            <w:r>
              <w:rPr>
                <w:rFonts w:ascii="Arial" w:cs="Arial" w:eastAsia="Arial" w:hAnsi="Arial"/>
                <w:sz w:val="15"/>
                <w:szCs w:val="15"/>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$5.0 million</w:t>
            </w:r>
          </w:p>
        </w:tc>
        <w:tc>
          <w:tcPr>
            <w:tcW w:w="1040" w:type="dxa"/>
            <w:vAlign w:val="bottom"/>
          </w:tcPr>
          <w:p>
            <w:pPr>
              <w:jc w:val="center"/>
              <w:ind w:left="232"/>
              <w:spacing w:after="0"/>
              <w:rPr>
                <w:sz w:val="20"/>
                <w:szCs w:val="20"/>
                <w:color w:val="auto"/>
              </w:rPr>
            </w:pPr>
            <w:r>
              <w:rPr>
                <w:rFonts w:ascii="Arial" w:cs="Arial" w:eastAsia="Arial" w:hAnsi="Arial"/>
                <w:sz w:val="18"/>
                <w:szCs w:val="18"/>
                <w:color w:val="auto"/>
                <w:w w:val="93"/>
              </w:rPr>
              <w:t>5.75%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November 2024</w:t>
            </w:r>
          </w:p>
        </w:tc>
        <w:tc>
          <w:tcPr>
            <w:tcW w:w="14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$3.00</w:t>
            </w:r>
          </w:p>
        </w:tc>
        <w:tc>
          <w:tcPr>
            <w:tcW w:w="10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6"/>
              </w:rPr>
              <w:t>per share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740" w:hanging="368"/>
        <w:spacing w:after="0" w:line="225" w:lineRule="auto"/>
        <w:tabs>
          <w:tab w:leader="none" w:pos="74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Subsequent to March 31</w:t>
      </w:r>
      <w:r>
        <w:rPr>
          <w:rFonts w:ascii="Arial" w:cs="Arial" w:eastAsia="Arial" w:hAnsi="Arial"/>
          <w:sz w:val="21"/>
          <w:szCs w:val="21"/>
          <w:color w:val="auto"/>
        </w:rPr>
        <w:t>, 2021, $10.0 million of the outstanding principal amount was repaid.</w:t>
      </w:r>
    </w:p>
    <w:p>
      <w:pPr>
        <w:spacing w:after="0" w:line="1" w:lineRule="exact"/>
        <w:rPr>
          <w:rFonts w:ascii="Arial" w:cs="Arial" w:eastAsia="Arial" w:hAnsi="Arial"/>
          <w:sz w:val="25"/>
          <w:szCs w:val="25"/>
          <w:color w:val="auto"/>
          <w:vertAlign w:val="superscript"/>
        </w:rPr>
      </w:pPr>
    </w:p>
    <w:p>
      <w:pPr>
        <w:ind w:left="740" w:hanging="368"/>
        <w:spacing w:after="0" w:line="182" w:lineRule="auto"/>
        <w:tabs>
          <w:tab w:leader="none" w:pos="7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Subsequent to March 31, 2021, $35.1 million of the outstanding principal amount was repaid, together with all accrued and unpaid interest.</w:t>
      </w:r>
    </w:p>
    <w:p>
      <w:pPr>
        <w:spacing w:after="0" w:line="51" w:lineRule="exact"/>
        <w:rPr>
          <w:rFonts w:ascii="Arial" w:cs="Arial" w:eastAsia="Arial" w:hAnsi="Arial"/>
          <w:sz w:val="22"/>
          <w:szCs w:val="22"/>
          <w:color w:val="auto"/>
          <w:vertAlign w:val="superscript"/>
        </w:rPr>
      </w:pPr>
    </w:p>
    <w:p>
      <w:pPr>
        <w:ind w:left="740" w:hanging="368"/>
        <w:spacing w:after="0" w:line="182" w:lineRule="auto"/>
        <w:tabs>
          <w:tab w:leader="none" w:pos="7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 February 2021, the $5.0 million principal balance was converted into 1,666,667 shares of the Company’s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our borrowings as of March 31, 2021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2024</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960" w:type="dxa"/>
            <w:vAlign w:val="bottom"/>
            <w:shd w:val="clear" w:color="auto" w:fill="CFF0FC"/>
          </w:tcPr>
          <w:p>
            <w:pPr>
              <w:spacing w:after="0"/>
              <w:rPr>
                <w:sz w:val="5"/>
                <w:szCs w:val="5"/>
                <w:color w:val="auto"/>
              </w:rPr>
            </w:pPr>
          </w:p>
        </w:tc>
        <w:tc>
          <w:tcPr>
            <w:tcW w:w="3260" w:type="dxa"/>
            <w:vAlign w:val="bottom"/>
            <w:shd w:val="clear" w:color="auto" w:fill="CFF0FC"/>
          </w:tcPr>
          <w:p>
            <w:pPr>
              <w:spacing w:after="0"/>
              <w:rPr>
                <w:sz w:val="5"/>
                <w:szCs w:val="5"/>
                <w:color w:val="auto"/>
              </w:rPr>
            </w:pPr>
          </w:p>
        </w:tc>
        <w:tc>
          <w:tcPr>
            <w:tcW w:w="380" w:type="dxa"/>
            <w:vAlign w:val="bottom"/>
            <w:tcBorders>
              <w:bottom w:val="single" w:sz="8" w:color="auto"/>
            </w:tcBorders>
            <w:shd w:val="clear" w:color="auto" w:fill="CFF0FC"/>
          </w:tcPr>
          <w:p>
            <w:pPr>
              <w:spacing w:after="0"/>
              <w:rPr>
                <w:sz w:val="5"/>
                <w:szCs w:val="5"/>
                <w:color w:val="auto"/>
              </w:rPr>
            </w:pPr>
          </w:p>
        </w:tc>
        <w:tc>
          <w:tcPr>
            <w:tcW w:w="1520" w:type="dxa"/>
            <w:vAlign w:val="bottom"/>
            <w:tcBorders>
              <w:bottom w:val="single" w:sz="8" w:color="auto"/>
            </w:tcBorders>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principal payments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3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330,587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Senior convertible notes </w:t>
      </w:r>
      <w:r>
        <w:rPr>
          <w:rFonts w:ascii="Arial" w:cs="Arial" w:eastAsia="Arial" w:hAnsi="Arial"/>
          <w:sz w:val="18"/>
          <w:szCs w:val="18"/>
          <w:color w:val="auto"/>
        </w:rPr>
        <w:t>– On March 4, 2021, the Company issued $200.0 million aggregate principal amount of Senior convertible notes in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principal amount of Senior convertible notes on March 15, 2021. The Senior convertible notes were issued pursuant to an indenture, dated March 4, 2021 (the “Indenture”), between the Company and U.S. Bank National Association, as trustee.</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Notes in connection with such a corporate event or convert its Notes called for redemption during the related redemption period (as defined in the Indenture), as the case may be.</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Notes, at least $75.0 million aggregate principal amount of Notes must be outstanding and not subject to redemption as of the relevant redemption notice date. No sinking fund is provided for the Senior convertible notes.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 and sets forth certain types of bankruptcy or insolvency events of default involving the Company after which the Senior convertible notes become automatically due and payable.</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w:t>
      </w:r>
    </w:p>
    <w:p>
      <w:pPr>
        <w:sectPr>
          <w:pgSz w:w="11900" w:h="16838" w:orient="portrait"/>
          <w:cols w:equalWidth="0" w:num="1">
            <w:col w:w="11240"/>
          </w:cols>
          <w:pgMar w:left="320" w:top="34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9" w:name="page20"/>
    <w:bookmarkEnd w:id="19"/>
    <w:p>
      <w:pPr>
        <w:ind w:right="120"/>
        <w:spacing w:after="0" w:line="257" w:lineRule="auto"/>
        <w:rPr>
          <w:sz w:val="20"/>
          <w:szCs w:val="20"/>
          <w:color w:val="auto"/>
        </w:rPr>
      </w:pPr>
      <w:r>
        <w:rPr>
          <w:rFonts w:ascii="Arial" w:cs="Arial" w:eastAsia="Arial" w:hAnsi="Arial"/>
          <w:sz w:val="18"/>
          <w:szCs w:val="18"/>
          <w:color w:val="auto"/>
        </w:rPr>
        <w:t>(other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net proceeds from the Offering were approximately $222.7 million, after deducting the initial purchasers’ discounts and commissions and the estimated Offering expenses payable by the Company.</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MidCap credit facility </w:t>
      </w:r>
      <w:r>
        <w:rPr>
          <w:rFonts w:ascii="Arial" w:cs="Arial" w:eastAsia="Arial" w:hAnsi="Arial"/>
          <w:sz w:val="18"/>
          <w:szCs w:val="18"/>
          <w:color w:val="auto"/>
        </w:rPr>
        <w:t>— In August 2019, the Company entered into the MidCap credit facility and borrowed the first advance of $40.0 million (“Tranche</w:t>
      </w:r>
      <w:r>
        <w:rPr>
          <w:rFonts w:ascii="Arial" w:cs="Arial" w:eastAsia="Arial" w:hAnsi="Arial"/>
          <w:sz w:val="18"/>
          <w:szCs w:val="18"/>
          <w:i w:val="1"/>
          <w:iCs w:val="1"/>
          <w:color w:val="auto"/>
        </w:rPr>
        <w:t xml:space="preserve"> </w:t>
      </w:r>
      <w:r>
        <w:rPr>
          <w:rFonts w:ascii="Arial" w:cs="Arial" w:eastAsia="Arial" w:hAnsi="Arial"/>
          <w:sz w:val="18"/>
          <w:szCs w:val="18"/>
          <w:color w:val="auto"/>
        </w:rPr>
        <w:t>1”) in August 2019 and the second advance of $10.0 million (“Tranche 2”) in December 2020. Under the terms of the MidCap credit facility, a third advance of $60.0 million (“Tranche 3”) will be available to the Company between January 1, 2022 and June 30, 2022, subject to the satisfaction of certain milestone conditions associated with Tyvaso DPI through the Company’s collaboration with United Therapeutics (see Note 7 – Collaboration, Licensing and Other Arrangements).</w:t>
      </w:r>
    </w:p>
    <w:p>
      <w:pPr>
        <w:spacing w:after="0" w:line="18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In December 2019, the Company entered into the first amendment to the MidCap credit facility, pursuant to which the parties agreed to (i) amend the financial covenant relating to trailing twelve month minimum Afrezza Net Revenue (as defined in the MidCap credit facility) requirements, (ii) add a condition to the third advance that requires the Company achieve certain amounts of Afrezza Net Revenue, and (iii) increase the exit fee from 6.00% to 7.00% of the principal amount of all term loans advanced to the Company under the MidCap credit facility.</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2020, the Company entered into the second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2020, the Company entered into the third amendment to the MidCap credit facility, pursuant to which the parties agreed to (i) amend the conditions to draw Tranche 2, which had become unavailable, such that the advance became available and was, in fact, funded to the Company on December 1, 2020, (ii) amend the conditions to Tranche 3 such that the third advance was available upon the satisfaction of certain conditions, including certain milestone conditions associated with Tyvaso DPI, (iii) add a covenant that requires the marketing of Tyvaso DPI if the third advance is funded, (iv) amend the financial covenant relating to trailing twelve month minimum Afrezza Net Revenue (as defined in the MidCap credit facility) requirements, (v) increase the minimum cash covenant to $30.0 million at all times, (vi) extend the interest only period until September 1, 2022, at which time principal on each term loan advance is payable in 24 equal monthly installments, and (vii) amend the prepayment fees.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connection with the extension of the interest only period for the $40.0 million drawn under Tranche 1, a $0.2 million loss on extinguishment was recognized in the consolidated statement of operations for the year ended December 31, 2020. The funding of $10.0 million under Tranche 2 resulted in the recognition of approximately $0.3 million of debt discount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debt issuance costs.</w:t>
      </w:r>
    </w:p>
    <w:p>
      <w:pPr>
        <w:spacing w:after="0" w:line="1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December 2020, the Company entered into the fourth and fifth amendments to the MidCap credit facility. Pursuant to the fourth amendment, MidCap consented to the acquisition by the Company of QrumPharma, Inc. Pursuant to the omnibus joinder and fifth amendment, QrumPharma was joined as a borrower to the MidCap credit facility and to certain related financing documents.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2021 the Company entered into the sixth amendment to the MidCap credit facility to accommodate the issuance of the Senior convertible notes. On April 22, 2021, the Company entered into the seventh amendment of the MidCap credit facility,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ind w:right="40"/>
        <w:spacing w:after="0" w:line="291" w:lineRule="auto"/>
        <w:rPr>
          <w:sz w:val="20"/>
          <w:szCs w:val="20"/>
          <w:color w:val="auto"/>
        </w:rPr>
      </w:pPr>
      <w:r>
        <w:rPr>
          <w:rFonts w:ascii="Arial" w:cs="Arial" w:eastAsia="Arial" w:hAnsi="Arial"/>
          <w:sz w:val="16"/>
          <w:szCs w:val="16"/>
          <w:color w:val="auto"/>
        </w:rPr>
        <w:t>Tranche 1, Tranche 2 and, if borrowed, Tranche 3, each accrue interest at an annual rate equal to the lesser of (i) 8.25% and (ii) the one-month LIBOR (subject to a one-month LIBOR floor of 1.00%) plus 6.25%. Interest on each term loan advance is due and payable monthly in arrears. Principal on each term loan advance under Tranche 1, Tranche 2 and, if applicable, Tranche 3 is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 Tranche 3 will be subject to a similar scheme of early termination fees measured from the anniversary of the funding date for such tranche, if ever.</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The Company is also subject to a minimum cash covenant of $10.0 million at all times; however, this covenant will be eliminated in the event that Tyvaso DPI is approved by the FDA. As of March 31, 2021, the Company was in compliance with the financial and minimum cash covenants.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Tranches 1 and 2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 The Company determined that these warrants met the criteria for equity classification and accounted for such warrants in additional paid-in capital.</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Mann Group promissory notes each accrued interest at the rate of 7.00% per year on the principal amount, payable quarterly in arrears on the first day of each calendar quarter beginning October 1, 2019. On April 22, 2021, the Company and Mann Group entered into an amendment of the Mann Group convertible note, pursuant to which the parties agreed to (i) reduce the interest rate from 7.0% to 2.5% effective on April 22, 2021, and (ii) extend the maturity date from November 3, 2024 to December 31, 2025.</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right="240"/>
        <w:spacing w:after="0" w:line="286" w:lineRule="auto"/>
        <w:rPr>
          <w:sz w:val="20"/>
          <w:szCs w:val="20"/>
          <w:color w:val="auto"/>
        </w:rPr>
      </w:pPr>
      <w:r>
        <w:rPr>
          <w:rFonts w:ascii="Arial" w:cs="Arial" w:eastAsia="Arial" w:hAnsi="Arial"/>
          <w:sz w:val="17"/>
          <w:szCs w:val="17"/>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three months ended March 31, 2021, Mann Group converted $0.4 million of interest and $9.6 million of principal into 4,000,000 shares of common stock.</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22, 2021, the Company repaid the entire principal amount of $35.1 million outstanding under the Mann Group non-convertible note, together with all accrued and unpaid interest thereon.</w:t>
      </w:r>
    </w:p>
    <w:p>
      <w:pPr>
        <w:spacing w:after="0" w:line="170" w:lineRule="exact"/>
        <w:rPr>
          <w:sz w:val="20"/>
          <w:szCs w:val="20"/>
          <w:color w:val="auto"/>
        </w:rPr>
      </w:pPr>
    </w:p>
    <w:p>
      <w:pPr>
        <w:ind w:right="20" w:firstLine="8"/>
        <w:spacing w:after="0" w:line="288" w:lineRule="auto"/>
        <w:tabs>
          <w:tab w:leader="none" w:pos="37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loan </w:t>
      </w:r>
      <w:r>
        <w:rPr>
          <w:rFonts w:ascii="Arial" w:cs="Arial" w:eastAsia="Arial" w:hAnsi="Arial"/>
          <w:sz w:val="16"/>
          <w:szCs w:val="16"/>
          <w:color w:val="auto"/>
        </w:rPr>
        <w:t>– On April 10, 2020, the Company received the proceeds from the PPP loan from JPMorgan Chase Bank, N.A., as lender, in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$4.9 million pursuant to the PPP of the CARES Act. The PPP loan matures on April 9, 2022 and bears interest at a rate of 0.98% per annum. The PPP loan is evidenced by a promissory note dated April 9, 2020, which contains customary events of default relating to, among other things, payment defaults and breaches of representations and warranties. The PPP loan may be prepaid by the Company at any time prior to maturity with no prepayment penalties. All or a portion of the PPP loan may be forgiven by the U.S. Small Business Administration (“SBA”) upon application to the lender by the Company beginning 60 days after loan approval, but not later than ten months after the end of the Company’s covered period, and upon documentation of expenditures in accordance with the SBA requirements. Principal and interest payments can be deferred up to ten months after the end of the Company’s covered period unless the Company is notified earlier of its loan forgiveness status. In the event the SBA does not authorize loan forgiveness, the deferred principal and interest will be payable to the lender and the Company will then make equal monthly payments as required to fully amortize the remaining principal amount by April 9, 2022. The Company submitted its application for forgiveness in April 2021.</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CARES Act, loan forgiveness is available for the sum of documented payroll costs, covered rent payments, covered interest and covered utilities during the 24-week period (or eight-week period at the Company’s option) beginning on the date of loan approval. For purposes of the CARES Act, payroll costs exclude compensation of an individual employee in excess of $100,000, prorated annually. Not more than 40% of the forgiven amount may be for non-payroll costs. Forgiveness is reduced if full-time headcount declines, or if salaries and wages for employees with salaries of $100,000 or less annually are reduced by more than 25%. In the event the PPP loan, or any portion thereof, is forgiven pursuant to the PPP, the amount forgiven is applied to outstanding principal. Any unforgiven portion of the PPP loan will be payable in accordance with the terms of the promissory note as described above. The Company used all proceeds from the PPP loan to retain employees, maintain payroll and make lease, interest and utility payments.</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2024 convertible notes </w:t>
      </w:r>
      <w:r>
        <w:rPr>
          <w:rFonts w:ascii="Arial" w:cs="Arial" w:eastAsia="Arial" w:hAnsi="Arial"/>
          <w:sz w:val="16"/>
          <w:szCs w:val="16"/>
          <w:color w:val="auto"/>
        </w:rPr>
        <w:t>— In August 2019, the Company issued 5.75% convertible senior subordinated exchange notes due November 2024 (the “2024</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pursuant to an indenture, dated as of August 6, 2019, between the Company and U.S. Bank National Association, as trustee (the “2019 Indenture”). The 2024 convertible notes were the Company’s general, unsecured obligations, and were subordinated in right of payment to the indebtedness incurred pursuant to the MidCap credit facility. The 2024 convertible notes ranked equally in right of payment with the Company’s other unsecured senior debt. The 2024 convertible notes accrued interest at the rate of 5.75% per year on the principal amount, payable semiannually in arrears on February 15 and August 15 of each year, beginning February 15, 2020, with interest accruing from August 6, 2019. Interest on the 2024 convertible notes was payable in cash or, at the option of the Company if certain conditions are met, in shares of the Company’s common stock at a price per share equal to the last reported sale price on the trading day immediately prior to the interest payment date.</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2024 convertible notes were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February 2021, pursuant to this option, the Company converted the $5.0 million 2024 convertible notes with the issuance of 1,666,667 shares of the Company’s common stock.</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Accretion of debt discount and amortization of debt issuance costs related to all borrowings for the three months ended March 31, 2021 and 2020 are as follows (in thousands):</w:t>
      </w:r>
    </w:p>
    <w:p>
      <w:pPr>
        <w:spacing w:after="0" w:line="175"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Three Months Ended</w:t>
      </w:r>
    </w:p>
    <w:p>
      <w:pPr>
        <w:jc w:val="center"/>
        <w:ind w:left="71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02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2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3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647"/>
        </w:trPr>
        <w:tc>
          <w:tcPr>
            <w:tcW w:w="4020" w:type="dxa"/>
            <w:vAlign w:val="bottom"/>
          </w:tcPr>
          <w:p>
            <w:pPr>
              <w:spacing w:after="0"/>
              <w:rPr>
                <w:sz w:val="24"/>
                <w:szCs w:val="24"/>
                <w:color w:val="auto"/>
              </w:rPr>
            </w:pPr>
          </w:p>
        </w:tc>
        <w:tc>
          <w:tcPr>
            <w:tcW w:w="3320" w:type="dxa"/>
            <w:vAlign w:val="bottom"/>
          </w:tcPr>
          <w:p>
            <w:pPr>
              <w:jc w:val="right"/>
              <w:ind w:right="1530"/>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60"/>
        <w:spacing w:after="0" w:line="270"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March 31, 2020 and December 31, 2020, the remaining Milestone Rights liability balance was $7.3 million, which was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fair value estimates calculated using the income approach and reduced by milestone achievement payments made. During the third quarter of 2019, the Company achieved the first Afrezza net sales milestone specified by the Milestone Rights. The Company achieved the second milestone during the three months ended March 31, 2021. As a result, the Company is required to deliver a milestone event notice to the Milestone Purchasers no later than the date of this quarterly report and make a payment of $5.0 million within three business days thereafter. The carrying value of the Milestone Rights liability related to this $5.0 million payment is approximately $1.3 million, which represents the fair value related to this payment that was determined in 2013 (the most recent measurement date). Accordingly, approximately $1.3 million in value related to the next milestone payment was recorded in accrued expenses and other current liabilities and the remaining long-term portion of $5.9 million is included as Milestone Rights liability in the accompanying condensed consolidated balance sheets as of March 31, 2021.</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Licensing and Other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months ended March 31, 2021 and 2020 are as follows (in thousands):</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-3175</wp:posOffset>
            </wp:positionV>
            <wp:extent cx="23317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Vertice Pharma Co-promotion Agreement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Cipla License and Distribution Agreement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UT Research Agreement</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(“Tyvaso DPI”) and associated inhalation delivery devices. Under the UT License Agreement, UT is responsible for global development, regulatory and commercial activities with respect to Tyvaso DPI. The Company is responsible for manufacturing clinical supplies and commercial supplies of Tyvaso DPI.</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the estimated date when its performance obligations for development activities under UT License Agreement will be substantially completed.</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expects to complete the activities specified in the development plan and to achieve the remaining milestone events (including a $2.7 million increase in total consideration pursuant to an agreement executed in December 2020) for total consideration of approximately $105.8 million, which includes an upfront payment, four milestone payments, various pass-through costs and payments for clinical supplies.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 obligation. Deferred revenue related to the UT License Agreement is being recognized in net revenue — collaborations over a 13-quarter period ending December 31, 2021, which represents the estimated period to satisfy the performance obligation.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As of March 31, 2021, the deferred revenue for the UT License Agreement consisted of $25.6 million, which was classified as current on the condensed consolidated balance sheet.</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Vertice Pharma Co-promotion Agreement </w:t>
      </w:r>
      <w:r>
        <w:rPr>
          <w:rFonts w:ascii="Arial" w:cs="Arial" w:eastAsia="Arial" w:hAnsi="Arial"/>
          <w:sz w:val="17"/>
          <w:szCs w:val="17"/>
          <w:color w:val="auto"/>
        </w:rPr>
        <w:t>— In December 2020, the Company entered into a co-promotion agreement with Vertice Pharma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is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inception of the agreement, the Company identified a single performance obligation that the Company will satisfy over time. The Company estimates the total transaction price is approximately $6.3 million, consisting of fixed consideration and the unconstrained amount of estimated variable consideration, which is based on gross profit applied to defined revenue benchmarks. The amount of variable consideration is constrained to the amount for which it is probable that a significant reversal of cumulative revenue recognized will not occur and the payments will be received.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total transaction price will be recognized over a two-year period. the period over which the Company is required to satisfy its performance obligation,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September 2019, the Company delivered its first shipment of Afrezza to Biomm and recorded it as net revenue — commercial product sales for $0.7 million, in advance of the planned launch of the product in Brazil by Biomm. During the second quarter of 2020, the Company sold $0.2 million of product to Biomm. No additional shipments were made to Biomm in 2020 or in the first quarter of 2021.</w:t>
      </w:r>
    </w:p>
    <w:p>
      <w:pPr>
        <w:spacing w:after="0" w:line="169"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i w:val="1"/>
          <w:iCs w:val="1"/>
          <w:color w:val="auto"/>
        </w:rPr>
        <w:t xml:space="preserve">Cipla License and Distribution Agreement </w:t>
      </w:r>
      <w:r>
        <w:rPr>
          <w:rFonts w:ascii="Arial" w:cs="Arial" w:eastAsia="Arial" w:hAnsi="Arial"/>
          <w:sz w:val="16"/>
          <w:szCs w:val="16"/>
          <w:color w:val="auto"/>
        </w:rPr>
        <w:t>— In May 2018, the Company and Cipla Ltd. (“Cipla”) entered into an exclusive agreement for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4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March 31, 2021, the deferred revenue balance was $1.8 million, of which $0.2 million is classified as current and $1.6 million is classified as long term in the accompanying condensed consolidated balance sheets.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value due to their relatively short maturities. The fair value of the cash equivalents, MidCap credit facility, Mann Group promissory notes, 2024 convertible notes, Senior convertible notes and Milestone Rights liabilities are disclosed below.</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Cash Equivalents and Restricted Cash</w:t>
      </w:r>
      <w:r>
        <w:rPr>
          <w:rFonts w:ascii="Arial" w:cs="Arial" w:eastAsia="Arial" w:hAnsi="Arial"/>
          <w:sz w:val="17"/>
          <w:szCs w:val="17"/>
          <w:color w:val="auto"/>
        </w:rPr>
        <w:t>— Cash equivalents consist of highly liquid investments with original or remaining maturities of 90 days or less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purchase that are readily convertible into cash. As of March 31, 2021 and December 31, 2020, the Company held $247.8 million and $67.0 million, respectively, of cash and cash equivalents. The Company held $0.2 million in restricted cash as of March 31, 2021 and December 31, 2020, which are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Investments consist of highly liquid investments that are intended to facilitate liquidity and capital preservation.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approximates their carrying value. The measurement of which is based on a market approach using quoted market values (Level 1 in the fair value hierarchy). As of March 31, 2021, the Company held $29.0 million of short-term investments and $1.5 million of long-term investments.</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(Level 3 in the fair value hierarchy)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4"/>
              </w:rPr>
              <w:t>March 31, 2021</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209.7</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non-convertible notes</w:t>
            </w:r>
            <w:r>
              <w:rPr>
                <w:rFonts w:ascii="Arial" w:cs="Arial" w:eastAsia="Arial" w:hAnsi="Arial"/>
                <w:sz w:val="15"/>
                <w:szCs w:val="15"/>
                <w:color w:val="auto"/>
              </w:rPr>
              <w:t>(4)</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PPP loan</w:t>
            </w:r>
            <w:r>
              <w:rPr>
                <w:rFonts w:ascii="Arial" w:cs="Arial" w:eastAsia="Arial" w:hAnsi="Arial"/>
                <w:sz w:val="15"/>
                <w:szCs w:val="15"/>
                <w:color w:val="auto"/>
              </w:rPr>
              <w:t>(5)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5"/>
                <w:szCs w:val="15"/>
                <w:color w:val="auto"/>
              </w:rPr>
              <w:t>(6)</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60" w:type="dxa"/>
            <w:vAlign w:val="bottom"/>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40" w:right="340" w:hanging="368"/>
        <w:spacing w:after="0" w:line="221" w:lineRule="auto"/>
        <w:tabs>
          <w:tab w:leader="none" w:pos="74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discounted cash flow analysis to the straight note with a hypothetical yield of 14% and a Monte Carlo simulation for the value of the conversion feature. A change in yield of + or – 2% would result in a fair value of $199.0 million and $221.6 million, respectively.</w:t>
      </w:r>
    </w:p>
    <w:p>
      <w:pPr>
        <w:ind w:left="740" w:right="160" w:hanging="368"/>
        <w:spacing w:after="0" w:line="206" w:lineRule="auto"/>
        <w:tabs>
          <w:tab w:leader="none" w:pos="7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$50.7 million and $54.8 million, respectively.</w:t>
      </w:r>
    </w:p>
    <w:p>
      <w:pPr>
        <w:ind w:left="740" w:right="140" w:hanging="368"/>
        <w:spacing w:after="0" w:line="222" w:lineRule="auto"/>
        <w:tabs>
          <w:tab w:leader="none" w:pos="74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discounted cash flow analysis with a hypothetical yield of 14% to the straight note and a binomial option pricing model for the value of the conversion feature. A change in yield of + or – 2% would result in a fair value of $41.3 million and $43.2 million, respectively.</w:t>
      </w:r>
    </w:p>
    <w:p>
      <w:pPr>
        <w:ind w:left="740" w:right="160" w:hanging="368"/>
        <w:spacing w:after="0" w:line="206" w:lineRule="auto"/>
        <w:tabs>
          <w:tab w:leader="none" w:pos="7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14%. A change in yield of + or – 2% would result in a fair value of $29.6 million and $33.6 million, respectively.</w:t>
      </w:r>
    </w:p>
    <w:p>
      <w:pPr>
        <w:ind w:left="740" w:right="160" w:hanging="368"/>
        <w:spacing w:after="0" w:line="206" w:lineRule="auto"/>
        <w:tabs>
          <w:tab w:leader="none" w:pos="7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$4.8 million and $4.8 million, respectively.</w:t>
      </w:r>
    </w:p>
    <w:p>
      <w:pPr>
        <w:ind w:left="740" w:hanging="368"/>
        <w:spacing w:after="0" w:line="183" w:lineRule="auto"/>
        <w:tabs>
          <w:tab w:leader="none" w:pos="74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Monte Carlo simulation.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r>
              <w:rPr>
                <w:rFonts w:ascii="Arial" w:cs="Arial" w:eastAsia="Arial" w:hAnsi="Arial"/>
                <w:sz w:val="15"/>
                <w:szCs w:val="15"/>
                <w:color w:val="auto"/>
              </w:rPr>
              <w:t>(1)</w:t>
            </w: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280" w:type="dxa"/>
            <w:vAlign w:val="bottom"/>
          </w:tcPr>
          <w:p>
            <w:pPr>
              <w:jc w:val="right"/>
              <w:ind w:right="112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49.3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(2)</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63.0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2024 convertible notes</w:t>
            </w:r>
          </w:p>
        </w:tc>
        <w:tc>
          <w:tcPr>
            <w:tcW w:w="1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60" w:type="dxa"/>
            <w:vAlign w:val="bottom"/>
          </w:tcPr>
          <w:p>
            <w:pPr>
              <w:spacing w:after="0"/>
              <w:rPr>
                <w:sz w:val="20"/>
                <w:szCs w:val="20"/>
                <w:color w:val="auto"/>
              </w:rPr>
            </w:pPr>
            <w:r>
              <w:rPr>
                <w:rFonts w:ascii="Arial" w:cs="Arial" w:eastAsia="Arial" w:hAnsi="Arial"/>
                <w:sz w:val="18"/>
                <w:szCs w:val="18"/>
                <w:color w:val="auto"/>
              </w:rPr>
              <w:t>____________________</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740" w:hanging="368"/>
        <w:spacing w:after="0" w:line="182" w:lineRule="auto"/>
        <w:tabs>
          <w:tab w:leader="none" w:pos="74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Fair value measurements were based on a discounted cash flow model, except for the Milestone rights for which a Monte Carlo simulation was applied.</w:t>
      </w:r>
    </w:p>
    <w:p>
      <w:pPr>
        <w:spacing w:after="0" w:line="50" w:lineRule="exact"/>
        <w:rPr>
          <w:rFonts w:ascii="Arial" w:cs="Arial" w:eastAsia="Arial" w:hAnsi="Arial"/>
          <w:sz w:val="23"/>
          <w:szCs w:val="23"/>
          <w:color w:val="auto"/>
          <w:vertAlign w:val="superscript"/>
        </w:rPr>
      </w:pPr>
    </w:p>
    <w:p>
      <w:pPr>
        <w:ind w:left="740" w:hanging="368"/>
        <w:spacing w:after="0" w:line="182" w:lineRule="auto"/>
        <w:tabs>
          <w:tab w:leader="none" w:pos="7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Mann Group promissory notes consisted of the following carrying values and fair values:</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Mann Group convertible notes carrying value of $28.0 million and fair value of $52.2 million.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Mann Group non-convertible notes carrying value of $35.1 million and fair value of $26.7 million.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March 31, 2021 and December 31, 2020, 249,072,677 and 242,117,089 shares of common stock, respectively, were issued and outstanding and no shares of preferred stock were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2018, the Company entered into a controlled equity offering sales agreement (the “Sales Agreement”) with Cantor Fitzgerald &amp; Co. (“Cantor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Fitzgerald”), as sales agent, pursuant to which the Company may offer and sell, from time to time, through Cantor Fitzgerald, shares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having an aggregate offering price of up to $50.0 million or such other amount as may be permitted by the Sales Agreement.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Agreement, Cantor Fitzgerald may sell shares by any method deemed to be an “at-the-market offering” as defined in Rule 415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of 1933, as amended. For the three months ended March 31, 2021, the Company sold an aggregate of 578,063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 weighted average purchase price of $3.26 per share for an aggregate gross proceeds of approximately $1.9 million pursuant to the Sales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For the three months ended March 31, 2020, the Company sold an aggregate of 412,870 shares of the Company’s common stock at an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of $1.29 per share for an aggregate gross proceeds of approximately $0.5 million pursuant to the Sales Agreement.</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the first quarter of 2021, Mann Group converted $0.4 million of interest and $9.6 million of principal into 4,000,000 shares of common stock in accordance with the terms of the Mann Group convertible note. See Note 6 – Borrowings.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February 2021, the Company converted $5.0 million principal amount of 2024 convertible notes into 1,666,667 shares of the Company’s common stock in accordance with the terms of the 2024 convertible notes. See Note 6 – Borrowings.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 (“EPS”)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EPS — basic and diluted:</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29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(12,916)</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(9,322)</w:t>
            </w: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1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246,631</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212,467</w:t>
            </w:r>
          </w:p>
        </w:tc>
        <w:tc>
          <w:tcPr>
            <w:tcW w:w="100" w:type="dxa"/>
            <w:vAlign w:val="bottom"/>
            <w:shd w:val="clear" w:color="auto" w:fill="CFF0FC"/>
          </w:tcPr>
          <w:p>
            <w:pPr>
              <w:spacing w:after="0"/>
              <w:rPr>
                <w:sz w:val="19"/>
                <w:szCs w:val="19"/>
                <w:color w:val="auto"/>
              </w:rPr>
            </w:pP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196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PNQs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11,321,734</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14,014,315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 xml:space="preserve">RSUs and Market RSUs </w:t>
            </w:r>
            <w:r>
              <w:rPr>
                <w:rFonts w:ascii="Arial" w:cs="Arial" w:eastAsia="Arial" w:hAnsi="Arial"/>
                <w:sz w:val="17"/>
                <w:szCs w:val="17"/>
                <w:color w:val="auto"/>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6,282,279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44,120,463</w:t>
            </w:r>
          </w:p>
        </w:tc>
        <w:tc>
          <w:tcPr>
            <w:tcW w:w="3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7,370,000</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associated with MidCap credit facility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1,283,467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Warrants associated with public offering</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shares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70,472,100</w:t>
            </w:r>
          </w:p>
        </w:tc>
        <w:tc>
          <w:tcPr>
            <w:tcW w:w="3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38,800,556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40" w:hanging="368"/>
        <w:spacing w:after="0" w:line="182" w:lineRule="auto"/>
        <w:tabs>
          <w:tab w:leader="none" w:pos="740" w:val="left"/>
        </w:tabs>
        <w:numPr>
          <w:ilvl w:val="1"/>
          <w:numId w:val="8"/>
        </w:numPr>
        <w:rPr>
          <w:rFonts w:ascii="Arial" w:cs="Arial" w:eastAsia="Arial" w:hAnsi="Arial"/>
          <w:sz w:val="23"/>
          <w:szCs w:val="23"/>
          <w:color w:val="auto"/>
          <w:vertAlign w:val="superscript"/>
        </w:rPr>
      </w:pPr>
      <w:r>
        <w:rPr>
          <w:rFonts w:ascii="Arial" w:cs="Arial" w:eastAsia="Arial" w:hAnsi="Arial"/>
          <w:sz w:val="15"/>
          <w:szCs w:val="15"/>
          <w:color w:val="auto"/>
        </w:rPr>
        <w:t>Market RSUs are included at the maximum share delivery percentage.</w:t>
      </w:r>
    </w:p>
    <w:p>
      <w:pPr>
        <w:spacing w:after="0" w:line="352"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three months ended March 31, 2021, the Company granted 370,137 restricted stock units to employees. The restricted stock units had a weighted average grant date fair value of $5.53 per share, of which 202,237 shares had a vesting period of 1 year and 167,900 shares had a vesting period of four years.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2021, there was $4.1 million of unrecognized stock-based compensation expense related to options and PNQs, which is expected to be recognized over a weighted average period of approximately 1.8 years, and $7.5 million and $4.9million of unrecognized stock-based compensation expense related to RSUs and Market RSUs, respectively, which is expected to be recognized over a weighted average period of approximately 3.1 and 2.2 years,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was as follows (in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provides all employees, including executive officers, the ability to purchase our common stock at a discount under our 2004 employee stock purchase plan (the “ESPP”). The ESPP is designed to comply with Section 423 of the Internal Revenue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2"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 Company issued 292,981 and 333,727 shares of common stock pursuant to the ESPP for the three months ended March 31, 2021 and 2020, respectively. There were approximately 1.3 million shares of common stock available for issuance under the ESPP as of March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Guarantees and Indemnifications </w:t>
      </w:r>
      <w:r>
        <w:rPr>
          <w:rFonts w:ascii="Arial" w:cs="Arial" w:eastAsia="Arial" w:hAnsi="Arial"/>
          <w:sz w:val="18"/>
          <w:szCs w:val="18"/>
          <w:color w:val="auto"/>
        </w:rPr>
        <w:t>— In the ordinary course of its business, the Company makes certain indemnities, commitments and guarantees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w:t>
      </w:r>
    </w:p>
    <w:p>
      <w:pPr>
        <w:sectPr>
          <w:pgSz w:w="11900" w:h="16838" w:orient="portrait"/>
          <w:cols w:equalWidth="0" w:num="1">
            <w:col w:w="11240"/>
          </w:cols>
          <w:pgMar w:left="320" w:top="34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7" w:name="page28"/>
    <w:bookmarkEnd w:id="27"/>
    <w:p>
      <w:pPr>
        <w:ind w:right="180"/>
        <w:spacing w:after="0" w:line="257" w:lineRule="auto"/>
        <w:rPr>
          <w:sz w:val="20"/>
          <w:szCs w:val="20"/>
          <w:color w:val="auto"/>
        </w:rPr>
      </w:pPr>
      <w:r>
        <w:rPr>
          <w:rFonts w:ascii="Arial" w:cs="Arial" w:eastAsia="Arial" w:hAnsi="Arial"/>
          <w:sz w:val="18"/>
          <w:szCs w:val="18"/>
          <w:color w:val="auto"/>
        </w:rPr>
        <w:t>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March 31,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has appealed this denial to the Supreme Court of Israel. The Company will continue to vigorously defend against the claims advanced.</w:t>
      </w:r>
    </w:p>
    <w:p>
      <w:pPr>
        <w:spacing w:after="0" w:line="185"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Milestone Purchasers, pursuant to which the Company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Milestone Rights to receive payments up to $90.0 million upon the occurrence of specified strategic and sales milestones, $70.0 million of which remains payable upon achievement of such milestones (see Note 6 – </w:t>
      </w:r>
      <w:r>
        <w:rPr>
          <w:rFonts w:ascii="Arial" w:cs="Arial" w:eastAsia="Arial" w:hAnsi="Arial"/>
          <w:sz w:val="16"/>
          <w:szCs w:val="16"/>
          <w:i w:val="1"/>
          <w:iCs w:val="1"/>
          <w:color w:val="auto"/>
        </w:rPr>
        <w:t>Borrowings</w:t>
      </w:r>
      <w:r>
        <w:rPr>
          <w:rFonts w:ascii="Arial" w:cs="Arial" w:eastAsia="Arial" w:hAnsi="Arial"/>
          <w:sz w:val="16"/>
          <w:szCs w:val="16"/>
          <w:color w:val="auto"/>
        </w:rPr>
        <w:t>). The fair value of the Milestone Rights is recorded in the condensed consolidated balance sheet, including $1.3 million in accrued expenses and other current liabilities and $5.9 million in milestone rights and other liabilities.</w:t>
      </w:r>
    </w:p>
    <w:p>
      <w:pPr>
        <w:spacing w:after="0" w:line="14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 for</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August 2019, the Company and Amphastar amended the Insulin Supply Agreement to extend the term to 2026 and to restructure the annual purchase commitments. As of March 31, 2021, the remaining purchase requirements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ind w:right="735"/>
              <w:spacing w:after="0"/>
              <w:rPr>
                <w:sz w:val="20"/>
                <w:szCs w:val="20"/>
                <w:color w:val="auto"/>
              </w:rPr>
            </w:pPr>
            <w:r>
              <w:rPr>
                <w:rFonts w:ascii="Arial" w:cs="Arial" w:eastAsia="Arial" w:hAnsi="Arial"/>
                <w:sz w:val="14"/>
                <w:szCs w:val="14"/>
                <w:b w:val="1"/>
                <w:bCs w:val="1"/>
                <w:color w:val="auto"/>
              </w:rPr>
              <w:t>Minimum</w:t>
            </w:r>
          </w:p>
        </w:tc>
      </w:tr>
      <w:tr>
        <w:trPr>
          <w:trHeight w:val="171"/>
        </w:trPr>
        <w:tc>
          <w:tcPr>
            <w:tcW w:w="4700" w:type="dxa"/>
            <w:vAlign w:val="bottom"/>
            <w:tcBorders>
              <w:bottom w:val="single" w:sz="8" w:color="CFF0FC"/>
            </w:tcBorders>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Commitment</w:t>
            </w:r>
          </w:p>
        </w:tc>
      </w:tr>
      <w:tr>
        <w:trPr>
          <w:trHeight w:val="223"/>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2021</w:t>
            </w:r>
          </w:p>
        </w:tc>
        <w:tc>
          <w:tcPr>
            <w:tcW w:w="4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2022</w:t>
            </w:r>
          </w:p>
        </w:tc>
        <w:tc>
          <w:tcPr>
            <w:tcW w:w="4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2023</w:t>
            </w:r>
          </w:p>
        </w:tc>
        <w:tc>
          <w:tcPr>
            <w:tcW w:w="47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2024</w:t>
            </w:r>
          </w:p>
        </w:tc>
        <w:tc>
          <w:tcPr>
            <w:tcW w:w="4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 million</w:t>
            </w:r>
          </w:p>
        </w:tc>
      </w:tr>
      <w:tr>
        <w:trPr>
          <w:trHeight w:val="229"/>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2025</w:t>
            </w:r>
          </w:p>
        </w:tc>
        <w:tc>
          <w:tcPr>
            <w:tcW w:w="47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2026</w:t>
            </w:r>
          </w:p>
        </w:tc>
        <w:tc>
          <w:tcPr>
            <w:tcW w:w="4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2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Unless terminated earlier, the term of the Insulin Supply Agreement expires on December 31, 2026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August 2019, in connection with the MidCap credit facility, the Company issued warrants to purchase an aggregate of 1,171,614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common stock, at an exercise price equal to $1.11 per share, to the lenders. On November 30, 2020, in connection with the third amendment to the MidCap credit facility, the Company issued warrants to purchase an aggregate of 111,853 shares of the Company’s common stock, at an exercise price of $2.91 per share.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During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 vehicle was removed from the fleet, resulting in a fleet size of 88 vehicles. No gain or loss was recorded. The revised monthly payment inclusive of maintenance fees, insurance and taxes is $69,000. The lease expense is included in selling, general and administrative expenses in the accompanying condensed consolidated statement of operations.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Office Leases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expires in January 2023 and provides the Company with a five-year renewal option. The lease expense is included in selling, general and administrative expenses in the accompanying condensed consolidated statement of operations.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five-year renewal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Lease information is as follows (in thousands):</w:t>
      </w:r>
    </w:p>
    <w:p>
      <w:pPr>
        <w:spacing w:after="0" w:line="1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60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FF0FC"/>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Variable lease costs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paid</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FF0FC"/>
          </w:tcPr>
          <w:p>
            <w:pPr>
              <w:spacing w:after="0"/>
              <w:rPr>
                <w:sz w:val="19"/>
                <w:szCs w:val="19"/>
                <w:color w:val="auto"/>
              </w:rPr>
            </w:pPr>
          </w:p>
        </w:tc>
      </w:tr>
      <w:tr>
        <w:trPr>
          <w:trHeight w:val="594"/>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7"/>
          </w:tcPr>
          <w:p>
            <w:pPr>
              <w:spacing w:after="0"/>
              <w:rPr>
                <w:sz w:val="20"/>
                <w:szCs w:val="20"/>
                <w:color w:val="auto"/>
              </w:rPr>
            </w:pPr>
            <w:r>
              <w:rPr>
                <w:rFonts w:ascii="Arial" w:cs="Arial" w:eastAsia="Arial" w:hAnsi="Arial"/>
                <w:sz w:val="14"/>
                <w:szCs w:val="14"/>
                <w:b w:val="1"/>
                <w:bCs w:val="1"/>
                <w:color w:val="auto"/>
              </w:rPr>
              <w:t>March 31, 2021</w:t>
            </w: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7"/>
              </w:rPr>
              <w:t>1.7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87"/>
              </w:rPr>
              <w:t>1.9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ind w:left="1120"/>
              <w:spacing w:after="0"/>
              <w:rPr>
                <w:sz w:val="20"/>
                <w:szCs w:val="20"/>
                <w:color w:val="auto"/>
              </w:rPr>
            </w:pPr>
            <w:r>
              <w:rPr>
                <w:rFonts w:ascii="Arial" w:cs="Arial" w:eastAsia="Arial" w:hAnsi="Arial"/>
                <w:sz w:val="18"/>
                <w:szCs w:val="18"/>
                <w:color w:val="auto"/>
                <w:w w:val="97"/>
              </w:rPr>
              <w:t>7.5%</w:t>
            </w:r>
          </w:p>
        </w:tc>
      </w:tr>
      <w:tr>
        <w:trPr>
          <w:trHeight w:val="431"/>
        </w:trPr>
        <w:tc>
          <w:tcPr>
            <w:tcW w:w="9560" w:type="dxa"/>
            <w:vAlign w:val="bottom"/>
            <w:gridSpan w:val="9"/>
          </w:tcPr>
          <w:p>
            <w:pPr>
              <w:spacing w:after="0"/>
              <w:rPr>
                <w:sz w:val="20"/>
                <w:szCs w:val="20"/>
                <w:color w:val="auto"/>
              </w:rPr>
            </w:pPr>
            <w:r>
              <w:rPr>
                <w:rFonts w:ascii="Arial" w:cs="Arial" w:eastAsia="Arial" w:hAnsi="Arial"/>
                <w:sz w:val="18"/>
                <w:szCs w:val="18"/>
                <w:color w:val="auto"/>
                <w:w w:val="93"/>
              </w:rPr>
              <w:t>Future minimum office and vehicle lease payments as of March 31, 2021 and December 31, 2020, are as follows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March 31, 2021</w:t>
            </w:r>
          </w:p>
        </w:tc>
        <w:tc>
          <w:tcPr>
            <w:tcW w:w="14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23"/>
        </w:trPr>
        <w:tc>
          <w:tcPr>
            <w:tcW w:w="73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2016 remain subject to examination by federal, state and foreign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2020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endocrine and orphan lung diseases. Our lead product, is Afrezza (insulin human) Inhalation Powder, an ultra rapid-acting inhaled insulin indicated to improve glycemic control in adults with diabetes, which was approved by the FDA in June 2014. Since September 2018, we have been collaborating with United Therapeutics to develop an inhaled formulation of treprostinil known as Tyvaso DPI. In April 2021, United Therapeutics submitted an NDA for Tyvaso DPI to the FDA. United Therapeutics has applied a priority review voucher to the NDA that could provide for an FDA decision by December 2021. The FDA must first accept the application for review and issue a formal review goal date in accordance with the Prescription Drug User Fee Act.</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ability to commercialize Afrezza successfully, our ability to manufacture sufficient quantities of Afrezza and Tyvaso DPI and our potential need to raise additional capital to fund our operations. Other significant risks also include the risks inherent in drug development, clinical trials and the regulatory approval process for our product candidates, which in some cases depends upon the efforts of our partners.</w:t>
      </w:r>
    </w:p>
    <w:p>
      <w:pPr>
        <w:spacing w:after="0" w:line="7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continue to manage the risk to our business posed by the global COVID-19 pandemic. Our sales representatives have resumed in-person sales calls to the extent permitted by state and local public health authorities and by the policies of individual healthcare providers on their call lists. Our offices in California and Connecticut have remained open for essential personnel and, as public health orders allow, have reopened to non-essential personnel, although many employees continue to work from home for a portion of each workweek. Although our productivity has been impacted by the global pandemic, we have suitably adapted to the changed business environment that now exists.</w:t>
      </w:r>
    </w:p>
    <w:p>
      <w:pPr>
        <w:spacing w:after="0" w:line="6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impact of the COVID-19 pandemic continues to be uncertain.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5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As of March 31, 2021, we had an accumulated deficit of $3.1 billion and a stockholders’ deficit of $173.6 million. We had net loss of $12.9 million for the three months ended March 31, 2021. To date, we have funded our operations through the sale of convertible debt securities and equity, from the receipt of upfront and milestone payments from certain collaborations, and from borrowings under certain loan arrangements and also from the sale of Afrezza.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2020.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revenue categories for the three months ended March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5"/>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13,610</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13,931</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(5,511)</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(5,931)</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Gross revenue from the sales of Afrezza decreased by $0.3 million, or 2%, for the three months ended March 31, 2021 compared to the same period in the prior year. The decrease reflects the absence of stockpiling of Afrezza during the first quarter of 2021 in contrast to the same period last year when there was a noticeable increase in prescription refills as lockdowns began to be imposed across the country in response to the emerging COVID-19 pandemic. The gross-to-net adjustment was $5.5 million (or 40% of gross revenue) for the three months ended March 31, 2021, compared to $5.9 million (or 43% of gross revenue) for the same period in the prior year. The decrease of $0.4 million was primarily driven by a decrease in accounting estimates for wholesaler distribution fees and prompt pay discounts as a result of the termination of our free goods program on December 31, 2020. As a result, net revenue from the sales of Afrezza increased by $0.1 million, or 1%, for the three months ended March 31, 2021 compared to the prior year period. Our sales force continues to have varying degrees of access to physicians due to restrictions enacted in response to the COVID-19 pandemic. This limitation on access continued to have an impact on our commercial sales during the three months ended March 31, 2021 and may continue to negatively impact our near-term revenues from Afrezza.</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Net revenue from collaborations and services increased by $1.1 million, or 13%, for the three months ended March 31, 2021 compared to the same period in the prior year. The increase in collaborations and services revenue was primarily attributed to the UT license agreement and the Vertice Pharma Co-promotion Agreement. See Note 7 – </w:t>
      </w:r>
      <w:r>
        <w:rPr>
          <w:rFonts w:ascii="Arial" w:cs="Arial" w:eastAsia="Arial" w:hAnsi="Arial"/>
          <w:sz w:val="18"/>
          <w:szCs w:val="18"/>
          <w:i w:val="1"/>
          <w:iCs w:val="1"/>
          <w:color w:val="auto"/>
        </w:rPr>
        <w:t>Collaboration, Licensing and Other Arrangements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months ended March 31,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5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6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3"/>
              </w:rPr>
              <w:t>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7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8,099</w:t>
            </w:r>
          </w:p>
        </w:tc>
        <w:tc>
          <w:tcPr>
            <w:tcW w:w="30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8,000</w:t>
            </w:r>
          </w:p>
        </w:tc>
        <w:tc>
          <w:tcPr>
            <w:tcW w:w="3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4,315</w:t>
            </w:r>
          </w:p>
        </w:tc>
        <w:tc>
          <w:tcPr>
            <w:tcW w:w="3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4,164</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r>
      <w:tr>
        <w:trPr>
          <w:trHeight w:val="263"/>
        </w:trPr>
        <w:tc>
          <w:tcPr>
            <w:tcW w:w="5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3,784</w:t>
            </w:r>
          </w:p>
        </w:tc>
        <w:tc>
          <w:tcPr>
            <w:tcW w:w="3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3,836</w:t>
            </w:r>
          </w:p>
        </w:tc>
        <w:tc>
          <w:tcPr>
            <w:tcW w:w="32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(52)</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7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Commercial product gross profit for the three months ended March 31, 2021 decreased by $0.1 million, or 1%, compared to the same period in the prior year. Gross margin for the three months ended March 31, 2021 was 47% compared to 48% for the same period in the prior year. The decrease in gross profit and gross margin was attributable to an increase in cost of goods sold. Cost of goods sold increased by $0.2 million, or 4%, for the three months ended March 31, 2021 compared to the same period in the prior year, primarily due to $1.2 million of decreased manufacturing activities, which resulted in a reduced amount of costs capitalized to inventory, partially offset by $0.5 million of inventory write-offs and $0.4 million of costs associated with lower product sales, of which $0.2 million is associated with the impact of the termination of the free goods program on December 31,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expense categories for the three months ended March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5"/>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6,204</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Gain on foreign currency translation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(1,796)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Cost of revenue — collaborations and services decreased by $0.1 million, or 2%, for the three months ended March 31, 2021 compared to the same period in the prior year. The decrease was attributable to costs incurred in the prior year period for the Cipla distribution agreement that were not incurred in the current period, partially offset by an increase in costs for the UT License agreement and the Vertice Pharma Co-promotion Agreement.</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Research and development expenses increased by $0.7 million, or 39%, for the three months ended March 31, 2021 compared to the same period in the prior year. The increase was attributable to personnel costs primarily related to increased headcount for research and development, regulatory and medical affairs.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expenses increased by $1.5 million, or 18%, for the three months ended March 31, 2021 compared to the same period in the prior year. The increase was primarily attributable to a $0.8 million increase in personnel costs primarily related to increased headcount for our Afrezza commercial team, $0.3 million in patient support services and $0.3 million in promotional and marketing activities.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General and administrative expenses increased by $1.6 million, or 26%, for the three months ended March 31, 2021 compared to the same period in the prior year. This increase was primarily attributable to personnel-related costs.</w:t>
      </w:r>
    </w:p>
    <w:p>
      <w:pPr>
        <w:spacing w:after="0" w:line="17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An impairment of $1.5 million was recognized for the three months ended March 31, 2020 for a commitment asset related to the future funding commitments of the MidCap credit facility. There were no asset impairments for the three months ended March 31, 2021.</w:t>
      </w:r>
    </w:p>
    <w:p>
      <w:pPr>
        <w:spacing w:after="0" w:line="14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increased $2.0 million for the three months ended March 31, 2021 compared to the same period in the prior year.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months ended March 31,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w w:val="95"/>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(1,071)</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(1,259)</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3"/>
        </w:trPr>
        <w:tc>
          <w:tcPr>
            <w:tcW w:w="5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-93980</wp:posOffset>
            </wp:positionV>
            <wp:extent cx="1594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Not meaningful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Interest income decreased by $0.1 million, or 98% for the three months ended March 31, 2021 compared to the same period in the prior year, due to lower short-term interest rates.</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Interest expense increased by $4.4 million for the three months ended March 31, 2021 compared to the same period in the prior year. The increase was primarily due to a $3.7 million milestone obligation that was achieved during the quarter and interest expense from the Senior convertible notes and the MidCap credit facility.</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expense consisted of a loss associated with a foreign currency hedging transaction for the three months ended March 31, 2021 which was entered to mitigate our exposure to foreign currency exchange risks associated with our insulin purchase obligation under the Insulin Supply Agreement. There was no hedging transaction for the same period in the prior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 and the sales of Afrezza.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we had $338.4 million principal amount of outstanding debt, consisting of:</w:t>
      </w:r>
    </w:p>
    <w:p>
      <w:pPr>
        <w:spacing w:after="0" w:line="117" w:lineRule="exact"/>
        <w:rPr>
          <w:sz w:val="20"/>
          <w:szCs w:val="20"/>
          <w:color w:val="auto"/>
        </w:rPr>
      </w:pPr>
    </w:p>
    <w:p>
      <w:pPr>
        <w:ind w:left="1000" w:right="40" w:hanging="493"/>
        <w:spacing w:after="0" w:line="30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 million principal amount under the MidCap credit facility, bearing interest at an annual rate equal to one-month LIBOR plus 6.75%, subject to a one-month LIBOR floor of 2.00%, payable in equal monthly installments beginning in September 2022 through maturity in August 2024.</w:t>
      </w:r>
    </w:p>
    <w:p>
      <w:pPr>
        <w:spacing w:after="0" w:line="75" w:lineRule="exact"/>
        <w:rPr>
          <w:rFonts w:ascii="Arial" w:cs="Arial" w:eastAsia="Arial" w:hAnsi="Arial"/>
          <w:sz w:val="18"/>
          <w:szCs w:val="18"/>
          <w:color w:val="auto"/>
        </w:rPr>
      </w:pPr>
    </w:p>
    <w:p>
      <w:pPr>
        <w:ind w:left="1000" w:right="20" w:hanging="493"/>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$53.5 million principal amount of indebtedness under the Mann Group promissory notes bearing interest at a fixed rate of 7.00% per annum compounded quarterly and maturing in November 2024, $18.4 million of which is convertible into shares of our common stock at the option of Mann Group at a conversion price of $2.50 per share. Interest is paid-in-kind from August 2019 until the end of 2020, after which we have the option to either pay interest in-kind or in shares.</w:t>
      </w:r>
    </w:p>
    <w:p>
      <w:pPr>
        <w:spacing w:after="0" w:line="78"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$4.9 million from a loan under the Paycheck Protection Program of the Coronavirus Aid, Relief, and Economic Security Act (the “CARES Act”), all or a portion of which may be forgiven. The PPP loan matures in April 2022 and bears interest at a rate of 0.98% per annum. Principal and interest payments can be deferred up to ten months after the end of a 24-week covered period unless we are notified earlier of our loan forgiveness status. In the event the SBA does not authorize loan forgiveness, the deferred principal and interest will be payable to the lender and we will then make equal monthly payments as required to fully amortize the remaining principal amount by April 9, 2022.</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February 2021, we elected to convert the $5.0 million principal amount of 2024 convertible notes into 1,666,667 shares of our common stock in accordance with the terms of the 2024 convertible notes. There can be no assurance that we will have sufficient resources to make any required repayments of principal under the Senior Convertible Notes, the MidCap credit facility, promissory notes or unforgiven amounts of the PPP Loan. The Senior Convertible Notes and Mann Group convertible notes are fully convertible prior to maturity as further disclosed in Note 6 – </w:t>
      </w:r>
      <w:r>
        <w:rPr>
          <w:rFonts w:ascii="Arial" w:cs="Arial" w:eastAsia="Arial" w:hAnsi="Arial"/>
          <w:sz w:val="17"/>
          <w:szCs w:val="17"/>
          <w:i w:val="1"/>
          <w:iCs w:val="1"/>
          <w:color w:val="auto"/>
        </w:rPr>
        <w:t>Borrowings</w:t>
      </w:r>
      <w:r>
        <w:rPr>
          <w:rFonts w:ascii="Arial" w:cs="Arial" w:eastAsia="Arial" w:hAnsi="Arial"/>
          <w:sz w:val="17"/>
          <w:szCs w:val="17"/>
          <w:color w:val="auto"/>
        </w:rPr>
        <w:t>.</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or unforgiven amounts of the PPP loan,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three months ended March 31, 2021, we used $12.7 million of cash for our operating activities as a result of our net loss of $12.9 million. The net change in operating asset and liabilities was primarily a result of the recognition of amortization of deferred revenue of $9.0 million, partially offset by an increase in accrued expenses and other current liabilities of $8.3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8"/>
          <w:szCs w:val="18"/>
          <w:color w:val="auto"/>
        </w:rPr>
        <w:t>During the three months ended March 31, 2020, we used $11.2 million of cash for our operating activities as a result of our net loss of $9.3 million, the increase in operating assets and liabilities of $5.3 million and non-cash charges of $3.4 million. The increase in operating asset and liabilities was primarily a result of deferred revenue amortization of $8.2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of $31.4 million for the three months ended March 31, 2021 was primarily due to the purchase of debt securities.</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Cash provided by investing activities of $19.9 million for the three months ended March 31, 2020 was primarily due to the proceeds from the sale of treasury bills.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provided by financing activities of $225.0 million for the three months ended March 31, 2021 was primarily due to net proceeds from the offering of Senior convertible notes of $222.9 million.</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Cash provided by financing activities of $0.3 million for the three months ended March 31, 2020 was primarily due to proceeds from at-the-market offerings of $0.7 million, partially offset by the payment of employment taxes related to vested restricted stock units of $0.3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Afrezza, and development costs for other product candidates in our pipeline. As of March 31, 2021, we had capital resources of $247.8 million in cash and cash equivalents, $29.0 million in short-term investments, $1.5 million in long-term investments, an accumulated deficit of $3.1 billion and total principal amount of outstanding borrowings of $338.4 million.</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March 2021, we issued $230.0 million of Senior convertible notes before offering expenses. In April 2021, we made a $10.0 million principal prepayment against outstanding term loans under the MidCap credit facility and repaid the entire principal amount of $35.1 million outstanding under the Mann Group non-convertible note (together with all accrued and unpaid interest thereon)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 As amended, the MidCap credit facility provides a secured term loan facility with an aggregate principal amount of up to $110.0 million, of which $60.0 million remains available for borrowing if the conditions for Tranche 3 are met.</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our resources will be sufficient to fund our operations for the next twelve months from the date of issuance of our condensed consolidated financial statements included in Part I – Financial Statements (Unaudited).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4" w:name="page35"/>
    <w:bookmarkEnd w:id="34"/>
    <w:p>
      <w:pPr>
        <w:ind w:right="40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jc w:val="both"/>
        <w:ind w:right="40"/>
        <w:spacing w:after="0" w:line="311" w:lineRule="auto"/>
        <w:rPr>
          <w:sz w:val="20"/>
          <w:szCs w:val="20"/>
          <w:color w:val="auto"/>
        </w:rPr>
      </w:pPr>
      <w:r>
        <w:rPr>
          <w:rFonts w:ascii="Arial" w:cs="Arial" w:eastAsia="Arial" w:hAnsi="Arial"/>
          <w:sz w:val="16"/>
          <w:szCs w:val="16"/>
          <w:color w:val="auto"/>
        </w:rPr>
        <w:t xml:space="preserve">All of our debt has fixed interest rates, so the interest expense associated with such debt is not exposed to changes in market interest rates. Specifically, the interest rate on amounts borrowed under the Mann Group promissory notes is fixed at 7.00%, the interest rate under the PPP loan is fixed at 0.98%, and the interest rate under the Senior convertible notes is fixed at 2.50%. See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information about the principal amount of outstanding debt.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February 2021, we entered into a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€7.0 million and is renewable every 90 days. We realized a $0.3 million currency loss during the three months ended March 31, 2021. This amount is recorded in other income and expense.</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Euro. For the three months ended March 31, 2021, we realized a $3.9 million currency gain, which was included in gain on foreign currency translation in the accompanying condensed consolidated statements of operations. Exchange rate fluctuations may adversely affect our expenses, results of operations, financial position and cash flows. If a change in the U.S. dollar to Euro exchange rate equal to 10% of the U.S. dollar to Euro exchange rate on March 31, 2021 were to have occurred, this change would have resulted in a foreign currency impact to our pre-tax loss of approximately $8.9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2021, our Chief Executive Officer and our Chief Financial Officer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face risks and uncertainties related to our business, many of which are beyond our control. In particular, risks associated with our business include: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940" w:right="20" w:hanging="365"/>
        <w:spacing w:after="0" w:line="25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currently dependent on the successful commercialization of our only approved product, Afrezza. The continued commercialization and development of Afrezza will require substantial capital that we may not be able to obtain.</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21" w:lineRule="exact"/>
        <w:rPr>
          <w:rFonts w:ascii="Arial" w:cs="Arial" w:eastAsia="Arial" w:hAnsi="Arial"/>
          <w:sz w:val="18"/>
          <w:szCs w:val="18"/>
          <w:color w:val="auto"/>
        </w:rPr>
      </w:pPr>
    </w:p>
    <w:p>
      <w:pPr>
        <w:ind w:left="940" w:hanging="365"/>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36" w:lineRule="exact"/>
        <w:rPr>
          <w:rFonts w:ascii="Arial" w:cs="Arial" w:eastAsia="Arial" w:hAnsi="Arial"/>
          <w:sz w:val="18"/>
          <w:szCs w:val="18"/>
          <w:color w:val="auto"/>
        </w:rPr>
      </w:pPr>
    </w:p>
    <w:p>
      <w:pPr>
        <w:ind w:left="940" w:right="40" w:hanging="365"/>
        <w:spacing w:after="0" w:line="25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1" w:lineRule="exact"/>
        <w:rPr>
          <w:rFonts w:ascii="Arial" w:cs="Arial" w:eastAsia="Arial" w:hAnsi="Arial"/>
          <w:sz w:val="18"/>
          <w:szCs w:val="18"/>
          <w:color w:val="auto"/>
        </w:rPr>
      </w:pPr>
    </w:p>
    <w:p>
      <w:pPr>
        <w:ind w:left="940" w:right="20" w:hanging="365"/>
        <w:spacing w:after="0" w:line="250"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product sales, results of operations and ability to access capital could be adversely affected by the effects of health pandemics or epidemics, including the ongoing COVID-19 pandemic.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1" w:lineRule="exact"/>
        <w:rPr>
          <w:rFonts w:ascii="Arial" w:cs="Arial" w:eastAsia="Arial" w:hAnsi="Arial"/>
          <w:sz w:val="18"/>
          <w:szCs w:val="18"/>
          <w:color w:val="auto"/>
        </w:rPr>
      </w:pPr>
    </w:p>
    <w:p>
      <w:pPr>
        <w:ind w:left="940" w:right="40" w:hanging="365"/>
        <w:spacing w:after="0" w:line="250"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21" w:lineRule="exact"/>
        <w:rPr>
          <w:rFonts w:ascii="Arial" w:cs="Arial" w:eastAsia="Arial" w:hAnsi="Arial"/>
          <w:sz w:val="18"/>
          <w:szCs w:val="18"/>
          <w:color w:val="auto"/>
        </w:rPr>
      </w:pPr>
    </w:p>
    <w:p>
      <w:pPr>
        <w:ind w:left="940" w:right="220" w:hanging="365"/>
        <w:spacing w:after="0" w:line="25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33" w:lineRule="exact"/>
        <w:rPr>
          <w:rFonts w:ascii="Arial" w:cs="Arial" w:eastAsia="Arial" w:hAnsi="Arial"/>
          <w:sz w:val="17"/>
          <w:szCs w:val="17"/>
          <w:color w:val="auto"/>
        </w:rPr>
      </w:pPr>
    </w:p>
    <w:p>
      <w:pPr>
        <w:ind w:left="940" w:right="100" w:hanging="365"/>
        <w:spacing w:after="0" w:line="25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940" w:right="700" w:hanging="365"/>
        <w:spacing w:after="0" w:line="25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commercialize our product candidates.</w:t>
      </w:r>
    </w:p>
    <w:p>
      <w:pPr>
        <w:spacing w:after="0" w:line="1" w:lineRule="exact"/>
        <w:rPr>
          <w:rFonts w:ascii="Arial" w:cs="Arial" w:eastAsia="Arial" w:hAnsi="Arial"/>
          <w:sz w:val="18"/>
          <w:szCs w:val="18"/>
          <w:color w:val="auto"/>
        </w:rPr>
      </w:pPr>
    </w:p>
    <w:p>
      <w:pPr>
        <w:ind w:left="940" w:right="80" w:hanging="365"/>
        <w:spacing w:after="0" w:line="265"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ind w:left="940" w:hanging="365"/>
        <w:spacing w:after="0" w:line="250"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ind w:left="940" w:right="80" w:hanging="365"/>
        <w:spacing w:after="0" w:line="250"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ind w:left="940" w:hanging="365"/>
        <w:spacing w:after="0" w:line="260"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940" w:right="100" w:hanging="365"/>
        <w:spacing w:after="0" w:line="271"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ind w:left="940" w:right="120" w:hanging="365"/>
        <w:spacing w:after="0" w:line="250"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21" w:lineRule="exact"/>
        <w:rPr>
          <w:rFonts w:ascii="Arial" w:cs="Arial" w:eastAsia="Arial" w:hAnsi="Arial"/>
          <w:sz w:val="18"/>
          <w:szCs w:val="18"/>
          <w:color w:val="auto"/>
        </w:rPr>
      </w:pPr>
    </w:p>
    <w:p>
      <w:pPr>
        <w:jc w:val="both"/>
        <w:ind w:left="940" w:right="120" w:hanging="365"/>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940" w:right="640" w:hanging="365"/>
        <w:spacing w:after="0" w:line="25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We may be forced to take other actions to satisfy our obligations under our indebtedness or we may experience a financial failure.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21" w:lineRule="exact"/>
        <w:rPr>
          <w:rFonts w:ascii="Arial" w:cs="Arial" w:eastAsia="Arial" w:hAnsi="Arial"/>
          <w:sz w:val="18"/>
          <w:szCs w:val="18"/>
          <w:color w:val="auto"/>
        </w:rPr>
      </w:pPr>
    </w:p>
    <w:p>
      <w:pPr>
        <w:ind w:left="940" w:right="220" w:hanging="365"/>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940" w:right="80" w:hanging="365"/>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currently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expended significant time, money and effort in the development of our only approved product, Afrezza. We anticipate that in the near term our prospects and ability to generate significant revenues will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will need to maintain and potentially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fail to achieve commercial success with Afrezza in the United States, our business, financial condition and results of operations will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package the cartridges in blister packs, and place the blister packs into foil pouches. A contract packager assembles the foil-pouched blister packs along with inhalers and package inserts into the final kits for commercial sale.</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which is the stage of production that we have now reached with Tyvaso DPI. These problems include difficulties with production costs and yields, quality control and assurance and shortages of qualified personnel. There is also a need to comply with strictly enforced federal, state and foreign regulations, including inspections. Our facility is inspected on a regular basis by the FDA with respect to the manufacture of Afrezza, most recently in June 2018; however, we anticipate that our facility will need to undergo a pre-approval inspection related to Tyvaso DPI before the FDA will approve the NDA for that product. If the FDA makes any major inspectional observations, the approval and launch of Tyvaso DPI may be delayed. The COVID-19 pandemic may adversely impact FDA’s ability to travel and conduct a pre-approval inspection, including related to a backlog of inspections that has built up over the duration of the pandemic.</w:t>
      </w:r>
    </w:p>
    <w:p>
      <w:pPr>
        <w:spacing w:after="0" w:line="18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60"/>
        <w:spacing w:after="0" w:line="263" w:lineRule="auto"/>
        <w:rPr>
          <w:sz w:val="20"/>
          <w:szCs w:val="20"/>
          <w:color w:val="auto"/>
        </w:rPr>
      </w:pPr>
      <w:r>
        <w:rPr>
          <w:rFonts w:ascii="Arial" w:cs="Arial" w:eastAsia="Arial" w:hAnsi="Arial"/>
          <w:sz w:val="18"/>
          <w:szCs w:val="18"/>
          <w:color w:val="auto"/>
        </w:rPr>
        <w:t>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March 31, 2021, we had cash and cash equivalents of $247.8 million, short-term investments of $29.0 million, long-term investments of $1.5 million and $338.4 million principal amount of outstanding debt.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5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degree to which revenue from Afrezza exceeds or does not exceed the minimum revenue covenants under the MidCap credit facility;</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67" w:lineRule="exact"/>
        <w:rPr>
          <w:rFonts w:ascii="Arial" w:cs="Arial" w:eastAsia="Arial" w:hAnsi="Arial"/>
          <w:sz w:val="16"/>
          <w:szCs w:val="16"/>
          <w:color w:val="auto"/>
        </w:rPr>
      </w:pPr>
    </w:p>
    <w:p>
      <w:pPr>
        <w:ind w:left="1000" w:right="13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67"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Tyvaso DPI and our product candidates and competitive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64"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continues to have the potential for disruption of global financial markets. This disruption, if sustained or recurrent, could prevent us or make it more difficult for us to access capital.</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through the delay, reduction or curtailment of our projects, or further reduction of costs for facilities and administration. Moreover, if we do not obtain such additional funds, there may be substantial doubt about our ability to continue as a going concern and increased risk of insolvency and up to total loss of investment to our stockholders and other security holders. If we are or become insolvent, holders of our common stock or other securities may lose the entire value of their investment.</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ongoing COVID-19 pandemic has resulted in a number of restrictions to reduce the spread of the disease, including executive orders in California and Connecticut, and several other state and local orders across the country, which, among other things, directed individuals to shelter at their places of residence, directed schools, businesses and governmental agencies to cease non-essential operations at physical locations, prohibited certain non-essential gatherings, and ordered cessation of non-essential travel. In some places, these orders have been lifted whereas other locations, including Los Angeles County where our headquarters is located, continue to be subject to restrictions. The emergence of new variants of the SARS-CoV-2 virus raises the possibility that recurring cycles of restrictions will be imposed in the future, notwithstanding vaccination efforts. The effects of state and local stay-at-home orders and our own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the COVID-19 pandemic could negatively impact our business, operating results and financial condition.</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2021, a prolonged supply interruption of certain components could adversely affect our ability to conduct commercialization activities and planned clinical trials. In addition, we believe that the severity of the COVID-19 pandemic in Brazil has the potential to negatively impact the distribution of Afrezza by our partner in that country.</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Sales and demand for Afrezza have been adversely affected by the global COVID-19 pandemic, and we expect that the COVID-19 pandemic will continue to negatively impact near-term revenues from Afrezza. Our sales representatives have not fully returned to conducting in-person office visits with healthcare providers, which impacts their productivity. Disruptions in the prescription volume of Afrezza could also occur:</w:t>
      </w:r>
    </w:p>
    <w:p>
      <w:pPr>
        <w:spacing w:after="0" w:line="5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 w:name="page41"/>
    <w:bookmarkEnd w:id="40"/>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Tyvaso DPI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still in the midst of the COVID-19 pandemic.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sought to develop our product candidates through our internal research programs. Other than Tyvaso DPI, which UT submitted for regulatory approval in April 2021,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our need to support the regulatory submission and launch preparations of Tyvaso DPI and our ongoing attention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Even if our research programs identify product candidates that initially show promise, these candidates may fail to progress to clinical development for any number of reasons, including discovery upon further research that these candidates have adverse effects or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0"/>
        <w:spacing w:after="0" w:line="263" w:lineRule="auto"/>
        <w:rPr>
          <w:sz w:val="20"/>
          <w:szCs w:val="20"/>
          <w:color w:val="auto"/>
        </w:rPr>
      </w:pPr>
      <w:r>
        <w:rPr>
          <w:rFonts w:ascii="Arial" w:cs="Arial" w:eastAsia="Arial" w:hAnsi="Arial"/>
          <w:sz w:val="18"/>
          <w:szCs w:val="18"/>
          <w:color w:val="auto"/>
        </w:rPr>
        <w:t>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March 31, 2021, we had an accumulated deficit of $3.1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March 31, 2021, there was €75.9 million remaining in aggregate purchase commitments under this agreement. We may not have the necessary capital resources to service this contractual commitment.</w:t>
      </w:r>
    </w:p>
    <w:p>
      <w:pPr>
        <w:spacing w:after="0" w:line="5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March 31, 2021, we had $338.4 million principal amount of outstanding debt, consisting of:</w:t>
      </w:r>
    </w:p>
    <w:p>
      <w:pPr>
        <w:spacing w:after="0" w:line="62" w:lineRule="exact"/>
        <w:rPr>
          <w:sz w:val="20"/>
          <w:szCs w:val="20"/>
          <w:color w:val="auto"/>
        </w:rPr>
      </w:pPr>
    </w:p>
    <w:p>
      <w:pPr>
        <w:ind w:left="1000" w:hanging="493"/>
        <w:spacing w:after="0" w:line="30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due 2026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8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$50.0 million principal amount under the MidCap credit facility, bearing interest at an annual rate equal to one-month LIBOR plus 6.75%, subject to a one-month LIBOR floor of 2.00%, payable in equal monthly installments beginning in September 2022 through maturity in August 2024.</w:t>
      </w:r>
    </w:p>
    <w:p>
      <w:pPr>
        <w:spacing w:after="0" w:line="75" w:lineRule="exact"/>
        <w:rPr>
          <w:rFonts w:ascii="Arial" w:cs="Arial" w:eastAsia="Arial" w:hAnsi="Arial"/>
          <w:sz w:val="18"/>
          <w:szCs w:val="18"/>
          <w:color w:val="auto"/>
        </w:rPr>
      </w:pPr>
    </w:p>
    <w:p>
      <w:pPr>
        <w:ind w:left="1000" w:right="4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$53.5 million principal amount of indebtedness under the Mann Group promissory notes bearing interest at a fixed rate of 7.00% per annum compounded quarterly and maturing in November 2024, $18.4 million of which is convertible into shares of our common stock at the option of Mann Group at a conversion price of $2.50 per share. Interest is paid-in-kind from August 2019 until the end of 2020, after which we have the option to either pay interest in-kind or in shares.</w:t>
      </w:r>
    </w:p>
    <w:p>
      <w:pPr>
        <w:spacing w:after="0" w:line="78" w:lineRule="exact"/>
        <w:rPr>
          <w:rFonts w:ascii="Arial" w:cs="Arial" w:eastAsia="Arial" w:hAnsi="Arial"/>
          <w:sz w:val="18"/>
          <w:szCs w:val="18"/>
          <w:color w:val="auto"/>
        </w:rPr>
      </w:pPr>
    </w:p>
    <w:p>
      <w:pPr>
        <w:ind w:left="1000" w:hanging="493"/>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$4.9 million from a loan under the Paycheck Protection Program of the CARES Act, all or a portion of which may be forgiven. The PPP loan matures in April 2022 and bears interest at a rate of 0.98% per annum. Principal and interest payments can be deferred up to ten months after the end of a 24-week covered period unless we are notified earlier of our loan forgiveness status. In the event the SBA does not authorize loan forgiveness, the deferred principal and interest will be payable to the lender and we will then make equal monthly payments as required to fully amortize the remaining principal amount by April 9, 2022.</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22, 2021, we and Mann Group entered into an amendment to the Mann Group convertible note, pursuant to which the parties agreed to (i) reduce the interest rate from 7.0% to 2.5% effective on April 22, 2021, and (ii) extend the maturity date from November 3, 2024 to December 31, 2025. On April 22, 2021, we repaid the entire principal amount of $35.1 million outstanding under the Mann Group non-convertible note, together with all accrued and unpaid interest thereon.</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or a portion of the PPP loan may be forgiven by the SBA upon application to our lender by us beginning 60 days after loan approval up to 24 weeks after the date of the loan disbursement (the “covered period”), but not later than ten months after the end of our covered period, and upon documentation of expenditures in accordance with the SBA requirements. Under the CARES Act, loan forgiveness is available for the sum of documented payroll costs, covered rent payments, covered interest and covered utilities during the 24-week period (or eight-week period at our option) beginning on the date of loan approval. Not more than 40% of the forgiven amount may be for non-payroll costs. The amount of the PPP 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right="420"/>
        <w:spacing w:after="0" w:line="277" w:lineRule="auto"/>
        <w:rPr>
          <w:sz w:val="20"/>
          <w:szCs w:val="20"/>
          <w:color w:val="auto"/>
        </w:rPr>
      </w:pPr>
      <w:r>
        <w:rPr>
          <w:rFonts w:ascii="Arial" w:cs="Arial" w:eastAsia="Arial" w:hAnsi="Arial"/>
          <w:sz w:val="18"/>
          <w:szCs w:val="18"/>
          <w:color w:val="auto"/>
        </w:rPr>
        <w:t>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the certification described above does not contain any objective criteria. In addition, the SBA has stated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are found to be in violation of any of the laws or governmental regulations that apply to us in connection with the PPP loan, including the False Claims Act, or it is otherwise determined that we were not eligible to receive the PPP loan, we may be subject to penalties, including significant civil, criminal and administrative penalties and could be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If we fail to take all actions necessary and promptly file all required reporting to ensure than no less than 90% of the PPP loan is forgiven in accordance with the loan forgiveness provisions of the PPP, we will be in violation of the consent given by MidCap with respect to such additional indebtedness, which could lead to an event of default under the MidCap credit facility. Any of these events could have a material adverse effect on our business, results of operations and financial condition.</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2021. Before one-month LIBOR is phased out, we may need to renegotiate the MidCap credit facility to replace one-month LIBOR with a new standard, which has yet to be established.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April 22, 2021, we entered into the seventh amendment of the MidCap credit facility,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our obligation to issue a warrant to purchase shares of our common stock upon drawing down the third advance, (iv) extend the interest-only period until September 1, 2023 and extend the maturity date until August 1, 2025, (v) amend the financial covenant relating to trailing 12 month minimum Afrezza net revenue to eliminate the requirement to test compliance so long as we have $90.0 million or more of unrestricted cash, (vi) decrease the minimum cash covenant from $30.0 million to $10.0 million at all times and eliminate the minimum cash covenant in the event that Tyvaso DPI is approved by the FDA, (viii) permit us to make certain acquisitions, subject to requirements, and (ix) permit us to make investments of up to an additional $9.0 million so long as we have $90.0 million or more of unrestricted cash following such investment. Concurrent with entering into this amendment, we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MidCap credit facility, we must comply with a minimum cash covenant of $10.0 million at all times and may be required to comply with additional covenants in the future under certain circumstances. Further, the MidCap credit facility requires us, and any debt arrangements we may enter into in the future may require us, to comply with various covenants that limit our ability to, among other things:</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if we fail to repay or repurchase the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80"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5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2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5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60"/>
        <w:spacing w:after="0" w:line="277" w:lineRule="auto"/>
        <w:rPr>
          <w:sz w:val="20"/>
          <w:szCs w:val="20"/>
          <w:color w:val="auto"/>
        </w:rPr>
      </w:pPr>
      <w:r>
        <w:rPr>
          <w:rFonts w:ascii="Arial" w:cs="Arial" w:eastAsia="Arial" w:hAnsi="Arial"/>
          <w:sz w:val="18"/>
          <w:szCs w:val="18"/>
          <w:color w:val="auto"/>
        </w:rPr>
        <w:t>supply source in a timely manner and on favorable terms, our business, financial condition, and results of operations may be harmed and the market price of our common stock and other securities may decline.</w:t>
      </w:r>
    </w:p>
    <w:p>
      <w:pPr>
        <w:spacing w:after="0" w:line="2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5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5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this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the Centers for Medicare &amp; Medicaid Services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6" w:name="page47"/>
    <w:bookmarkEnd w:id="46"/>
    <w:p>
      <w:pPr>
        <w:ind w:right="60"/>
        <w:spacing w:after="0" w:line="257" w:lineRule="auto"/>
        <w:rPr>
          <w:sz w:val="20"/>
          <w:szCs w:val="20"/>
          <w:color w:val="auto"/>
        </w:rPr>
      </w:pPr>
      <w:r>
        <w:rPr>
          <w:rFonts w:ascii="Arial" w:cs="Arial" w:eastAsia="Arial" w:hAnsi="Arial"/>
          <w:sz w:val="18"/>
          <w:szCs w:val="18"/>
          <w:color w:val="auto"/>
        </w:rPr>
        <w:t>proposals or legislation. For example, it is possible that additional governmental action is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 Even if favorable coverage and reimbursement status is attained for Afrezza or our product candidates for which we or our collaborators receive regulatory approval,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jc w:val="both"/>
        <w:ind w:right="40"/>
        <w:spacing w:after="0" w:line="287" w:lineRule="auto"/>
        <w:rPr>
          <w:sz w:val="20"/>
          <w:szCs w:val="20"/>
          <w:color w:val="auto"/>
        </w:rPr>
      </w:pPr>
      <w:r>
        <w:rPr>
          <w:rFonts w:ascii="Arial" w:cs="Arial" w:eastAsia="Arial" w:hAnsi="Arial"/>
          <w:sz w:val="16"/>
          <w:szCs w:val="16"/>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33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of December 31, 2020, we had federal and state net operating loss carryforwards of $2.4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2020, to determine whether additional limitations may be placed on our net operating loss carryforwards and other tax attributes, and no additional changes in ownership that met the Section 382 ownership change threshold were identified through December 31, 2020. There is a risk that changes in ownership may occur in tax years after December 31, 2020.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w:t>
      </w:r>
    </w:p>
    <w:p>
      <w:pPr>
        <w:spacing w:after="0" w:line="11"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2023.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60"/>
        <w:spacing w:after="0" w:line="255" w:lineRule="auto"/>
        <w:rPr>
          <w:sz w:val="20"/>
          <w:szCs w:val="20"/>
          <w:color w:val="auto"/>
        </w:rPr>
      </w:pPr>
      <w:r>
        <w:rPr>
          <w:rFonts w:ascii="Arial" w:cs="Arial" w:eastAsia="Arial" w:hAnsi="Arial"/>
          <w:sz w:val="18"/>
          <w:szCs w:val="18"/>
          <w:color w:val="auto"/>
        </w:rPr>
        <w:t>2019, the plaintiff brought a motion to amend his claim, which the court denied in January 2020. The plaintiff has appealed this denial to the Supreme Court of Israel.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Tyvaso DPI.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4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us to conduct certain additional clinical studies of Afrezza. We expect to initiate one of these studies, a Phase 3 clinical trial to evaluate the safety and efficacy of Afrezza in 8-17 year-old children and adolescents, later in 2021, subject to the easing of restrictions due to COVID-19. In addition,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ind w:right="20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5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5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such regulations also can result in adverse publicity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jc w:val="both"/>
        <w:ind w:right="140"/>
        <w:spacing w:after="0" w:line="263" w:lineRule="auto"/>
        <w:rPr>
          <w:sz w:val="20"/>
          <w:szCs w:val="20"/>
          <w:color w:val="auto"/>
        </w:rPr>
      </w:pPr>
      <w:r>
        <w:rPr>
          <w:rFonts w:ascii="Arial" w:cs="Arial" w:eastAsia="Arial" w:hAnsi="Arial"/>
          <w:sz w:val="18"/>
          <w:szCs w:val="18"/>
          <w:color w:val="auto"/>
        </w:rPr>
        <w:t>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1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44"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20"/>
        <w:spacing w:after="0" w:line="284" w:lineRule="auto"/>
        <w:rPr>
          <w:sz w:val="20"/>
          <w:szCs w:val="20"/>
          <w:color w:val="auto"/>
        </w:rPr>
      </w:pPr>
      <w:r>
        <w:rPr>
          <w:rFonts w:ascii="Arial" w:cs="Arial" w:eastAsia="Arial" w:hAnsi="Arial"/>
          <w:sz w:val="16"/>
          <w:szCs w:val="16"/>
          <w:color w:val="auto"/>
        </w:rPr>
        <w:t>There have been executive, judicial and congressional challenges to certain provisions of the PPACA. President Trump signed Executive Orders and other directives designed to eliminate the implementation of certain provisions of the PPACA or otherwise circumvent some of the requirements for health insurance mandated by the PPACA. Concurrently, Congress considered legislation that would repeal or repeal and replace all or part of the PPACA. While Congress has not passed comprehensive repeal legislation, several bills affecting the implementation of certain taxes under the PPACA have been signed into law. The Tax Act included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The United States Supreme Court is currently reviewing this case, but it is unknown when a decision will be reached. On February 10, 2021, the Biden administration withdrew the federal government’s support for overturning the PPACA. Although the United States Supreme Court has yet ruled on the constitutionality of the PPACA, on January 28, 2021, President Biden issued an executive order to initiate a special enrollment period for purposes of obtaining health insurance coverage through the PPACA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Supreme Court rule, other such litigation, the healthcare reform measures of the Biden administration will impact the PPACA and our business.</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However, COVID-19 relief legislation suspended the 2% Medicare sequester from May 1, 2020 through December 31, 2021.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in response to the COVID-19 pandemic.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00" w:right="180" w:hanging="493"/>
        <w:spacing w:after="0" w:line="25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00" w:right="400"/>
        <w:spacing w:after="0" w:line="277" w:lineRule="auto"/>
        <w:rPr>
          <w:sz w:val="20"/>
          <w:szCs w:val="20"/>
          <w:color w:val="auto"/>
        </w:rPr>
      </w:pPr>
      <w:r>
        <w:rPr>
          <w:rFonts w:ascii="Arial" w:cs="Arial" w:eastAsia="Arial" w:hAnsi="Arial"/>
          <w:sz w:val="18"/>
          <w:szCs w:val="18"/>
          <w:color w:val="auto"/>
        </w:rPr>
        <w:t>induce, or in return for, either the referral of an individual or the purchase or recommendation of an item or service reimbursable under a federal healthcare program, such as the Medicare and Medicaid programs;</w:t>
      </w:r>
    </w:p>
    <w:p>
      <w:pPr>
        <w:spacing w:after="0" w:line="62" w:lineRule="exact"/>
        <w:rPr>
          <w:sz w:val="20"/>
          <w:szCs w:val="20"/>
          <w:color w:val="auto"/>
        </w:rPr>
      </w:pPr>
    </w:p>
    <w:p>
      <w:pPr>
        <w:ind w:left="1000" w:hanging="493"/>
        <w:spacing w:after="0" w:line="273"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jc w:val="both"/>
        <w:ind w:left="1000" w:right="4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40" w:right="160" w:hanging="519"/>
        <w:spacing w:after="0" w:line="285"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 In addition, in May 2018, the European Union, or EU,</w:t>
      </w:r>
    </w:p>
    <w:p>
      <w:pPr>
        <w:spacing w:after="0" w:line="1" w:lineRule="exact"/>
        <w:rPr>
          <w:rFonts w:ascii="Arial" w:cs="Arial" w:eastAsia="Arial" w:hAnsi="Arial"/>
          <w:sz w:val="16"/>
          <w:szCs w:val="16"/>
          <w:color w:val="auto"/>
        </w:rPr>
      </w:pPr>
    </w:p>
    <w:p>
      <w:pPr>
        <w:ind w:left="1040" w:right="80"/>
        <w:spacing w:after="0" w:line="253" w:lineRule="auto"/>
        <w:rPr>
          <w:rFonts w:ascii="Arial" w:cs="Arial" w:eastAsia="Arial" w:hAnsi="Arial"/>
          <w:sz w:val="16"/>
          <w:szCs w:val="16"/>
          <w:color w:val="auto"/>
        </w:rPr>
      </w:pPr>
      <w:r>
        <w:rPr>
          <w:rFonts w:ascii="Arial" w:cs="Arial" w:eastAsia="Arial" w:hAnsi="Arial"/>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82" w:lineRule="exact"/>
        <w:rPr>
          <w:rFonts w:ascii="Arial" w:cs="Arial" w:eastAsia="Arial" w:hAnsi="Arial"/>
          <w:sz w:val="16"/>
          <w:szCs w:val="16"/>
          <w:color w:val="auto"/>
        </w:rPr>
      </w:pPr>
    </w:p>
    <w:p>
      <w:pPr>
        <w:ind w:left="1040" w:right="60" w:hanging="519"/>
        <w:spacing w:after="0" w:line="273" w:lineRule="auto"/>
        <w:tabs>
          <w:tab w:leader="none" w:pos="10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69" w:lineRule="exact"/>
        <w:rPr>
          <w:rFonts w:ascii="Arial" w:cs="Arial" w:eastAsia="Arial" w:hAnsi="Arial"/>
          <w:sz w:val="17"/>
          <w:szCs w:val="17"/>
          <w:color w:val="auto"/>
        </w:rPr>
      </w:pPr>
    </w:p>
    <w:p>
      <w:pPr>
        <w:ind w:left="1040" w:right="40" w:hanging="519"/>
        <w:spacing w:after="0" w:line="293"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and teaching hospitals, and ownership and investment interests held by physicians and other healthcare providers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 and</w:t>
      </w:r>
    </w:p>
    <w:p>
      <w:pPr>
        <w:spacing w:after="0" w:line="56" w:lineRule="exact"/>
        <w:rPr>
          <w:rFonts w:ascii="Arial" w:cs="Arial" w:eastAsia="Arial" w:hAnsi="Arial"/>
          <w:sz w:val="16"/>
          <w:szCs w:val="16"/>
          <w:color w:val="auto"/>
        </w:rPr>
      </w:pPr>
    </w:p>
    <w:p>
      <w:pPr>
        <w:ind w:left="1000" w:hanging="493"/>
        <w:spacing w:after="0" w:line="271"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payer,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line="279" w:lineRule="auto"/>
        <w:rPr>
          <w:sz w:val="20"/>
          <w:szCs w:val="20"/>
          <w:color w:val="auto"/>
        </w:rPr>
      </w:pPr>
      <w:r>
        <w:rPr>
          <w:rFonts w:ascii="Arial" w:cs="Arial" w:eastAsia="Arial" w:hAnsi="Arial"/>
          <w:sz w:val="17"/>
          <w:szCs w:val="17"/>
          <w:color w:val="auto"/>
        </w:rPr>
        <w:t>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average manufacturer price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120"/>
        <w:spacing w:after="0" w:line="275" w:lineRule="auto"/>
        <w:rPr>
          <w:sz w:val="20"/>
          <w:szCs w:val="20"/>
          <w:color w:val="auto"/>
        </w:rPr>
      </w:pPr>
      <w:r>
        <w:rPr>
          <w:rFonts w:ascii="Arial" w:cs="Arial" w:eastAsia="Arial" w:hAnsi="Arial"/>
          <w:sz w:val="17"/>
          <w:szCs w:val="17"/>
          <w:color w:val="auto"/>
        </w:rPr>
        <w:t>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extends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right="80"/>
        <w:spacing w:after="0" w:line="308" w:lineRule="auto"/>
        <w:rPr>
          <w:sz w:val="20"/>
          <w:szCs w:val="20"/>
          <w:color w:val="auto"/>
        </w:rPr>
      </w:pPr>
      <w:r>
        <w:rPr>
          <w:rFonts w:ascii="Arial" w:cs="Arial" w:eastAsia="Arial" w:hAnsi="Arial"/>
          <w:sz w:val="17"/>
          <w:szCs w:val="17"/>
          <w:color w:val="auto"/>
        </w:rPr>
        <w:t>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do not believe that Afrezza infringes any third-party patents, if a plaintiff was to allege that Afrezza infringed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1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69" w:lineRule="exact"/>
        <w:rPr>
          <w:rFonts w:ascii="Arial" w:cs="Arial" w:eastAsia="Arial" w:hAnsi="Arial"/>
          <w:sz w:val="17"/>
          <w:szCs w:val="17"/>
          <w:color w:val="auto"/>
        </w:rPr>
      </w:pPr>
    </w:p>
    <w:p>
      <w:pPr>
        <w:ind w:left="1000" w:right="180" w:hanging="493"/>
        <w:spacing w:after="0" w:line="27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April 30, 2021, we had 249,157,354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1000" w:right="22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ind w:right="30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As previously reported, in August 2019 we issued the Mann Group convertible note, which is convertible into shares of the Company’s common stock at $2.50 per share. In accordance with the terms of the Mann Group convertible note, Mann Group converted (i) $5.0 million of principal into 2,000,000 shares of common stock on January 8, 2021, and (ii) $0.4 million of interest and $4.6 million of principal into an additional 2,000,000 shares of common stock on February 4, 2021.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relied on an exemption from registration provided by Section 3(a)(9) of the Securities Act of 1933, as amended, for the issuance of the shares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20" w:type="dxa"/>
            <w:vAlign w:val="bottom"/>
            <w:gridSpan w:val="20"/>
            <w:vMerge w:val="restart"/>
          </w:tcPr>
          <w:p>
            <w:pPr>
              <w:ind w:left="2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0000EE"/>
                <w:w w:val="98"/>
              </w:rPr>
            </w:pPr>
            <w:hyperlink r:id="rId87">
              <w:r>
                <w:rPr>
                  <w:rFonts w:ascii="Arial" w:cs="Arial" w:eastAsia="Arial" w:hAnsi="Arial"/>
                  <w:sz w:val="18"/>
                  <w:szCs w:val="18"/>
                  <w:color w:val="0000EE"/>
                  <w:w w:val="98"/>
                </w:rPr>
                <w:t>Amended and Restated Certificate of Incorporation (incorporated by reference to Exhibit 3.1 to MannKind’s Quarterly Report 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10-Q (File No. 000-50865), filed with the SEC on August 9, 2016).</w:t>
              </w:r>
            </w:hyperlink>
          </w:p>
        </w:tc>
        <w:tc>
          <w:tcPr>
            <w:tcW w:w="4000" w:type="dxa"/>
            <w:vAlign w:val="bottom"/>
            <w:tcBorders>
              <w:top w:val="single" w:sz="8" w:color="0000EE"/>
            </w:tcBorders>
            <w:gridSpan w:val="8"/>
          </w:tcPr>
          <w:p>
            <w:pPr>
              <w:spacing w:after="0"/>
              <w:rPr>
                <w:sz w:val="17"/>
                <w:szCs w:val="17"/>
                <w:color w:val="auto"/>
              </w:rPr>
            </w:pPr>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Exhibit 3.1 to MannKind’s Current Report on Form 8-K (File No. 000-50865), filed with the SEC on March 2, 2017).</w:t>
              </w:r>
            </w:hyperlink>
          </w:p>
        </w:tc>
        <w:tc>
          <w:tcPr>
            <w:tcW w:w="1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Exhibit 3.1 to MannKind’s Current Report on Form 8-K (File No. 000-50865), filed with the SEC on December 13, 2017).</w:t>
              </w:r>
            </w:hyperlink>
          </w:p>
        </w:tc>
        <w:tc>
          <w:tcPr>
            <w:tcW w:w="1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560" w:type="dxa"/>
            <w:vAlign w:val="bottom"/>
            <w:tcBorders>
              <w:bottom w:val="single" w:sz="8" w:color="0000EE"/>
            </w:tcBorders>
            <w:gridSpan w:val="26"/>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Amended and Restated Bylaws (incorporated by reference to Exhibit 3.2 to MannKind’s Current Report on Form 8-K (File No. 000-</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50865)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SEC on May 27, 2020).</w:t>
              </w:r>
            </w:hyperlink>
          </w:p>
        </w:tc>
        <w:tc>
          <w:tcPr>
            <w:tcW w:w="6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7">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8">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89">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90">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1">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5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Milestone Rights Purchase Agreement, dated as of July 1, 2013, by and among MannKind, Deerfield Private Design Fund II, L.P.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Horizon Santé FLML SÁRL (incorporated by reference to Exhibit 99.3 to MannKind’s Current Report on Form 8-K (File No. 000-</w:t>
              </w:r>
            </w:hyperlink>
          </w:p>
        </w:tc>
        <w:tc>
          <w:tcPr>
            <w:tcW w:w="180" w:type="dxa"/>
            <w:vAlign w:val="bottom"/>
            <w:tcBorders>
              <w:top w:val="single" w:sz="8" w:color="0000EE"/>
            </w:tcBorders>
            <w:gridSpan w:val="5"/>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7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2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540" w:type="dxa"/>
            <w:vAlign w:val="bottom"/>
            <w:tcBorders>
              <w:bottom w:val="single" w:sz="8" w:color="0000EE"/>
            </w:tcBorders>
            <w:gridSpan w:val="25"/>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Warrant to Purchase Stock issued to MidCap Financial Trust on August 6, 2019 (incorporated by reference to Exhibit 4.1 to</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0" w:type="dxa"/>
            <w:vAlign w:val="bottom"/>
            <w:gridSpan w:val="1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600" w:type="dxa"/>
            <w:vAlign w:val="bottom"/>
            <w:tcBorders>
              <w:bottom w:val="single" w:sz="8" w:color="0000EE"/>
            </w:tcBorders>
            <w:gridSpan w:val="27"/>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5.75% Convertible Senior Subordinated Exchange Notes Due 2024 (incorporated by reference to Exhibit 4.2 to MannKind’s</w:t>
              </w:r>
            </w:hyperlink>
          </w:p>
        </w:tc>
        <w:tc>
          <w:tcPr>
            <w:tcW w:w="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0" w:type="dxa"/>
            <w:vAlign w:val="bottom"/>
            <w:gridSpan w:val="14"/>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Indenture, dated as of August 6, 2019, by and between MannKind Corporation and U.S. Bank National Association (incorporated by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reference to Exhibit 4.3 to MannKind’s Current Report on Form 8-K (File No. 000-50865), filed with the SEC on August 7, 2019).</w:t>
              </w:r>
            </w:hyperlink>
          </w:p>
        </w:tc>
        <w:tc>
          <w:tcPr>
            <w:tcW w:w="80" w:type="dxa"/>
            <w:vAlign w:val="bottom"/>
            <w:tcBorders>
              <w:top w:val="single" w:sz="8" w:color="0000EE"/>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reference to Exhibit 4.6 to MannKind’s Current Report on Form 8-K (File No. 000-50865), filed with the SEC on August 7, 2019).</w:t>
              </w:r>
            </w:hyperlink>
          </w:p>
        </w:tc>
        <w:tc>
          <w:tcPr>
            <w:tcW w:w="380" w:type="dxa"/>
            <w:vAlign w:val="bottom"/>
            <w:tcBorders>
              <w:top w:val="single" w:sz="8" w:color="0000EE"/>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9980" w:type="dxa"/>
            <w:vAlign w:val="bottom"/>
            <w:gridSpan w:val="32"/>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Exhibit 4.7 to MannKind’s Current Report on Form 8-K (File No. 000-50865), filed with the SEC on August 7, 2019).</w:t>
              </w:r>
            </w:hyperlink>
          </w:p>
        </w:tc>
        <w:tc>
          <w:tcPr>
            <w:tcW w:w="1280" w:type="dxa"/>
            <w:vAlign w:val="bottom"/>
            <w:tcBorders>
              <w:top w:val="single" w:sz="8" w:color="0000EE"/>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2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Promissory Note, dated April 9, 2020, by and between MannKind Corporation and JPMorgan Chase Bank, N.A. (incorporated by</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32"/>
          </w:tcPr>
          <w:p>
            <w:pPr>
              <w:spacing w:after="0" w:line="196" w:lineRule="exact"/>
              <w:rPr>
                <w:rFonts w:ascii="Arial" w:cs="Arial" w:eastAsia="Arial" w:hAnsi="Arial"/>
                <w:sz w:val="18"/>
                <w:szCs w:val="18"/>
                <w:color w:val="0000EE"/>
                <w:w w:val="97"/>
              </w:rPr>
            </w:pPr>
            <w:hyperlink r:id="rId98">
              <w:r>
                <w:rPr>
                  <w:rFonts w:ascii="Arial" w:cs="Arial" w:eastAsia="Arial" w:hAnsi="Arial"/>
                  <w:sz w:val="18"/>
                  <w:szCs w:val="18"/>
                  <w:color w:val="0000EE"/>
                  <w:w w:val="97"/>
                </w:rPr>
                <w:t>reference to Exhibit 99.1 to MannKind’s Current Report on Form 8-K (File No. 000-50865), filed with the SEC on April 15, 2020)</w:t>
              </w:r>
            </w:hyperlink>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Indenture, dated as of March 4, 2021, by and between MannKind Corporation and U.S. Bank National Association, as Trustee</w:t>
              </w:r>
            </w:hyperlink>
          </w:p>
        </w:tc>
        <w:tc>
          <w:tcPr>
            <w:tcW w:w="360" w:type="dxa"/>
            <w:vAlign w:val="bottom"/>
            <w:tcBorders>
              <w:top w:val="single" w:sz="8" w:color="0000EE"/>
            </w:tcBorders>
            <w:gridSpan w:val="3"/>
          </w:tcPr>
          <w:p>
            <w:pPr>
              <w:spacing w:after="0"/>
              <w:rPr>
                <w:sz w:val="24"/>
                <w:szCs w:val="24"/>
                <w:color w:val="auto"/>
              </w:rPr>
            </w:pPr>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80" w:type="dxa"/>
            <w:vAlign w:val="bottom"/>
            <w:gridSpan w:val="32"/>
          </w:tcPr>
          <w:p>
            <w:pPr>
              <w:spacing w:after="0"/>
              <w:rPr>
                <w:sz w:val="20"/>
                <w:szCs w:val="20"/>
                <w:color w:val="auto"/>
              </w:rPr>
            </w:pPr>
            <w:r>
              <w:rPr>
                <w:rFonts w:ascii="Arial" w:cs="Arial" w:eastAsia="Arial" w:hAnsi="Arial"/>
                <w:sz w:val="18"/>
                <w:szCs w:val="18"/>
                <w:color w:val="auto"/>
                <w:w w:val="93"/>
              </w:rPr>
              <w:t>(incorporated by reference to Exhibit 4.1 to MannKind’s Current Report on Form 8-K (File No. 000-50865), filed with the SEC on March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rPr>
              <w:t>5, 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1120" w:type="dxa"/>
            <w:vAlign w:val="bottom"/>
          </w:tcPr>
          <w:p>
            <w:pPr>
              <w:spacing w:after="0"/>
              <w:rPr>
                <w:sz w:val="24"/>
                <w:szCs w:val="24"/>
                <w:color w:val="auto"/>
              </w:rPr>
            </w:pPr>
          </w:p>
        </w:tc>
        <w:tc>
          <w:tcPr>
            <w:tcW w:w="5440" w:type="dxa"/>
            <w:vAlign w:val="bottom"/>
            <w:gridSpan w:val="14"/>
          </w:tcPr>
          <w:p>
            <w:pPr>
              <w:jc w:val="right"/>
              <w:ind w:right="768"/>
              <w:spacing w:after="0"/>
              <w:rPr>
                <w:sz w:val="20"/>
                <w:szCs w:val="20"/>
                <w:color w:val="auto"/>
              </w:rPr>
            </w:pPr>
            <w:r>
              <w:rPr>
                <w:rFonts w:ascii="Arial" w:cs="Arial" w:eastAsia="Arial" w:hAnsi="Arial"/>
                <w:sz w:val="18"/>
                <w:szCs w:val="18"/>
                <w:color w:val="auto"/>
              </w:rPr>
              <w:t>63</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520" w:type="dxa"/>
            <w:vAlign w:val="bottom"/>
            <w:gridSpan w:val="10"/>
            <w:vMerge w:val="restart"/>
          </w:tcPr>
          <w:p>
            <w:pPr>
              <w:ind w:left="7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180"/>
              <w:spacing w:after="0" w:line="169" w:lineRule="exact"/>
              <w:rPr>
                <w:sz w:val="20"/>
                <w:szCs w:val="20"/>
                <w:color w:val="auto"/>
              </w:rPr>
            </w:pPr>
            <w:r>
              <w:rPr>
                <w:rFonts w:ascii="Arial" w:cs="Arial" w:eastAsia="Arial" w:hAnsi="Arial"/>
                <w:sz w:val="18"/>
                <w:szCs w:val="18"/>
                <w:color w:val="auto"/>
              </w:rPr>
              <w:t>4.11</w:t>
            </w:r>
          </w:p>
        </w:tc>
        <w:tc>
          <w:tcPr>
            <w:tcW w:w="9960" w:type="dxa"/>
            <w:vAlign w:val="bottom"/>
            <w:gridSpan w:val="14"/>
          </w:tcPr>
          <w:p>
            <w:pPr>
              <w:spacing w:after="0" w:line="169"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Form of Global Note, representing MannKind Corporation’s 2.50% Convertible Senior Notes due 2026 (included as Exhibit A to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 xml:space="preserve">Indenture filed as Exhibit 4.15) </w:t>
              </w:r>
              <w:r>
                <w:rPr>
                  <w:rFonts w:ascii="Arial" w:cs="Arial" w:eastAsia="Arial" w:hAnsi="Arial"/>
                  <w:sz w:val="18"/>
                  <w:szCs w:val="18"/>
                  <w:color w:val="000000"/>
                  <w:w w:val="92"/>
                </w:rPr>
                <w:t>(incorporated by reference to Exhibit 4.2 to MannKind’s Current Report on Form 8-K (File No. 000-</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auto"/>
              </w:rPr>
              <w:t>50865), filed with the SEC on March 5, 2021).</w:t>
            </w:r>
          </w:p>
        </w:tc>
        <w:tc>
          <w:tcPr>
            <w:tcW w:w="0" w:type="dxa"/>
            <w:vAlign w:val="bottom"/>
          </w:tcPr>
          <w:p>
            <w:pPr>
              <w:spacing w:after="0"/>
              <w:rPr>
                <w:sz w:val="1"/>
                <w:szCs w:val="1"/>
                <w:color w:val="auto"/>
              </w:rPr>
            </w:pPr>
          </w:p>
        </w:tc>
      </w:tr>
      <w:tr>
        <w:trPr>
          <w:trHeight w:val="297"/>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Amendment No. 6 to Credit and Security Agreement, dated March 1, 2021, by and among MannKind Corporation, MannKind LLC,</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 xml:space="preserve">QrumPharma, Inc., and MidCap Financial Trust </w:t>
              </w:r>
              <w:r>
                <w:rPr>
                  <w:rFonts w:ascii="Arial" w:cs="Arial" w:eastAsia="Arial" w:hAnsi="Arial"/>
                  <w:sz w:val="18"/>
                  <w:szCs w:val="18"/>
                  <w:color w:val="000000"/>
                  <w:w w:val="93"/>
                </w:rPr>
                <w:t xml:space="preserve">(incorporated by reference to Exhibit 99.1 to MannKind’s Current Report on Form </w:t>
              </w:r>
            </w:hyperlink>
            <w:r>
              <w:rPr>
                <w:rFonts w:ascii="Arial" w:cs="Arial" w:eastAsia="Arial" w:hAnsi="Arial"/>
                <w:sz w:val="18"/>
                <w:szCs w:val="18"/>
                <w:color w:val="0000EE"/>
                <w:w w:val="93"/>
              </w:rPr>
              <w:t>8</w:t>
            </w:r>
            <w:r>
              <w:rPr>
                <w:rFonts w:ascii="Arial" w:cs="Arial" w:eastAsia="Arial" w:hAnsi="Arial"/>
                <w:sz w:val="18"/>
                <w:szCs w:val="18"/>
                <w:color w:val="000000"/>
                <w:w w:val="93"/>
              </w:rPr>
              <w:t>-K</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auto"/>
              </w:rPr>
              <w:t>(File No. 000-50865), filed with the SEC on March 5, 2021).</w:t>
            </w:r>
          </w:p>
        </w:tc>
        <w:tc>
          <w:tcPr>
            <w:tcW w:w="0" w:type="dxa"/>
            <w:vAlign w:val="bottom"/>
          </w:tcPr>
          <w:p>
            <w:pPr>
              <w:spacing w:after="0"/>
              <w:rPr>
                <w:sz w:val="1"/>
                <w:szCs w:val="1"/>
                <w:color w:val="auto"/>
              </w:rPr>
            </w:pPr>
          </w:p>
        </w:tc>
      </w:tr>
      <w:tr>
        <w:trPr>
          <w:trHeight w:val="297"/>
        </w:trPr>
        <w:tc>
          <w:tcPr>
            <w:tcW w:w="1280" w:type="dxa"/>
            <w:vAlign w:val="bottom"/>
          </w:tcPr>
          <w:p>
            <w:pPr>
              <w:ind w:left="100"/>
              <w:spacing w:after="0"/>
              <w:rPr>
                <w:sz w:val="20"/>
                <w:szCs w:val="20"/>
                <w:color w:val="auto"/>
              </w:rPr>
            </w:pPr>
            <w:r>
              <w:rPr>
                <w:rFonts w:ascii="Arial" w:cs="Arial" w:eastAsia="Arial" w:hAnsi="Arial"/>
                <w:sz w:val="18"/>
                <w:szCs w:val="18"/>
                <w:color w:val="auto"/>
              </w:rPr>
              <w:t>10.2</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Amendment No. 7 to Credit and Security Agreement, dated April 22, 2021, by and among MannKind Corporation, MannKind LLC,</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 xml:space="preserve">QrumPharma, Inc., and MidCap Financial Trust </w:t>
              </w:r>
              <w:r>
                <w:rPr>
                  <w:rFonts w:ascii="Arial" w:cs="Arial" w:eastAsia="Arial" w:hAnsi="Arial"/>
                  <w:sz w:val="18"/>
                  <w:szCs w:val="18"/>
                  <w:color w:val="000000"/>
                  <w:w w:val="93"/>
                </w:rPr>
                <w:t xml:space="preserve">(incorporated by reference to Exhibit 99.1 to MannKind’s Current Report on Form </w:t>
              </w:r>
            </w:hyperlink>
            <w:r>
              <w:rPr>
                <w:rFonts w:ascii="Arial" w:cs="Arial" w:eastAsia="Arial" w:hAnsi="Arial"/>
                <w:sz w:val="18"/>
                <w:szCs w:val="18"/>
                <w:color w:val="0000EE"/>
                <w:w w:val="93"/>
              </w:rPr>
              <w:t>8</w:t>
            </w:r>
            <w:r>
              <w:rPr>
                <w:rFonts w:ascii="Arial" w:cs="Arial" w:eastAsia="Arial" w:hAnsi="Arial"/>
                <w:sz w:val="18"/>
                <w:szCs w:val="18"/>
                <w:color w:val="000000"/>
                <w:w w:val="93"/>
              </w:rPr>
              <w:t>-K</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auto"/>
              </w:rPr>
              <w:t>(File No. 000-50865), filed with the SEC on April 26, 2021).</w:t>
            </w:r>
          </w:p>
        </w:tc>
        <w:tc>
          <w:tcPr>
            <w:tcW w:w="0" w:type="dxa"/>
            <w:vAlign w:val="bottom"/>
          </w:tcPr>
          <w:p>
            <w:pPr>
              <w:spacing w:after="0"/>
              <w:rPr>
                <w:sz w:val="1"/>
                <w:szCs w:val="1"/>
                <w:color w:val="auto"/>
              </w:rPr>
            </w:pPr>
          </w:p>
        </w:tc>
      </w:tr>
      <w:tr>
        <w:trPr>
          <w:trHeight w:val="297"/>
        </w:trPr>
        <w:tc>
          <w:tcPr>
            <w:tcW w:w="1280" w:type="dxa"/>
            <w:vAlign w:val="bottom"/>
          </w:tcPr>
          <w:p>
            <w:pPr>
              <w:ind w:left="100"/>
              <w:spacing w:after="0"/>
              <w:rPr>
                <w:sz w:val="20"/>
                <w:szCs w:val="20"/>
                <w:color w:val="auto"/>
              </w:rPr>
            </w:pPr>
            <w:r>
              <w:rPr>
                <w:rFonts w:ascii="Arial" w:cs="Arial" w:eastAsia="Arial" w:hAnsi="Arial"/>
                <w:sz w:val="18"/>
                <w:szCs w:val="18"/>
                <w:color w:val="auto"/>
              </w:rPr>
              <w:t>10.3</w:t>
            </w:r>
          </w:p>
        </w:tc>
        <w:tc>
          <w:tcPr>
            <w:tcW w:w="9960" w:type="dxa"/>
            <w:vAlign w:val="bottom"/>
            <w:gridSpan w:val="14"/>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Amendment No. 1 to Convertible Promissory Note, dated April 22, 2021, by and between MannKind Corporation and The Mann Group</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 xml:space="preserve">LLC </w:t>
              </w:r>
              <w:r>
                <w:rPr>
                  <w:rFonts w:ascii="Arial" w:cs="Arial" w:eastAsia="Arial" w:hAnsi="Arial"/>
                  <w:sz w:val="18"/>
                  <w:szCs w:val="18"/>
                  <w:color w:val="000000"/>
                  <w:w w:val="93"/>
                </w:rPr>
                <w:t>(incorporated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auto"/>
              </w:rPr>
              <w:t>April 26, 2021).</w:t>
            </w:r>
          </w:p>
        </w:tc>
        <w:tc>
          <w:tcPr>
            <w:tcW w:w="0" w:type="dxa"/>
            <w:vAlign w:val="bottom"/>
          </w:tcPr>
          <w:p>
            <w:pPr>
              <w:spacing w:after="0"/>
              <w:rPr>
                <w:sz w:val="1"/>
                <w:szCs w:val="1"/>
                <w:color w:val="auto"/>
              </w:rPr>
            </w:pPr>
          </w:p>
        </w:tc>
      </w:tr>
      <w:tr>
        <w:trPr>
          <w:trHeight w:val="297"/>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the Chief Executive Officer pursuant to Rules 13a-14(a) and 15d-14(a) of the Securities Exchange Act of 1934, as</w:t>
              </w:r>
            </w:hyperlink>
          </w:p>
        </w:tc>
        <w:tc>
          <w:tcPr>
            <w:tcW w:w="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amended.</w:t>
              </w:r>
            </w:hyperlink>
          </w:p>
        </w:tc>
        <w:tc>
          <w:tcPr>
            <w:tcW w:w="92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9960" w:type="dxa"/>
            <w:vAlign w:val="bottom"/>
            <w:gridSpan w:val="14"/>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Certification of the Chief Financial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amended.</w:t>
              </w:r>
            </w:hyperlink>
          </w:p>
        </w:tc>
        <w:tc>
          <w:tcPr>
            <w:tcW w:w="8600" w:type="dxa"/>
            <w:vAlign w:val="bottom"/>
            <w:tcBorders>
              <w:top w:val="single" w:sz="8" w:color="0000EE"/>
            </w:tcBorders>
            <w:gridSpan w:val="5"/>
          </w:tcPr>
          <w:p>
            <w:pPr>
              <w:spacing w:after="0"/>
              <w:rPr>
                <w:sz w:val="17"/>
                <w:szCs w:val="17"/>
                <w:color w:val="auto"/>
              </w:rPr>
            </w:pPr>
          </w:p>
        </w:tc>
        <w:tc>
          <w:tcPr>
            <w:tcW w:w="6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32.1</w:t>
            </w:r>
          </w:p>
        </w:tc>
        <w:tc>
          <w:tcPr>
            <w:tcW w:w="9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the Chief Executive Officer pursuant to Rules 13a-14(b) and 15d-14(b) of the Securities Exchange Act of 1934, as</w:t>
              </w:r>
            </w:hyperlink>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amended and Section 1350 of Chapter 63 of Title 18 of the United States Code (18 U.S.C. §1350).</w:t>
              </w:r>
            </w:hyperlink>
          </w:p>
        </w:tc>
        <w:tc>
          <w:tcPr>
            <w:tcW w:w="28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32.2</w:t>
            </w:r>
          </w:p>
        </w:tc>
        <w:tc>
          <w:tcPr>
            <w:tcW w:w="9960" w:type="dxa"/>
            <w:vAlign w:val="bottom"/>
            <w:gridSpan w:val="14"/>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Certification of the Chief Financial Officer pursuant to Rules 13a-14(b) and 15d-14(b)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amended and Section 1350 of Chapter 63 of Title 18 of the United States Code (18 U.S.C. §1350).</w:t>
              </w:r>
            </w:hyperlink>
          </w:p>
        </w:tc>
        <w:tc>
          <w:tcPr>
            <w:tcW w:w="6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70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2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80" w:hanging="1182"/>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has been formatted in Inline XBRL.</w:t>
      </w:r>
    </w:p>
    <w:p>
      <w:pPr>
        <w:spacing w:after="0" w:line="252"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May 12, 2021</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337"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2021,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12th day of May,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43"/>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2021,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12th day of May,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45"/>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upperLetter"/>
      <w:start w:val="68"/>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upperLetter"/>
      <w:start w:val="68"/>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lvl w:ilvl="1">
      <w:lvlJc w:val="left"/>
      <w:lvlText w:val="(%2)"/>
      <w:numFmt w:val="decimal"/>
      <w:start w:val="1"/>
    </w:lvl>
  </w:abstractNum>
  <w:abstractNum w:abstractNumId="8">
    <w:nsid w:val="54E49EB4"/>
    <w:multiLevelType w:val="hybridMultilevel"/>
    <w:lvl w:ilvl="0">
      <w:lvlJc w:val="left"/>
      <w:lvlText w:val="%1."/>
      <w:numFmt w:val="decimal"/>
      <w:start w:val="11"/>
    </w:lvl>
    <w:lvl w:ilvl="1">
      <w:lvlJc w:val="left"/>
      <w:lvlText w:val="%2"/>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lvl w:ilvl="1">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04"/>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5"/>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87" Type="http://schemas.openxmlformats.org/officeDocument/2006/relationships/hyperlink" Target="http://www.sec.gov/Archives/edgar/data/899460/000119312516676980/d225552dex31.htm" TargetMode="External"/><Relationship Id="rId88" Type="http://schemas.openxmlformats.org/officeDocument/2006/relationships/hyperlink" Target="http://www.sec.gov/Archives/edgar/data/899460/000119312517066630/d313758dex31.htm" TargetMode="External"/><Relationship Id="rId89" Type="http://schemas.openxmlformats.org/officeDocument/2006/relationships/hyperlink" Target="http://www.sec.gov/Archives/edgar/data/899460/000119312517368329/d511527dex31.htm" TargetMode="External"/><Relationship Id="rId90" Type="http://schemas.openxmlformats.org/officeDocument/2006/relationships/hyperlink" Target="http://www.sec.gov/Archives/edgar/data/899460/000119312520153051/d936164dex31.htm" TargetMode="External"/><Relationship Id="rId91" Type="http://schemas.openxmlformats.org/officeDocument/2006/relationships/hyperlink" Target="http://www.sec.gov/Archives/edgar/data/899460/000119312520153051/d936164dex32.htm" TargetMode="External"/><Relationship Id="rId92" Type="http://schemas.openxmlformats.org/officeDocument/2006/relationships/hyperlink" Target="http://www.sec.gov/Archives/edgar/data/899460/000119312517085519/d305327dex42.htm" TargetMode="External"/><Relationship Id="rId93" Type="http://schemas.openxmlformats.org/officeDocument/2006/relationships/hyperlink" Target="http://www.sec.gov/Archives/edgar/data/899460/000119312513279522/d562665dex993.htm" TargetMode="External"/><Relationship Id="rId94" Type="http://schemas.openxmlformats.org/officeDocument/2006/relationships/hyperlink" Target="http://www.sec.gov/Archives/edgar/data/899460/000119312519215305/d757696dex41.htm" TargetMode="External"/><Relationship Id="rId95" Type="http://schemas.openxmlformats.org/officeDocument/2006/relationships/hyperlink" Target="http://www.sec.gov/Archives/edgar/data/899460/000119312519215305/d757696dex43.htm" TargetMode="External"/><Relationship Id="rId96" Type="http://schemas.openxmlformats.org/officeDocument/2006/relationships/hyperlink" Target="http://www.sec.gov/Archives/edgar/data/899460/000119312519215305/d757696dex46.htm" TargetMode="External"/><Relationship Id="rId97" Type="http://schemas.openxmlformats.org/officeDocument/2006/relationships/hyperlink" Target="http://www.sec.gov/Archives/edgar/data/899460/000119312519215305/d757696dex47.htm" TargetMode="External"/><Relationship Id="rId98" Type="http://schemas.openxmlformats.org/officeDocument/2006/relationships/hyperlink" Target="http://www.sec.gov/Archives/edgar/data/899460/000119312520107670/d895756dex991.htm" TargetMode="External"/><Relationship Id="rId99" Type="http://schemas.openxmlformats.org/officeDocument/2006/relationships/hyperlink" Target="http://www.sec.gov/Archives/edgar/data/899460/000119312521070265/d45565dex41.htm" TargetMode="External"/><Relationship Id="rId102" Type="http://schemas.openxmlformats.org/officeDocument/2006/relationships/hyperlink" Target="http://www.sec.gov/Archives/edgar/data/899460/000119312521070265/d45565dex41.htm#exa" TargetMode="External"/><Relationship Id="rId103" Type="http://schemas.openxmlformats.org/officeDocument/2006/relationships/hyperlink" Target="http://www.sec.gov/Archives/edgar/data/899460/000119312521070265/d45565dex991.htm" TargetMode="External"/><Relationship Id="rId104" Type="http://schemas.openxmlformats.org/officeDocument/2006/relationships/hyperlink" Target="http://www.sec.gov/Archives/edgar/data/899460/000119312521130221/d174090dex991.htm" TargetMode="External"/><Relationship Id="rId105" Type="http://schemas.openxmlformats.org/officeDocument/2006/relationships/hyperlink" Target="http://www.sec.gov/Archives/edgar/data/899460/000119312521130221/d174090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2021-05-12T15:32:57Z</dcterms:created>
  <dcterms:modified xsi:type="dcterms:W3CDTF">2021-05-12T15:32:57Z</dcterms:modified>
</cp:coreProperties>
</file>