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Form 10-K</w:t>
      </w:r>
    </w:p>
    <w:p>
      <w:pPr>
        <w:spacing w:after="0" w:line="58" w:lineRule="exact"/>
        <w:rPr>
          <w:sz w:val="20"/>
          <w:szCs w:val="20"/>
          <w:color w:val="auto"/>
        </w:rPr>
      </w:pPr>
    </w:p>
    <w:p>
      <w:pPr>
        <w:ind w:left="1640" w:hanging="767"/>
        <w:spacing w:after="0"/>
        <w:tabs>
          <w:tab w:leader="none" w:pos="1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640"/>
        <w:spacing w:after="0"/>
        <w:rPr>
          <w:sz w:val="20"/>
          <w:szCs w:val="20"/>
          <w:color w:val="auto"/>
        </w:rPr>
      </w:pPr>
      <w:r>
        <w:rPr>
          <w:rFonts w:ascii="Arial" w:cs="Arial" w:eastAsia="Arial" w:hAnsi="Arial"/>
          <w:sz w:val="13"/>
          <w:szCs w:val="13"/>
          <w:b w:val="1"/>
          <w:bCs w:val="1"/>
          <w:color w:val="auto"/>
        </w:rPr>
        <w:t>For the fiscal year ended December 31, 2006</w:t>
      </w:r>
    </w:p>
    <w:p>
      <w:pPr>
        <w:spacing w:after="0" w:line="13"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640" w:hanging="737"/>
        <w:spacing w:after="0"/>
        <w:tabs>
          <w:tab w:leader="none" w:pos="16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8" w:lineRule="exact"/>
        <w:rPr>
          <w:sz w:val="20"/>
          <w:szCs w:val="20"/>
          <w:color w:val="auto"/>
        </w:rPr>
      </w:pPr>
    </w:p>
    <w:tbl>
      <w:tblPr>
        <w:tblLayout w:type="fixed"/>
        <w:tblInd w:w="1640" w:type="dxa"/>
        <w:tblCellMar>
          <w:top w:w="0" w:type="dxa"/>
          <w:left w:w="0" w:type="dxa"/>
          <w:bottom w:w="0" w:type="dxa"/>
          <w:right w:w="0" w:type="dxa"/>
        </w:tblCellMar>
      </w:tblPr>
      <w:tr>
        <w:trPr>
          <w:trHeight w:val="169"/>
        </w:trPr>
        <w:tc>
          <w:tcPr>
            <w:tcW w:w="202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320" w:type="dxa"/>
            <w:vAlign w:val="bottom"/>
          </w:tcPr>
          <w:p>
            <w:pPr>
              <w:spacing w:after="0"/>
              <w:rPr>
                <w:sz w:val="20"/>
                <w:szCs w:val="20"/>
                <w:color w:val="auto"/>
              </w:rPr>
            </w:pPr>
            <w:r>
              <w:rPr>
                <w:rFonts w:ascii="Arial" w:cs="Arial" w:eastAsia="Arial" w:hAnsi="Arial"/>
                <w:sz w:val="13"/>
                <w:szCs w:val="13"/>
                <w:b w:val="1"/>
                <w:bCs w:val="1"/>
                <w:color w:val="auto"/>
              </w:rPr>
              <w:t>to</w:t>
            </w:r>
          </w:p>
        </w:tc>
        <w:tc>
          <w:tcPr>
            <w:tcW w:w="4880" w:type="dxa"/>
            <w:vAlign w:val="bottom"/>
          </w:tcPr>
          <w:p>
            <w:pPr>
              <w:jc w:val="right"/>
              <w:ind w:right="4650"/>
              <w:spacing w:after="0"/>
              <w:rPr>
                <w:sz w:val="20"/>
                <w:szCs w:val="20"/>
                <w:color w:val="auto"/>
              </w:rPr>
            </w:pPr>
            <w:r>
              <w:rPr>
                <w:rFonts w:ascii="Arial" w:cs="Arial" w:eastAsia="Arial" w:hAnsi="Arial"/>
                <w:sz w:val="13"/>
                <w:szCs w:val="13"/>
                <w:b w:val="1"/>
                <w:bCs w:val="1"/>
                <w:color w:val="auto"/>
              </w:rPr>
              <w:t>.</w:t>
            </w:r>
          </w:p>
        </w:tc>
      </w:tr>
      <w:tr>
        <w:trPr>
          <w:trHeight w:val="251"/>
        </w:trPr>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80" w:type="dxa"/>
            <w:vAlign w:val="bottom"/>
          </w:tcPr>
          <w:p>
            <w:pPr>
              <w:jc w:val="center"/>
              <w:ind w:right="1310"/>
              <w:spacing w:after="0"/>
              <w:rPr>
                <w:sz w:val="20"/>
                <w:szCs w:val="20"/>
                <w:color w:val="auto"/>
              </w:rPr>
            </w:pPr>
            <w:r>
              <w:rPr>
                <w:rFonts w:ascii="Arial" w:cs="Arial" w:eastAsia="Arial" w:hAnsi="Arial"/>
                <w:sz w:val="13"/>
                <w:szCs w:val="13"/>
                <w:b w:val="1"/>
                <w:bCs w:val="1"/>
                <w:color w:val="auto"/>
                <w:w w:val="91"/>
              </w:rPr>
              <w:t>Commission file number: 000-50865</w:t>
            </w:r>
          </w:p>
        </w:tc>
      </w:tr>
      <w:tr>
        <w:trPr>
          <w:trHeight w:val="401"/>
        </w:trPr>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80" w:type="dxa"/>
            <w:vAlign w:val="bottom"/>
          </w:tcPr>
          <w:p>
            <w:pPr>
              <w:jc w:val="center"/>
              <w:ind w:right="1290"/>
              <w:spacing w:after="0"/>
              <w:rPr>
                <w:sz w:val="20"/>
                <w:szCs w:val="20"/>
                <w:color w:val="auto"/>
              </w:rPr>
            </w:pPr>
            <w:r>
              <w:rPr>
                <w:rFonts w:ascii="Arial" w:cs="Arial" w:eastAsia="Arial" w:hAnsi="Arial"/>
                <w:sz w:val="31"/>
                <w:szCs w:val="31"/>
                <w:b w:val="1"/>
                <w:bCs w:val="1"/>
                <w:color w:val="auto"/>
                <w:w w:val="96"/>
              </w:rPr>
              <w:t>MannKind Corporation</w:t>
            </w:r>
          </w:p>
        </w:tc>
      </w:tr>
      <w:tr>
        <w:trPr>
          <w:trHeight w:val="131"/>
        </w:trPr>
        <w:tc>
          <w:tcPr>
            <w:tcW w:w="2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80" w:type="dxa"/>
            <w:vAlign w:val="bottom"/>
          </w:tcPr>
          <w:p>
            <w:pPr>
              <w:jc w:val="center"/>
              <w:ind w:right="1310"/>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93"/>
        </w:trPr>
        <w:tc>
          <w:tcPr>
            <w:tcW w:w="2020" w:type="dxa"/>
            <w:vAlign w:val="bottom"/>
          </w:tcPr>
          <w:p>
            <w:pPr>
              <w:jc w:val="center"/>
              <w:ind w:left="740"/>
              <w:spacing w:after="0"/>
              <w:rPr>
                <w:sz w:val="20"/>
                <w:szCs w:val="20"/>
                <w:color w:val="auto"/>
              </w:rPr>
            </w:pPr>
            <w:r>
              <w:rPr>
                <w:rFonts w:ascii="Arial" w:cs="Arial" w:eastAsia="Arial" w:hAnsi="Arial"/>
                <w:sz w:val="13"/>
                <w:szCs w:val="13"/>
                <w:b w:val="1"/>
                <w:bCs w:val="1"/>
                <w:color w:val="auto"/>
                <w:w w:val="94"/>
              </w:rPr>
              <w:t>Delaware</w:t>
            </w:r>
          </w:p>
        </w:tc>
        <w:tc>
          <w:tcPr>
            <w:tcW w:w="320" w:type="dxa"/>
            <w:vAlign w:val="bottom"/>
          </w:tcPr>
          <w:p>
            <w:pPr>
              <w:spacing w:after="0"/>
              <w:rPr>
                <w:sz w:val="16"/>
                <w:szCs w:val="16"/>
                <w:color w:val="auto"/>
              </w:rPr>
            </w:pPr>
          </w:p>
        </w:tc>
        <w:tc>
          <w:tcPr>
            <w:tcW w:w="4880" w:type="dxa"/>
            <w:vAlign w:val="bottom"/>
          </w:tcPr>
          <w:p>
            <w:pPr>
              <w:jc w:val="right"/>
              <w:spacing w:after="0"/>
              <w:rPr>
                <w:sz w:val="20"/>
                <w:szCs w:val="20"/>
                <w:color w:val="auto"/>
              </w:rPr>
            </w:pPr>
            <w:r>
              <w:rPr>
                <w:rFonts w:ascii="Arial" w:cs="Arial" w:eastAsia="Arial" w:hAnsi="Arial"/>
                <w:sz w:val="13"/>
                <w:szCs w:val="13"/>
                <w:b w:val="1"/>
                <w:bCs w:val="1"/>
                <w:color w:val="auto"/>
              </w:rPr>
              <w:t>13-3607736</w:t>
            </w:r>
          </w:p>
        </w:tc>
      </w:tr>
      <w:tr>
        <w:trPr>
          <w:trHeight w:val="131"/>
        </w:trPr>
        <w:tc>
          <w:tcPr>
            <w:tcW w:w="2020" w:type="dxa"/>
            <w:vAlign w:val="bottom"/>
          </w:tcPr>
          <w:p>
            <w:pPr>
              <w:jc w:val="center"/>
              <w:ind w:left="740"/>
              <w:spacing w:after="0"/>
              <w:rPr>
                <w:sz w:val="20"/>
                <w:szCs w:val="20"/>
                <w:color w:val="auto"/>
              </w:rPr>
            </w:pPr>
            <w:r>
              <w:rPr>
                <w:rFonts w:ascii="Arial" w:cs="Arial" w:eastAsia="Arial" w:hAnsi="Arial"/>
                <w:sz w:val="10"/>
                <w:szCs w:val="10"/>
                <w:i w:val="1"/>
                <w:iCs w:val="1"/>
                <w:color w:val="auto"/>
                <w:w w:val="97"/>
              </w:rPr>
              <w:t>(State or other jurisdiction of</w:t>
            </w:r>
          </w:p>
        </w:tc>
        <w:tc>
          <w:tcPr>
            <w:tcW w:w="320" w:type="dxa"/>
            <w:vAlign w:val="bottom"/>
          </w:tcPr>
          <w:p>
            <w:pPr>
              <w:spacing w:after="0"/>
              <w:rPr>
                <w:sz w:val="11"/>
                <w:szCs w:val="11"/>
                <w:color w:val="auto"/>
              </w:rPr>
            </w:pPr>
          </w:p>
        </w:tc>
        <w:tc>
          <w:tcPr>
            <w:tcW w:w="4880" w:type="dxa"/>
            <w:vAlign w:val="bottom"/>
          </w:tcPr>
          <w:p>
            <w:pPr>
              <w:jc w:val="center"/>
              <w:ind w:left="4070"/>
              <w:spacing w:after="0"/>
              <w:rPr>
                <w:sz w:val="20"/>
                <w:szCs w:val="20"/>
                <w:color w:val="auto"/>
              </w:rPr>
            </w:pPr>
            <w:r>
              <w:rPr>
                <w:rFonts w:ascii="Arial" w:cs="Arial" w:eastAsia="Arial" w:hAnsi="Arial"/>
                <w:sz w:val="10"/>
                <w:szCs w:val="10"/>
                <w:i w:val="1"/>
                <w:iCs w:val="1"/>
                <w:color w:val="auto"/>
                <w:w w:val="95"/>
              </w:rPr>
              <w:t>(I.R.S. Employer</w:t>
            </w:r>
          </w:p>
        </w:tc>
      </w:tr>
      <w:tr>
        <w:trPr>
          <w:trHeight w:val="157"/>
        </w:trPr>
        <w:tc>
          <w:tcPr>
            <w:tcW w:w="2340" w:type="dxa"/>
            <w:vAlign w:val="bottom"/>
            <w:gridSpan w:val="2"/>
          </w:tcPr>
          <w:p>
            <w:pPr>
              <w:jc w:val="center"/>
              <w:ind w:left="420"/>
              <w:spacing w:after="0"/>
              <w:rPr>
                <w:sz w:val="20"/>
                <w:szCs w:val="20"/>
                <w:color w:val="auto"/>
              </w:rPr>
            </w:pPr>
            <w:r>
              <w:rPr>
                <w:rFonts w:ascii="Arial" w:cs="Arial" w:eastAsia="Arial" w:hAnsi="Arial"/>
                <w:sz w:val="10"/>
                <w:szCs w:val="10"/>
                <w:i w:val="1"/>
                <w:iCs w:val="1"/>
                <w:color w:val="auto"/>
                <w:w w:val="99"/>
              </w:rPr>
              <w:t>incorporation or organization)</w:t>
            </w:r>
          </w:p>
        </w:tc>
        <w:tc>
          <w:tcPr>
            <w:tcW w:w="4880" w:type="dxa"/>
            <w:vAlign w:val="bottom"/>
          </w:tcPr>
          <w:p>
            <w:pPr>
              <w:jc w:val="center"/>
              <w:ind w:left="4050"/>
              <w:spacing w:after="0"/>
              <w:rPr>
                <w:sz w:val="20"/>
                <w:szCs w:val="20"/>
                <w:color w:val="auto"/>
              </w:rPr>
            </w:pPr>
            <w:r>
              <w:rPr>
                <w:rFonts w:ascii="Arial" w:cs="Arial" w:eastAsia="Arial" w:hAnsi="Arial"/>
                <w:sz w:val="10"/>
                <w:szCs w:val="10"/>
                <w:i w:val="1"/>
                <w:iCs w:val="1"/>
                <w:color w:val="auto"/>
                <w:w w:val="97"/>
              </w:rPr>
              <w:t>Identification No.)</w:t>
            </w:r>
          </w:p>
        </w:tc>
      </w:tr>
      <w:tr>
        <w:trPr>
          <w:trHeight w:val="262"/>
        </w:trPr>
        <w:tc>
          <w:tcPr>
            <w:tcW w:w="2340" w:type="dxa"/>
            <w:vAlign w:val="bottom"/>
            <w:gridSpan w:val="2"/>
          </w:tcPr>
          <w:p>
            <w:pPr>
              <w:jc w:val="center"/>
              <w:ind w:left="400"/>
              <w:spacing w:after="0"/>
              <w:rPr>
                <w:sz w:val="20"/>
                <w:szCs w:val="20"/>
                <w:color w:val="auto"/>
              </w:rPr>
            </w:pPr>
            <w:r>
              <w:rPr>
                <w:rFonts w:ascii="Arial" w:cs="Arial" w:eastAsia="Arial" w:hAnsi="Arial"/>
                <w:sz w:val="13"/>
                <w:szCs w:val="13"/>
                <w:b w:val="1"/>
                <w:bCs w:val="1"/>
                <w:color w:val="auto"/>
                <w:w w:val="90"/>
              </w:rPr>
              <w:t>28903 North Avenue Paine</w:t>
            </w:r>
          </w:p>
        </w:tc>
        <w:tc>
          <w:tcPr>
            <w:tcW w:w="4880" w:type="dxa"/>
            <w:vAlign w:val="bottom"/>
          </w:tcPr>
          <w:p>
            <w:pPr>
              <w:jc w:val="right"/>
              <w:ind w:right="150"/>
              <w:spacing w:after="0"/>
              <w:rPr>
                <w:sz w:val="20"/>
                <w:szCs w:val="20"/>
                <w:color w:val="auto"/>
              </w:rPr>
            </w:pPr>
            <w:r>
              <w:rPr>
                <w:rFonts w:ascii="Arial" w:cs="Arial" w:eastAsia="Arial" w:hAnsi="Arial"/>
                <w:sz w:val="13"/>
                <w:szCs w:val="13"/>
                <w:b w:val="1"/>
                <w:bCs w:val="1"/>
                <w:color w:val="auto"/>
              </w:rPr>
              <w:t>91355</w:t>
            </w:r>
          </w:p>
        </w:tc>
      </w:tr>
      <w:tr>
        <w:trPr>
          <w:trHeight w:val="157"/>
        </w:trPr>
        <w:tc>
          <w:tcPr>
            <w:tcW w:w="2020" w:type="dxa"/>
            <w:vAlign w:val="bottom"/>
          </w:tcPr>
          <w:p>
            <w:pPr>
              <w:jc w:val="center"/>
              <w:ind w:left="720"/>
              <w:spacing w:after="0"/>
              <w:rPr>
                <w:sz w:val="20"/>
                <w:szCs w:val="20"/>
                <w:color w:val="auto"/>
              </w:rPr>
            </w:pPr>
            <w:r>
              <w:rPr>
                <w:rFonts w:ascii="Arial" w:cs="Arial" w:eastAsia="Arial" w:hAnsi="Arial"/>
                <w:sz w:val="13"/>
                <w:szCs w:val="13"/>
                <w:b w:val="1"/>
                <w:bCs w:val="1"/>
                <w:color w:val="auto"/>
                <w:w w:val="93"/>
              </w:rPr>
              <w:t>Valencia, California</w:t>
            </w:r>
          </w:p>
        </w:tc>
        <w:tc>
          <w:tcPr>
            <w:tcW w:w="320" w:type="dxa"/>
            <w:vAlign w:val="bottom"/>
          </w:tcPr>
          <w:p>
            <w:pPr>
              <w:spacing w:after="0"/>
              <w:rPr>
                <w:sz w:val="13"/>
                <w:szCs w:val="13"/>
                <w:color w:val="auto"/>
              </w:rPr>
            </w:pPr>
          </w:p>
        </w:tc>
        <w:tc>
          <w:tcPr>
            <w:tcW w:w="4880" w:type="dxa"/>
            <w:vAlign w:val="bottom"/>
          </w:tcPr>
          <w:p>
            <w:pPr>
              <w:jc w:val="center"/>
              <w:ind w:left="4050"/>
              <w:spacing w:after="0"/>
              <w:rPr>
                <w:sz w:val="20"/>
                <w:szCs w:val="20"/>
                <w:color w:val="auto"/>
              </w:rPr>
            </w:pPr>
            <w:r>
              <w:rPr>
                <w:rFonts w:ascii="Arial" w:cs="Arial" w:eastAsia="Arial" w:hAnsi="Arial"/>
                <w:sz w:val="10"/>
                <w:szCs w:val="10"/>
                <w:i w:val="1"/>
                <w:iCs w:val="1"/>
                <w:color w:val="auto"/>
                <w:w w:val="93"/>
              </w:rPr>
              <w:t>(Zip Code)</w:t>
            </w:r>
          </w:p>
        </w:tc>
      </w:tr>
      <w:tr>
        <w:trPr>
          <w:trHeight w:val="131"/>
        </w:trPr>
        <w:tc>
          <w:tcPr>
            <w:tcW w:w="2340" w:type="dxa"/>
            <w:vAlign w:val="bottom"/>
            <w:gridSpan w:val="2"/>
          </w:tcPr>
          <w:p>
            <w:pPr>
              <w:jc w:val="center"/>
              <w:ind w:left="40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4880" w:type="dxa"/>
            <w:vAlign w:val="bottom"/>
          </w:tcPr>
          <w:p>
            <w:pPr>
              <w:spacing w:after="0"/>
              <w:rPr>
                <w:sz w:val="11"/>
                <w:szCs w:val="11"/>
                <w:color w:val="auto"/>
              </w:rPr>
            </w:pPr>
          </w:p>
        </w:tc>
      </w:tr>
    </w:tbl>
    <w:p>
      <w:pPr>
        <w:spacing w:after="0" w:line="75"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9"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(661) 775-5300</w:t>
      </w:r>
    </w:p>
    <w:p>
      <w:pPr>
        <w:spacing w:after="0" w:line="45"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9"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None</w:t>
      </w:r>
    </w:p>
    <w:p>
      <w:pPr>
        <w:spacing w:after="0" w:line="45"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9"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Common Stock, par value $0.01 per share</w:t>
      </w:r>
    </w:p>
    <w:p>
      <w:pPr>
        <w:spacing w:after="0" w:line="4" w:lineRule="exact"/>
        <w:rPr>
          <w:sz w:val="20"/>
          <w:szCs w:val="20"/>
          <w:color w:val="auto"/>
        </w:rPr>
      </w:pPr>
    </w:p>
    <w:p>
      <w:pPr>
        <w:jc w:val="center"/>
        <w:ind w:right="-439"/>
        <w:spacing w:after="0"/>
        <w:rPr>
          <w:sz w:val="20"/>
          <w:szCs w:val="20"/>
          <w:color w:val="auto"/>
        </w:rPr>
      </w:pPr>
      <w:r>
        <w:rPr>
          <w:rFonts w:ascii="Arial" w:cs="Arial" w:eastAsia="Arial" w:hAnsi="Arial"/>
          <w:sz w:val="10"/>
          <w:szCs w:val="10"/>
          <w:i w:val="1"/>
          <w:iCs w:val="1"/>
          <w:color w:val="auto"/>
        </w:rPr>
        <w:t>(Title of class)</w:t>
      </w:r>
    </w:p>
    <w:p>
      <w:pPr>
        <w:sectPr>
          <w:pgSz w:w="11900" w:h="16838" w:orient="portrait"/>
          <w:cols w:equalWidth="0" w:num="1">
            <w:col w:w="11020"/>
          </w:cols>
          <w:pgMar w:left="220" w:top="127" w:right="659" w:bottom="1440" w:gutter="0" w:footer="0" w:header="0"/>
        </w:sectPr>
      </w:pPr>
    </w:p>
    <w:p>
      <w:pPr>
        <w:spacing w:after="0" w:line="78"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o</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07" w:lineRule="exact"/>
        <w:rPr>
          <w:sz w:val="20"/>
          <w:szCs w:val="20"/>
          <w:color w:val="auto"/>
        </w:rPr>
      </w:pPr>
    </w:p>
    <w:p>
      <w:pPr>
        <w:sectPr>
          <w:pgSz w:w="11900" w:h="16838" w:orient="portrait"/>
          <w:cols w:equalWidth="0" w:num="2">
            <w:col w:w="7160" w:space="160"/>
            <w:col w:w="3700"/>
          </w:cols>
          <w:pgMar w:left="220" w:top="127" w:right="65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280" w:space="160"/>
            <w:col w:w="3580"/>
          </w:cols>
          <w:pgMar w:left="220" w:top="127" w:right="659" w:bottom="1440" w:gutter="0" w:footer="0" w:header="0"/>
          <w:type w:val="continuous"/>
        </w:sectPr>
      </w:pPr>
    </w:p>
    <w:p>
      <w:pPr>
        <w:ind w:left="340" w:right="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2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firstLine="324"/>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Act. (Check one):</w:t>
      </w:r>
    </w:p>
    <w:p>
      <w:pPr>
        <w:sectPr>
          <w:pgSz w:w="11900" w:h="16838" w:orient="portrait"/>
          <w:cols w:equalWidth="0" w:num="1">
            <w:col w:w="11020"/>
          </w:cols>
          <w:pgMar w:left="220" w:top="127" w:right="659" w:bottom="1440" w:gutter="0" w:footer="0" w:header="0"/>
          <w:type w:val="continuous"/>
        </w:sectPr>
      </w:pPr>
    </w:p>
    <w:p>
      <w:pPr>
        <w:spacing w:after="0" w:line="1" w:lineRule="exact"/>
        <w:rPr>
          <w:sz w:val="20"/>
          <w:szCs w:val="20"/>
          <w:color w:val="auto"/>
        </w:rPr>
      </w:pPr>
    </w:p>
    <w:p>
      <w:pPr>
        <w:ind w:left="382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0"/>
          <w:szCs w:val="20"/>
          <w:color w:val="auto"/>
        </w:rPr>
      </w:pPr>
      <w:r>
        <w:rPr>
          <w:sz w:val="20"/>
          <w:szCs w:val="20"/>
          <w:color w:val="auto"/>
        </w:rPr>
        <w:br w:type="column"/>
      </w:r>
    </w:p>
    <w:p>
      <w:pPr>
        <w:jc w:val="center"/>
        <w:spacing w:after="0" w:line="119"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Non-accelerated filer o</w:t>
      </w:r>
    </w:p>
    <w:p>
      <w:pPr>
        <w:spacing w:after="0" w:line="86" w:lineRule="exact"/>
        <w:rPr>
          <w:sz w:val="20"/>
          <w:szCs w:val="20"/>
          <w:color w:val="auto"/>
        </w:rPr>
      </w:pPr>
    </w:p>
    <w:p>
      <w:pPr>
        <w:sectPr>
          <w:pgSz w:w="11900" w:h="16838" w:orient="portrait"/>
          <w:cols w:equalWidth="0" w:num="3">
            <w:col w:w="5100" w:space="160"/>
            <w:col w:w="1020" w:space="160"/>
            <w:col w:w="4580"/>
          </w:cols>
          <w:pgMar w:left="220" w:top="127" w:right="65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420" w:space="160"/>
            <w:col w:w="4440"/>
          </w:cols>
          <w:pgMar w:left="220" w:top="127" w:right="659" w:bottom="1440" w:gutter="0" w:footer="0" w:header="0"/>
          <w:type w:val="continuous"/>
        </w:sectPr>
      </w:pPr>
    </w:p>
    <w:p>
      <w:pPr>
        <w:ind w:left="340" w:right="140" w:firstLine="324"/>
        <w:spacing w:after="0" w:line="276" w:lineRule="auto"/>
        <w:rPr>
          <w:sz w:val="20"/>
          <w:szCs w:val="20"/>
          <w:color w:val="auto"/>
        </w:rPr>
      </w:pPr>
      <w:r>
        <w:rPr>
          <w:rFonts w:ascii="Arial" w:cs="Arial" w:eastAsia="Arial" w:hAnsi="Arial"/>
          <w:sz w:val="13"/>
          <w:szCs w:val="13"/>
          <w:color w:val="auto"/>
        </w:rPr>
        <w:t>As of June 30, 2006, the aggregate market value of the voting stock held by non-affiliates of the registrant, computed by reference to the last sale price of such stock as of such date on the Nasdaq Global Market, was approximately $538,945,000.</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March 8, 2007, there were 73,402,052 shares of the registrant’s Common Stock outstanding.</w:t>
      </w:r>
    </w:p>
    <w:p>
      <w:pPr>
        <w:spacing w:after="0" w:line="5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340" w:right="120" w:firstLine="324"/>
        <w:spacing w:after="0" w:line="276" w:lineRule="auto"/>
        <w:rPr>
          <w:sz w:val="20"/>
          <w:szCs w:val="20"/>
          <w:color w:val="auto"/>
        </w:rPr>
      </w:pPr>
      <w:r>
        <w:rPr>
          <w:rFonts w:ascii="Arial" w:cs="Arial" w:eastAsia="Arial" w:hAnsi="Arial"/>
          <w:sz w:val="13"/>
          <w:szCs w:val="13"/>
          <w:color w:val="auto"/>
        </w:rPr>
        <w:t>Portions of the registrant’s definitive Proxy Statement for the 2006 Annual Meeting of Stockholders to be filed with the Securities and Exchange Commission pursuant to Regulation 14A not later than 120 days after the end of the fiscal year covered by this Form 10-K, are incorporated by reference in Part III, Items 10-14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43180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127" w:right="6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0" w:type="dxa"/>
            <w:vAlign w:val="bottom"/>
            <w:gridSpan w:val="15"/>
          </w:tcPr>
          <w:p>
            <w:pPr>
              <w:jc w:val="center"/>
              <w:ind w:right="3680"/>
              <w:spacing w:after="0"/>
              <w:rPr>
                <w:sz w:val="20"/>
                <w:szCs w:val="20"/>
                <w:color w:val="auto"/>
              </w:rPr>
            </w:pPr>
            <w:r>
              <w:rPr>
                <w:rFonts w:ascii="Arial" w:cs="Arial" w:eastAsia="Arial" w:hAnsi="Arial"/>
                <w:sz w:val="13"/>
                <w:szCs w:val="13"/>
                <w:b w:val="1"/>
                <w:bCs w:val="1"/>
                <w:color w:val="auto"/>
              </w:rPr>
              <w:t>MANNKIND CORPORATION</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4"/>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14"/>
          </w:tcPr>
          <w:p>
            <w:pPr>
              <w:jc w:val="center"/>
              <w:ind w:right="3820"/>
              <w:spacing w:after="0"/>
              <w:rPr>
                <w:sz w:val="20"/>
                <w:szCs w:val="20"/>
                <w:color w:val="auto"/>
              </w:rPr>
            </w:pPr>
            <w:r>
              <w:rPr>
                <w:rFonts w:ascii="Arial" w:cs="Arial" w:eastAsia="Arial" w:hAnsi="Arial"/>
                <w:sz w:val="13"/>
                <w:szCs w:val="13"/>
                <w:b w:val="1"/>
                <w:bCs w:val="1"/>
                <w:color w:val="auto"/>
                <w:w w:val="93"/>
              </w:rPr>
              <w:t>Annual Report on Form 10-K</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69"/>
        </w:trPr>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20" w:type="dxa"/>
            <w:vAlign w:val="bottom"/>
            <w:gridSpan w:val="18"/>
          </w:tcPr>
          <w:p>
            <w:pPr>
              <w:jc w:val="center"/>
              <w:ind w:right="3360"/>
              <w:spacing w:after="0"/>
              <w:rPr>
                <w:sz w:val="20"/>
                <w:szCs w:val="20"/>
                <w:color w:val="auto"/>
              </w:rPr>
            </w:pPr>
            <w:r>
              <w:rPr>
                <w:rFonts w:ascii="Arial" w:cs="Arial" w:eastAsia="Arial" w:hAnsi="Arial"/>
                <w:sz w:val="13"/>
                <w:szCs w:val="13"/>
                <w:b w:val="1"/>
                <w:bCs w:val="1"/>
                <w:color w:val="auto"/>
                <w:w w:val="91"/>
              </w:rPr>
              <w:t>For the Fiscal Year Ended December 31, 2006</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80" w:type="dxa"/>
            <w:vAlign w:val="bottom"/>
            <w:gridSpan w:val="14"/>
          </w:tcPr>
          <w:p>
            <w:pPr>
              <w:jc w:val="center"/>
              <w:ind w:right="3800"/>
              <w:spacing w:after="0"/>
              <w:rPr>
                <w:sz w:val="20"/>
                <w:szCs w:val="20"/>
                <w:color w:val="auto"/>
              </w:rPr>
            </w:pPr>
            <w:r>
              <w:rPr>
                <w:rFonts w:ascii="Arial" w:cs="Arial" w:eastAsia="Arial" w:hAnsi="Arial"/>
                <w:sz w:val="13"/>
                <w:szCs w:val="13"/>
                <w:b w:val="1"/>
                <w:bCs w:val="1"/>
                <w:color w:val="auto"/>
                <w:w w:val="99"/>
              </w:rPr>
              <w:t>TABLE OF CONTENTS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9"/>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23"/>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4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0000EE"/>
            </w:tcBorders>
            <w:gridSpan w:val="6"/>
          </w:tcPr>
          <w:p>
            <w:pPr>
              <w:spacing w:after="0" w:line="138" w:lineRule="exact"/>
              <w:rPr>
                <w:rFonts w:ascii="Arial" w:cs="Arial" w:eastAsia="Arial" w:hAnsi="Arial"/>
                <w:sz w:val="13"/>
                <w:szCs w:val="13"/>
                <w:color w:val="0000EE"/>
                <w:w w:val="99"/>
              </w:rPr>
            </w:pPr>
            <w:hyperlink w:anchor="page28">
              <w:r>
                <w:rPr>
                  <w:rFonts w:ascii="Arial" w:cs="Arial" w:eastAsia="Arial" w:hAnsi="Arial"/>
                  <w:sz w:val="13"/>
                  <w:szCs w:val="13"/>
                  <w:color w:val="0000EE"/>
                  <w:w w:val="99"/>
                </w:rPr>
                <w:t>Item 1A.</w:t>
              </w:r>
            </w:hyperlink>
          </w:p>
        </w:tc>
        <w:tc>
          <w:tcPr>
            <w:tcW w:w="54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28">
              <w:r>
                <w:rPr>
                  <w:rFonts w:ascii="Arial" w:cs="Arial" w:eastAsia="Arial" w:hAnsi="Arial"/>
                  <w:sz w:val="13"/>
                  <w:szCs w:val="13"/>
                  <w:color w:val="0000EE"/>
                  <w:w w:val="88"/>
                </w:rPr>
                <w:t>Risk Factors</w:t>
              </w:r>
            </w:hyperlink>
          </w:p>
        </w:tc>
        <w:tc>
          <w:tcPr>
            <w:tcW w:w="7560" w:type="dxa"/>
            <w:vAlign w:val="bottom"/>
            <w:gridSpan w:val="29"/>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6"/>
          </w:tcPr>
          <w:p>
            <w:pPr>
              <w:spacing w:after="0" w:line="138" w:lineRule="exact"/>
              <w:rPr>
                <w:rFonts w:ascii="Arial" w:cs="Arial" w:eastAsia="Arial" w:hAnsi="Arial"/>
                <w:sz w:val="13"/>
                <w:szCs w:val="13"/>
                <w:color w:val="0000EE"/>
                <w:w w:val="99"/>
              </w:rPr>
            </w:pPr>
            <w:hyperlink w:anchor="page48">
              <w:r>
                <w:rPr>
                  <w:rFonts w:ascii="Arial" w:cs="Arial" w:eastAsia="Arial" w:hAnsi="Arial"/>
                  <w:sz w:val="13"/>
                  <w:szCs w:val="13"/>
                  <w:color w:val="0000EE"/>
                  <w:w w:val="99"/>
                </w:rPr>
                <w:t>Item 1B.</w:t>
              </w:r>
            </w:hyperlink>
          </w:p>
        </w:tc>
        <w:tc>
          <w:tcPr>
            <w:tcW w:w="540" w:type="dxa"/>
            <w:vAlign w:val="bottom"/>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Item 2.</w:t>
              </w:r>
            </w:hyperlink>
          </w:p>
        </w:tc>
        <w:tc>
          <w:tcPr>
            <w:tcW w:w="540" w:type="dxa"/>
            <w:vAlign w:val="bottom"/>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Properties</w:t>
              </w:r>
            </w:hyperlink>
          </w:p>
        </w:tc>
        <w:tc>
          <w:tcPr>
            <w:tcW w:w="6740" w:type="dxa"/>
            <w:vAlign w:val="bottom"/>
            <w:gridSpan w:val="2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Item 3.</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Item 4.</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Submission of Matters to a Vote of Security Holders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49">
              <w:r>
                <w:rPr>
                  <w:rFonts w:ascii="Arial" w:cs="Arial" w:eastAsia="Arial" w:hAnsi="Arial"/>
                  <w:sz w:val="13"/>
                  <w:szCs w:val="13"/>
                  <w:b w:val="1"/>
                  <w:bCs w:val="1"/>
                  <w:color w:val="0000EE"/>
                </w:rPr>
                <w:t>PART II</w:t>
              </w:r>
            </w:hyperlink>
          </w:p>
        </w:tc>
        <w:tc>
          <w:tcPr>
            <w:tcW w:w="440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Item 5.</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Market for the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Item 6.</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Selected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50</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Item 7.</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6"/>
          </w:tcPr>
          <w:p>
            <w:pPr>
              <w:spacing w:after="0" w:line="138" w:lineRule="exact"/>
              <w:rPr>
                <w:rFonts w:ascii="Arial" w:cs="Arial" w:eastAsia="Arial" w:hAnsi="Arial"/>
                <w:sz w:val="13"/>
                <w:szCs w:val="13"/>
                <w:color w:val="0000EE"/>
                <w:w w:val="99"/>
              </w:rPr>
            </w:pPr>
            <w:hyperlink w:anchor="page60">
              <w:r>
                <w:rPr>
                  <w:rFonts w:ascii="Arial" w:cs="Arial" w:eastAsia="Arial" w:hAnsi="Arial"/>
                  <w:sz w:val="13"/>
                  <w:szCs w:val="13"/>
                  <w:color w:val="0000EE"/>
                  <w:w w:val="99"/>
                </w:rPr>
                <w:t>Item 7A.</w:t>
              </w:r>
            </w:hyperlink>
          </w:p>
        </w:tc>
        <w:tc>
          <w:tcPr>
            <w:tcW w:w="540" w:type="dxa"/>
            <w:vAlign w:val="bottom"/>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59</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Item 8.</w:t>
              </w:r>
            </w:hyperlink>
          </w:p>
        </w:tc>
        <w:tc>
          <w:tcPr>
            <w:tcW w:w="540" w:type="dxa"/>
            <w:vAlign w:val="bottom"/>
          </w:tcPr>
          <w:p>
            <w:pPr>
              <w:spacing w:after="0"/>
              <w:rPr>
                <w:sz w:val="11"/>
                <w:szCs w:val="11"/>
                <w:color w:val="auto"/>
              </w:rPr>
            </w:pPr>
          </w:p>
        </w:tc>
        <w:tc>
          <w:tcPr>
            <w:tcW w:w="3160" w:type="dxa"/>
            <w:vAlign w:val="bottom"/>
            <w:tcBorders>
              <w:top w:val="single" w:sz="8" w:color="0000EE"/>
            </w:tcBorders>
            <w:gridSpan w:val="19"/>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Financial Statements and Supplementary Data</w:t>
              </w:r>
            </w:hyperlink>
          </w:p>
        </w:tc>
        <w:tc>
          <w:tcPr>
            <w:tcW w:w="5060" w:type="dxa"/>
            <w:vAlign w:val="bottom"/>
            <w:gridSpan w:val="1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20" w:type="dxa"/>
            <w:vAlign w:val="bottom"/>
            <w:tcBorders>
              <w:bottom w:val="single" w:sz="8" w:color="0000EE"/>
            </w:tcBorders>
            <w:gridSpan w:val="28"/>
          </w:tcPr>
          <w:p>
            <w:pPr>
              <w:spacing w:after="0" w:line="138" w:lineRule="exact"/>
              <w:rPr>
                <w:rFonts w:ascii="Arial" w:cs="Arial" w:eastAsia="Arial" w:hAnsi="Arial"/>
                <w:sz w:val="13"/>
                <w:szCs w:val="13"/>
                <w:color w:val="0000EE"/>
                <w:w w:val="95"/>
              </w:rPr>
            </w:pPr>
            <w:hyperlink w:anchor="page70">
              <w:r>
                <w:rPr>
                  <w:rFonts w:ascii="Arial" w:cs="Arial" w:eastAsia="Arial" w:hAnsi="Arial"/>
                  <w:sz w:val="13"/>
                  <w:szCs w:val="13"/>
                  <w:color w:val="0000EE"/>
                  <w:w w:val="95"/>
                </w:rPr>
                <w:t>REPORT OF INDEPENDENT REGISTERED PUBLIC ACCOUNTING FIRM</w:t>
              </w:r>
            </w:hyperlink>
          </w:p>
        </w:tc>
        <w:tc>
          <w:tcPr>
            <w:tcW w:w="4000" w:type="dxa"/>
            <w:vAlign w:val="bottom"/>
            <w:gridSpan w:val="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Borders>
              <w:bottom w:val="single" w:sz="8" w:color="0000EE"/>
            </w:tcBorders>
            <w:gridSpan w:val="12"/>
          </w:tcPr>
          <w:p>
            <w:pPr>
              <w:spacing w:after="0" w:line="138" w:lineRule="exact"/>
              <w:rPr>
                <w:rFonts w:ascii="Arial" w:cs="Arial" w:eastAsia="Arial" w:hAnsi="Arial"/>
                <w:sz w:val="13"/>
                <w:szCs w:val="13"/>
                <w:color w:val="0000EE"/>
                <w:w w:val="96"/>
              </w:rPr>
            </w:pPr>
            <w:hyperlink w:anchor="page71">
              <w:r>
                <w:rPr>
                  <w:rFonts w:ascii="Arial" w:cs="Arial" w:eastAsia="Arial" w:hAnsi="Arial"/>
                  <w:sz w:val="13"/>
                  <w:szCs w:val="13"/>
                  <w:color w:val="0000EE"/>
                  <w:w w:val="96"/>
                </w:rPr>
                <w:t>CONSOLIDATED BALANCE SHEETS</w:t>
              </w:r>
            </w:hyperlink>
          </w:p>
        </w:tc>
        <w:tc>
          <w:tcPr>
            <w:tcW w:w="6060" w:type="dxa"/>
            <w:vAlign w:val="bottom"/>
            <w:gridSpan w:val="2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70</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Borders>
              <w:bottom w:val="single" w:sz="8" w:color="0000EE"/>
            </w:tcBorders>
            <w:gridSpan w:val="9"/>
          </w:tcPr>
          <w:p>
            <w:pPr>
              <w:spacing w:after="0" w:line="138" w:lineRule="exact"/>
              <w:rPr>
                <w:rFonts w:ascii="Arial" w:cs="Arial" w:eastAsia="Arial" w:hAnsi="Arial"/>
                <w:sz w:val="13"/>
                <w:szCs w:val="13"/>
                <w:color w:val="0000EE"/>
                <w:w w:val="92"/>
              </w:rPr>
            </w:pPr>
            <w:hyperlink w:anchor="page72">
              <w:r>
                <w:rPr>
                  <w:rFonts w:ascii="Arial" w:cs="Arial" w:eastAsia="Arial" w:hAnsi="Arial"/>
                  <w:sz w:val="13"/>
                  <w:szCs w:val="13"/>
                  <w:color w:val="0000EE"/>
                  <w:w w:val="92"/>
                </w:rPr>
                <w:t>STATEMENTS OF OPERATIONS</w:t>
              </w:r>
            </w:hyperlink>
          </w:p>
        </w:tc>
        <w:tc>
          <w:tcPr>
            <w:tcW w:w="636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71</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80" w:type="dxa"/>
            <w:vAlign w:val="bottom"/>
            <w:tcBorders>
              <w:bottom w:val="single" w:sz="8" w:color="0000EE"/>
            </w:tcBorders>
            <w:gridSpan w:val="20"/>
          </w:tcPr>
          <w:p>
            <w:pPr>
              <w:spacing w:after="0" w:line="138" w:lineRule="exact"/>
              <w:rPr>
                <w:rFonts w:ascii="Arial" w:cs="Arial" w:eastAsia="Arial" w:hAnsi="Arial"/>
                <w:sz w:val="13"/>
                <w:szCs w:val="13"/>
                <w:color w:val="0000EE"/>
                <w:w w:val="96"/>
              </w:rPr>
            </w:pPr>
            <w:hyperlink w:anchor="page73">
              <w:r>
                <w:rPr>
                  <w:rFonts w:ascii="Arial" w:cs="Arial" w:eastAsia="Arial" w:hAnsi="Arial"/>
                  <w:sz w:val="13"/>
                  <w:szCs w:val="13"/>
                  <w:color w:val="0000EE"/>
                  <w:w w:val="96"/>
                </w:rPr>
                <w:t>STATEMENTS OF STOCKHOLDERS’ EQUITY (DEFICIT)</w:t>
              </w:r>
            </w:hyperlink>
          </w:p>
        </w:tc>
        <w:tc>
          <w:tcPr>
            <w:tcW w:w="4940" w:type="dxa"/>
            <w:vAlign w:val="bottom"/>
            <w:gridSpan w:val="1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72</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80" w:type="dxa"/>
            <w:vAlign w:val="bottom"/>
            <w:tcBorders>
              <w:bottom w:val="single" w:sz="8" w:color="0000EE"/>
            </w:tcBorders>
            <w:gridSpan w:val="10"/>
          </w:tcPr>
          <w:p>
            <w:pPr>
              <w:spacing w:after="0" w:line="138" w:lineRule="exact"/>
              <w:rPr>
                <w:rFonts w:ascii="Arial" w:cs="Arial" w:eastAsia="Arial" w:hAnsi="Arial"/>
                <w:sz w:val="13"/>
                <w:szCs w:val="13"/>
                <w:color w:val="0000EE"/>
                <w:w w:val="93"/>
              </w:rPr>
            </w:pPr>
            <w:hyperlink w:anchor="page77">
              <w:r>
                <w:rPr>
                  <w:rFonts w:ascii="Arial" w:cs="Arial" w:eastAsia="Arial" w:hAnsi="Arial"/>
                  <w:sz w:val="13"/>
                  <w:szCs w:val="13"/>
                  <w:color w:val="0000EE"/>
                  <w:w w:val="93"/>
                </w:rPr>
                <w:t>STATEMENTS OF CASH FLOWS</w:t>
              </w:r>
            </w:hyperlink>
          </w:p>
        </w:tc>
        <w:tc>
          <w:tcPr>
            <w:tcW w:w="6340" w:type="dxa"/>
            <w:vAlign w:val="bottom"/>
            <w:gridSpan w:val="2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76</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20" w:type="dxa"/>
            <w:vAlign w:val="bottom"/>
            <w:tcBorders>
              <w:bottom w:val="single" w:sz="8" w:color="0000EE"/>
            </w:tcBorders>
            <w:gridSpan w:val="13"/>
          </w:tcPr>
          <w:p>
            <w:pPr>
              <w:spacing w:after="0" w:line="138" w:lineRule="exact"/>
              <w:rPr>
                <w:rFonts w:ascii="Arial" w:cs="Arial" w:eastAsia="Arial" w:hAnsi="Arial"/>
                <w:sz w:val="13"/>
                <w:szCs w:val="13"/>
                <w:color w:val="0000EE"/>
                <w:w w:val="96"/>
              </w:rPr>
            </w:pPr>
            <w:hyperlink w:anchor="page79">
              <w:r>
                <w:rPr>
                  <w:rFonts w:ascii="Arial" w:cs="Arial" w:eastAsia="Arial" w:hAnsi="Arial"/>
                  <w:sz w:val="13"/>
                  <w:szCs w:val="13"/>
                  <w:color w:val="0000EE"/>
                  <w:w w:val="96"/>
                </w:rPr>
                <w:t>NOTES TO FINANCIAL STATEMENTS</w:t>
              </w:r>
            </w:hyperlink>
          </w:p>
        </w:tc>
        <w:tc>
          <w:tcPr>
            <w:tcW w:w="6000" w:type="dxa"/>
            <w:vAlign w:val="bottom"/>
            <w:gridSpan w:val="19"/>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78</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Item 9.</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6"/>
          </w:tcPr>
          <w:p>
            <w:pPr>
              <w:spacing w:after="0" w:line="138" w:lineRule="exact"/>
              <w:rPr>
                <w:rFonts w:ascii="Arial" w:cs="Arial" w:eastAsia="Arial" w:hAnsi="Arial"/>
                <w:sz w:val="13"/>
                <w:szCs w:val="13"/>
                <w:color w:val="0000EE"/>
                <w:w w:val="99"/>
              </w:rPr>
            </w:pPr>
            <w:hyperlink w:anchor="page61">
              <w:r>
                <w:rPr>
                  <w:rFonts w:ascii="Arial" w:cs="Arial" w:eastAsia="Arial" w:hAnsi="Arial"/>
                  <w:sz w:val="13"/>
                  <w:szCs w:val="13"/>
                  <w:color w:val="0000EE"/>
                  <w:w w:val="99"/>
                </w:rPr>
                <w:t>Item 9A.</w:t>
              </w:r>
            </w:hyperlink>
          </w:p>
        </w:tc>
        <w:tc>
          <w:tcPr>
            <w:tcW w:w="540" w:type="dxa"/>
            <w:vAlign w:val="bottom"/>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0000EE"/>
            </w:tcBorders>
            <w:gridSpan w:val="6"/>
          </w:tcPr>
          <w:p>
            <w:pPr>
              <w:spacing w:after="0" w:line="138" w:lineRule="exact"/>
              <w:rPr>
                <w:rFonts w:ascii="Arial" w:cs="Arial" w:eastAsia="Arial" w:hAnsi="Arial"/>
                <w:sz w:val="13"/>
                <w:szCs w:val="13"/>
                <w:color w:val="0000EE"/>
                <w:w w:val="99"/>
              </w:rPr>
            </w:pPr>
            <w:hyperlink w:anchor="page63">
              <w:r>
                <w:rPr>
                  <w:rFonts w:ascii="Arial" w:cs="Arial" w:eastAsia="Arial" w:hAnsi="Arial"/>
                  <w:sz w:val="13"/>
                  <w:szCs w:val="13"/>
                  <w:color w:val="0000EE"/>
                  <w:w w:val="99"/>
                </w:rPr>
                <w:t>Item 9B.</w:t>
              </w:r>
            </w:hyperlink>
          </w:p>
        </w:tc>
        <w:tc>
          <w:tcPr>
            <w:tcW w:w="54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Other Information</w:t>
              </w:r>
            </w:hyperlink>
          </w:p>
        </w:tc>
        <w:tc>
          <w:tcPr>
            <w:tcW w:w="6940" w:type="dxa"/>
            <w:vAlign w:val="bottom"/>
            <w:gridSpan w:val="2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3">
              <w:r>
                <w:rPr>
                  <w:rFonts w:ascii="Arial" w:cs="Arial" w:eastAsia="Arial" w:hAnsi="Arial"/>
                  <w:sz w:val="13"/>
                  <w:szCs w:val="13"/>
                  <w:b w:val="1"/>
                  <w:bCs w:val="1"/>
                  <w:color w:val="0000EE"/>
                </w:rPr>
                <w:t>PART III</w:t>
              </w:r>
            </w:hyperlink>
          </w:p>
        </w:tc>
        <w:tc>
          <w:tcPr>
            <w:tcW w:w="4360" w:type="dxa"/>
            <w:vAlign w:val="bottom"/>
            <w:gridSpan w:val="5"/>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4"/>
          </w:tcPr>
          <w:p>
            <w:pPr>
              <w:spacing w:after="0" w:line="138" w:lineRule="exact"/>
              <w:rPr>
                <w:rFonts w:ascii="Arial" w:cs="Arial" w:eastAsia="Arial" w:hAnsi="Arial"/>
                <w:sz w:val="13"/>
                <w:szCs w:val="13"/>
                <w:color w:val="0000EE"/>
                <w:w w:val="93"/>
              </w:rPr>
            </w:pPr>
            <w:hyperlink w:anchor="page63">
              <w:r>
                <w:rPr>
                  <w:rFonts w:ascii="Arial" w:cs="Arial" w:eastAsia="Arial" w:hAnsi="Arial"/>
                  <w:sz w:val="13"/>
                  <w:szCs w:val="13"/>
                  <w:color w:val="0000EE"/>
                  <w:w w:val="93"/>
                </w:rPr>
                <w:t>Item 10.</w:t>
              </w:r>
            </w:hyperlink>
          </w:p>
        </w:tc>
        <w:tc>
          <w:tcPr>
            <w:tcW w:w="580" w:type="dxa"/>
            <w:vAlign w:val="bottom"/>
            <w:gridSpan w:val="3"/>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Directors and Executive Officers of the Registrant</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tcBorders>
            <w:gridSpan w:val="4"/>
          </w:tcPr>
          <w:p>
            <w:pPr>
              <w:spacing w:after="0" w:line="138" w:lineRule="exact"/>
              <w:rPr>
                <w:rFonts w:ascii="Arial" w:cs="Arial" w:eastAsia="Arial" w:hAnsi="Arial"/>
                <w:sz w:val="13"/>
                <w:szCs w:val="13"/>
                <w:color w:val="0000EE"/>
                <w:w w:val="93"/>
              </w:rPr>
            </w:pPr>
            <w:hyperlink w:anchor="page63">
              <w:r>
                <w:rPr>
                  <w:rFonts w:ascii="Arial" w:cs="Arial" w:eastAsia="Arial" w:hAnsi="Arial"/>
                  <w:sz w:val="13"/>
                  <w:szCs w:val="13"/>
                  <w:color w:val="0000EE"/>
                  <w:w w:val="93"/>
                </w:rPr>
                <w:t>Item 11.</w:t>
              </w:r>
            </w:hyperlink>
          </w:p>
        </w:tc>
        <w:tc>
          <w:tcPr>
            <w:tcW w:w="580" w:type="dxa"/>
            <w:vAlign w:val="bottom"/>
            <w:gridSpan w:val="3"/>
          </w:tcPr>
          <w:p>
            <w:pPr>
              <w:spacing w:after="0"/>
              <w:rPr>
                <w:sz w:val="11"/>
                <w:szCs w:val="11"/>
                <w:color w:val="auto"/>
              </w:rPr>
            </w:pPr>
          </w:p>
        </w:tc>
        <w:tc>
          <w:tcPr>
            <w:tcW w:w="2620" w:type="dxa"/>
            <w:vAlign w:val="bottom"/>
            <w:tcBorders>
              <w:top w:val="single" w:sz="8" w:color="0000EE"/>
            </w:tcBorders>
            <w:gridSpan w:val="1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Executive Compensation</w:t>
              </w:r>
            </w:hyperlink>
          </w:p>
        </w:tc>
        <w:tc>
          <w:tcPr>
            <w:tcW w:w="5600" w:type="dxa"/>
            <w:vAlign w:val="bottom"/>
            <w:gridSpan w:val="15"/>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5"/>
          </w:tcPr>
          <w:p>
            <w:pPr>
              <w:spacing w:after="0" w:line="138" w:lineRule="exact"/>
              <w:rPr>
                <w:rFonts w:ascii="Arial" w:cs="Arial" w:eastAsia="Arial" w:hAnsi="Arial"/>
                <w:sz w:val="13"/>
                <w:szCs w:val="13"/>
                <w:color w:val="0000EE"/>
                <w:w w:val="97"/>
              </w:rPr>
            </w:pPr>
            <w:hyperlink w:anchor="page63">
              <w:r>
                <w:rPr>
                  <w:rFonts w:ascii="Arial" w:cs="Arial" w:eastAsia="Arial" w:hAnsi="Arial"/>
                  <w:sz w:val="13"/>
                  <w:szCs w:val="13"/>
                  <w:color w:val="0000EE"/>
                  <w:w w:val="97"/>
                </w:rPr>
                <w:t>Item 12.</w:t>
              </w:r>
            </w:hyperlink>
          </w:p>
        </w:tc>
        <w:tc>
          <w:tcPr>
            <w:tcW w:w="560" w:type="dxa"/>
            <w:vAlign w:val="bottom"/>
            <w:gridSpan w:val="2"/>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7"/>
              </w:rPr>
            </w:pPr>
            <w:hyperlink w:anchor="page63">
              <w:r>
                <w:rPr>
                  <w:rFonts w:ascii="Arial" w:cs="Arial" w:eastAsia="Arial" w:hAnsi="Arial"/>
                  <w:sz w:val="13"/>
                  <w:szCs w:val="13"/>
                  <w:color w:val="0000EE"/>
                  <w:w w:val="97"/>
                </w:rPr>
                <w:t>Item 13.</w:t>
              </w:r>
            </w:hyperlink>
          </w:p>
        </w:tc>
        <w:tc>
          <w:tcPr>
            <w:tcW w:w="560" w:type="dxa"/>
            <w:vAlign w:val="bottom"/>
            <w:gridSpan w:val="2"/>
          </w:tcPr>
          <w:p>
            <w:pPr>
              <w:spacing w:after="0"/>
              <w:rPr>
                <w:sz w:val="11"/>
                <w:szCs w:val="11"/>
                <w:color w:val="auto"/>
              </w:rPr>
            </w:pPr>
          </w:p>
        </w:tc>
        <w:tc>
          <w:tcPr>
            <w:tcW w:w="2480" w:type="dxa"/>
            <w:vAlign w:val="bottom"/>
            <w:tcBorders>
              <w:top w:val="single" w:sz="8" w:color="0000EE"/>
              <w:bottom w:val="single" w:sz="8" w:color="0000EE"/>
            </w:tcBorders>
            <w:gridSpan w:val="16"/>
          </w:tcPr>
          <w:p>
            <w:pPr>
              <w:spacing w:after="0" w:line="138" w:lineRule="exact"/>
              <w:rPr>
                <w:rFonts w:ascii="Arial" w:cs="Arial" w:eastAsia="Arial" w:hAnsi="Arial"/>
                <w:sz w:val="13"/>
                <w:szCs w:val="13"/>
                <w:color w:val="0000EE"/>
                <w:w w:val="89"/>
              </w:rPr>
            </w:pPr>
            <w:hyperlink w:anchor="page63">
              <w:r>
                <w:rPr>
                  <w:rFonts w:ascii="Arial" w:cs="Arial" w:eastAsia="Arial" w:hAnsi="Arial"/>
                  <w:sz w:val="13"/>
                  <w:szCs w:val="13"/>
                  <w:color w:val="0000EE"/>
                  <w:w w:val="89"/>
                </w:rPr>
                <w:t>Certain Relationships and Related Transactions</w:t>
              </w:r>
            </w:hyperlink>
          </w:p>
        </w:tc>
        <w:tc>
          <w:tcPr>
            <w:tcW w:w="2820" w:type="dxa"/>
            <w:vAlign w:val="bottom"/>
            <w:tcBorders>
              <w:top w:val="single" w:sz="8" w:color="0000EE"/>
            </w:tcBorders>
            <w:gridSpan w:val="14"/>
          </w:tcPr>
          <w:p>
            <w:pPr>
              <w:spacing w:after="0"/>
              <w:rPr>
                <w:sz w:val="11"/>
                <w:szCs w:val="11"/>
                <w:color w:val="auto"/>
              </w:rPr>
            </w:pPr>
          </w:p>
        </w:tc>
        <w:tc>
          <w:tcPr>
            <w:tcW w:w="292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14.</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Principal Accounting Fees and Services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900" w:type="dxa"/>
            <w:vAlign w:val="bottom"/>
            <w:gridSpan w:val="11"/>
          </w:tcPr>
          <w:p>
            <w:pPr>
              <w:jc w:val="center"/>
              <w:ind w:right="4380"/>
              <w:spacing w:after="0"/>
              <w:rPr>
                <w:rFonts w:ascii="Arial" w:cs="Arial" w:eastAsia="Arial" w:hAnsi="Arial"/>
                <w:sz w:val="13"/>
                <w:szCs w:val="13"/>
                <w:b w:val="1"/>
                <w:bCs w:val="1"/>
                <w:color w:val="0000EE"/>
              </w:rPr>
            </w:pPr>
            <w:hyperlink w:anchor="page64">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0000EE"/>
            </w:tcBorders>
            <w:gridSpan w:val="4"/>
          </w:tcPr>
          <w:p>
            <w:pPr>
              <w:spacing w:after="0" w:line="138" w:lineRule="exact"/>
              <w:rPr>
                <w:rFonts w:ascii="Arial" w:cs="Arial" w:eastAsia="Arial" w:hAnsi="Arial"/>
                <w:sz w:val="13"/>
                <w:szCs w:val="13"/>
                <w:color w:val="0000EE"/>
                <w:w w:val="93"/>
              </w:rPr>
            </w:pPr>
            <w:hyperlink w:anchor="page64">
              <w:r>
                <w:rPr>
                  <w:rFonts w:ascii="Arial" w:cs="Arial" w:eastAsia="Arial" w:hAnsi="Arial"/>
                  <w:sz w:val="13"/>
                  <w:szCs w:val="13"/>
                  <w:color w:val="0000EE"/>
                  <w:w w:val="93"/>
                </w:rPr>
                <w:t>Item 15.</w:t>
              </w:r>
            </w:hyperlink>
          </w:p>
        </w:tc>
        <w:tc>
          <w:tcPr>
            <w:tcW w:w="580" w:type="dxa"/>
            <w:vAlign w:val="bottom"/>
            <w:gridSpan w:val="3"/>
          </w:tcPr>
          <w:p>
            <w:pPr>
              <w:spacing w:after="0"/>
              <w:rPr>
                <w:sz w:val="11"/>
                <w:szCs w:val="11"/>
                <w:color w:val="auto"/>
              </w:rPr>
            </w:pPr>
          </w:p>
        </w:tc>
        <w:tc>
          <w:tcPr>
            <w:tcW w:w="2300" w:type="dxa"/>
            <w:vAlign w:val="bottom"/>
            <w:tcBorders>
              <w:bottom w:val="single" w:sz="8" w:color="0000EE"/>
            </w:tcBorders>
            <w:gridSpan w:val="14"/>
          </w:tcPr>
          <w:p>
            <w:pPr>
              <w:spacing w:after="0" w:line="138" w:lineRule="exact"/>
              <w:rPr>
                <w:rFonts w:ascii="Arial" w:cs="Arial" w:eastAsia="Arial" w:hAnsi="Arial"/>
                <w:sz w:val="13"/>
                <w:szCs w:val="13"/>
                <w:color w:val="0000EE"/>
                <w:w w:val="89"/>
              </w:rPr>
            </w:pPr>
            <w:hyperlink w:anchor="page64">
              <w:r>
                <w:rPr>
                  <w:rFonts w:ascii="Arial" w:cs="Arial" w:eastAsia="Arial" w:hAnsi="Arial"/>
                  <w:sz w:val="13"/>
                  <w:szCs w:val="13"/>
                  <w:color w:val="0000EE"/>
                  <w:w w:val="89"/>
                </w:rPr>
                <w:t>Exhibits and Financial Statement Schedules</w:t>
              </w:r>
            </w:hyperlink>
          </w:p>
        </w:tc>
        <w:tc>
          <w:tcPr>
            <w:tcW w:w="1040" w:type="dxa"/>
            <w:vAlign w:val="bottom"/>
            <w:gridSpan w:val="8"/>
          </w:tcPr>
          <w:p>
            <w:pPr>
              <w:spacing w:after="0"/>
              <w:rPr>
                <w:sz w:val="11"/>
                <w:szCs w:val="11"/>
                <w:color w:val="auto"/>
              </w:rPr>
            </w:pPr>
          </w:p>
        </w:tc>
        <w:tc>
          <w:tcPr>
            <w:tcW w:w="500" w:type="dxa"/>
            <w:vAlign w:val="bottom"/>
            <w:tcBorders>
              <w:top w:val="single" w:sz="8" w:color="0000EE"/>
            </w:tcBorders>
            <w:gridSpan w:val="4"/>
          </w:tcPr>
          <w:p>
            <w:pPr>
              <w:spacing w:after="0"/>
              <w:rPr>
                <w:sz w:val="11"/>
                <w:szCs w:val="11"/>
                <w:color w:val="auto"/>
              </w:rPr>
            </w:pPr>
          </w:p>
        </w:tc>
        <w:tc>
          <w:tcPr>
            <w:tcW w:w="4380" w:type="dxa"/>
            <w:vAlign w:val="bottom"/>
            <w:gridSpan w:val="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63</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380" w:type="dxa"/>
            <w:vAlign w:val="bottom"/>
            <w:gridSpan w:val="8"/>
          </w:tcPr>
          <w:p>
            <w:pPr>
              <w:spacing w:after="0" w:line="138" w:lineRule="exact"/>
              <w:rPr>
                <w:rFonts w:ascii="Arial" w:cs="Arial" w:eastAsia="Arial" w:hAnsi="Arial"/>
                <w:sz w:val="13"/>
                <w:szCs w:val="13"/>
                <w:color w:val="0000EE"/>
              </w:rPr>
            </w:pPr>
            <w:hyperlink w:anchor="page67">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66</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78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95"/>
              </w:rPr>
              <w:t>EXHIBIT 23.1</w:t>
            </w:r>
          </w:p>
        </w:tc>
        <w:tc>
          <w:tcPr>
            <w:tcW w:w="60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78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95"/>
              </w:rPr>
              <w:t>EXHIBIT 31.1</w:t>
            </w:r>
          </w:p>
        </w:tc>
        <w:tc>
          <w:tcPr>
            <w:tcW w:w="60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380" w:type="dxa"/>
            <w:vAlign w:val="bottom"/>
            <w:gridSpan w:val="8"/>
          </w:tcPr>
          <w:p>
            <w:pPr>
              <w:spacing w:after="0" w:line="138" w:lineRule="exact"/>
              <w:rPr>
                <w:sz w:val="20"/>
                <w:szCs w:val="20"/>
                <w:color w:val="auto"/>
              </w:rPr>
            </w:pPr>
            <w:r>
              <w:rPr>
                <w:rFonts w:ascii="Arial" w:cs="Arial" w:eastAsia="Arial" w:hAnsi="Arial"/>
                <w:sz w:val="13"/>
                <w:szCs w:val="13"/>
                <w:color w:val="0000EE"/>
              </w:rPr>
              <w:t>EXHIBIT 31.2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700" w:type="dxa"/>
            <w:vAlign w:val="bottom"/>
            <w:tcBorders>
              <w:top w:val="single" w:sz="8" w:color="0000EE"/>
            </w:tcBorders>
            <w:gridSpan w:val="3"/>
          </w:tcPr>
          <w:p>
            <w:pPr>
              <w:spacing w:after="0" w:line="138" w:lineRule="exact"/>
              <w:rPr>
                <w:sz w:val="20"/>
                <w:szCs w:val="20"/>
                <w:color w:val="auto"/>
              </w:rPr>
            </w:pPr>
            <w:r>
              <w:rPr>
                <w:rFonts w:ascii="Arial" w:cs="Arial" w:eastAsia="Arial" w:hAnsi="Arial"/>
                <w:sz w:val="13"/>
                <w:szCs w:val="13"/>
                <w:color w:val="0000EE"/>
                <w:w w:val="96"/>
              </w:rPr>
              <w:t>EXHIBIT 32</w:t>
            </w:r>
          </w:p>
        </w:tc>
        <w:tc>
          <w:tcPr>
            <w:tcW w:w="680" w:type="dxa"/>
            <w:vAlign w:val="bottom"/>
            <w:gridSpan w:val="5"/>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60"/>
        </w:trPr>
        <w:tc>
          <w:tcPr>
            <w:tcW w:w="7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80" w:type="dxa"/>
            <w:vAlign w:val="bottom"/>
            <w:gridSpan w:val="24"/>
          </w:tcPr>
          <w:p>
            <w:pPr>
              <w:jc w:val="center"/>
              <w:ind w:left="3294"/>
              <w:spacing w:after="0"/>
              <w:rPr>
                <w:sz w:val="20"/>
                <w:szCs w:val="20"/>
                <w:color w:val="auto"/>
              </w:rPr>
            </w:pPr>
            <w:r>
              <w:rPr>
                <w:rFonts w:ascii="Arial" w:cs="Arial" w:eastAsia="Arial" w:hAnsi="Arial"/>
                <w:sz w:val="13"/>
                <w:szCs w:val="13"/>
                <w:color w:val="auto"/>
                <w:w w:val="82"/>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100" w:firstLine="399"/>
        <w:spacing w:after="0" w:line="278" w:lineRule="auto"/>
        <w:rPr>
          <w:sz w:val="20"/>
          <w:szCs w:val="20"/>
          <w:color w:val="auto"/>
        </w:rPr>
      </w:pPr>
      <w:r>
        <w:rPr>
          <w:rFonts w:ascii="Arial" w:cs="Arial" w:eastAsia="Arial" w:hAnsi="Arial"/>
          <w:sz w:val="12"/>
          <w:szCs w:val="12"/>
          <w:color w:val="auto"/>
        </w:rPr>
        <w:t>Statements in this report that are not strictly historical in nature are forward-looking statements. These statements include, but are not limited to, statements about: the progress or success of our research, development and clinical programs, the timing of completion of enrollment in our clinical trials, the timing of the interim analyses and the timing or success of the commercialization of our Technosphere Insulin System, or any other products or therapies that we may develop; our ability to market, commercialize and achieve market acceptance for our Technosphere Insulin System,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5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3"/>
          <w:szCs w:val="13"/>
          <w:color w:val="auto"/>
        </w:rPr>
        <w:t>Technosphere</w:t>
      </w:r>
      <w:r>
        <w:rPr>
          <w:rFonts w:ascii="Arial" w:cs="Arial" w:eastAsia="Arial" w:hAnsi="Arial"/>
          <w:sz w:val="11"/>
          <w:szCs w:val="11"/>
          <w:color w:val="auto"/>
        </w:rPr>
        <w:t>®</w:t>
      </w:r>
      <w:r>
        <w:rPr>
          <w:rFonts w:ascii="Arial" w:cs="Arial" w:eastAsia="Arial" w:hAnsi="Arial"/>
          <w:sz w:val="13"/>
          <w:szCs w:val="13"/>
          <w:color w:val="auto"/>
        </w:rPr>
        <w:t xml:space="preserve"> and MedTone</w:t>
      </w:r>
      <w:r>
        <w:rPr>
          <w:rFonts w:ascii="Arial" w:cs="Arial" w:eastAsia="Arial" w:hAnsi="Arial"/>
          <w:sz w:val="11"/>
          <w:szCs w:val="11"/>
          <w:color w:val="auto"/>
        </w:rPr>
        <w:t>®</w:t>
      </w:r>
      <w:r>
        <w:rPr>
          <w:rFonts w:ascii="Arial" w:cs="Arial" w:eastAsia="Arial" w:hAnsi="Arial"/>
          <w:sz w:val="13"/>
          <w:szCs w:val="13"/>
          <w:color w:val="auto"/>
        </w:rPr>
        <w:t xml:space="preserve"> are our registered trademarks in the United States. We have also applied for or registered company trademarks in other jurisdictions, including Europe and Japan. This document also contains trademarks and service marks of other companies that are the property of their respective owners.</w:t>
      </w:r>
    </w:p>
    <w:p>
      <w:pPr>
        <w:spacing w:after="0" w:line="210"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Unless the context requires otherwise, the words “MannKind,” “we,” “company,” “us” and “our” refer to MannKind Corporation and its subsidiary.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patients with diabetes. Specifically, Technosphere Insulin is rapidly absorbed into the bloodstream following inhalation, reaching peak levels within 12 to 14 minutes. As a result of this rapid onset of action, most of the glucose-lowering activity of Technosphere Insulin occurs within the first three hours of administration — which is generally when glucose becomes available from a meal — instead of the much longer duration of action observed when insulin is injected subcutaneously. We believe that the relatively short duration of action of Technosphere Insulin reduces the need for patients to snack between meals in order to manage ongoing blood glucose excursions. In our clinical trials, we have observed that patients using the Technosphere Insulin System have achieved significant reductions in post-meal glucose excursions and significant improvements in overall glucose control, as measured by decreases in glycosylated hemoglobin, or HbA1c, levels, without the weight gain typically associated with insulin therapy.</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In our clinical trials to date, we have observed no difference in pulmonary function between patients treated with Technosphere Insulin and patients treated with standard diabetes care. However, the longest study that we have completed so far is a six-month trial. In September 2006, we completed patient enrollment in a pivotal, two-year, Phase 3 safety study of the Technosphere Insulin System that will compare the pulmonary function of diabetes patients randomized to either Technosphere Insulin or standard diabetes care. We are continuing to enroll patients in three other major Phase 3 clinical trials, two of which are pivotal efficacy trials. Based on our discussions with the Food and Drug Administration, or FDA, we plan to accumulate two years of controlled safety data before we file a new drug application for the Technosphere Insulin System. We anticipate that our entire clinical trial program, including several special population studies, will involve more than 4,500 patients. Larger populations and longer durations of exposure may be necessary depending on the safety profile of our product.</w:t>
      </w:r>
    </w:p>
    <w:p>
      <w:pPr>
        <w:spacing w:after="0" w:line="45"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Technosphere Insulin System utilizes our proprietary Technosphere formulation technology, which is based on a class of organic molecules that are designed to self-assemble into small particles onto which drug molecules can be loaded. We are developing additional Technosphere-based products for the delivery of other drugs. In addition to these products, we are developing therapies for the treatment of solid tumor cancers. We initiated Phase 1 clinical trials of a therapeutic cancer vaccine in January 2007.</w:t>
      </w:r>
    </w:p>
    <w:p>
      <w:pPr>
        <w:spacing w:after="0" w:line="5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were incorporated in the State of Delaware in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electronically filed with or furnished to the SEC.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DIABETES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Diabetes is a major disease characterized by the body’s inability to properly regulate levels of blood glucose, or blood sugar. The cells of the body use glucose as fuel, which is consumed 24 hours a day. Between meals, when glucose is not being supplied from food, the liver releases glucose into the blood to sustain adequate levels. Insulin is a hormone produced by the pancreas that regulates the body’s blood glucose levels. Patients with diabetes develop abnormally high levels of glucose, a state known as hyperglycemia, either because they produce insufficient levels of insulin or because they fail to respond adequately to insulin produced by the body. Over time, poorly controlled levels of blood glucose can lead to major complications, including high blood pressure, blindness, amputations, kidney failure, heart attack, stroke and death.</w:t>
      </w:r>
    </w:p>
    <w:p>
      <w:pPr>
        <w:spacing w:after="0" w:line="7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 xml:space="preserve">According to the United States Centers for Disease Control, or CDC, approximately 20.8 million people in the United States, or 7% of the population, suffered from diabetes as of 2005. The CDC estimated that 14.6 million cases of diabetes were diagnosed and under treatment and that 1.5 million new cases would be diagnosed in 2005. More troubling is the fact that the incidence of diabetes is increasing. A study published by </w:t>
      </w:r>
      <w:r>
        <w:rPr>
          <w:rFonts w:ascii="Arial" w:cs="Arial" w:eastAsia="Arial" w:hAnsi="Arial"/>
          <w:sz w:val="13"/>
          <w:szCs w:val="13"/>
          <w:i w:val="1"/>
          <w:iCs w:val="1"/>
          <w:color w:val="auto"/>
        </w:rPr>
        <w:t>Diabetes Care</w:t>
      </w:r>
      <w:r>
        <w:rPr>
          <w:rFonts w:ascii="Arial" w:cs="Arial" w:eastAsia="Arial" w:hAnsi="Arial"/>
          <w:sz w:val="13"/>
          <w:szCs w:val="13"/>
          <w:color w:val="auto"/>
        </w:rPr>
        <w:t xml:space="preserve"> in 2006 projected that in 2050 there would be 48.3 million people with diagnosed diabetes in the United States. Diabetes extracts a heavy toll from those who suffer from it. The CDC reported that diabetes was the sixth leading cause of death listed on death certificates in 2002, but that diabetes was likely to be underreported as a cause of death. Overall, the CDC found that the risk of death among people with diabetes is about twice that of people without diabetes of similar age. The economic costs of diabetes are high as well. The American Diabetes Association estimated that, in 2002, the total cost of diabetes in the United States was $132 billion. This amount includes $12 billion of direct costs for drug treatment for glucose control, of which approximately $7 billion were for insulin and delivery supplies and approximately $5 billion were for non-insulin oral medications.</w:t>
      </w:r>
    </w:p>
    <w:p>
      <w:pPr>
        <w:spacing w:after="0" w:line="7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There are two major forms of diabetes, type 1 and type 2. Type 1 diabetes is an autoimmune disease characterized by a complete lack of insulin secretion by the pancreas, so insulin must be supplied from outside the body in order to sustain life. In type 2 diabetes, the pancreas continues to produce insulin; however, insulin-dependent cells become resistant toward the insulin effect. Over time, the pancreas becomes increasingly unable to secrete adequate amounts of insulin to support metabolism. According to the CDC, type 2 diabetes is the more prevalent form of the disease, affecting approximately 90% to 95% of people diagnosed with diabetes.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Challenges of treating type 2 diabetes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Typically, the treatment of type 2 diabetes starts with management of diet and exercise and progresses to treatment with various oral medications and then to treatment with insulin. Treatment with diet and exercise alone is not an effective long-term solution for most patients with type 2 diabetes. Oral medications — which act predominantly by increasing the amount of insulin produced by the pancreas, by increasing the sensitivity of insulin-dependent cells or by reducing the glucose output of the liver — generally have significant adverse effects and are limited in their ability to manage the disease effectively.</w:t>
      </w:r>
    </w:p>
    <w:p>
      <w:pPr>
        <w:spacing w:after="0" w:line="7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Insulin therapy usually involves administering several subcutaneous needle injections of insulin each day. Although this treatment regimen is accepted as an effective means to control glucose levels, it has limitations, including:</w:t>
      </w:r>
    </w:p>
    <w:p>
      <w:pPr>
        <w:spacing w:after="0" w:line="59"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need for injections;</w:t>
      </w:r>
    </w:p>
    <w:p>
      <w:pPr>
        <w:spacing w:after="0" w:line="86" w:lineRule="exact"/>
        <w:rPr>
          <w:rFonts w:ascii="Arial" w:cs="Arial" w:eastAsia="Arial" w:hAnsi="Arial"/>
          <w:sz w:val="13"/>
          <w:szCs w:val="13"/>
          <w:color w:val="auto"/>
        </w:rPr>
      </w:pPr>
    </w:p>
    <w:p>
      <w:pPr>
        <w:ind w:left="1280" w:right="340" w:hanging="190"/>
        <w:spacing w:after="0" w:line="320"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risk of severe hypoglycemia, abnormally low levels of blood glucose that result from excessive insulin administration. Hypoglycemia can result in loss of mental acuity, confusion, increased heart rate, hunger, sweating and faintness and, at very low glucose levels, loss of consciousness, seizures, coma and death.</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need for complex titration of insulin doses in connection with meals;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inadequate post-meal glucose control;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need for frequent glucose monitoring with finger pricks;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likelihood of weight gain.</w:t>
      </w:r>
    </w:p>
    <w:p>
      <w:pPr>
        <w:spacing w:after="0" w:line="96"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Particularly because of the dislike of injections and finger pricks, patients tend not to comply adequately with the prescribed treatment regimens and are often improperly medicated. Moreover, even when properly administered, subcutaneous injections of insulin do not replicate the natural time-action profile of insulin. In a person without diabetes, blood insulin levels rise within several minutes of the entry into the bloodstream of glucose from a meal. By contrast, injected insulin enters the bloodstream slowly, resulting in peak insulin levels in about 120 to 180 minutes for regular human insulin or 30-90 minutes for “rapid-acting” insulin analogs. The consequence is for patients with diabetes to have inadequate levels of insulin present at the initiation of a meal and to be over-insulinized between meals. This lag in insulin delivery results in hyperglycemia early after meal onset, followed by a tendency for hypoglycemia to develop during the period between meals. Physicians who treat patients with diabetes are concerned about the risks of hypoglycemia and, as a result, tend to undertreat the chronic hyperglycemia that is associated with the disease. However, the resultant extensive hyperglycemia significantly contributes to many of the long-term cardiovascular and other serious complications of diabetes.</w:t>
      </w:r>
    </w:p>
    <w:p>
      <w:pPr>
        <w:spacing w:after="0" w:line="7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There are two components to the hyperglycemia concern. The first component is related to the duration and magnitude of the chronic sustained hyperglycemia associated with poorly controlled diabetes. This component is assessed by measuring HbA1c levels, which are a measure of the average blood glucose levels over the preceding three or four months. HbA1c levels are an indication of overall glucose control, and an important goal of all diabetes therapies is to lower HbA1c levels. The second component of hyperglycemia relates to the extent of acute glucose fluctuations above and below the average level. These fluctuations occur in response to meals and can be managed by diabetes medications, including insulin. In a clinical setting, this component is assessed by determining the mean amplitude of glucose excursions that occur following the ingestion of a meal.</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There is evidence that acute glucose fluctuations may be the more significant factor contributing to the cardiovascular complications of diabetes, which are thought to stem from the activation of a mechanism known as oxidative stress that causes cellular damage. A recent study of patients with type 2 diabetes reported in the </w:t>
      </w:r>
      <w:r>
        <w:rPr>
          <w:rFonts w:ascii="Arial" w:cs="Arial" w:eastAsia="Arial" w:hAnsi="Arial"/>
          <w:sz w:val="13"/>
          <w:szCs w:val="13"/>
          <w:i w:val="1"/>
          <w:iCs w:val="1"/>
          <w:color w:val="auto"/>
        </w:rPr>
        <w:t>Journal of the American Medical Association</w:t>
      </w:r>
      <w:r>
        <w:rPr>
          <w:rFonts w:ascii="Arial" w:cs="Arial" w:eastAsia="Arial" w:hAnsi="Arial"/>
          <w:sz w:val="13"/>
          <w:szCs w:val="13"/>
          <w:color w:val="auto"/>
        </w:rPr>
        <w:t xml:space="preserve"> in April 2006 found that the urinary levels of a marker for oxidative stress were significantly correlated with the mean amplitude of glucose excursions during the post-meal period. This study concluded that acute glucose fluctuations may trigger oxidative stress, suggesting that doctors and patients should emphasize the management of acute glucose fluctuations as well as the goal of lowering HbA1c levels.</w:t>
      </w:r>
    </w:p>
    <w:p>
      <w:pPr>
        <w:spacing w:after="0" w:line="71"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results of a long-term study support the view that controlling acute glucose fluctuations contributes to a reduced risk for the cardiovascular complications of diabetes. In the Diabetes Control and Complications Trial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 xml:space="preserve">(DCCT) conducted by the National Institutes of Health, a group of patients treated using conventional insulin therapy (1-2 insulin injections per day along with daily urine glucose tests) was compared to a group treated using intensive insulin therapy (either an insulin pump or at least 3 insulin injections and at least 4 blood glucose tests per day). In total, 1,441 patients were followed for an average of 6.5 years each. Intensive insulin therapy produced a significant reduction in HbA1c levels compared to conventional insulin therapy; the difference between treatment groups remained evident for the duration of the study. Moreover, the patients who had been intensively treated also showed significant decreases in risk for kidney and eye damage compared to the conventional treatment group. When these results were reported, the DCCT was discontinued; however, a group of 1,375 of these subjects (half from each of the original treatment groups) was subsequently followed in the Epidemiology of Diabetes Interventions and Complications (EDIC) study. After seven years in the EDIC study, the HbA1c levels of the former conventional therapy group did not differ from the HbA1c levels of the former intensive treatment group — the HbA1c levels of the former conventional therapy group had improved from the DCCT while those of the former intensive group had declined. However, the former conventional therapy group continued to show an elevated risk of kidney and eye damage compared to the former intensive therapy group, according a report published in the </w:t>
      </w:r>
      <w:r>
        <w:rPr>
          <w:rFonts w:ascii="Arial" w:cs="Arial" w:eastAsia="Arial" w:hAnsi="Arial"/>
          <w:sz w:val="12"/>
          <w:szCs w:val="12"/>
          <w:i w:val="1"/>
          <w:iCs w:val="1"/>
          <w:color w:val="auto"/>
        </w:rPr>
        <w:t>Journal of the American Medical Association</w:t>
      </w:r>
      <w:r>
        <w:rPr>
          <w:rFonts w:ascii="Arial" w:cs="Arial" w:eastAsia="Arial" w:hAnsi="Arial"/>
          <w:sz w:val="12"/>
          <w:szCs w:val="12"/>
          <w:color w:val="auto"/>
        </w:rPr>
        <w:t xml:space="preserve"> in May 2002. These findings led to the conclusion that intensive insulin therapy — which would be expected to reduce acute glucose fluctuations — can be beneficial for patients with diabetes, even years after the therapy has been less intensified. However, the EDIC also demonstrates how intensive insulin therapy is difficult for many patients to implement in a home setting.</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Even if intensive insulin therapy is implemented, the available insulin products are not able to enter the bloodstream fast enough to replicate the tight coupling between changes in blood glucose levels and the release of insulin by the pancreas that is seen in healthy individuals without diabetes. The early insulin response following glucose ingestion is an important part of maintaining control over glucose levels during the post-meal period. It is thought that the early surge of insulin levels shuts off glucose production by the liver, which otherwise would continue to release glucose into the bloodstream at the same time that glucose is being absorbed from the meal. This avoids hyperglycemia during mealtime and prevents the pancreas from having to secrete an excessive amount of insulin during the period between meals. Patients with diabetes, however, have little or no ability to secrete insulin rapidly in response to the onset of a meal. Without an adequate means to deliver insulin to the bloodstream rapidly enough to approximate the early insulin secretion seen in healthy individuals following a meal, patients with diabetes end up experiencing an endless series of glucose fluctuations, triggered by the meals and the sluggish insulin they take to control meal-time glucose. This shortcoming is a significant obstacle to the effectiveness of currently available insulin therapy for the treatment of diabetes.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MANNKIND SOLUTION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Addresses a core defect in diabetes in a manner unlike any other insulin therapy</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our clinical studies to date, we have consistently observed that the Technosphere Insulin System produces a profile of insulin levels in the bloodstream that approximates the early insulin secretion normally seen in healthy individuals immediately following the beginning of a meal.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 xml:space="preserve">This performance characteristic distinguishes the Technosphere Insulin System from other insulin therapies. A 2004 review article in the </w:t>
      </w:r>
      <w:r>
        <w:rPr>
          <w:rFonts w:ascii="Arial" w:cs="Arial" w:eastAsia="Arial" w:hAnsi="Arial"/>
          <w:sz w:val="12"/>
          <w:szCs w:val="12"/>
          <w:i w:val="1"/>
          <w:iCs w:val="1"/>
          <w:color w:val="auto"/>
        </w:rPr>
        <w:t>British Journal of Diabetes and Vascular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Diseases </w:t>
      </w:r>
      <w:r>
        <w:rPr>
          <w:rFonts w:ascii="Arial" w:cs="Arial" w:eastAsia="Arial" w:hAnsi="Arial"/>
          <w:sz w:val="12"/>
          <w:szCs w:val="12"/>
          <w:color w:val="auto"/>
        </w:rPr>
        <w:t>surveyed the data published on pulmonary insulin products in development and compared their glucose-lowering activity to that of injectable rapid-acting insulin analogs. The</w:t>
      </w:r>
      <w:r>
        <w:rPr>
          <w:rFonts w:ascii="Arial" w:cs="Arial" w:eastAsia="Arial" w:hAnsi="Arial"/>
          <w:sz w:val="12"/>
          <w:szCs w:val="12"/>
          <w:i w:val="1"/>
          <w:iCs w:val="1"/>
          <w:color w:val="auto"/>
        </w:rPr>
        <w:t xml:space="preserve"> </w:t>
      </w:r>
      <w:r>
        <w:rPr>
          <w:rFonts w:ascii="Arial" w:cs="Arial" w:eastAsia="Arial" w:hAnsi="Arial"/>
          <w:sz w:val="12"/>
          <w:szCs w:val="12"/>
          <w:color w:val="auto"/>
        </w:rPr>
        <w:t>graph below from this article shows that most pulmonary insulin formulations have comparable time-action profiles to injectable rapid-acting insulin. The one exception was the Technosphere Insulin System, which has been observed to have a much more rapid onset of action than the other insulin therapies reviewed.</w:t>
      </w:r>
    </w:p>
    <w:p>
      <w:pPr>
        <w:spacing w:after="0" w:line="59" w:lineRule="exact"/>
        <w:rPr>
          <w:sz w:val="20"/>
          <w:szCs w:val="20"/>
          <w:color w:val="auto"/>
        </w:rPr>
      </w:pPr>
    </w:p>
    <w:p>
      <w:pPr>
        <w:jc w:val="center"/>
        <w:ind w:right="-699"/>
        <w:spacing w:after="0"/>
        <w:rPr>
          <w:sz w:val="20"/>
          <w:szCs w:val="20"/>
          <w:color w:val="auto"/>
        </w:rPr>
      </w:pPr>
      <w:r>
        <w:rPr>
          <w:rFonts w:ascii="Arial" w:cs="Arial" w:eastAsia="Arial" w:hAnsi="Arial"/>
          <w:sz w:val="21"/>
          <w:szCs w:val="21"/>
          <w:color w:val="auto"/>
        </w:rPr>
        <w:t>Time-action profiles of inhaled insulin systems</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21"/>
          <w:szCs w:val="21"/>
          <w:color w:val="auto"/>
        </w:rPr>
        <w:t>compared to a rapid-acting insulin analog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60960</wp:posOffset>
            </wp:positionV>
            <wp:extent cx="2378075" cy="1510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8075" cy="151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believe the rapid action of Technosphere Insulin may be related to the unique aspects of both the carrier molecule as well as the way insulin is stabilized in our formulation. Our Technosphere formulation technology is centered on a class of pH-sensitive organic molecules that self-assemble into small particles under mildly acidic conditions. Certain drugs, such as insulin, can be loaded onto these particles by combining a mildly acidic solution of the drug with a suspension of Technosphere material, which is then dried to a powder. This powder is then filled into plastic cartridges and packaged. To administer Technosphere Insulin, a patient loads a cartridge into our palm-sized inhaler. By inhaling through the inhaler, air is pulled through the cartridge, which aerosolizes the powder and pulls the particles into the air current and out through the mouthpiece. The individual particles within this aerosol are small and have aerodynamic properties that enable them to fly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Significantly, when the Technosphere particles dissociate, we believe that the insulin that is released is in a form that can be readily used by the body. In most pharmaceutical dosage forms, regular human insulin exists as a hexamer, a complex of six associated insulin molecules. In order to exert a pharmacological effect, the hexamer must first dissociate into three dimers — complexes of two insulin molecules — which then further dissociate into individual insulin molecules, or monomers. Only monomeric insulin can attach to the insulin receptor and exert a physiological effect. Rapid-acting insulin analogs are designed to be fragile hexamers that dissociate more quickly, thereby reducing the time required to achieve an effect but this is still far slower than insulin that is released from a healthy pancreas. However, the insulin released from Technosphere particles is already largely in monomeric form. During the manufacture of Technosphere Insulin, we cause hexameric insulin to dissociate into monomeric insulin before being loaded onto Technosphere particles. When Technosphere Insulin particles dissolve in the deep lung, the insulin that is released diffuses across a thin layer of cells to reach the bloodstream. Little change is required before the insulin can start exerting its glucose-lowering effect.</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 xml:space="preserve">By virtue of these properties, the Technosphere Insulin System is able to produce a rapid elevation in insulin levels that peaks within 12 to 14 minutes of inhalation. This time-action profile approximates the insulin profile normally seen in healthy individuals immediately following the beginning of a meal, but which is absent in patients with diabetes. The figure below illustrates the normal insulin response in more detail. The top panel of the figure below, from a study published in </w:t>
      </w:r>
      <w:r>
        <w:rPr>
          <w:rFonts w:ascii="Arial" w:cs="Arial" w:eastAsia="Arial" w:hAnsi="Arial"/>
          <w:sz w:val="12"/>
          <w:szCs w:val="12"/>
          <w:i w:val="1"/>
          <w:iCs w:val="1"/>
          <w:color w:val="auto"/>
        </w:rPr>
        <w:t>Diabetes</w:t>
      </w:r>
      <w:r>
        <w:rPr>
          <w:rFonts w:ascii="Arial" w:cs="Arial" w:eastAsia="Arial" w:hAnsi="Arial"/>
          <w:sz w:val="12"/>
          <w:szCs w:val="12"/>
          <w:color w:val="auto"/>
        </w:rPr>
        <w:t xml:space="preserve"> in May 2004, illustrates the normal insulin response measured in 17 healthy subjects in response to a standardized meal. Note that the insulin levels rise quickly in response to the glucose stimulus from the meal.</w:t>
      </w:r>
    </w:p>
    <w:p>
      <w:pPr>
        <w:spacing w:after="0" w:line="21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Post-meal insulin levels in healthy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110490</wp:posOffset>
            </wp:positionV>
            <wp:extent cx="3507740" cy="1136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7740" cy="113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79"/>
        <w:spacing w:after="0"/>
        <w:rPr>
          <w:sz w:val="20"/>
          <w:szCs w:val="20"/>
          <w:color w:val="auto"/>
        </w:rPr>
      </w:pPr>
      <w:r>
        <w:rPr>
          <w:rFonts w:ascii="Arial" w:cs="Arial" w:eastAsia="Arial" w:hAnsi="Arial"/>
          <w:sz w:val="21"/>
          <w:szCs w:val="21"/>
          <w:color w:val="auto"/>
        </w:rPr>
        <w:t>Post-meal insulin levels with Technosphere</w:t>
      </w:r>
    </w:p>
    <w:p>
      <w:pPr>
        <w:spacing w:after="0" w:line="93" w:lineRule="exact"/>
        <w:rPr>
          <w:sz w:val="20"/>
          <w:szCs w:val="20"/>
          <w:color w:val="auto"/>
        </w:rPr>
      </w:pPr>
    </w:p>
    <w:p>
      <w:pPr>
        <w:jc w:val="center"/>
        <w:ind w:right="-779"/>
        <w:spacing w:after="0"/>
        <w:rPr>
          <w:sz w:val="20"/>
          <w:szCs w:val="20"/>
          <w:color w:val="auto"/>
        </w:rPr>
      </w:pPr>
      <w:r>
        <w:rPr>
          <w:rFonts w:ascii="Arial" w:cs="Arial" w:eastAsia="Arial" w:hAnsi="Arial"/>
          <w:sz w:val="21"/>
          <w:szCs w:val="21"/>
          <w:color w:val="auto"/>
        </w:rPr>
        <w:t>Insulin in patients with type 2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110490</wp:posOffset>
            </wp:positionV>
            <wp:extent cx="3507740" cy="1116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7740" cy="111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comparison purposes, the lower panel of this figure shows the average insulin response observed in 16 patients with type 2 diabetes who inhaled a dose of Technosphere Insulin prior to eating a standardized meal (Study 003B). This comparison illustrates the degree to which our Technosphere Insulin System approximates the insulin profile of healthy individuals following meal onset.</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For this reason, we currently believe that Technosphere Insulin has the potential to address insulin deficiency in diabetes in a manner unlike any other insulin therapy. We further believe that our ability to produce a better approximation of normal insulin physiology translates into better chronic and acute glucose control, thereby giving our investigational product potential clinical and commercial advantages.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More natural insulin profile translates to better glucose control</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our Phase 2 studies involving patients with type 2 diabetes, we observed that within a few weeks of treatment the Technosphere Insulin System lowered HbA1c levels and substantially reduced glucose fluctuations after a meal. For example, in Study 003B, we compared the effect of mealtime doses of Technosphere Insulin on blood glucose levels to the effect of mealtime doses of subcutaneous insulin. This study employed a cross-over design, so that patients were treated with either Technosphere Insulin or subcutaneous injections of insulin at mealtimes for approximately one week and then, after a washout period, were treated with the other treatment for a further week. At the end of each treatment period, patients were administered a standardized meal and their blood insulin and glucose levels were monitored for a four-hour period.</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graphs below show mean blood levels of insulin and glucose following administration of the meal to patients at the end of each treatment period. The panel on the left shows the characteristically rapid appearance of insulin in the bloodstream when Technosphere Insulin is inhaled as compared to the much slower increase following the subcutaneous injection of insulin. The panel on the right shows the corresponding post-meal excursions, or changes from baseline, of glucose absorbed from the meal following administration of either Technosphere Insulin or subcutaneous insulin. These data show that Technosphere Insulin was able to limit the excursion of blood glucose during the post-meal period in patients in this trial to a greater extent than insulin administered subcutaneously.</w:t>
      </w:r>
    </w:p>
    <w:p>
      <w:pPr>
        <w:spacing w:after="0" w:line="166" w:lineRule="exact"/>
        <w:rPr>
          <w:sz w:val="20"/>
          <w:szCs w:val="20"/>
          <w:color w:val="auto"/>
        </w:rPr>
      </w:pPr>
    </w:p>
    <w:p>
      <w:pPr>
        <w:ind w:left="2000"/>
        <w:spacing w:after="0"/>
        <w:tabs>
          <w:tab w:leader="none" w:pos="6900" w:val="left"/>
        </w:tabs>
        <w:rPr>
          <w:sz w:val="20"/>
          <w:szCs w:val="20"/>
          <w:color w:val="auto"/>
        </w:rPr>
      </w:pPr>
      <w:r>
        <w:rPr>
          <w:rFonts w:ascii="Arial" w:cs="Arial" w:eastAsia="Arial" w:hAnsi="Arial"/>
          <w:sz w:val="21"/>
          <w:szCs w:val="21"/>
          <w:color w:val="auto"/>
        </w:rPr>
        <w:t>Post-meal insulin levels</w:t>
      </w:r>
      <w:r>
        <w:rPr>
          <w:sz w:val="20"/>
          <w:szCs w:val="20"/>
          <w:color w:val="auto"/>
        </w:rPr>
        <w:tab/>
      </w:r>
      <w:r>
        <w:rPr>
          <w:rFonts w:ascii="Arial" w:cs="Arial" w:eastAsia="Arial" w:hAnsi="Arial"/>
          <w:sz w:val="21"/>
          <w:szCs w:val="21"/>
          <w:color w:val="auto"/>
        </w:rPr>
        <w:t>Post-meal glucose excursions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54610</wp:posOffset>
            </wp:positionV>
            <wp:extent cx="1753870" cy="1023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3870" cy="1023620"/>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54610</wp:posOffset>
            </wp:positionV>
            <wp:extent cx="1753870" cy="1029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3870" cy="102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quantified the total exposure to insulin and the excursion of blood glucose levels by calculating the areas under the mean insulin and glucose curves, respectively. The results of this analysis are presented in the bar graph below. The bars on the left show that the areas under the insulin curve were virtually identical, indicating that patients in this trial received the same total exposure to insulin over four hours, whether from Technosphere Insulin or subcutaneous insulin. However, as shown by the bars on the right, when these patients inhaled Technosphere Insulin, there was a significant decrease in total blood glucose excursions after a meal. Across all these patients, the mean total excursion of post-meal glucose levels following administration of Technosphere Insulin was 48% less than the mean excursion observed following administration of subcutaneous insulin.</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5"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Post-meal insulin levels and glucose excursions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54610</wp:posOffset>
            </wp:positionV>
            <wp:extent cx="3033395" cy="1716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3395" cy="171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 subsequent trials, we studied the longer-term effects of meal-time Technosphere Insulin on blood glucose levels in patients with type 2 diabetes. In Studies 008 and 005, we observed that the use of Technosphere Insulin produced a statistically significant, dose-dependent reduction in HbA1c levels over an 8 to 12 week period compared to meal-time placebo. Patients in these studies received basal insulin or oral medications as background treatment. In more recent studies, we compared the effect of Technosphere Insulin on HbA1c levels to that of a rapid-acting analog. In Study 101, a three-month, Phase 2 study of 110 patients with type 1 diabetes, the significant HbA1c reductions were similar to the reductions achieved using Novolog</w:t>
      </w:r>
      <w:r>
        <w:rPr>
          <w:rFonts w:ascii="Arial" w:cs="Arial" w:eastAsia="Arial" w:hAnsi="Arial"/>
          <w:sz w:val="11"/>
          <w:szCs w:val="11"/>
          <w:color w:val="auto"/>
        </w:rPr>
        <w:t>®</w:t>
      </w:r>
      <w:r>
        <w:rPr>
          <w:rFonts w:ascii="Arial" w:cs="Arial" w:eastAsia="Arial" w:hAnsi="Arial"/>
          <w:sz w:val="13"/>
          <w:szCs w:val="13"/>
          <w:color w:val="auto"/>
        </w:rPr>
        <w:t>, a rapid acting insulin analog. Similarly, in study 014, a six-month Phase 3 study of 308 patients with type 2 diabetes, both patient groups achieved similar and statistically significant improvements in HbA1c levels.</w:t>
      </w:r>
    </w:p>
    <w:p>
      <w:pPr>
        <w:spacing w:after="0" w:line="3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described earlier, acute glucose fluctuations are becoming recognized as an important factor underlying the cardiovascular complications of diabetes. In Study 101, we measured blood glucose in response to insulin administration at the beginning of the standardized meal. The graph below shows that in the group that received the rapid-acting insulin analog, there was a sharp rise in blood glucose immediately after the meal, followed by a gradual decline, reaching baseline in about four hours. In the group that received Technosphere Insulin, there was a short dip in blood glucose immediately after the dose; subsequent glucose fluctuation were considerably lower than with the rapid-acting insulin analog.</w:t>
      </w:r>
    </w:p>
    <w:p>
      <w:pPr>
        <w:spacing w:after="0" w:line="17" w:lineRule="exact"/>
        <w:rPr>
          <w:sz w:val="20"/>
          <w:szCs w:val="20"/>
          <w:color w:val="auto"/>
        </w:rPr>
      </w:pPr>
    </w:p>
    <w:p>
      <w:pPr>
        <w:jc w:val="center"/>
        <w:ind w:right="-699"/>
        <w:spacing w:after="0"/>
        <w:rPr>
          <w:sz w:val="20"/>
          <w:szCs w:val="20"/>
          <w:color w:val="auto"/>
        </w:rPr>
      </w:pPr>
      <w:r>
        <w:rPr>
          <w:rFonts w:ascii="Arial" w:cs="Arial" w:eastAsia="Arial" w:hAnsi="Arial"/>
          <w:sz w:val="20"/>
          <w:szCs w:val="20"/>
          <w:color w:val="auto"/>
        </w:rPr>
        <w:t>Post-meal glucose levels after standard</w:t>
      </w:r>
    </w:p>
    <w:p>
      <w:pPr>
        <w:jc w:val="center"/>
        <w:ind w:right="-699"/>
        <w:spacing w:after="0"/>
        <w:rPr>
          <w:sz w:val="20"/>
          <w:szCs w:val="20"/>
          <w:color w:val="auto"/>
        </w:rPr>
      </w:pPr>
      <w:r>
        <w:rPr>
          <w:rFonts w:ascii="Arial" w:cs="Arial" w:eastAsia="Arial" w:hAnsi="Arial"/>
          <w:sz w:val="20"/>
          <w:szCs w:val="20"/>
          <w:color w:val="auto"/>
        </w:rPr>
        <w:t>meal in patients with type 1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104140</wp:posOffset>
            </wp:positionV>
            <wp:extent cx="2971165" cy="141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1165" cy="141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In Studies 014 and 101, there was a statistically significant difference in the weight change over the treatment period between the groups that received the rapid-acting insulin analog and the groups that received Technosphere Insulin. The graph below illustrates the weight changes from baseline in these two studies.</w:t>
      </w:r>
    </w:p>
    <w:p>
      <w:pPr>
        <w:spacing w:after="0" w:line="222"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Weight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110490</wp:posOffset>
            </wp:positionV>
            <wp:extent cx="3713480" cy="2696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13480" cy="269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This graph shows how patients that received Technosphere Insulin experienced weight loss while the group that received a rapid-acting analog experienced weight gains. At the end of the treatment period (12 weeks for Study 101; 24 weeks for Study 014), the mean weight difference between groups was 1.0 kilograms (2.2 pounds) for Study 014 and 1.7 kilograms (3.7 pounds) for Study 101.</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observations of no weight gain, and even weight loss, in patients using the Technosphere Insulin System to control their blood glucose were initially surprising; however, we believe these findings are a consequence of controlling blood glucose levels after a meal more tightly than is possible with regular or rapid-acting insulin. We believe that the synchronization of Technosphere Insulin activity to meal digestion is the key to understanding the weight data. Meal digestion is somewhat variable, but lasts approximately three hours. The figure below, taken from our clinical data, illustrates that over 80% of the glucose-lowering activity of regular subcutaneous insulin is exerted more than three hours after a meal. At this point, patients run the risk of becoming hypoglycemic. We believe that this situation encourages patients to eat snacks between meals, contributing to the weight gain often associated with insulin therapy. By contrast, approximately three-quarters of the action of Technosphere Insulin occurs within the first three hours after a meal. After this point, there is little insulin present to cause hypoglycemia, thereby alleviating the need to snack. We believe that this phenomenon may explain why we have seen no therapy-related weight gain in our clinical trials to date.</w:t>
      </w:r>
    </w:p>
    <w:p>
      <w:pPr>
        <w:spacing w:after="0" w:line="3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Glucose lowering activity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54610</wp:posOffset>
            </wp:positionV>
            <wp:extent cx="2521585" cy="1442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Favorable safety profile in clinical trials to date</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To date, our clinical trials indicate that the Technosphere Insulin has a favorable safety profile. In some patients, we have observed mild coughing, usually limited to the period when they are learning to use the inhaler. Other adverse events reported in our clinical trials — including backache, common cold, pneumonia, anemia and diarrhea — were either found to be unrelated to the administration of Technosphere Insulin or could not be conclusively linked to its usage. We have frequently observed in our clinical trials that the use of Technosphere Insulin is associated with significantly fewer mild, moderate and severe hypoglycemic episodes compared to the incidence observed when other insulin products are used. In our first reported Phase 3 clinical trial, Study 014, we found that significantly fewer patients in the Technosphere Insulin group (56 of 150 patients) experienced mild or moderate hypoglycemia compared to the rapid-acting insulin analog group (83 of 158 patients) and there were no severe hypoglycemic episodes.</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Beginning with Studies 008 and 005, we have assessed the pulmonary function of patients that received Technosphere Insulin. In these studies, we found that there was no clinically or statistically significant difference between the baseline values and the final test results for Technosphere Insulin patients. In Studies 101 and 014, we compared pulmonary function in patients that received Technosphere Insulin to that of patients that received injections of rapid-acting insulin analog. At the end of the treatment period in each study, there was no difference between measures of pulmonary function for the two groups of patients, as measured by forced expiratory volume or FEV</w:t>
      </w:r>
      <w:r>
        <w:rPr>
          <w:rFonts w:ascii="Arial" w:cs="Arial" w:eastAsia="Arial" w:hAnsi="Arial"/>
          <w:sz w:val="10"/>
          <w:szCs w:val="10"/>
          <w:color w:val="auto"/>
        </w:rPr>
        <w:t>1</w:t>
      </w:r>
      <w:r>
        <w:rPr>
          <w:rFonts w:ascii="Arial" w:cs="Arial" w:eastAsia="Arial" w:hAnsi="Arial"/>
          <w:sz w:val="12"/>
          <w:szCs w:val="12"/>
          <w:color w:val="auto"/>
        </w:rPr>
        <w:t xml:space="preserve"> (the volume of air that can be forced out in one second) and forced vital capacity or FVC (a measure of pulmonary capacity). In Study 101, we also included measurements of DLco (the diffusion capacity for carbon monoxide) and, again, we observed no difference between the two groups of patients at the end of the treatment period. In Study 014, patients were followed for an additional six months after the treatment period ended. When FEV</w:t>
      </w:r>
      <w:r>
        <w:rPr>
          <w:rFonts w:ascii="Arial" w:cs="Arial" w:eastAsia="Arial" w:hAnsi="Arial"/>
          <w:sz w:val="10"/>
          <w:szCs w:val="10"/>
          <w:color w:val="auto"/>
        </w:rPr>
        <w:t>1</w:t>
      </w:r>
      <w:r>
        <w:rPr>
          <w:rFonts w:ascii="Arial" w:cs="Arial" w:eastAsia="Arial" w:hAnsi="Arial"/>
          <w:sz w:val="12"/>
          <w:szCs w:val="12"/>
          <w:color w:val="auto"/>
        </w:rPr>
        <w:t xml:space="preserve"> and FVC measures were obtained after the withdrawal period, we again saw no difference between the two groups.</w:t>
      </w:r>
    </w:p>
    <w:p>
      <w:pPr>
        <w:spacing w:after="0" w:line="54"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Many of the patients from our phase 2 studies have been enrolled in a long-term safety study (Study 010), which should permit us to evaluate pulmonary function over a longer period of time. In addition, we are conducting Study 030 — a two-year, pivotal, Phase 3 safety study that incorporates two design strategies. The first component is a randomized, open-label trial comparing pulmonary function in two groups of patients with diabetes. One group of approximately 625 patients is being treated with Technosphere Insulin and the other group of approximately 625 patients is being treated with existing oral and/or injectable therapies. The second component is a comparison of pulmonary function in the patients with diabetes who are not treated with Technosphere Insulin to a group of 125 subjects without any abnormalities in glucose control. Enrollment for this study began in June 2005 and was fully enrolled in September 2006.</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have an ongoing program of safety surveillance and adverse event reporting for the purpose of evaluating the ongoing safety data related to the use of our Technosphere Insulin System. Our safety data are necessarily preliminary until we have completed longer-term safety studies.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Convenient and easy to use</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To facilitate the delivery of Technosphere-formulated drugs to the deep lung, we developed an inhaler that utilizes single-use, disposable, plastic cartridges containing drug-loaded powder. Our MedTone inhaler is light and easy to use, and fits in the palm of the patient’s hand, which we believe facilitates patient compliance. To administer a dose, the patient opens the device, inserts a cartridge of Technosphere Insulin powder into the inhaler, inserts the mouthpiece into the mouth and takes a deep breath, thereby drawing the aerosolized particles deep into the lungs. The inhaler incorporates an airflow regulator that is designed to ensure a sufficient airflow from use to use, even in patients with restricted airflow capacity. In addition, the inhaler is breath actuated, which means that the patient does not need to coordinate a breath with any manipulation of the device, such as priming or pumping. In our clinical trials of our Technosphere Insulin System, patients have reported a high level of satisfaction with the MedTone inhaler.</w:t>
      </w:r>
    </w:p>
    <w:p>
      <w:pPr>
        <w:spacing w:after="0" w:line="59"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believe the ease of use of the MedTone inhaler complements the time-action profile of the Technosphere Insulin powder to produce a highly convenient system. Because insulin is transferred to the bloodstream rapidly with our therapy, we believe that the optimal and most convenient time for patients to take a dose of Technosphere Insulin is right at the start of a meal. In contrast, with subcutaneous regular insulin it is recommended that the user try to time an injection 15 to 45 minutes before the expected mealtime, raising issues such as miscalculation of time or unanticipated change in meal availability, which could result in adverse events.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CLINICAL DEVELOPMENT ACTIVITIES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Technosphere Insulin System</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are currently conducting a number of studies of the safety and efficacy of the Technosphere Insulin System in addition to the safety studies described above, we are conducting the following efficacy trials during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Study 009</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This pivotal Phase 3 study compares the efficacy of mealtime use of Technosphere Insulin to mealtime use of rapid-acting subcutaneous insulin in a population of approximately 500 patients with type 1 diabetes for a 12-month period. Efficacy will be evaluated on the basis of changes in HbA1c levels as well as changes in blood glucose levels after a standardized meal. We began enrolling patients in this study in the first quarter of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Study 102</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This pivotal Phase 3 study compares the efficacy of mealtime use of Technosphere Insulin to the twice-daily use of premixed insulin (a mixture of long- and short-acting insulin) in a population of approximately 500 patients with type 2 diabetes for a 12-month period. Efficacy will be evaluated on the basis of changes in HbA1c levels as well as changes in blood glucose levels after a standardized mixed meal. We began enrolling patients in this study in the first quarter of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Study 103</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This Phase 3 study evaluates the efficacy of Technosphere Insulin alone and in combination with metformin, an oral diabetes medication, in approximately 420 patients with type 2 diabetes who are not achieving desired glucose control with a combination of metformin and sulphonylurea, another oral diabetes medication. Efficacy will be evaluated on the basis of changes in HbA1c levels after 26 weeks of treatment as well as changes in blood glucose levels after a standardized mixed meal. This not a pivotal study; rather it is intended to support label expansion. We began enrolling patients in this study in the second quarter of 2006.</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Special population studies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have two ongoing studies: one examining the impact of asthma and another examining the impact of chronic obstructive pulmonary disease on the pharmacokinetics associated with Technosphere Insulin. Other special population studies that are planned include a trial that will examine the elimination of Technosphere Insulin in patients with kidney disease and a trial that will examine the effect of Technosphere Insulin in patients with liver disease.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Cancer immunotherapy program</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are also developing therapies for the treatment of solid tumor cancers. The lead product candidate in this program, MKC1106-PP, is intended for the treatment of several solid-tumor cancers, including ovarian, colorectal, pancreatic, renal, breast and prostate carcinomas and melanoma. We commenced an open label Phase 1 clinical trial of MKC1106-PP in January 2007, which is designed to evaluate the safety, tolerability and pharmacological response of this investigational drug in cancer patients with a variety of tumor types.</w:t>
      </w:r>
    </w:p>
    <w:p>
      <w:pPr>
        <w:spacing w:after="0" w:line="5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Our cancer therapy program utilizes the body’s immune system to help eradicate tumor cells. The immune system is a network of cells and organs that defends the body against infection and abnormal cells, such as tumor cells. A key element of the immune system is its ability to distinguish between healthy cells and foreign or diseased cells that do not belong in the body. The immune system accomplishes this task by recognizing distinctive molecules called epitopes on the surface of each cell as either normal or abnormal, and responding to them appropriately. Any substance capable of being recognized by the immune system is known as an antigen. An antigen can be all or part of a pathogenic organism or it can be a by-product of diseased cells. Certain specialized cells of the immune system (antigen-presenting cells or APC) sample antigens found in the body and present the epitopes associated with foreign antigens to other cells of the immune system, known as T-cells, whose function is to destroy any cell that expresses the same epitope; this process is known as cell-mediated immunity. In this way, the immune system can launch a very specific response to infection or disease.</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approach uses DNA- and peptide-based compounds that correspond to tumor-associated antigens that are expressed in a range of solid-tumors. The target antigens selected are either molecules with a role in disease progression or molecules that are very selectively expressed by tumor cells. A patient’s immune system is first “primed” by DNA-based compounds, or plasmids, that are injected directly into the patient’s 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The immune response is maintained by repeated immunization cycles. This prime-boost regimen is designed to provoke a potent cell-mediated immune response that destroys cancer cells along with the underlying blood supply to tumors.</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MKC1106-PP consists of three components: a plasmid that encodes pharmacological active elements from two tumor-associated antigens, known as PRAME and PSMA, and two synthetic peptides, one an analog of a PRAME epitope and one an analog of a PSMA epitope. PRAME is an acronym for preferentially expressed antigen on melanomas and PSMA is an acronym for prostate specific membrane antigen. In addition to melanoma, PRAME is expressed in carcinomas such as lung, breast, ovarian, renal, pancreatic and colorectal. PSMA was originally isolated from prostate carcinoma cells and later shown to be expressed in the blood vessels that supply several types of carcinoma, including breast, lung, ovarian, pancreatic, renal and colorectal carcinoma and melanoma.</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therapeutic approach addresses several deficiencies inherent in earlier approaches to cancer immunotherapy, including:</w:t>
      </w:r>
    </w:p>
    <w:p>
      <w:pPr>
        <w:spacing w:after="0" w:line="96" w:lineRule="exact"/>
        <w:rPr>
          <w:sz w:val="20"/>
          <w:szCs w:val="20"/>
          <w:color w:val="auto"/>
        </w:rPr>
      </w:pPr>
    </w:p>
    <w:p>
      <w:pPr>
        <w:ind w:left="1280" w:right="4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Specificity. </w:t>
      </w:r>
      <w:r>
        <w:rPr>
          <w:rFonts w:ascii="Arial" w:cs="Arial" w:eastAsia="Arial" w:hAnsi="Arial"/>
          <w:sz w:val="13"/>
          <w:szCs w:val="13"/>
          <w:color w:val="auto"/>
        </w:rPr>
        <w:t>Instead of targeting the dominant epitopes expressed by cancerous cells to which the immune system is tolerant, we preferentially target cancer epitopes to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immune system has not developed a tolerance. Our approach is to identify the non-tolerated epitopes on the cancer cell surface and design plasmid and peptide analogs to activate an immune response against such epitopes.</w:t>
      </w:r>
    </w:p>
    <w:p>
      <w:pPr>
        <w:spacing w:after="0" w:line="57" w:lineRule="exact"/>
        <w:rPr>
          <w:rFonts w:ascii="Arial" w:cs="Arial" w:eastAsia="Arial" w:hAnsi="Arial"/>
          <w:sz w:val="13"/>
          <w:szCs w:val="13"/>
          <w:color w:val="auto"/>
        </w:rPr>
      </w:pPr>
    </w:p>
    <w:p>
      <w:pPr>
        <w:ind w:left="1280" w:right="100" w:hanging="190"/>
        <w:spacing w:after="0" w:line="320"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In contrast to the conventional subcutaneous or intramuscular route of administration, our compounds are delivered directly into the patient’s lymph nodes, sites</w:t>
      </w:r>
      <w:r>
        <w:rPr>
          <w:rFonts w:ascii="Arial" w:cs="Arial" w:eastAsia="Arial" w:hAnsi="Arial"/>
          <w:sz w:val="12"/>
          <w:szCs w:val="12"/>
          <w:i w:val="1"/>
          <w:iCs w:val="1"/>
          <w:color w:val="auto"/>
        </w:rPr>
        <w:t xml:space="preserve"> </w:t>
      </w:r>
      <w:r>
        <w:rPr>
          <w:rFonts w:ascii="Arial" w:cs="Arial" w:eastAsia="Arial" w:hAnsi="Arial"/>
          <w:sz w:val="12"/>
          <w:szCs w:val="12"/>
          <w:color w:val="auto"/>
        </w:rPr>
        <w:t>rich in T-cells and APC. We believe that this delivery method ensures that T-cells are exposed to greater concentrations of antigen for a longer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58" w:lineRule="auto"/>
        <w:rPr>
          <w:sz w:val="20"/>
          <w:szCs w:val="20"/>
          <w:color w:val="auto"/>
        </w:rPr>
      </w:pPr>
      <w:r>
        <w:rPr>
          <w:rFonts w:ascii="Arial" w:cs="Arial" w:eastAsia="Arial" w:hAnsi="Arial"/>
          <w:sz w:val="13"/>
          <w:szCs w:val="13"/>
          <w:color w:val="auto"/>
        </w:rPr>
        <w:t>period of time than would occur after immunization by other routes, since cells within lymph nodes are ultimately responsible for the induction, amplification and regulation of an immune response. In our preclinical studies, we have observed that intra-lymph node injection was superior to other routes of administration, producing a larger number of specific T-cells for a variety of target antigens. In addition, because the plasmid is rapidly degraded before it reaches the circulatory system from the lymphatic system, we believe that intranodal administration yields plasmid distribution and uptake that is highly selective for the APC within lymph nodes, thereby improving not only the efficacy but also the safety of DNA plasmid vaccination.</w:t>
      </w:r>
    </w:p>
    <w:p>
      <w:pPr>
        <w:spacing w:after="0" w:line="71" w:lineRule="exact"/>
        <w:rPr>
          <w:sz w:val="20"/>
          <w:szCs w:val="20"/>
          <w:color w:val="auto"/>
        </w:rPr>
      </w:pPr>
    </w:p>
    <w:p>
      <w:pPr>
        <w:ind w:left="1280" w:hanging="190"/>
        <w:spacing w:after="0" w:line="312" w:lineRule="auto"/>
        <w:tabs>
          <w:tab w:leader="none" w:pos="128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Potency and duration of response. </w:t>
      </w:r>
      <w:r>
        <w:rPr>
          <w:rFonts w:ascii="Arial" w:cs="Arial" w:eastAsia="Arial" w:hAnsi="Arial"/>
          <w:sz w:val="11"/>
          <w:szCs w:val="11"/>
          <w:color w:val="auto"/>
        </w:rPr>
        <w:t>Because T-cell responses are transient and relatively limited, the potential window to induce a therapeutic immune response is narrow. Our</w:t>
      </w:r>
      <w:r>
        <w:rPr>
          <w:rFonts w:ascii="Arial" w:cs="Arial" w:eastAsia="Arial" w:hAnsi="Arial"/>
          <w:sz w:val="11"/>
          <w:szCs w:val="11"/>
          <w:i w:val="1"/>
          <w:iCs w:val="1"/>
          <w:color w:val="auto"/>
        </w:rPr>
        <w:t xml:space="preserve"> </w:t>
      </w:r>
      <w:r>
        <w:rPr>
          <w:rFonts w:ascii="Arial" w:cs="Arial" w:eastAsia="Arial" w:hAnsi="Arial"/>
          <w:sz w:val="11"/>
          <w:szCs w:val="11"/>
          <w:color w:val="auto"/>
        </w:rPr>
        <w:t>studies indicate that the magnitude of the T-cell response can be modulated by the duration and the protocol for achieving antigen exposure. We found that the most robust T-cell responses were obtained when exposure to antigen persisted in the lymph node and when different immunization regimens (prime-boost approaches) were used. Specifically, repeated administration of the plasmid, followed by the peptides, produced greater proliferation of specific T-cells against PRAME and PSMA than did other immunization schedules. To maintain a therapeutic response, it is anticipated that at least two treatment cycles with MCK1006-PP will need to be administered in human subjects with PRAME-and PSMA-expressing tumors. However, subjects may remain in the clinical trial for up to six treatment cycles as long as signs of tumor progression are not exhibited.</w:t>
      </w:r>
    </w:p>
    <w:p>
      <w:pPr>
        <w:spacing w:after="0" w:line="35" w:lineRule="exact"/>
        <w:rPr>
          <w:rFonts w:ascii="Arial" w:cs="Arial" w:eastAsia="Arial" w:hAnsi="Arial"/>
          <w:sz w:val="11"/>
          <w:szCs w:val="11"/>
          <w:color w:val="auto"/>
        </w:rPr>
      </w:pPr>
    </w:p>
    <w:p>
      <w:pPr>
        <w:ind w:left="1280" w:right="6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Composition. </w:t>
      </w:r>
      <w:r>
        <w:rPr>
          <w:rFonts w:ascii="Arial" w:cs="Arial" w:eastAsia="Arial" w:hAnsi="Arial"/>
          <w:sz w:val="13"/>
          <w:szCs w:val="13"/>
          <w:color w:val="auto"/>
        </w:rPr>
        <w:t>In contrast to other approaches based on tumor cells, immune cells, tumor lysates or microbes, our strategy encompasses off-the-shelf, synthetic molecules that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infective and cannot self-replicate. Both recombinant DNA and peptides can be easily manufactured, characterized and formulated as sterile, stable materials suitable for clinical use.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objective is to develop products primarily in the major therapeutic areas of diabetes and cancer. Our strategy is to achieve this objective by doing the following:</w:t>
      </w:r>
    </w:p>
    <w:p>
      <w:pPr>
        <w:spacing w:after="0" w:line="96" w:lineRule="exact"/>
        <w:rPr>
          <w:sz w:val="20"/>
          <w:szCs w:val="20"/>
          <w:color w:val="auto"/>
        </w:rPr>
      </w:pPr>
    </w:p>
    <w:p>
      <w:pPr>
        <w:ind w:left="1280" w:right="20" w:hanging="190"/>
        <w:spacing w:after="0" w:line="258"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Commercialize our Technosphere Insulin System for the insulin-using diabetes market. </w:t>
      </w:r>
      <w:r>
        <w:rPr>
          <w:rFonts w:ascii="Arial" w:cs="Arial" w:eastAsia="Arial" w:hAnsi="Arial"/>
          <w:sz w:val="13"/>
          <w:szCs w:val="13"/>
          <w:color w:val="auto"/>
        </w:rPr>
        <w:t>We intend to advance our Technosphere Insulin System through Phase 3 clinical trials and</w:t>
      </w:r>
      <w:r>
        <w:rPr>
          <w:rFonts w:ascii="Arial" w:cs="Arial" w:eastAsia="Arial" w:hAnsi="Arial"/>
          <w:sz w:val="13"/>
          <w:szCs w:val="13"/>
          <w:i w:val="1"/>
          <w:iCs w:val="1"/>
          <w:color w:val="auto"/>
        </w:rPr>
        <w:t xml:space="preserve"> </w:t>
      </w:r>
      <w:r>
        <w:rPr>
          <w:rFonts w:ascii="Arial" w:cs="Arial" w:eastAsia="Arial" w:hAnsi="Arial"/>
          <w:sz w:val="13"/>
          <w:szCs w:val="13"/>
          <w:color w:val="auto"/>
        </w:rPr>
        <w:t>then into commercialization, with the goal of first establishing a significant presence for Technosphere Insulin in the insulin-using diabetes market. We believe that the market for insulin products has the potential to expand with the introduction of Exubera</w:t>
      </w:r>
      <w:r>
        <w:rPr>
          <w:rFonts w:ascii="Arial" w:cs="Arial" w:eastAsia="Arial" w:hAnsi="Arial"/>
          <w:sz w:val="11"/>
          <w:szCs w:val="11"/>
          <w:color w:val="auto"/>
        </w:rPr>
        <w:t>®</w:t>
      </w:r>
      <w:r>
        <w:rPr>
          <w:rFonts w:ascii="Arial" w:cs="Arial" w:eastAsia="Arial" w:hAnsi="Arial"/>
          <w:sz w:val="13"/>
          <w:szCs w:val="13"/>
          <w:color w:val="auto"/>
        </w:rPr>
        <w:t xml:space="preserve"> and the continued promotion of insulin analogues. We believe the advantages in terms of safety, efficacy and convenience of the Technosphere Insulin System, as compared to other subcutaneous or inhaled insulin products, will enable us to capture a significant portion of the existing and expanded insulin-using diabetes market.</w:t>
      </w:r>
    </w:p>
    <w:p>
      <w:pPr>
        <w:spacing w:after="0" w:line="61"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Establish our Technosphere Insulin System as the preferred drug therapy within the broader population of people with type 2 diabetes. </w:t>
      </w:r>
      <w:r>
        <w:rPr>
          <w:rFonts w:ascii="Arial" w:cs="Arial" w:eastAsia="Arial" w:hAnsi="Arial"/>
          <w:sz w:val="13"/>
          <w:szCs w:val="13"/>
          <w:color w:val="auto"/>
        </w:rPr>
        <w:t>Our target markets also include patients</w:t>
      </w:r>
      <w:r>
        <w:rPr>
          <w:rFonts w:ascii="Arial" w:cs="Arial" w:eastAsia="Arial" w:hAnsi="Arial"/>
          <w:sz w:val="13"/>
          <w:szCs w:val="13"/>
          <w:i w:val="1"/>
          <w:iCs w:val="1"/>
          <w:color w:val="auto"/>
        </w:rPr>
        <w:t xml:space="preserve"> </w:t>
      </w:r>
      <w:r>
        <w:rPr>
          <w:rFonts w:ascii="Arial" w:cs="Arial" w:eastAsia="Arial" w:hAnsi="Arial"/>
          <w:sz w:val="13"/>
          <w:szCs w:val="13"/>
          <w:color w:val="auto"/>
        </w:rPr>
        <w:t>with type 2 diabetes who are currently using conventional therapies other than insulin, including:</w:t>
      </w:r>
    </w:p>
    <w:p>
      <w:pPr>
        <w:spacing w:after="0" w:line="59" w:lineRule="exact"/>
        <w:rPr>
          <w:rFonts w:ascii="Arial" w:cs="Arial" w:eastAsia="Arial" w:hAnsi="Arial"/>
          <w:sz w:val="13"/>
          <w:szCs w:val="13"/>
          <w:color w:val="auto"/>
        </w:rPr>
      </w:pPr>
    </w:p>
    <w:p>
      <w:pPr>
        <w:ind w:left="1500" w:right="20" w:hanging="214"/>
        <w:spacing w:after="0" w:line="276" w:lineRule="auto"/>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patients currently using diet and exercise therapy but who are having difficulty achieving proper blood glucose control and who otherwise would have started non-insulin oral medications; and</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patients currently using non-insulin oral medications.</w:t>
      </w:r>
    </w:p>
    <w:p>
      <w:pPr>
        <w:spacing w:after="0" w:line="96" w:lineRule="exact"/>
        <w:rPr>
          <w:rFonts w:ascii="Arial" w:cs="Arial" w:eastAsia="Arial" w:hAnsi="Arial"/>
          <w:sz w:val="13"/>
          <w:szCs w:val="13"/>
          <w:color w:val="auto"/>
        </w:rPr>
      </w:pPr>
    </w:p>
    <w:p>
      <w:pPr>
        <w:ind w:left="1280" w:right="34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Evaluate strategic collaborations for the development, marketing and commercialization of our Technosphere Insulin System. </w:t>
      </w:r>
      <w:r>
        <w:rPr>
          <w:rFonts w:ascii="Arial" w:cs="Arial" w:eastAsia="Arial" w:hAnsi="Arial"/>
          <w:sz w:val="13"/>
          <w:szCs w:val="13"/>
          <w:color w:val="auto"/>
        </w:rPr>
        <w:t>We are evaluating potential collaboration</w:t>
      </w:r>
      <w:r>
        <w:rPr>
          <w:rFonts w:ascii="Arial" w:cs="Arial" w:eastAsia="Arial" w:hAnsi="Arial"/>
          <w:sz w:val="13"/>
          <w:szCs w:val="13"/>
          <w:i w:val="1"/>
          <w:iCs w:val="1"/>
          <w:color w:val="auto"/>
        </w:rPr>
        <w:t xml:space="preserve"> </w:t>
      </w:r>
      <w:r>
        <w:rPr>
          <w:rFonts w:ascii="Arial" w:cs="Arial" w:eastAsia="Arial" w:hAnsi="Arial"/>
          <w:sz w:val="13"/>
          <w:szCs w:val="13"/>
          <w:color w:val="auto"/>
        </w:rPr>
        <w:t>opportunities with large pharmaceutical companies in the United States, Europe and Japan to provide marketing, sales and financial resources to commercialize and sell our Technosphere Insulin System. We have not licensed or transferred any of our rights to this product.</w:t>
      </w:r>
    </w:p>
    <w:p>
      <w:pPr>
        <w:spacing w:after="0" w:line="57"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Advance the clinical development of our cancer immunotherapy program. </w:t>
      </w:r>
      <w:r>
        <w:rPr>
          <w:rFonts w:ascii="Arial" w:cs="Arial" w:eastAsia="Arial" w:hAnsi="Arial"/>
          <w:sz w:val="13"/>
          <w:szCs w:val="13"/>
          <w:color w:val="auto"/>
        </w:rPr>
        <w:t>We commenced clinical trials of our investigational cancer immunotherapy product in January 2007.</w:t>
      </w:r>
      <w:r>
        <w:rPr>
          <w:rFonts w:ascii="Arial" w:cs="Arial" w:eastAsia="Arial" w:hAnsi="Arial"/>
          <w:sz w:val="13"/>
          <w:szCs w:val="13"/>
          <w:i w:val="1"/>
          <w:iCs w:val="1"/>
          <w:color w:val="auto"/>
        </w:rPr>
        <w:t xml:space="preserve"> </w:t>
      </w:r>
      <w:r>
        <w:rPr>
          <w:rFonts w:ascii="Arial" w:cs="Arial" w:eastAsia="Arial" w:hAnsi="Arial"/>
          <w:sz w:val="13"/>
          <w:szCs w:val="13"/>
          <w:color w:val="auto"/>
        </w:rPr>
        <w:t>Our intent is to evaluate the safety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and efficacy of MKC1106-PP for the treatment of a range of solid-tumor cancers, including ovarian, colorectal, pancreatic, renal, breast and prostate carcinomas and melanoma.</w:t>
      </w:r>
    </w:p>
    <w:p>
      <w:pPr>
        <w:spacing w:after="0" w:line="108" w:lineRule="exact"/>
        <w:rPr>
          <w:sz w:val="20"/>
          <w:szCs w:val="20"/>
          <w:color w:val="auto"/>
        </w:rPr>
      </w:pPr>
    </w:p>
    <w:p>
      <w:pPr>
        <w:ind w:left="1280" w:right="20" w:hanging="190"/>
        <w:spacing w:after="0" w:line="334" w:lineRule="auto"/>
        <w:tabs>
          <w:tab w:leader="none" w:pos="128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 xml:space="preserve">Expand our proprietary Technosphere formulation technology for the delivery of other drugs. </w:t>
      </w:r>
      <w:r>
        <w:rPr>
          <w:rFonts w:ascii="Arial" w:cs="Arial" w:eastAsia="Arial" w:hAnsi="Arial"/>
          <w:sz w:val="11"/>
          <w:szCs w:val="11"/>
          <w:color w:val="auto"/>
        </w:rPr>
        <w:t>We are developing additional applications for our proprietary Technosphere</w:t>
      </w:r>
      <w:r>
        <w:rPr>
          <w:rFonts w:ascii="Arial" w:cs="Arial" w:eastAsia="Arial" w:hAnsi="Arial"/>
          <w:sz w:val="11"/>
          <w:szCs w:val="11"/>
          <w:i w:val="1"/>
          <w:iCs w:val="1"/>
          <w:color w:val="auto"/>
        </w:rPr>
        <w:t xml:space="preserve"> </w:t>
      </w:r>
      <w:r>
        <w:rPr>
          <w:rFonts w:ascii="Arial" w:cs="Arial" w:eastAsia="Arial" w:hAnsi="Arial"/>
          <w:sz w:val="11"/>
          <w:szCs w:val="11"/>
          <w:color w:val="auto"/>
        </w:rPr>
        <w:t>formulation technology by formulating other drugs for pulmonary delivery. We also believe our proprietary Technosphere formulation technology can also be extended to other forms of local administration, such as gastrointestinal delivery, because of its apparent ability to stabilize drugs and facilitate transport across cellular membranes without damage.</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currently have no sales, marketing or distribution capabilities and have no experience as a company in marketing or selling pharmaceutical products. Our efforts to date have primarily been directed at developing products for a number of different markets. Assuming that we receive regulatory approval for our product candidates, we anticipate that we will have to pursue different sales and marketing strategies tailored to each particular product and market segment. In order to commercially market any of our products, we will also need either to develop a sales and marketing infrastructure ourselves or collaborate with third parties who have greater sales and marketing capabilities and have access to potentially large markets.</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Although we believe that establishing our own sales and marketing organizations in North America would have substantial advantages, we recognize that this may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products, including our lead product, the Technosphere Insulin System. We believe that this will give us flexibility if we enter into collaborations to provide the necessary sales and marketing support.</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are evaluating potential collaboration opportunities to assist us in the development and commercialization of our Technosphere Insulin System in the United States, Europe and Japan, and we may also create parallel in-house sales and marketing operations in certain key markets, particularly in the United States.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SUPPLY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purchase recombinant human insulin under a long-term contract with Diosynth B.V., a global producer of insulin and a subsidiary of Akzo Nobel. This agreement has no specified termination date, but under certain circumstances may be terminated upon two-years’ advance notice by either party. In addition, Diosynth has agreed to support our regulatory filings relating to the Technosphere Insulin System in the United States and abroad. We believe Diosynth has sufficient capacity to provide us with sufficient quantities of insulin to support our needs through the initial stages of commercialization. We must rely on our insulin supplier to maintain compliance with relevant regulatory requirements including current Good Manufacturing Practices, or cGMP.</w:t>
      </w:r>
    </w:p>
    <w:p>
      <w:pPr>
        <w:spacing w:after="0" w:line="71"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We have a long-term supply agreement with Vaupell, Inc., an independent third party, for the manufacture and supply of our MedTone inhaler and the cartridges that are inserted into it. We are in the process of qualifying a second manufacturer to supply us with commercial quantities of these components. We rely on our manufacturers to comply with relevant regulatory requirements, including compliance with Quality System Regulations, or QSRs. We believe our manufacturers have the capacity to meet our Phase 3 clinical and commercial requirements.</w:t>
      </w:r>
    </w:p>
    <w:p>
      <w:pPr>
        <w:spacing w:after="0" w:line="3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Currently, we obtain the raw material from which we produce Technosphere particles from Degussa AG, a major chemical manufacturer with facilities in Europe and North America. We also have the capability of manufacturing this chemical ourselves in our Danbury, Connecticut facility, which is now treated as a back up facility. Like us, our third-party manufacturers are subject to extensive governmental regulation.</w:t>
      </w:r>
    </w:p>
    <w:p>
      <w:pPr>
        <w:spacing w:after="0" w:line="67"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We formulate and fill the Technosphere Insulin powder into plastic cartridges and blister package the cartridges in a manufacturing suite in our Danbury facility. We believe that our Danbury facility has adequate capacity to meet our currently anticipated clinical trial needs. We are continuing to increase our filling and packaging capacity through the acquisition of new equipment and the expansion of our clean rooms and other manufacturing facilities. In October 2006, we broke ground on a major expansion of our Danbury facility. When completed and validated, the expanded facility is expected to have the capacity to supply our anticipated needs for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the initial years of commercialization. We believe that our building improvements to date have been adequately validated and that the facility continues to substantially conform with cGMP. We have also initiated the design and construction of a modular filling and packaging system that will increase our filling and packaging capacity. The new system is designed to operate at high speeds in a very small space, and capacity can be expanded by using multiple units.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AND PROPRIETARY TECHNOLOGY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With respect to our Technosphere Insulin System, our core patents claim Technosphere particles as compositions of matter as well as methods for manufacturing Technosphere particles that incorporate drugs. The first of these patents expires in 2012, but subsequent patents provide additional coverage for the composition of matter and methods of use of the current product until 2020. We also hold patents that claim methods of using Technosphere particles for the pulmonary delivery of drugs. These patents relating to Technosphere Insulin do not expire until 2015. In addition, we are prosecuting patent applications related to the MedTone inhaler device and the capsules that contain the dry powder. We have filed and intend to continue to file additional patent applications on improvements to the Technosphere technology and its manufacture, as well as on specific compositions of matter formed using this technology in combination with drugs. To date, we have been issued 21 US and foreign patents and have over 110 pending applications in different jurisdictions claiming inventions related to the Technosphere technology and dry powder inhaler.</w:t>
      </w:r>
    </w:p>
    <w:p>
      <w:pPr>
        <w:spacing w:after="0" w:line="7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cancer immunotherapy program is built on proprietary methods for the selection, design and administration of epitopes. We have over 110 pending patent applications relating to this technology, both as methods of use and compositions of matter. We are pursuing patents on the use of our administration method to induce and maintain a cell-mediated immune response. The prosecution is ongoing in many jurisdictions; however, we have been granted seven patents related to this method, including two in the United States, which do not expire until 2018. We also have patent applications related to differential antigen processing and product designs. Two patents from this group have issued in the United States, which provides us with protection until 2020. In addition to applications of these broad technologies, we have filed and will continue to file patent applications on specific compounds and the protocols for administering them.</w:t>
      </w:r>
    </w:p>
    <w:p>
      <w:pPr>
        <w:spacing w:after="0" w:line="72"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5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64" w:lineRule="auto"/>
        <w:rPr>
          <w:sz w:val="20"/>
          <w:szCs w:val="20"/>
          <w:color w:val="auto"/>
        </w:rPr>
      </w:pPr>
      <w:r>
        <w:rPr>
          <w:rFonts w:ascii="Arial" w:cs="Arial" w:eastAsia="Arial" w:hAnsi="Arial"/>
          <w:sz w:val="13"/>
          <w:szCs w:val="13"/>
          <w:color w:val="auto"/>
        </w:rPr>
        <w:t>2000,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67"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and compositions of matter related to DNA-based vaccines that also may trigger an allegation of infringement upon the commercial manufacture and sale of cancer therapy. We believe that we are not infringing any valid claims of any patent owned by a third party. However, if a court were to determine that our inhaled insulin products or cancer 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should the patent holder refuse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US Patent and Trademark Office, or USPTO, to determine priority of invention. We may be required to participate in interference proceedings involving our issued patents and pending applications.</w:t>
      </w:r>
    </w:p>
    <w:p>
      <w:pPr>
        <w:spacing w:after="0" w:line="6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pharmaceutical and biotechnology industries are highly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ease of use and cost.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00" w:firstLine="399"/>
        <w:spacing w:after="0" w:line="334" w:lineRule="auto"/>
        <w:rPr>
          <w:sz w:val="20"/>
          <w:szCs w:val="20"/>
          <w:color w:val="auto"/>
        </w:rPr>
      </w:pPr>
      <w:r>
        <w:rPr>
          <w:rFonts w:ascii="Arial" w:cs="Arial" w:eastAsia="Arial" w:hAnsi="Arial"/>
          <w:sz w:val="11"/>
          <w:szCs w:val="11"/>
          <w:color w:val="auto"/>
        </w:rPr>
        <w:t>We believe our Technosphere Insulin System provides us with important competitive advantages in the delivery of insulin when compared with currently known alternatives. However, new drugs or further developments in alternative drug delivery methods may provide greater therapeutic benefits, or comparable benefits at lower cost, than our Technosphere Insulin System. There can be no assurance that existing or new competitors will not introduce products or processes competitive with or superior to our product candidates.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set forth below more detailed information about certain of our competitors. The following is based on information currently available to us.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Inhaled and oral insulin delivery systems</w:t>
      </w:r>
    </w:p>
    <w:p>
      <w:pPr>
        <w:spacing w:after="0" w:line="98"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In January 2006, the FDA and the European Medicines Evaluation Agency approved Exubera</w:t>
      </w:r>
      <w:r>
        <w:rPr>
          <w:rFonts w:ascii="Arial" w:cs="Arial" w:eastAsia="Arial" w:hAnsi="Arial"/>
          <w:sz w:val="10"/>
          <w:szCs w:val="10"/>
          <w:color w:val="auto"/>
        </w:rPr>
        <w:t>®</w:t>
      </w:r>
      <w:r>
        <w:rPr>
          <w:rFonts w:ascii="Arial" w:cs="Arial" w:eastAsia="Arial" w:hAnsi="Arial"/>
          <w:sz w:val="12"/>
          <w:szCs w:val="12"/>
          <w:color w:val="auto"/>
        </w:rPr>
        <w:t>, developed by Pfizer, Inc. in collaboration with Nektar Therapeutics, for the treatment of adults with Type 1 and Type 2 diabetes. Exubera</w:t>
      </w:r>
      <w:r>
        <w:rPr>
          <w:rFonts w:ascii="Arial" w:cs="Arial" w:eastAsia="Arial" w:hAnsi="Arial"/>
          <w:sz w:val="10"/>
          <w:szCs w:val="10"/>
          <w:color w:val="auto"/>
        </w:rPr>
        <w:t>®</w:t>
      </w:r>
      <w:r>
        <w:rPr>
          <w:rFonts w:ascii="Arial" w:cs="Arial" w:eastAsia="Arial" w:hAnsi="Arial"/>
          <w:sz w:val="12"/>
          <w:szCs w:val="12"/>
          <w:color w:val="auto"/>
        </w:rPr>
        <w:t xml:space="preserve"> has been launched in Germany, Ireland, the United Kingdom and, to a limited extent, in the United States. Pfizer announced that it will begin a direct-to-consumer campaign in the second half of 2007. In July 2005, Eli Lilly and Company, in collaboration with Alkermes, Inc., initiated a pivotal Phase 3 safety trial of their AIR inhaled insulin system, which completed patient enrollment in June 2006. We believe Lilly plans to submit a new drug application or NDA for the AIR system in 2009. In September 2006, Novo Nordisk A.S. began recruiting patients for two-year Phase 3 safety trial of their AERx inhaled insulin system, after previously suspending clinical trials of AERx.</w:t>
      </w:r>
    </w:p>
    <w:p>
      <w:pPr>
        <w:spacing w:after="0" w:line="55"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There are also several companies, including Nobex Corporation, Generex Biotechnology Corporation and Emisphere Technologies, Inc. that are pursuing development of products involving the oral delivery of insulin. We believe these products are currently in clinical development but the timeline to commercialization has not been made publicly available.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Non-insulin medications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expect that our Technosphere Insulin System will compete with currently available non-insulin oral medications for type 2 diabetes. These products include the following:</w:t>
      </w:r>
    </w:p>
    <w:p>
      <w:pPr>
        <w:spacing w:after="0" w:line="106" w:lineRule="exact"/>
        <w:rPr>
          <w:sz w:val="20"/>
          <w:szCs w:val="20"/>
          <w:color w:val="auto"/>
        </w:rPr>
      </w:pPr>
    </w:p>
    <w:p>
      <w:pPr>
        <w:ind w:left="1280" w:right="20" w:hanging="190"/>
        <w:spacing w:after="0" w:line="28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Sulfonylureas (including Glucotrol</w:t>
      </w:r>
      <w:r>
        <w:rPr>
          <w:rFonts w:ascii="Arial" w:cs="Arial" w:eastAsia="Arial" w:hAnsi="Arial"/>
          <w:sz w:val="11"/>
          <w:szCs w:val="11"/>
          <w:color w:val="auto"/>
        </w:rPr>
        <w:t>®</w:t>
      </w:r>
      <w:r>
        <w:rPr>
          <w:rFonts w:ascii="Arial" w:cs="Arial" w:eastAsia="Arial" w:hAnsi="Arial"/>
          <w:sz w:val="13"/>
          <w:szCs w:val="13"/>
          <w:color w:val="auto"/>
        </w:rPr>
        <w:t>, Diabeta</w:t>
      </w:r>
      <w:r>
        <w:rPr>
          <w:rFonts w:ascii="Arial" w:cs="Arial" w:eastAsia="Arial" w:hAnsi="Arial"/>
          <w:sz w:val="11"/>
          <w:szCs w:val="11"/>
          <w:color w:val="auto"/>
        </w:rPr>
        <w:t>®</w:t>
      </w:r>
      <w:r>
        <w:rPr>
          <w:rFonts w:ascii="Arial" w:cs="Arial" w:eastAsia="Arial" w:hAnsi="Arial"/>
          <w:sz w:val="13"/>
          <w:szCs w:val="13"/>
          <w:color w:val="auto"/>
        </w:rPr>
        <w:t>, Glynase</w:t>
      </w:r>
      <w:r>
        <w:rPr>
          <w:rFonts w:ascii="Arial" w:cs="Arial" w:eastAsia="Arial" w:hAnsi="Arial"/>
          <w:sz w:val="11"/>
          <w:szCs w:val="11"/>
          <w:color w:val="auto"/>
        </w:rPr>
        <w:t>®</w:t>
      </w:r>
      <w:r>
        <w:rPr>
          <w:rFonts w:ascii="Arial" w:cs="Arial" w:eastAsia="Arial" w:hAnsi="Arial"/>
          <w:sz w:val="13"/>
          <w:szCs w:val="13"/>
          <w:color w:val="auto"/>
        </w:rPr>
        <w:t>, Micronase</w:t>
      </w:r>
      <w:r>
        <w:rPr>
          <w:rFonts w:ascii="Arial" w:cs="Arial" w:eastAsia="Arial" w:hAnsi="Arial"/>
          <w:sz w:val="11"/>
          <w:szCs w:val="11"/>
          <w:color w:val="auto"/>
        </w:rPr>
        <w:t>®</w:t>
      </w:r>
      <w:r>
        <w:rPr>
          <w:rFonts w:ascii="Arial" w:cs="Arial" w:eastAsia="Arial" w:hAnsi="Arial"/>
          <w:sz w:val="13"/>
          <w:szCs w:val="13"/>
          <w:color w:val="auto"/>
        </w:rPr>
        <w:t>, and Amaryl</w:t>
      </w:r>
      <w:r>
        <w:rPr>
          <w:rFonts w:ascii="Arial" w:cs="Arial" w:eastAsia="Arial" w:hAnsi="Arial"/>
          <w:sz w:val="11"/>
          <w:szCs w:val="11"/>
          <w:color w:val="auto"/>
        </w:rPr>
        <w:t>®</w:t>
      </w:r>
      <w:r>
        <w:rPr>
          <w:rFonts w:ascii="Arial" w:cs="Arial" w:eastAsia="Arial" w:hAnsi="Arial"/>
          <w:sz w:val="13"/>
          <w:szCs w:val="13"/>
          <w:color w:val="auto"/>
        </w:rPr>
        <w:t>), also called oral hypoglycemic agents, prompt the pancreas to secrete insulin. This class of drugs is most effective in individuals whose pancreas still have some working beta cells.</w:t>
      </w:r>
    </w:p>
    <w:p>
      <w:pPr>
        <w:spacing w:after="0" w:line="44" w:lineRule="exact"/>
        <w:rPr>
          <w:rFonts w:ascii="Arial" w:cs="Arial" w:eastAsia="Arial" w:hAnsi="Arial"/>
          <w:sz w:val="13"/>
          <w:szCs w:val="13"/>
          <w:color w:val="auto"/>
        </w:rPr>
      </w:pPr>
    </w:p>
    <w:p>
      <w:pPr>
        <w:ind w:left="1280" w:right="280" w:hanging="190"/>
        <w:spacing w:after="0" w:line="28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Meglitinides (including Prandin</w:t>
      </w:r>
      <w:r>
        <w:rPr>
          <w:rFonts w:ascii="Arial" w:cs="Arial" w:eastAsia="Arial" w:hAnsi="Arial"/>
          <w:sz w:val="11"/>
          <w:szCs w:val="11"/>
          <w:color w:val="auto"/>
        </w:rPr>
        <w:t>®</w:t>
      </w:r>
      <w:r>
        <w:rPr>
          <w:rFonts w:ascii="Arial" w:cs="Arial" w:eastAsia="Arial" w:hAnsi="Arial"/>
          <w:sz w:val="13"/>
          <w:szCs w:val="13"/>
          <w:color w:val="auto"/>
        </w:rPr>
        <w:t xml:space="preserve"> and Starlix</w:t>
      </w:r>
      <w:r>
        <w:rPr>
          <w:rFonts w:ascii="Arial" w:cs="Arial" w:eastAsia="Arial" w:hAnsi="Arial"/>
          <w:sz w:val="11"/>
          <w:szCs w:val="11"/>
          <w:color w:val="auto"/>
        </w:rPr>
        <w:t>®</w:t>
      </w:r>
      <w:r>
        <w:rPr>
          <w:rFonts w:ascii="Arial" w:cs="Arial" w:eastAsia="Arial" w:hAnsi="Arial"/>
          <w:sz w:val="13"/>
          <w:szCs w:val="13"/>
          <w:color w:val="auto"/>
        </w:rPr>
        <w:t>) are taken with meals and reduce the elevation in blood glucose that generally follows eating. If these drugs are not taken with meals, blood glucose will drop dramatically and inappropriately.</w:t>
      </w:r>
    </w:p>
    <w:p>
      <w:pPr>
        <w:spacing w:after="0" w:line="44" w:lineRule="exact"/>
        <w:rPr>
          <w:rFonts w:ascii="Arial" w:cs="Arial" w:eastAsia="Arial" w:hAnsi="Arial"/>
          <w:sz w:val="13"/>
          <w:szCs w:val="13"/>
          <w:color w:val="auto"/>
        </w:rPr>
      </w:pPr>
    </w:p>
    <w:p>
      <w:pPr>
        <w:ind w:left="1280" w:right="560" w:hanging="190"/>
        <w:spacing w:after="0" w:line="28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Biguanides (including Glucophage</w:t>
      </w:r>
      <w:r>
        <w:rPr>
          <w:rFonts w:ascii="Arial" w:cs="Arial" w:eastAsia="Arial" w:hAnsi="Arial"/>
          <w:sz w:val="11"/>
          <w:szCs w:val="11"/>
          <w:color w:val="auto"/>
        </w:rPr>
        <w:t>®</w:t>
      </w:r>
      <w:r>
        <w:rPr>
          <w:rFonts w:ascii="Arial" w:cs="Arial" w:eastAsia="Arial" w:hAnsi="Arial"/>
          <w:sz w:val="13"/>
          <w:szCs w:val="13"/>
          <w:color w:val="auto"/>
        </w:rPr>
        <w:t>, Glucophage</w:t>
      </w:r>
      <w:r>
        <w:rPr>
          <w:rFonts w:ascii="Arial" w:cs="Arial" w:eastAsia="Arial" w:hAnsi="Arial"/>
          <w:sz w:val="11"/>
          <w:szCs w:val="11"/>
          <w:color w:val="auto"/>
        </w:rPr>
        <w:t>®</w:t>
      </w:r>
      <w:r>
        <w:rPr>
          <w:rFonts w:ascii="Arial" w:cs="Arial" w:eastAsia="Arial" w:hAnsi="Arial"/>
          <w:sz w:val="13"/>
          <w:szCs w:val="13"/>
          <w:color w:val="auto"/>
        </w:rPr>
        <w:t xml:space="preserve"> XR, and Fortamet</w:t>
      </w:r>
      <w:r>
        <w:rPr>
          <w:rFonts w:ascii="Arial" w:cs="Arial" w:eastAsia="Arial" w:hAnsi="Arial"/>
          <w:sz w:val="11"/>
          <w:szCs w:val="11"/>
          <w:color w:val="auto"/>
        </w:rPr>
        <w:t>®</w:t>
      </w:r>
      <w:r>
        <w:rPr>
          <w:rFonts w:ascii="Arial" w:cs="Arial" w:eastAsia="Arial" w:hAnsi="Arial"/>
          <w:sz w:val="13"/>
          <w:szCs w:val="13"/>
          <w:color w:val="auto"/>
        </w:rPr>
        <w:t>) lower blood glucose by improving the sensitivity of cells to insulin (i.e., by diminishing insulin resistance).</w:t>
      </w:r>
    </w:p>
    <w:p>
      <w:pPr>
        <w:spacing w:after="0" w:line="44"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Thiazolidinedione (including Avandia</w:t>
      </w:r>
      <w:r>
        <w:rPr>
          <w:rFonts w:ascii="Arial" w:cs="Arial" w:eastAsia="Arial" w:hAnsi="Arial"/>
          <w:sz w:val="11"/>
          <w:szCs w:val="11"/>
          <w:color w:val="auto"/>
        </w:rPr>
        <w:t>®</w:t>
      </w:r>
      <w:r>
        <w:rPr>
          <w:rFonts w:ascii="Arial" w:cs="Arial" w:eastAsia="Arial" w:hAnsi="Arial"/>
          <w:sz w:val="13"/>
          <w:szCs w:val="13"/>
          <w:color w:val="auto"/>
        </w:rPr>
        <w:t xml:space="preserve"> and Actos</w:t>
      </w:r>
      <w:r>
        <w:rPr>
          <w:rFonts w:ascii="Arial" w:cs="Arial" w:eastAsia="Arial" w:hAnsi="Arial"/>
          <w:sz w:val="11"/>
          <w:szCs w:val="11"/>
          <w:color w:val="auto"/>
        </w:rPr>
        <w:t>®</w:t>
      </w:r>
      <w:r>
        <w:rPr>
          <w:rFonts w:ascii="Arial" w:cs="Arial" w:eastAsia="Arial" w:hAnsi="Arial"/>
          <w:sz w:val="13"/>
          <w:szCs w:val="13"/>
          <w:color w:val="auto"/>
        </w:rPr>
        <w:t>) improves the uptake of glucose by cells in the body.</w:t>
      </w:r>
    </w:p>
    <w:p>
      <w:pPr>
        <w:spacing w:after="0" w:line="86" w:lineRule="exact"/>
        <w:rPr>
          <w:rFonts w:ascii="Arial" w:cs="Arial" w:eastAsia="Arial" w:hAnsi="Arial"/>
          <w:sz w:val="13"/>
          <w:szCs w:val="13"/>
          <w:color w:val="auto"/>
        </w:rPr>
      </w:pPr>
    </w:p>
    <w:p>
      <w:pPr>
        <w:ind w:left="1280" w:right="120" w:hanging="190"/>
        <w:spacing w:after="0" w:line="28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Alpha-glucosidase inhibitors (including Prandase</w:t>
      </w:r>
      <w:r>
        <w:rPr>
          <w:rFonts w:ascii="Arial" w:cs="Arial" w:eastAsia="Arial" w:hAnsi="Arial"/>
          <w:sz w:val="11"/>
          <w:szCs w:val="11"/>
          <w:color w:val="auto"/>
        </w:rPr>
        <w:t>®</w:t>
      </w:r>
      <w:r>
        <w:rPr>
          <w:rFonts w:ascii="Arial" w:cs="Arial" w:eastAsia="Arial" w:hAnsi="Arial"/>
          <w:sz w:val="13"/>
          <w:szCs w:val="13"/>
          <w:color w:val="auto"/>
        </w:rPr>
        <w:t>, Precose</w:t>
      </w:r>
      <w:r>
        <w:rPr>
          <w:rFonts w:ascii="Arial" w:cs="Arial" w:eastAsia="Arial" w:hAnsi="Arial"/>
          <w:sz w:val="11"/>
          <w:szCs w:val="11"/>
          <w:color w:val="auto"/>
        </w:rPr>
        <w:t>®</w:t>
      </w:r>
      <w:r>
        <w:rPr>
          <w:rFonts w:ascii="Arial" w:cs="Arial" w:eastAsia="Arial" w:hAnsi="Arial"/>
          <w:sz w:val="13"/>
          <w:szCs w:val="13"/>
          <w:color w:val="auto"/>
        </w:rPr>
        <w:t xml:space="preserve"> and Glyset</w:t>
      </w:r>
      <w:r>
        <w:rPr>
          <w:rFonts w:ascii="Arial" w:cs="Arial" w:eastAsia="Arial" w:hAnsi="Arial"/>
          <w:sz w:val="11"/>
          <w:szCs w:val="11"/>
          <w:color w:val="auto"/>
        </w:rPr>
        <w:t>®</w:t>
      </w:r>
      <w:r>
        <w:rPr>
          <w:rFonts w:ascii="Arial" w:cs="Arial" w:eastAsia="Arial" w:hAnsi="Arial"/>
          <w:sz w:val="13"/>
          <w:szCs w:val="13"/>
          <w:color w:val="auto"/>
        </w:rPr>
        <w:t>) lower the amount of glucose absorbed from the intestines, thereby reducing the rise in blood glucose that occurs after a meal.</w:t>
      </w:r>
    </w:p>
    <w:p>
      <w:pPr>
        <w:spacing w:after="0" w:line="44"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Incretin mimetics (Byetta</w:t>
      </w:r>
      <w:r>
        <w:rPr>
          <w:rFonts w:ascii="Arial" w:cs="Arial" w:eastAsia="Arial" w:hAnsi="Arial"/>
          <w:sz w:val="10"/>
          <w:szCs w:val="10"/>
          <w:color w:val="auto"/>
        </w:rPr>
        <w:t>®</w:t>
      </w:r>
      <w:r>
        <w:rPr>
          <w:rFonts w:ascii="Arial" w:cs="Arial" w:eastAsia="Arial" w:hAnsi="Arial"/>
          <w:sz w:val="12"/>
          <w:szCs w:val="12"/>
          <w:color w:val="auto"/>
        </w:rPr>
        <w:t>) are a new class of drugs that work by several mechanisms including stimulating the pancreas to secrete insulin when blood glucose levels are high.</w:t>
      </w:r>
    </w:p>
    <w:p>
      <w:pPr>
        <w:spacing w:after="0" w:line="97" w:lineRule="exact"/>
        <w:rPr>
          <w:rFonts w:ascii="Arial" w:cs="Arial" w:eastAsia="Arial" w:hAnsi="Arial"/>
          <w:sz w:val="12"/>
          <w:szCs w:val="12"/>
          <w:color w:val="auto"/>
        </w:rPr>
      </w:pPr>
    </w:p>
    <w:p>
      <w:pPr>
        <w:ind w:left="1280" w:right="200" w:hanging="190"/>
        <w:spacing w:after="0" w:line="28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Inhibitors of dipeptidyl peptidase IV (Januvia</w:t>
      </w:r>
      <w:r>
        <w:rPr>
          <w:rFonts w:ascii="Arial" w:cs="Arial" w:eastAsia="Arial" w:hAnsi="Arial"/>
          <w:sz w:val="11"/>
          <w:szCs w:val="11"/>
          <w:color w:val="auto"/>
        </w:rPr>
        <w:t>®</w:t>
      </w:r>
      <w:r>
        <w:rPr>
          <w:rFonts w:ascii="Arial" w:cs="Arial" w:eastAsia="Arial" w:hAnsi="Arial"/>
          <w:sz w:val="13"/>
          <w:szCs w:val="13"/>
          <w:color w:val="auto"/>
        </w:rPr>
        <w:t>) are another new class of drugs that work by blocking the degradation of GLP-1 (glucagon-like peptide-1), which is a naturally occurring incretin.</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Injected insulin</w:t>
      </w:r>
    </w:p>
    <w:p>
      <w:pPr>
        <w:spacing w:after="0" w:line="98" w:lineRule="exact"/>
        <w:rPr>
          <w:sz w:val="20"/>
          <w:szCs w:val="20"/>
          <w:color w:val="auto"/>
        </w:rPr>
      </w:pPr>
    </w:p>
    <w:p>
      <w:pPr>
        <w:ind w:left="680" w:right="20" w:firstLine="399"/>
        <w:spacing w:after="0" w:line="323" w:lineRule="auto"/>
        <w:rPr>
          <w:sz w:val="20"/>
          <w:szCs w:val="20"/>
          <w:color w:val="auto"/>
        </w:rPr>
      </w:pPr>
      <w:r>
        <w:rPr>
          <w:rFonts w:ascii="Arial" w:cs="Arial" w:eastAsia="Arial" w:hAnsi="Arial"/>
          <w:sz w:val="12"/>
          <w:szCs w:val="12"/>
          <w:color w:val="auto"/>
        </w:rPr>
        <w:t>In the subcutaneous insulin market, our competitors have made considerable efforts in promoting rapid acting injectable insulin formulations. Humalog</w:t>
      </w:r>
      <w:r>
        <w:rPr>
          <w:rFonts w:ascii="Arial" w:cs="Arial" w:eastAsia="Arial" w:hAnsi="Arial"/>
          <w:sz w:val="10"/>
          <w:szCs w:val="10"/>
          <w:color w:val="auto"/>
        </w:rPr>
        <w:t>®</w:t>
      </w:r>
      <w:r>
        <w:rPr>
          <w:rFonts w:ascii="Arial" w:cs="Arial" w:eastAsia="Arial" w:hAnsi="Arial"/>
          <w:sz w:val="12"/>
          <w:szCs w:val="12"/>
          <w:color w:val="auto"/>
        </w:rPr>
        <w:t>, which was developed by Eli Lilly and Company, and NovoLog</w:t>
      </w:r>
      <w:r>
        <w:rPr>
          <w:rFonts w:ascii="Arial" w:cs="Arial" w:eastAsia="Arial" w:hAnsi="Arial"/>
          <w:sz w:val="10"/>
          <w:szCs w:val="10"/>
          <w:color w:val="auto"/>
        </w:rPr>
        <w:t>®</w:t>
      </w:r>
      <w:r>
        <w:rPr>
          <w:rFonts w:ascii="Arial" w:cs="Arial" w:eastAsia="Arial" w:hAnsi="Arial"/>
          <w:sz w:val="12"/>
          <w:szCs w:val="12"/>
          <w:color w:val="auto"/>
        </w:rPr>
        <w:t>, which was developed by Novo Nordisk A/S, are the two principal injectable insulin formulations with which we expect to compete.</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Immunotherapy</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Over the last decade or so, a variety of companies have sought to develop therapeutic compounds that provide a selective immune response against cancer. Some of these companies, including Dendreon Corporation, Antigenics Inc., CancerVax Corporation, Cell Genesys Inc. and Corixa Corporation, have focused on products derived from the patients’ own cancer or other cells, or tumor cell lines, which can take the form of whole cells or cell fragments, or on tumor antigens extracted from cancerous cells. Other companies, including Glaxo Smithkline Beecham, Progenics Pharmaceuticals, Inc., Therion Biologics Corporation, Oxxon Therapeutics and Vical Incorporated, are pursuing cell based or microbe-based therapies designed to work across a broad spectrum of patients and tumor types.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 AND PRODUCT APPROVAL</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FDA and comparable regulatory agencies in state, local and foreign jurisdictions impose substantial requirements upon the clinical development, manufacture and marketing of medical devices and new drug products. These agencies, through regulations that implement the Federal Food, Drug, and Cosmetic Act, as amended, or FDCA, and other regulations, regulate research and development activities and the development, testing, manufacture, labeling, storage, shipping, approval, advertising, promotion, sale and distribution of such products. In addition, if our products are marketed abroad, they also are subject to export requirements and to regulation by foreign governments. The regulatory clearance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typically required before an unapproved new drug product for use in humans may be marketed in the United States include:</w:t>
      </w:r>
    </w:p>
    <w:p>
      <w:pPr>
        <w:spacing w:after="0" w:line="96" w:lineRule="exact"/>
        <w:rPr>
          <w:sz w:val="20"/>
          <w:szCs w:val="20"/>
          <w:color w:val="auto"/>
        </w:rPr>
      </w:pPr>
    </w:p>
    <w:p>
      <w:pPr>
        <w:ind w:left="1280" w:right="60" w:hanging="190"/>
        <w:spacing w:after="0" w:line="296"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39" w:lineRule="exact"/>
        <w:rPr>
          <w:rFonts w:ascii="Arial" w:cs="Arial" w:eastAsia="Arial" w:hAnsi="Arial"/>
          <w:sz w:val="12"/>
          <w:szCs w:val="12"/>
          <w:color w:val="auto"/>
        </w:rPr>
      </w:pPr>
    </w:p>
    <w:p>
      <w:pPr>
        <w:ind w:left="1280" w:right="540" w:hanging="190"/>
        <w:spacing w:after="0" w:line="320"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Approval of clinical protocols by independent investigational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7" w:lineRule="exact"/>
        <w:rPr>
          <w:rFonts w:ascii="Arial" w:cs="Arial" w:eastAsia="Arial" w:hAnsi="Arial"/>
          <w:sz w:val="13"/>
          <w:szCs w:val="13"/>
          <w:color w:val="auto"/>
        </w:rPr>
      </w:pPr>
    </w:p>
    <w:p>
      <w:pPr>
        <w:ind w:left="1280" w:right="20" w:hanging="190"/>
        <w:spacing w:after="0" w:line="289"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52" w:lineRule="exact"/>
        <w:rPr>
          <w:rFonts w:ascii="Arial" w:cs="Arial" w:eastAsia="Arial" w:hAnsi="Arial"/>
          <w:sz w:val="12"/>
          <w:szCs w:val="12"/>
          <w:color w:val="auto"/>
        </w:rPr>
      </w:pPr>
    </w:p>
    <w:p>
      <w:pPr>
        <w:ind w:left="1500" w:right="140" w:hanging="214"/>
        <w:spacing w:after="0" w:line="264" w:lineRule="auto"/>
        <w:tabs>
          <w:tab w:leader="none" w:pos="15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right="60"/>
        <w:spacing w:after="0" w:line="296" w:lineRule="auto"/>
        <w:rPr>
          <w:sz w:val="20"/>
          <w:szCs w:val="20"/>
          <w:color w:val="auto"/>
        </w:rPr>
      </w:pPr>
      <w:r>
        <w:rPr>
          <w:rFonts w:ascii="Arial" w:cs="Arial" w:eastAsia="Arial" w:hAnsi="Arial"/>
          <w:sz w:val="12"/>
          <w:szCs w:val="12"/>
          <w:color w:val="auto"/>
        </w:rPr>
        <w:t>volunteers. Because these patients already have the target disease, these studies may provide initial evidence of efficacy traditionally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50" w:lineRule="exact"/>
        <w:rPr>
          <w:sz w:val="20"/>
          <w:szCs w:val="20"/>
          <w:color w:val="auto"/>
        </w:rPr>
      </w:pPr>
    </w:p>
    <w:p>
      <w:pPr>
        <w:ind w:left="1500" w:right="300" w:hanging="214"/>
        <w:spacing w:after="0" w:line="276" w:lineRule="auto"/>
        <w:tabs>
          <w:tab w:leader="none" w:pos="15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49" w:lineRule="exact"/>
        <w:rPr>
          <w:rFonts w:ascii="Arial" w:cs="Arial" w:eastAsia="Arial" w:hAnsi="Arial"/>
          <w:sz w:val="13"/>
          <w:szCs w:val="13"/>
          <w:color w:val="auto"/>
        </w:rPr>
      </w:pPr>
    </w:p>
    <w:p>
      <w:pPr>
        <w:ind w:left="1500" w:hanging="214"/>
        <w:spacing w:after="0" w:line="296" w:lineRule="auto"/>
        <w:tabs>
          <w:tab w:leader="none" w:pos="15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39" w:lineRule="exact"/>
        <w:rPr>
          <w:rFonts w:ascii="Arial" w:cs="Arial" w:eastAsia="Arial" w:hAnsi="Arial"/>
          <w:sz w:val="12"/>
          <w:szCs w:val="12"/>
          <w:color w:val="auto"/>
        </w:rPr>
      </w:pPr>
    </w:p>
    <w:p>
      <w:pPr>
        <w:ind w:left="1500" w:right="160" w:hanging="214"/>
        <w:spacing w:after="0" w:line="264" w:lineRule="auto"/>
        <w:tabs>
          <w:tab w:leader="none" w:pos="15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66"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43" w:lineRule="exact"/>
        <w:rPr>
          <w:rFonts w:ascii="Arial" w:cs="Arial" w:eastAsia="Arial" w:hAnsi="Arial"/>
          <w:sz w:val="12"/>
          <w:szCs w:val="12"/>
          <w:color w:val="auto"/>
        </w:rPr>
      </w:pPr>
    </w:p>
    <w:p>
      <w:pPr>
        <w:ind w:left="1280" w:right="20" w:hanging="190"/>
        <w:spacing w:after="0" w:line="289"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Submission to the FDA of a new drug application, or NDA, based on the clinical trials. The results of pharmaceutical development, preclinical studies, and clinical trials are submitted to the FDA in the form of an NDA for approval of the marketing and commercial shipment of the product. Under the Pediatric Research Equity Act of 2003, or PREA,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Arial" w:cs="Arial" w:eastAsia="Arial" w:hAnsi="Arial"/>
          <w:sz w:val="12"/>
          <w:szCs w:val="12"/>
          <w:i w:val="1"/>
          <w:iCs w:val="1"/>
          <w:color w:val="auto"/>
        </w:rPr>
        <w:t>e.g.</w:t>
      </w:r>
      <w:r>
        <w:rPr>
          <w:rFonts w:ascii="Arial" w:cs="Arial" w:eastAsia="Arial" w:hAnsi="Arial"/>
          <w:sz w:val="12"/>
          <w:szCs w:val="12"/>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We have had discussions with the FDA about the status of our Technosphere Insulin System as a combination product and we have been told that the FDA considers our product a combination drug/device. There have been some indications from the FDA that the review of any future marketing applications for our Technosphere Insulin System will involve reviews within the Division of Metabolism and Endocrinology Products and the Division of Pulmonary and Allergy Products, both within the Center for Drug Evaluation and Research, as well as review within the Center for Devices and Radiological Health, the Center within the FDA that reviews Medical Devices. Although the FDA has not made a final decision in this regard, we currently understand that the Division of Metabolic and Endocrine Products will be the lead group and obtain consulting reviews from the other two FDA groups if we submit an NDA.</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testing and approval process requires substantial time, effort and financial resources.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and the supplier of our MedTone inhaler and cartridges are subject to federal registration and listing requirements and, if applicable, to state licensing requirements. Failure, including those of our insulin and MedTone inhaler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60" w:lineRule="exact"/>
        <w:rPr>
          <w:sz w:val="20"/>
          <w:szCs w:val="20"/>
          <w:color w:val="auto"/>
        </w:rPr>
      </w:pPr>
    </w:p>
    <w:p>
      <w:pPr>
        <w:ind w:left="680" w:right="280" w:firstLine="399"/>
        <w:spacing w:after="0" w:line="285" w:lineRule="auto"/>
        <w:rPr>
          <w:sz w:val="20"/>
          <w:szCs w:val="20"/>
          <w:color w:val="auto"/>
        </w:rPr>
      </w:pPr>
      <w:r>
        <w:rPr>
          <w:rFonts w:ascii="Arial" w:cs="Arial" w:eastAsia="Arial" w:hAnsi="Arial"/>
          <w:sz w:val="12"/>
          <w:szCs w:val="12"/>
          <w:color w:val="auto"/>
        </w:rPr>
        <w:t>It is not yet clear to what extent we will be subject to regulations governing premarket approval or clearances of medical devices separate from approval requirements governing drugs. We currently expect that our inhaler will be approved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 These include:</w:t>
      </w:r>
    </w:p>
    <w:p>
      <w:pPr>
        <w:spacing w:after="0" w:line="55"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product labeling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general prohibition against promoting products for unapproved or “off-label” uses;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corrections and removals (e.g., recalls);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establishment registration and device listing;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general prohibitions against the manufacture and distribution of adulterated and misbranded devices; and</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Further, the company we have contracted to manufacture our MedTone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35"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they may change at any time that could delay or prevent regulatory approval of our products under development. For example,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 We cannot predict the likelihood, nature or extent of adverse governmental regulation that might arise from future legislative or administrative action, either in the United States or abroad.</w:t>
      </w:r>
    </w:p>
    <w:p>
      <w:pPr>
        <w:spacing w:after="0" w:line="67"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Such advertising and promotional activities are also being scrutinized by the FDA and Congress as a result of recent concerns that have been raised about the safety of marketed drugs. The FDA has very broad enforcement authority under the FDCA, and failure to comply with these regulations can result in penalties, including the issuance of a warning letter directing us to correct deviations from FDA standards, a requirement that future advertising and promotional materials be pre-cleared by the FDA, and state and federal civil and criminal investigations and prosecutions.</w:t>
      </w:r>
    </w:p>
    <w:p>
      <w:pPr>
        <w:spacing w:after="0" w:line="4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53"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However, the chosen regulatory strategy may not secure regulatory approvals or approvals of the chosen product indications. In addition, these approvals, if obtained, may take longer than anticipated.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cannot assure you that any of our product candidates will prove to be safe or effective, will receive regulatory approvals, or will be successfully commercialized.</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 We may incur significant costs to comply with those laws and regulations now or in the future.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 restoration and marketing exclusivity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Drug Price Competition and Patent Term Restoration Act of 1984, known as the Hatch-Waxman Amendments to the Federal Food, Drug, and Cosmetic Act, permits the FDA to approve abbreviated NDAs,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preclinical or clinical studies demonstrating safety and efficacy for that product. Instead of providing completely new safety and efficacy data, the ANDA applicant only need to submit manufacturing information and clinical data demonstrating that the copy is bioequivalent to the innovator’s product in order to gain marketing approval from the FDA.</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Another type of marketing application allowed by the Hatch-Waxman Amendments, a Section 505(b)(2) application, may be permitted where a company does not own or have a right to reference all the data required for approval. Section 505(b)(2) NDAs are often submitted for drug products that contain the same active ingredient as those in first approved drug products and where additional studies are required for approval, such as for changes in routes of administration or dosage forms.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Once an NDA is approved, the product covered thereby becomes a “listed drug” which can, in turn, be cited by potential competitors in support of approval of an ANDA or a 505(b)</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 application.</w:t>
      </w:r>
    </w:p>
    <w:p>
      <w:pPr>
        <w:spacing w:after="0" w:line="89"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Hatch-Waxman Amendments provide for a period of three years exclusivity following approval of a listed drug that contains previously approved active ingredients but is approved in a new dosage, dosage form, route of administration or combination, or for a new use, the approval of which was required to be supported by new clinical trials conducted by or for the sponsor. During this period of exclusivity, FDA cannot grant effective approval of an ANDA or a 505(b)(2) application based on that listed drug.</w:t>
      </w:r>
    </w:p>
    <w:p>
      <w:pPr>
        <w:spacing w:after="0" w:line="50"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The Hatch-Waxman Amendments also provide a period of five years exclusivity following approval of a drug containing no previously approved active ingredients. During this period of exclusivity, ANDAs or 505(b)(2) applications based upon those drugs cannot be submitted unless the submission accompanies a challenge to a listed patent, in which case the submission may be made four years following the original product approval.</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Additionally, in the event that the sponsor of the listed drug has informed FDA of patents covering its listed drug and FDA lists those patents in the Orange Book, applicants submitting an ANDA or a 505(b)(2) application referencing that drug are required to certify whether they intend to market their generic products prior to expiration of those patents. If an ANDA applicant certifies that it believes one or more listed patents is invalid or not infringed, it is required to provide notice of its filing to the NDA sponsor and the patent holder. If either party then initiates a suit for patent infringement against the ANDA sponsor within 45 days of receipt of the notice, FDA cannot grant effective approval of the ANDA until either 30 months has passed or there has been a court decision holding that the patent in question is invalid or not infringed. If the ANDA applicant certifies that it does not intend to market its generic product before some or all listed patents on the listed drug expire, then FDA cannot grant effective approval of the ANDA until those patents expire. The first ANDA applicant submitting substantially complete applications certifying that listed patents for a particular product are invalid or not infringed may qualify for a period of 180 days after a court decision of invalidity or non-infringement or after it begins marketing its product, whichever occurs first. During this 180 day period, subsequently submitted ANDAs cannot be granted effective approval.</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FDA Modernization Act of 1997 included a pediatric exclusivity provision that was extended by the Best Pharmaceuticals for Children Act of 2002. Pediatric exclusivity is designed to provide an incentive to manufacturers for conducting research about the safety and efficacy of their products in children. Pediatric exclusivity, if granted, provides an additional six months of market exclusivity in the United States for new or currently marketed drugs if certain pediatric studies requested by the FDA are completed by the applicant and the applicant has other existing patent or exclusivity protection for the drug.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spacing w:after="0" w:line="276" w:lineRule="auto"/>
        <w:rPr>
          <w:sz w:val="20"/>
          <w:szCs w:val="20"/>
          <w:color w:val="auto"/>
        </w:rPr>
      </w:pPr>
      <w:r>
        <w:rPr>
          <w:rFonts w:ascii="Arial" w:cs="Arial" w:eastAsia="Arial" w:hAnsi="Arial"/>
          <w:sz w:val="13"/>
          <w:szCs w:val="13"/>
          <w:color w:val="auto"/>
        </w:rPr>
        <w:t>accordance with the requirements for this six-month exclusivity. The current pediatric exclusivity provision is scheduled to end on October 1, 2007, and there can be no assurances that it will be reauthorized.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980" w:firstLine="399"/>
        <w:spacing w:after="0" w:line="289" w:lineRule="auto"/>
        <w:rPr>
          <w:sz w:val="20"/>
          <w:szCs w:val="20"/>
          <w:color w:val="auto"/>
        </w:rPr>
      </w:pPr>
      <w:r>
        <w:rPr>
          <w:rFonts w:ascii="Arial" w:cs="Arial" w:eastAsia="Arial" w:hAnsi="Arial"/>
          <w:sz w:val="12"/>
          <w:szCs w:val="12"/>
          <w:color w:val="auto"/>
        </w:rPr>
        <w:t>As of December 31, 2006, we had 545 full-time employees, all of whom are employed at-will. One hundred seven of these employees were engaged in research and development, 138 in manufacturing, 204 in clinical, regulatory affairs and quality assurance and 96 in administration, finance, management, information systems, marketing, corporate development and human resources. Fifty-three of these employees have a Ph.D. degree and/or M.D. degree and are engaged in activities relating to research and development, manufacturing, quality assurance and business development. None of our employees is subject to a collective bargaining agreement. We believe relations with our employees are good.</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ADVISORS</w:t>
      </w:r>
    </w:p>
    <w:p>
      <w:pPr>
        <w:spacing w:after="0" w:line="100"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59"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research and development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design and implementation of our clinical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patent and publication strategies;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market opportunities from a clinical perspective;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new technologies relevant to our research and development programs;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specific scientific and technical issues relevant to our business.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our scientific advisors and their primary affiliations: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72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6260" w:type="dxa"/>
            <w:vAlign w:val="bottom"/>
          </w:tcPr>
          <w:p>
            <w:pPr>
              <w:ind w:left="384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rimary Affiliation</w:t>
            </w:r>
          </w:p>
        </w:tc>
        <w:tc>
          <w:tcPr>
            <w:tcW w:w="800" w:type="dxa"/>
            <w:vAlign w:val="bottom"/>
          </w:tcPr>
          <w:p>
            <w:pPr>
              <w:spacing w:after="0"/>
              <w:rPr>
                <w:sz w:val="11"/>
                <w:szCs w:val="11"/>
                <w:color w:val="auto"/>
              </w:rPr>
            </w:pPr>
          </w:p>
        </w:tc>
      </w:tr>
      <w:tr>
        <w:trPr>
          <w:trHeight w:val="49"/>
        </w:trPr>
        <w:tc>
          <w:tcPr>
            <w:tcW w:w="6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Richard Bergenstal, M.D.</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International Diabetes Center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William Boswell, M.D., FACR</w:t>
            </w:r>
          </w:p>
        </w:tc>
        <w:tc>
          <w:tcPr>
            <w:tcW w:w="6260" w:type="dxa"/>
            <w:vAlign w:val="bottom"/>
          </w:tcPr>
          <w:p>
            <w:pPr>
              <w:ind w:left="1480"/>
              <w:spacing w:after="0"/>
              <w:rPr>
                <w:sz w:val="20"/>
                <w:szCs w:val="20"/>
                <w:color w:val="auto"/>
              </w:rPr>
            </w:pPr>
            <w:r>
              <w:rPr>
                <w:rFonts w:ascii="Arial" w:cs="Arial" w:eastAsia="Arial" w:hAnsi="Arial"/>
                <w:sz w:val="13"/>
                <w:szCs w:val="13"/>
                <w:color w:val="auto"/>
              </w:rPr>
              <w:t>University of Southern California School of Medicine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James Bryan, M.D.</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Pharmaceutical Product Development, Inc.</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Alexander Fleming, M.D.</w:t>
            </w:r>
          </w:p>
        </w:tc>
        <w:tc>
          <w:tcPr>
            <w:tcW w:w="6260" w:type="dxa"/>
            <w:vAlign w:val="bottom"/>
          </w:tcPr>
          <w:p>
            <w:pPr>
              <w:ind w:left="1480"/>
              <w:spacing w:after="0"/>
              <w:rPr>
                <w:sz w:val="20"/>
                <w:szCs w:val="20"/>
                <w:color w:val="auto"/>
              </w:rPr>
            </w:pPr>
            <w:r>
              <w:rPr>
                <w:rFonts w:ascii="Arial" w:cs="Arial" w:eastAsia="Arial" w:hAnsi="Arial"/>
                <w:sz w:val="13"/>
                <w:szCs w:val="13"/>
                <w:color w:val="auto"/>
              </w:rPr>
              <w:t>Kinexum Corporation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Martin Kast, Ph.D.</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Norris Comprehensive Cancer Center, University of Southern California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Thomas Kundig, M.D.</w:t>
            </w:r>
          </w:p>
        </w:tc>
        <w:tc>
          <w:tcPr>
            <w:tcW w:w="6260" w:type="dxa"/>
            <w:vAlign w:val="bottom"/>
          </w:tcPr>
          <w:p>
            <w:pPr>
              <w:ind w:left="1480"/>
              <w:spacing w:after="0"/>
              <w:rPr>
                <w:sz w:val="20"/>
                <w:szCs w:val="20"/>
                <w:color w:val="auto"/>
              </w:rPr>
            </w:pPr>
            <w:r>
              <w:rPr>
                <w:rFonts w:ascii="Arial" w:cs="Arial" w:eastAsia="Arial" w:hAnsi="Arial"/>
                <w:sz w:val="13"/>
                <w:szCs w:val="13"/>
                <w:color w:val="auto"/>
              </w:rPr>
              <w:t>University of Zurich</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Harold E. Lebovitz, M.D., FACE</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State University of New York — Brooklyn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Frederick Levy, Ph.D.</w:t>
            </w:r>
          </w:p>
        </w:tc>
        <w:tc>
          <w:tcPr>
            <w:tcW w:w="6260" w:type="dxa"/>
            <w:vAlign w:val="bottom"/>
          </w:tcPr>
          <w:p>
            <w:pPr>
              <w:ind w:left="1480"/>
              <w:spacing w:after="0"/>
              <w:rPr>
                <w:sz w:val="20"/>
                <w:szCs w:val="20"/>
                <w:color w:val="auto"/>
              </w:rPr>
            </w:pPr>
            <w:r>
              <w:rPr>
                <w:rFonts w:ascii="Arial" w:cs="Arial" w:eastAsia="Arial" w:hAnsi="Arial"/>
                <w:sz w:val="13"/>
                <w:szCs w:val="13"/>
                <w:color w:val="auto"/>
              </w:rPr>
              <w:t>Ludwig Institute for Cancer Research</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Robert Morgan, Jr., M.D., FACP</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City of Hope National Medical Center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Robert Ozols, M.D., Ph.D.</w:t>
            </w:r>
          </w:p>
        </w:tc>
        <w:tc>
          <w:tcPr>
            <w:tcW w:w="6260" w:type="dxa"/>
            <w:vAlign w:val="bottom"/>
          </w:tcPr>
          <w:p>
            <w:pPr>
              <w:ind w:left="1480"/>
              <w:spacing w:after="0"/>
              <w:rPr>
                <w:sz w:val="20"/>
                <w:szCs w:val="20"/>
                <w:color w:val="auto"/>
              </w:rPr>
            </w:pPr>
            <w:r>
              <w:rPr>
                <w:rFonts w:ascii="Arial" w:cs="Arial" w:eastAsia="Arial" w:hAnsi="Arial"/>
                <w:sz w:val="13"/>
                <w:szCs w:val="13"/>
                <w:color w:val="auto"/>
              </w:rPr>
              <w:t>Fox Chase Cancer Center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Daniel Porte, M.D.</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University of California, San Diego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Philip Raskin, M.D., FACE, FACP</w:t>
            </w:r>
          </w:p>
        </w:tc>
        <w:tc>
          <w:tcPr>
            <w:tcW w:w="6260" w:type="dxa"/>
            <w:vAlign w:val="bottom"/>
          </w:tcPr>
          <w:p>
            <w:pPr>
              <w:ind w:left="1480"/>
              <w:spacing w:after="0"/>
              <w:rPr>
                <w:sz w:val="20"/>
                <w:szCs w:val="20"/>
                <w:color w:val="auto"/>
              </w:rPr>
            </w:pPr>
            <w:r>
              <w:rPr>
                <w:rFonts w:ascii="Arial" w:cs="Arial" w:eastAsia="Arial" w:hAnsi="Arial"/>
                <w:sz w:val="13"/>
                <w:szCs w:val="13"/>
                <w:color w:val="auto"/>
              </w:rPr>
              <w:t>University of Texas Southwestern Medical Center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Robert Rizza, M.D.</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Mayo Clinic</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Julio Rosenstock, M.D.</w:t>
            </w:r>
          </w:p>
        </w:tc>
        <w:tc>
          <w:tcPr>
            <w:tcW w:w="6260" w:type="dxa"/>
            <w:vAlign w:val="bottom"/>
          </w:tcPr>
          <w:p>
            <w:pPr>
              <w:ind w:left="1480"/>
              <w:spacing w:after="0"/>
              <w:rPr>
                <w:sz w:val="20"/>
                <w:szCs w:val="20"/>
                <w:color w:val="auto"/>
              </w:rPr>
            </w:pPr>
            <w:r>
              <w:rPr>
                <w:rFonts w:ascii="Arial" w:cs="Arial" w:eastAsia="Arial" w:hAnsi="Arial"/>
                <w:sz w:val="13"/>
                <w:szCs w:val="13"/>
                <w:color w:val="auto"/>
              </w:rPr>
              <w:t>Dallas Diabetes and Endocrine Center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Jesse Roth, M.D.</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North Shore Long Island Jewish Medical Center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Jay S. Skyler, M.D.</w:t>
            </w:r>
          </w:p>
        </w:tc>
        <w:tc>
          <w:tcPr>
            <w:tcW w:w="6260" w:type="dxa"/>
            <w:vAlign w:val="bottom"/>
          </w:tcPr>
          <w:p>
            <w:pPr>
              <w:ind w:left="1480"/>
              <w:spacing w:after="0"/>
              <w:rPr>
                <w:sz w:val="20"/>
                <w:szCs w:val="20"/>
                <w:color w:val="auto"/>
              </w:rPr>
            </w:pPr>
            <w:r>
              <w:rPr>
                <w:rFonts w:ascii="Arial" w:cs="Arial" w:eastAsia="Arial" w:hAnsi="Arial"/>
                <w:sz w:val="13"/>
                <w:szCs w:val="13"/>
                <w:color w:val="auto"/>
              </w:rPr>
              <w:t>University of Miami Diabetes Research Institute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Rolf Zinkernagel, M.D., Ph.D., Nobel Laureate</w:t>
            </w:r>
          </w:p>
        </w:tc>
        <w:tc>
          <w:tcPr>
            <w:tcW w:w="626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University of Zurich</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Bernie Zinman, M.D.</w:t>
            </w:r>
          </w:p>
        </w:tc>
        <w:tc>
          <w:tcPr>
            <w:tcW w:w="6260" w:type="dxa"/>
            <w:vAlign w:val="bottom"/>
          </w:tcPr>
          <w:p>
            <w:pPr>
              <w:ind w:left="1480"/>
              <w:spacing w:after="0"/>
              <w:rPr>
                <w:sz w:val="20"/>
                <w:szCs w:val="20"/>
                <w:color w:val="auto"/>
              </w:rPr>
            </w:pPr>
            <w:r>
              <w:rPr>
                <w:rFonts w:ascii="Arial" w:cs="Arial" w:eastAsia="Arial" w:hAnsi="Arial"/>
                <w:sz w:val="13"/>
                <w:szCs w:val="13"/>
                <w:color w:val="auto"/>
              </w:rPr>
              <w:t>Mount Sinai Hospital, Toronto</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60" w:type="dxa"/>
            <w:vAlign w:val="bottom"/>
          </w:tcPr>
          <w:p>
            <w:pPr>
              <w:ind w:left="122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62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current executive officers and their ages as of December 31, 2006:</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920" w:type="dxa"/>
            <w:vAlign w:val="bottom"/>
          </w:tcPr>
          <w:p>
            <w:pPr>
              <w:jc w:val="right"/>
              <w:ind w:right="36"/>
              <w:spacing w:after="0"/>
              <w:rPr>
                <w:sz w:val="20"/>
                <w:szCs w:val="20"/>
                <w:color w:val="auto"/>
              </w:rPr>
            </w:pPr>
            <w:r>
              <w:rPr>
                <w:rFonts w:ascii="Arial" w:cs="Arial" w:eastAsia="Arial" w:hAnsi="Arial"/>
                <w:sz w:val="10"/>
                <w:szCs w:val="10"/>
                <w:b w:val="1"/>
                <w:bCs w:val="1"/>
                <w:color w:val="auto"/>
              </w:rPr>
              <w:t>Age</w:t>
            </w:r>
          </w:p>
        </w:tc>
        <w:tc>
          <w:tcPr>
            <w:tcW w:w="4960" w:type="dxa"/>
            <w:vAlign w:val="bottom"/>
          </w:tcPr>
          <w:p>
            <w:pPr>
              <w:ind w:left="25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osition(s)</w:t>
            </w:r>
          </w:p>
        </w:tc>
      </w:tr>
      <w:tr>
        <w:trPr>
          <w:trHeight w:val="49"/>
        </w:trPr>
        <w:tc>
          <w:tcPr>
            <w:tcW w:w="3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960" w:type="dxa"/>
            <w:vAlign w:val="bottom"/>
          </w:tcPr>
          <w:p>
            <w:pPr>
              <w:spacing w:after="0"/>
              <w:rPr>
                <w:sz w:val="4"/>
                <w:szCs w:val="4"/>
                <w:color w:val="auto"/>
              </w:rPr>
            </w:pP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Alfred E. Mann</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81</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Chairman of the Board of Directors and Chief Executive Officer</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Hakan S. Edstrom</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56</w:t>
            </w:r>
          </w:p>
        </w:tc>
        <w:tc>
          <w:tcPr>
            <w:tcW w:w="4960" w:type="dxa"/>
            <w:vAlign w:val="bottom"/>
          </w:tcPr>
          <w:p>
            <w:pPr>
              <w:ind w:left="80"/>
              <w:spacing w:after="0"/>
              <w:rPr>
                <w:sz w:val="20"/>
                <w:szCs w:val="20"/>
                <w:color w:val="auto"/>
              </w:rPr>
            </w:pPr>
            <w:r>
              <w:rPr>
                <w:rFonts w:ascii="Arial" w:cs="Arial" w:eastAsia="Arial" w:hAnsi="Arial"/>
                <w:sz w:val="13"/>
                <w:szCs w:val="13"/>
                <w:color w:val="auto"/>
              </w:rPr>
              <w:t>President, Chief Operating Officer and Director</w:t>
            </w: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Richard L. Anderson</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67</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Vice President and Chief Financial Officer</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Dr. Peter C. Richardson</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47</w:t>
            </w:r>
          </w:p>
        </w:tc>
        <w:tc>
          <w:tcPr>
            <w:tcW w:w="4960" w:type="dxa"/>
            <w:vAlign w:val="bottom"/>
          </w:tcPr>
          <w:p>
            <w:pPr>
              <w:ind w:left="80"/>
              <w:spacing w:after="0"/>
              <w:rPr>
                <w:sz w:val="20"/>
                <w:szCs w:val="20"/>
                <w:color w:val="auto"/>
              </w:rPr>
            </w:pPr>
            <w:r>
              <w:rPr>
                <w:rFonts w:ascii="Arial" w:cs="Arial" w:eastAsia="Arial" w:hAnsi="Arial"/>
                <w:sz w:val="13"/>
                <w:szCs w:val="13"/>
                <w:color w:val="auto"/>
              </w:rPr>
              <w:t>Corporate Vice President and Chief Scientific Officer</w:t>
            </w: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Juergen A. Martens, Ph.D.</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51</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Vice President, Operations</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David Thomson, Ph.D., J.D.</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40</w:t>
            </w:r>
          </w:p>
        </w:tc>
        <w:tc>
          <w:tcPr>
            <w:tcW w:w="4960" w:type="dxa"/>
            <w:vAlign w:val="bottom"/>
          </w:tcPr>
          <w:p>
            <w:pPr>
              <w:ind w:left="80"/>
              <w:spacing w:after="0"/>
              <w:rPr>
                <w:sz w:val="20"/>
                <w:szCs w:val="20"/>
                <w:color w:val="auto"/>
              </w:rPr>
            </w:pPr>
            <w:r>
              <w:rPr>
                <w:rFonts w:ascii="Arial" w:cs="Arial" w:eastAsia="Arial" w:hAnsi="Arial"/>
                <w:sz w:val="13"/>
                <w:szCs w:val="13"/>
                <w:color w:val="auto"/>
              </w:rPr>
              <w:t>Corporate Vice President, General Counsel and Corporate Secretary</w:t>
            </w: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Diane M. Palumbo</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Vice President, Human Resources</w:t>
            </w:r>
          </w:p>
        </w:tc>
      </w:tr>
    </w:tbl>
    <w:p>
      <w:pPr>
        <w:spacing w:after="0" w:line="8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Alfred E. Mann </w:t>
      </w:r>
      <w:r>
        <w:rPr>
          <w:rFonts w:ascii="Arial" w:cs="Arial" w:eastAsia="Arial" w:hAnsi="Arial"/>
          <w:sz w:val="12"/>
          <w:szCs w:val="12"/>
          <w:color w:val="auto"/>
        </w:rPr>
        <w:t>has been one of our directors since April 1999, our Chairman of the Board since December 2001 and our Chief Executive Officer since October 2003. He founded and</w:t>
      </w:r>
      <w:r>
        <w:rPr>
          <w:rFonts w:ascii="Arial" w:cs="Arial" w:eastAsia="Arial" w:hAnsi="Arial"/>
          <w:sz w:val="12"/>
          <w:szCs w:val="12"/>
          <w:i w:val="1"/>
          <w:iCs w:val="1"/>
          <w:color w:val="auto"/>
        </w:rPr>
        <w:t xml:space="preserve"> </w:t>
      </w:r>
      <w:r>
        <w:rPr>
          <w:rFonts w:ascii="Arial" w:cs="Arial" w:eastAsia="Arial" w:hAnsi="Arial"/>
          <w:sz w:val="12"/>
          <w:szCs w:val="12"/>
          <w:color w:val="auto"/>
        </w:rPr>
        <w:t>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Co-Chief Executive Officer of Advanced Bionics Corporation, a medical device manufacturer focused on neurostimulation to restore hearing to the deaf and to treat chronic pain and other neural deficits, that was acquired by Boston Scientific Corporation in June 2004. Mr. Mann has also founded and is non-executive Chairman of Second Sight, which is developing a visual prosthesis for the blind and Quallion, which produces batteries for medical products and for the military and aerospace industries. Mr. Mann is also non-executive Chairman of the Alfred Mann Foundation and Alfred Mann Institute at the University of Southern California, and the Alfred Mann Foundation for Biomedical Engineering, which is establishing additional institutes at other research universities. Mr. Mann holds a bachelor’s and master’s degree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6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Hakan S. Edstrom </w:t>
      </w:r>
      <w:r>
        <w:rPr>
          <w:rFonts w:ascii="Arial" w:cs="Arial" w:eastAsia="Arial" w:hAnsi="Arial"/>
          <w:sz w:val="13"/>
          <w:szCs w:val="13"/>
          <w:color w:val="auto"/>
        </w:rPr>
        <w:t>has been our President and Chief Operating Officer since April 2001 and has served as one of our directors since December 2001. Mr. Edstrom was with Bausch &amp;</w:t>
      </w:r>
      <w:r>
        <w:rPr>
          <w:rFonts w:ascii="Arial" w:cs="Arial" w:eastAsia="Arial" w:hAnsi="Arial"/>
          <w:sz w:val="13"/>
          <w:szCs w:val="13"/>
          <w:i w:val="1"/>
          <w:iCs w:val="1"/>
          <w:color w:val="auto"/>
        </w:rPr>
        <w:t xml:space="preserve"> </w:t>
      </w:r>
      <w:r>
        <w:rPr>
          <w:rFonts w:ascii="Arial" w:cs="Arial" w:eastAsia="Arial" w:hAnsi="Arial"/>
          <w:sz w:val="13"/>
          <w:szCs w:val="13"/>
          <w:color w:val="auto"/>
        </w:rPr>
        <w:t>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Opthalmics Inc. Mr. Edstrom is currently a director of Q-Med AB, a biotechnology and medical device company. Mr. Edstrom was educated in Sweden and holds a master’s degree in business administration from the Stockholm School of Economics.</w:t>
      </w:r>
    </w:p>
    <w:p>
      <w:pPr>
        <w:spacing w:after="0" w:line="71"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i w:val="1"/>
          <w:iCs w:val="1"/>
          <w:color w:val="auto"/>
        </w:rPr>
        <w:t xml:space="preserve">Richard L. Anderson </w:t>
      </w:r>
      <w:r>
        <w:rPr>
          <w:rFonts w:ascii="Arial" w:cs="Arial" w:eastAsia="Arial" w:hAnsi="Arial"/>
          <w:sz w:val="13"/>
          <w:szCs w:val="13"/>
          <w:color w:val="auto"/>
        </w:rPr>
        <w:t>has been our Corporate Vice President and Chief Financial Officer since October 2002. From January 1997 to September 2002, Mr. Anderson held various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positions at NeoRx Corporation, a Seattle-based publicly traded biotechnology company, including President, Chief Operating Officer, Chief Financial Officer and Senior Vice President, Finance and Operations. Mr. Anderson holds a master’s degree in Management from Johns Hopkins University, a master’s degree in solid state physics from the University of Maryland and a bachelor’s degree in physics from Bucknell University.</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Dr. Peter C. Richardson </w:t>
      </w:r>
      <w:r>
        <w:rPr>
          <w:rFonts w:ascii="Arial" w:cs="Arial" w:eastAsia="Arial" w:hAnsi="Arial"/>
          <w:sz w:val="13"/>
          <w:szCs w:val="13"/>
          <w:color w:val="auto"/>
        </w:rPr>
        <w:t>has been our Corporate Vice President and Chief Scientific Officer since October 2005. From 1991 to October 2005, he was employed by Novartis</w:t>
      </w:r>
      <w:r>
        <w:rPr>
          <w:rFonts w:ascii="Arial" w:cs="Arial" w:eastAsia="Arial" w:hAnsi="Arial"/>
          <w:sz w:val="13"/>
          <w:szCs w:val="13"/>
          <w:i w:val="1"/>
          <w:iCs w:val="1"/>
          <w:color w:val="auto"/>
        </w:rPr>
        <w:t xml:space="preserve"> </w:t>
      </w:r>
      <w:r>
        <w:rPr>
          <w:rFonts w:ascii="Arial" w:cs="Arial" w:eastAsia="Arial" w:hAnsi="Arial"/>
          <w:sz w:val="13"/>
          <w:szCs w:val="13"/>
          <w:color w:val="auto"/>
        </w:rPr>
        <w:t>Pharmaceuticals Corporation, which is the U.S. affiliate of Novartis AG, a world leader in healthcare, most recently as Senior Vice President, Global Head of Development Alliances. From 2003 until 2005, he was Senior Vice President and Head of Development of Novartis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Pharmaceuticals KK Japan. He earlier practiced as an endocrinologist. Dr. Richardson holds a B.Med.Sci (Hons.) and a BM.BS (Hons.) from University of Nottingham Medical School; an MRCP (UK) from the Royal College of Physicians, UK; a Certificate in Pharmaceutical Medicine from Universities of Freibourg, Strasbourg and Basle; and a Diploma in Pharmaceutical Medicine from the Royal College of Physicians Faculty of Pharmaceutical Medicine.</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Juergen A. Martens, Ph.D. </w:t>
      </w:r>
      <w:r>
        <w:rPr>
          <w:rFonts w:ascii="Arial" w:cs="Arial" w:eastAsia="Arial" w:hAnsi="Arial"/>
          <w:sz w:val="13"/>
          <w:szCs w:val="13"/>
          <w:color w:val="auto"/>
        </w:rPr>
        <w:t>has been our Corporate Vice President of Operations since September 2005. From 2000 to August 2005, he was employed by Nektar Therapeutics, Inc.,</w:t>
      </w:r>
      <w:r>
        <w:rPr>
          <w:rFonts w:ascii="Arial" w:cs="Arial" w:eastAsia="Arial" w:hAnsi="Arial"/>
          <w:sz w:val="13"/>
          <w:szCs w:val="13"/>
          <w:i w:val="1"/>
          <w:iCs w:val="1"/>
          <w:color w:val="auto"/>
        </w:rPr>
        <w:t xml:space="preserve"> </w:t>
      </w:r>
      <w:r>
        <w:rPr>
          <w:rFonts w:ascii="Arial" w:cs="Arial" w:eastAsia="Arial" w:hAnsi="Arial"/>
          <w:sz w:val="13"/>
          <w:szCs w:val="13"/>
          <w:color w:val="auto"/>
        </w:rPr>
        <w:t>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BS in chemical engineering from the Technical College Mannheim/Germany, a BS/MS in chemistry and a doctorate in physical chemistry from the University of Marburg/Germany.</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David Thomson, Ph.D., J.D. </w:t>
      </w:r>
      <w:r>
        <w:rPr>
          <w:rFonts w:ascii="Arial" w:cs="Arial" w:eastAsia="Arial" w:hAnsi="Arial"/>
          <w:sz w:val="13"/>
          <w:szCs w:val="13"/>
          <w:color w:val="auto"/>
        </w:rPr>
        <w:t>has been our Corporate Vice President, General Counsel and Corporate Secretary since January 2002. Prior to joining us, he practiced</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corporate/commercial and securities law at the Toronto law firm of Davies Ward Phillips &amp; Vineberg LLP from May 1999 through December 2001, except for a period from May to December 2000, when he served as Vice President, Business Development for CTL ImmunoTherapies Corp. From March 1994 to August 1996, Dr. Thomson held a post-doctoral position at the Rockefeller University, where he conducted medical research in the Laboratory of Neurophysiology. Dr. Thomson obtained his bachelor’s degree, master’s degree and Ph.D. degree from Queens University and obtained his J.D. degree from the University of Toronto.</w:t>
      </w:r>
    </w:p>
    <w:p>
      <w:pPr>
        <w:spacing w:after="0" w:line="71"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i w:val="1"/>
          <w:iCs w:val="1"/>
          <w:color w:val="auto"/>
        </w:rPr>
        <w:t xml:space="preserve">Diane M. Palumbo </w:t>
      </w:r>
      <w:r>
        <w:rPr>
          <w:rFonts w:ascii="Arial" w:cs="Arial" w:eastAsia="Arial" w:hAnsi="Arial"/>
          <w:sz w:val="12"/>
          <w:szCs w:val="12"/>
          <w:color w:val="auto"/>
        </w:rPr>
        <w:t>has been our Corporate Vice President of Human Resources since November 2004. From July 2003 to November 2004, she was President of her own human</w:t>
      </w:r>
      <w:r>
        <w:rPr>
          <w:rFonts w:ascii="Arial" w:cs="Arial" w:eastAsia="Arial" w:hAnsi="Arial"/>
          <w:sz w:val="12"/>
          <w:szCs w:val="12"/>
          <w:i w:val="1"/>
          <w:iCs w:val="1"/>
          <w:color w:val="auto"/>
        </w:rPr>
        <w:t xml:space="preserve"> </w:t>
      </w:r>
      <w:r>
        <w:rPr>
          <w:rFonts w:ascii="Arial" w:cs="Arial" w:eastAsia="Arial" w:hAnsi="Arial"/>
          <w:sz w:val="12"/>
          <w:szCs w:val="12"/>
          <w:color w:val="auto"/>
        </w:rPr>
        <w:t>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NY and a bachelor of science degree, magna cum laude, also from St. John’s University, NY.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Executive officers serve at the discretion of the Board of Directors. There are no family relationships between any of the directors and executive officers of MannKind.</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You should consider carefully the following information about the risks described below, together with the other information contained in this report, before you decide to buy or maintain an investment in our common stock. We believe the risks described below are the risks that are material to us as of the date of this annual report. Additional risks and uncertainties not presently known to us or that we currently deem immaterial may also affect our business.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history of operating losses, we expect to continue to incur losses and we may never become profitable.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never been profitable and, as of December 31, 2006, we had an accumulated deficit of $787.8 million. The accumulated deficit has resulted principally from costs incurred in our research and development programs,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raise additional capital, our financial condition and business would suffer.</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It is costly to develop therapeutic product candidates and conduct clinical trials for these product candidates.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December 12, 2006, we closed the sale of 20,000,000 shares of our common stock at a public offering price of $17.42 per share and on December 19, 2006, closed the sale of an additional 3,000,000 shares of our common stock at a public offering price of $17.42 per share pursuant to an over-allotment option granted to the underwriters of the offering. The resulting aggregate net proceeds to us from this common stock offering was approximately $384.7 million after expenses. On December 12, 2006, we also sold $115.0 million aggregate principal amount of 3.75% Senior Convertible Notes due 2013, which included $15.0 million aggregate principal amount of the notes sold to cover over-allotments. The resulting aggregate net proceeds to us from this note offering was approximately $111.3 million after expenses.</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August 2006, we entered into a $150.0 million loan arrangement with our principal stockholder, which was amended on October 30, 2006. Under this arrangement, we can borrow funds in one or more advances at any time through August 2, 2007 should our cash balance fall below our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As of December 31, 2006, there are no amounts borrowed and outstanding under this loan arrangement with our principal stockholder.</w:t>
      </w:r>
    </w:p>
    <w:p>
      <w:pPr>
        <w:spacing w:after="0" w:line="5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Based upon our current expectations, we believe that our existing capital resources, including the net proceeds from our sale of common stock and senior convertible notes in December 2006 and the loan agreement with our principal stockholder, will enable us to continue planned operations into the first quarter of 2008.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72" w:lineRule="exact"/>
        <w:rPr>
          <w:sz w:val="20"/>
          <w:szCs w:val="20"/>
          <w:color w:val="auto"/>
        </w:rPr>
      </w:pPr>
    </w:p>
    <w:p>
      <w:pPr>
        <w:ind w:left="1280" w:right="1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rate of progress and costs of our clinical trials and research and development activities, including costs of procuring clinical materials and expanding our own manufacturing facilities;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success in establishing strategic business collaborations and the timing and amount of any payments we might receive from any collaboration we are able to establish;</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actions taken by the FDA and other regulatory authorities affecting our products and competitive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degree of success in commercializing our Technosphere Insulin System or our other product candidates;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emergence of competing technologies and products and other adverse market developments;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timing and amount of payments we might receive from potential licensees;</w:t>
      </w:r>
    </w:p>
    <w:p>
      <w:pPr>
        <w:spacing w:after="0" w:line="86"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costs of preparing, filing, prosecuting, maintaining and enforcing patent claims and other intellectual property rights or defending against claims of infringement by others;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costs of discontinuing projects and technologies or decommissioning existing facilities, if we undertake those activities.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55"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also may seek to raise additional capital by pursuing opportunities for the licensing,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146"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depend heavily on the successful development and commercialization of our lead product candidate, the Technosphere Insulin System, which is still in clinical development, and our other product candidates, most of which are still in preclinical development.</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To date, we have not completed the development of any product candidates through to commercialization. Our Technosphere Insulin System is currently undergoing clinical trials, while our other product candidates are generally in research or preclinical development. We anticipate that in the near term, our ability to generate revenues will depend solely on the successful development and commercialization of our Technosphere Insulin System.</w:t>
      </w:r>
    </w:p>
    <w:p>
      <w:pPr>
        <w:spacing w:after="0" w:line="67"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have initiated all of our pivotal Phase 3 clinical trials as well as several special population studies for our Technosphere Insulin System, all of which will require additional time and substantial expenditure of resources.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59"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preclinical, clinical and other testing prior to seeking regulatory approval to market them. Accordingly, these product candidates will not be commercially available for a number of years, if at all.</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3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If we do not achieve our projected development goals in the timeframes we announce and expect, our business would be harmed and the market price of our common stock could decline.</w:t>
      </w:r>
    </w:p>
    <w:p>
      <w:pPr>
        <w:spacing w:after="0" w:line="59" w:lineRule="exact"/>
        <w:rPr>
          <w:sz w:val="20"/>
          <w:szCs w:val="20"/>
          <w:color w:val="auto"/>
        </w:rPr>
      </w:pPr>
    </w:p>
    <w:p>
      <w:pPr>
        <w:jc w:val="both"/>
        <w:ind w:left="680" w:right="100" w:firstLine="399"/>
        <w:spacing w:after="0" w:line="289" w:lineRule="auto"/>
        <w:rPr>
          <w:sz w:val="20"/>
          <w:szCs w:val="20"/>
          <w:color w:val="auto"/>
        </w:rPr>
      </w:pPr>
      <w:r>
        <w:rPr>
          <w:rFonts w:ascii="Arial" w:cs="Arial" w:eastAsia="Arial" w:hAnsi="Arial"/>
          <w:sz w:val="12"/>
          <w:szCs w:val="12"/>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53" w:lineRule="exact"/>
        <w:rPr>
          <w:sz w:val="20"/>
          <w:szCs w:val="20"/>
          <w:color w:val="auto"/>
        </w:rPr>
      </w:pPr>
    </w:p>
    <w:p>
      <w:pPr>
        <w:ind w:left="128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rate of progress, costs and results of our clinical trial and research and development activities, which will be impacted by the level of proficiency and experience of our clinical staff;</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identify and enroll patients who meet clinical trial eligibility criteria;</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access sufficient, reliable and affordable supplies of components used in the manufacture of our product candidates, including insulin and other materials for our Technosphere Insulin System;</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costs of expanding and maintaining manufacturing operations, as necessary;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extent of scheduling conflicts with participating clinicians and clinical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receipt of approvals by our competitors and by us from the FDA and other regulatory agencies;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actions by regulators.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32"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initially are focusing on the development of our Technosphere Insulin System for the treatment of diabetes, and we face intense competition in this area. In January 2006, the FDA and the European Commission approved Exubera, developed by Pfizer, Inc. in collaboration with Nektar Therapeutics, for the treatment of adults with type 1 and type 2 diabetes. Exubera has been launched in Germany, Ireland, the United Kingdom and, to a limited extent, the United States. Pfizer has announced that it will begin a direct-to-consumer campaign in the second half of 2007.</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89" w:lineRule="auto"/>
        <w:rPr>
          <w:sz w:val="20"/>
          <w:szCs w:val="20"/>
          <w:color w:val="auto"/>
        </w:rPr>
      </w:pPr>
      <w:r>
        <w:rPr>
          <w:rFonts w:ascii="Arial" w:cs="Arial" w:eastAsia="Arial" w:hAnsi="Arial"/>
          <w:sz w:val="12"/>
          <w:szCs w:val="12"/>
          <w:color w:val="auto"/>
        </w:rPr>
        <w:t>In July 2005, Eli Lilly and Company, in collaboration with Alkermes, Inc., initiated a pivotal Phase 3 safety trial of their AIR inhaled insulin system, which completed patient enrollment in June 2006. We believe Lilly plans to submit a New Drug Application, or NDA, for the AIR inhaled insulin system in 2009. In September 2006, Novo Nordisk A.S. began recruiting patients for a two-year Phase 3 safety trial of their AERx inhaled insulin system, after previously suspending clinical trials of the AERx product. In addition, a number of established pharmaceutical companies have or are developing technologies for the treatment of diabetes. We also face substantial competition for the development of our other product candidates.</w:t>
      </w:r>
    </w:p>
    <w:p>
      <w:pPr>
        <w:spacing w:after="0" w:line="53"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Pfizer, the first to commercialize an inhaled insulin system, will have an advantage in being able to gain reputation and market share as well as set parameters for the inhaled insulin market such as pricing and reimbursement strategies. Our future success will depend not only on our ability to develop our product candidates but to improve them and to keep pace with emerging industry developments. We cannot assure you that we will be able to do so.</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enter into a strategic collaboration with respect to our Technosphere Insulin System, we may not be able to execute on our business model.</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currently evaluating potential collaborations with respect to our Technosphere Insulin System. If we are not able to enter into a collaboration on terms that are favorable to us, we could be required to undertake and fund product development, clinical trials, manufacturing and marketing activities solely at our own expense. We currently estimate that the cost to continue the development of our Technosphere Insulin System over the next 12 months would be up to $300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50"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59"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146"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Testing of our Technosphere Insulin System or another product candidate may not yield successful results, and even if it does, we may still be unable to commercialize that product candidate.</w:t>
      </w:r>
    </w:p>
    <w:p>
      <w:pPr>
        <w:spacing w:after="0" w:line="59" w:lineRule="exact"/>
        <w:rPr>
          <w:sz w:val="20"/>
          <w:szCs w:val="20"/>
          <w:color w:val="auto"/>
        </w:rPr>
      </w:pPr>
    </w:p>
    <w:p>
      <w:pPr>
        <w:ind w:left="680" w:right="520" w:firstLine="399"/>
        <w:spacing w:after="0" w:line="264" w:lineRule="auto"/>
        <w:rPr>
          <w:sz w:val="20"/>
          <w:szCs w:val="20"/>
          <w:color w:val="auto"/>
        </w:rPr>
      </w:pPr>
      <w:r>
        <w:rPr>
          <w:rFonts w:ascii="Arial" w:cs="Arial" w:eastAsia="Arial" w:hAnsi="Arial"/>
          <w:sz w:val="13"/>
          <w:szCs w:val="13"/>
          <w:color w:val="auto"/>
        </w:rPr>
        <w:t>Our research and development programs are designed to test the safety and efficacy of our Technosphere Insulin System and our other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67" w:lineRule="exact"/>
        <w:rPr>
          <w:sz w:val="20"/>
          <w:szCs w:val="20"/>
          <w:color w:val="auto"/>
        </w:rPr>
      </w:pPr>
    </w:p>
    <w:p>
      <w:pPr>
        <w:ind w:left="1280" w:right="240" w:hanging="190"/>
        <w:spacing w:after="0" w:line="320"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data collected from clinical trials of our product candidates may not be sufficient to support FDA or other regulatory approval;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after reviewing test results, we or any potential collaborators may abandon projects that we previously believed were promising; and</w:t>
      </w:r>
    </w:p>
    <w:p>
      <w:pPr>
        <w:spacing w:after="0" w:line="86"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product candidates may not produce the desired effects or may result in adverse health effects or other characteristics that preclude regulatory approval or limit their commercial use if approved.</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long-term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72"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are unable to transition successfully from an early-stage development company to a company that commercializes therapeutics, our operations would suffer.</w:t>
      </w:r>
    </w:p>
    <w:p>
      <w:pPr>
        <w:spacing w:after="0" w:line="108"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are at a critical juncture in our development, having transitioned from an early-stage development company to one with multiple Phase 3 clinical trials. Phase 3 development of our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7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require a well-structured plan to make this transition. In the past year, we have added a significant number of new executive personnel, particularly in clinical development, regulatory and manufacturing production,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6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expand our manufacturing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develop comprehensive and detailed commercialization, clinical development and regulatory plans;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implement standard operating procedures.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are unable to accomplish these measures in a timely manner, we would be at considerable risk of failing to:</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complete our Phase 3 clinical trial program in a deliberate fashion, on time and within budget;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develop through our Phase 3 trials the key clinical data needed to obtain regulatory approval and compete successfully in the marketplace.</w:t>
      </w:r>
    </w:p>
    <w:p>
      <w:pPr>
        <w:spacing w:after="0" w:line="175" w:lineRule="exact"/>
        <w:rPr>
          <w:sz w:val="20"/>
          <w:szCs w:val="20"/>
          <w:color w:val="auto"/>
        </w:rPr>
      </w:pPr>
    </w:p>
    <w:p>
      <w:pPr>
        <w:ind w:left="880" w:right="240"/>
        <w:spacing w:after="0" w:line="320" w:lineRule="auto"/>
        <w:rPr>
          <w:sz w:val="20"/>
          <w:szCs w:val="20"/>
          <w:color w:val="auto"/>
        </w:rPr>
      </w:pPr>
      <w:r>
        <w:rPr>
          <w:rFonts w:ascii="Arial" w:cs="Arial" w:eastAsia="Arial" w:hAnsi="Arial"/>
          <w:sz w:val="12"/>
          <w:szCs w:val="12"/>
          <w:b w:val="1"/>
          <w:bCs w:val="1"/>
          <w:i w:val="1"/>
          <w:i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35" w:lineRule="exact"/>
        <w:rPr>
          <w:sz w:val="20"/>
          <w:szCs w:val="20"/>
          <w:color w:val="auto"/>
        </w:rPr>
      </w:pPr>
    </w:p>
    <w:p>
      <w:pPr>
        <w:ind w:left="680" w:right="80" w:firstLine="399"/>
        <w:spacing w:after="0" w:line="305" w:lineRule="auto"/>
        <w:rPr>
          <w:sz w:val="20"/>
          <w:szCs w:val="20"/>
          <w:color w:val="auto"/>
        </w:rPr>
      </w:pPr>
      <w:r>
        <w:rPr>
          <w:rFonts w:ascii="Arial" w:cs="Arial" w:eastAsia="Arial" w:hAnsi="Arial"/>
          <w:sz w:val="11"/>
          <w:szCs w:val="11"/>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now N.V. Organon, an independent supplier of insulin and a subsidiary of Akzo Nobel, which is currently our sole supplier for insulin. We are aware of at least five other suppliers of bulk insulin but to date we have not entered into a commercial relationship with any of the five. Currently we obtain our Technosphere pre-cursor raw material from Degussa AG, a major chemical manufacturer with facilities in Europe and North America. We utilize our in-house chemical manufacturing plant as a back up facility. We believe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manufacturers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129" w:lineRule="exact"/>
        <w:rPr>
          <w:sz w:val="20"/>
          <w:szCs w:val="20"/>
          <w:color w:val="auto"/>
        </w:rPr>
      </w:pPr>
    </w:p>
    <w:p>
      <w:pPr>
        <w:ind w:left="880" w:right="400"/>
        <w:spacing w:after="0" w:line="371" w:lineRule="auto"/>
        <w:rPr>
          <w:sz w:val="20"/>
          <w:szCs w:val="20"/>
          <w:color w:val="auto"/>
        </w:rPr>
      </w:pPr>
      <w:r>
        <w:rPr>
          <w:rFonts w:ascii="Arial" w:cs="Arial" w:eastAsia="Arial" w:hAnsi="Arial"/>
          <w:sz w:val="11"/>
          <w:szCs w:val="11"/>
          <w:b w:val="1"/>
          <w:bCs w:val="1"/>
          <w:i w:val="1"/>
          <w:i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are currently increasing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becomes unable to provide us with goods or services at the agreed-upon price, our facilities expansion could be delayed or its costs increased.</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to commercial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6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such products and we would lose potential revenues.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deal with hazardous materials and must comply with environmental laws and regulations, which can be expensive and restrict how we do business.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approximately $1.5 to $3.0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right="700"/>
        <w:spacing w:after="0" w:line="276" w:lineRule="auto"/>
        <w:rPr>
          <w:sz w:val="20"/>
          <w:szCs w:val="20"/>
          <w:color w:val="auto"/>
        </w:rPr>
      </w:pPr>
      <w:r>
        <w:rPr>
          <w:rFonts w:ascii="Arial" w:cs="Arial" w:eastAsia="Arial" w:hAnsi="Arial"/>
          <w:sz w:val="13"/>
          <w:szCs w:val="13"/>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 broad base of physicians, including primary care physicians, internists and endocrinologists, treat patients with diabetes. A large sales force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a specialty sales force would cost more than $35 million. Because of our size, we would be at a disadvantage to our potential competitors, all of which either are or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37"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59"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degree of market acceptance of our Technosphere Insulin System and our other product candidates will depend on many factors, including the:</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claims for which FDA approval can be obtained, including superiority claims;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perceived advantages and disadvantages of competitive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willingness and ability of patients and the healthcare community to adopt new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ability to manufacture the product in sufficient quantities with acceptable quality and at an acceptable cost;</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perception of patients and the healthcare community, including third-party payers, regarding the safety, efficacy and benefits of the product compared to those of competing products or therapies;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convenience and ease of administration of the product relative to existing treatment methods;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pricing and reimbursement of the product relative to existing treatment therapeutics and methods;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marketing and distribution support for the product.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third-party payers do not reimburse customers for our products, our products might not be used or purchased, which would adversely affect our revenues.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57" w:lineRule="auto"/>
        <w:rPr>
          <w:sz w:val="20"/>
          <w:szCs w:val="20"/>
          <w:color w:val="auto"/>
        </w:rPr>
      </w:pPr>
      <w:r>
        <w:rPr>
          <w:rFonts w:ascii="Arial" w:cs="Arial" w:eastAsia="Arial" w:hAnsi="Arial"/>
          <w:sz w:val="13"/>
          <w:szCs w:val="13"/>
          <w:color w:val="auto"/>
        </w:rPr>
        <w:t>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product liability claims are brought against us, we may incur significant liabilities and suffer damage to our reputation.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clinical trial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lose any key employees or scientific advisors, our operations and our ability to execute our business strategy could be materially harmed.</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53"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35"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50"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have been sued by our former Chief Medical Officer. As a result of this litigation, we may incur material costs and suffer other consequences, which may adversely affect us.</w:t>
      </w:r>
    </w:p>
    <w:p>
      <w:pPr>
        <w:spacing w:after="0" w:line="119"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 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motion to strike our cross-complaint under California’s anti-SLAPP statute. In September 2005, the California Superior Court overruled Dr. Cheatham’s demurrer and denied his motion to strike our cross-complaint. In November 2005, Dr. Cheatham appealed the Court’s ruling denying his motion to strike. In July 2006, we filed a motion for summary judgment , or in the alternative, for summary adjudication, requesting dismissal before trial of Dr, Cheatham’s claims against us. In October 2006, the Superior Court denied the motion. In December 2006, the Court of Appeal affirmed in part and reversed in part the Superior Court’s order denying Dr. Cheatham’s motion to strike. Subsequently, Dr. Cheatham filed a notice of dismissal of the retaliation cause of action, and we filed a notice of dismissal of the remaining claims under the cross-complaint. This case is scheduled for trial to commence on April 30, 2007.</w:t>
      </w:r>
    </w:p>
    <w:p>
      <w:pPr>
        <w:spacing w:after="0" w:line="6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To date, we have not been notified of any investigation by the FDA. If we are not successful in this litigation, we could be forced to make a significant settlement or judgment payment to Dr. Cheatham, which could adversely affect our business, results of operations or financial position.</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facilities that are located in Southern California may be affected by man-made or natural disasters.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headquarters and some of our research and development activities are located in Southern California, where they are subject to a risk of man-made disasters such as terrorism and an enhanced risk of natural and other disasters such as power and telecommunications failures, mudslides, fires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internal controls over financial reporting are not considered effective, our business and stock price could be adversely affected.</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 Our management has concluded, and our independent registered public accounting firm has attested, that our internal control over financial reporting was effective as of December 31, 2006.</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REGULATORY APPROVALS</w:t>
      </w:r>
    </w:p>
    <w:p>
      <w:pPr>
        <w:spacing w:after="0" w:line="100"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6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product design, development, manufacture and testing;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product labeling;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product storage and shipping;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pre-market clearance or approval;</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advertising and promotion;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product sales and distribution.</w:t>
      </w:r>
    </w:p>
    <w:p>
      <w:pPr>
        <w:spacing w:after="0" w:line="96"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inhaled insulin delivery systems, that we will need safety data covering at least two years from patients treated with our Technosphere Insulin System and that we must complete a two-year carcinogenicity study and an additional six-month carcinogenicity study of Technosphere Insulin in rodents to obtain approval, among other requirements.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78"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4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may impact the development and registration of our Technosphere Insulin System in many ways, including: the approval of Exubera may increase the difficulty of enrolling patients in our clinical trials; Exubera may be viewed as standard of care by the FDA and used as a reference for the safety/efficacy evaluations of our Technosphere Insulin System; and the approval standards set for Exubera may be applied to other products that follow including our Technosphere Insulin System.</w:t>
      </w:r>
    </w:p>
    <w:p>
      <w:pPr>
        <w:spacing w:after="0" w:line="72"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7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Also, questions that have been raised about the safety of marketed drugs generally, including pertaining to the lack of adequate labeling, may result in increased cautiousness by the FDA in reviewing new drugs based on safety,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our Technosphere Insulin System, numerous device regulatory requirements still apply to the device part of the drug-device combination.</w:t>
      </w:r>
    </w:p>
    <w:p>
      <w:pPr>
        <w:spacing w:after="0" w:line="14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9"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46" w:lineRule="exact"/>
        <w:rPr>
          <w:sz w:val="20"/>
          <w:szCs w:val="20"/>
          <w:color w:val="auto"/>
        </w:rPr>
      </w:pPr>
    </w:p>
    <w:p>
      <w:pPr>
        <w:ind w:left="880" w:right="80"/>
        <w:spacing w:after="0" w:line="320" w:lineRule="auto"/>
        <w:rPr>
          <w:sz w:val="20"/>
          <w:szCs w:val="20"/>
          <w:color w:val="auto"/>
        </w:rPr>
      </w:pPr>
      <w:r>
        <w:rPr>
          <w:rFonts w:ascii="Arial" w:cs="Arial" w:eastAsia="Arial" w:hAnsi="Arial"/>
          <w:sz w:val="12"/>
          <w:szCs w:val="12"/>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i w:val="1"/>
          <w:iCs w:val="1"/>
          <w:color w:val="auto"/>
        </w:rPr>
        <w:t>Even if we obtain regulatory approval for our product candidates, such approval may be limited and we will be subject to stringent, ongoing government regulation.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7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U.S. Congressional initiatives pertaining to ensuring the safety of marketed drugs or other developments pertaining to the pharmaceutical industry will not adversely affect our operations.</w:t>
      </w:r>
    </w:p>
    <w:p>
      <w:pPr>
        <w:spacing w:after="0" w:line="7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41"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13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9" w:lineRule="exact"/>
        <w:rPr>
          <w:sz w:val="20"/>
          <w:szCs w:val="20"/>
          <w:color w:val="auto"/>
        </w:rPr>
      </w:pPr>
    </w:p>
    <w:p>
      <w:pPr>
        <w:jc w:val="both"/>
        <w:ind w:left="680" w:right="200" w:firstLine="399"/>
        <w:spacing w:after="0" w:line="258" w:lineRule="auto"/>
        <w:rPr>
          <w:sz w:val="20"/>
          <w:szCs w:val="20"/>
          <w:color w:val="auto"/>
        </w:rPr>
      </w:pPr>
      <w:r>
        <w:rPr>
          <w:rFonts w:ascii="Arial" w:cs="Arial" w:eastAsia="Arial" w:hAnsi="Arial"/>
          <w:sz w:val="13"/>
          <w:szCs w:val="13"/>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71"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proprietary rights, we may not be able to compete effectively, or operate profitably.</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72" w:lineRule="exact"/>
        <w:rPr>
          <w:sz w:val="20"/>
          <w:szCs w:val="20"/>
          <w:color w:val="auto"/>
        </w:rPr>
      </w:pPr>
    </w:p>
    <w:p>
      <w:pPr>
        <w:ind w:left="680" w:right="160" w:firstLine="399"/>
        <w:spacing w:after="0" w:line="334" w:lineRule="auto"/>
        <w:rPr>
          <w:sz w:val="20"/>
          <w:szCs w:val="20"/>
          <w:color w:val="auto"/>
        </w:rPr>
      </w:pPr>
      <w:r>
        <w:rPr>
          <w:rFonts w:ascii="Arial" w:cs="Arial" w:eastAsia="Arial" w:hAnsi="Arial"/>
          <w:sz w:val="11"/>
          <w:szCs w:val="11"/>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3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9"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71"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28"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owned by Novo Nordisk that cover inhaled insulin treatment for diabetes. In its lawsuit, Novo Nordisk is seeking compensatory damages and permanent injunctive relief. Novo Nordisk had also filed a motion for a preliminary injunction, and while it was not granted, it could have substantially impacted Pfizer’s ability to commercialize Exubera while the lawsuit is in progress had it been granted.</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obtain trademark registrations for our potential trade names.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not selected trade names for some of our products and product candidates; therefore, we have not filed trademark registrations for our potential trade names for those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is volatile.</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progress and results of our clinical trials;</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announcements by us or our competitors concerning their clinical trial results, acquisitions, strategic alliances, technological innovations and newly approved commercial products;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availability of critical materials used in developing and manufacturing our Technosphere Insulin System or other product candidates;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developments or disputes concerning our patents or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developments in our litigation with our former Chief Medical Officer;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expense and time associated with, and the extent of our ultimate success in, securing regulatory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securities analysts’ estimates of our financial and operating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general market conditions and fluctuations for emerging growth and pharmaceutical market sectors;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sales of large blocks of our common stock, including sales by our executive officers, directors and significant stockholders;</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general economic, political or stock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of these risks, as well as other factors, could cause the market price of our common stock to decline.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other biotechnology and biopharmaceutical companies or the securities markets in general encounter problems, the market price of our common stock could be adversely affected.</w:t>
      </w:r>
    </w:p>
    <w:p>
      <w:pPr>
        <w:spacing w:after="0" w:line="11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55"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6" w:lineRule="exact"/>
        <w:rPr>
          <w:sz w:val="20"/>
          <w:szCs w:val="20"/>
          <w:color w:val="auto"/>
        </w:rPr>
      </w:pPr>
    </w:p>
    <w:p>
      <w:pPr>
        <w:ind w:left="880" w:right="60"/>
        <w:spacing w:after="0" w:line="264" w:lineRule="auto"/>
        <w:rPr>
          <w:sz w:val="20"/>
          <w:szCs w:val="20"/>
          <w:color w:val="auto"/>
        </w:rPr>
      </w:pPr>
      <w:r>
        <w:rPr>
          <w:rFonts w:ascii="Arial" w:cs="Arial" w:eastAsia="Arial" w:hAnsi="Arial"/>
          <w:sz w:val="13"/>
          <w:szCs w:val="13"/>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Mr. Mann has been our primary source of financing to date. At December 31, 2006, Mr. Mann beneficially owned approximately 41.1% of our outstanding shares of capital stock. We believe members of Mr. Mann’s family beneficially owned at least an additional 1.4%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7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Subject to compliance with U.S.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82" w:lineRule="auto"/>
        <w:rPr>
          <w:sz w:val="20"/>
          <w:szCs w:val="20"/>
          <w:color w:val="auto"/>
        </w:rPr>
      </w:pPr>
      <w:r>
        <w:rPr>
          <w:rFonts w:ascii="Arial" w:cs="Arial" w:eastAsia="Arial" w:hAnsi="Arial"/>
          <w:sz w:val="12"/>
          <w:szCs w:val="12"/>
          <w:color w:val="auto"/>
        </w:rPr>
        <w:t>Biomedical Engineering, or AEMFBE, not-for-profit medical research foundations that serve as funding organizations for Mr. Mann’s various charities, including the Alfred Mann Foundation, or AMF, and the Alfred Mann Institute at the University of Southern California and at the Technion-Israel Institute of Technology,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future sale of our common stock or the conversion of our senior convertible notes into common stock could negatively affect our stock price.</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As of December 31, 2006, we had approximately 73.4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38"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Because we do not expect to pay dividends in the foreseeable future, you must rely on stock appreciation for any return on your investment.</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offering or even maintain the price at which you purchased your shares, and you may not realize a return on your investment in our common stock.</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item is 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2001, we acquired a facility in Danbury, Connecticut that includes two buildings comprising approximately 190,000 square feet and currently house our research and development, administrative and manufacturing functions, primarily for Technosphere Insulin formulation, filling and packaging. We believe that our facility in Danbury has sufficient space to contain additional Technosphere Insulin manufacturing capacity necessary to satisfy potential commercial demand for the launch of our Technosphere Insulin System and, with the expansion in progress, the first few years thereafter for our Technosphere Insulin System and other Technosphere-related products.</w:t>
      </w:r>
    </w:p>
    <w:p>
      <w:pPr>
        <w:spacing w:after="0" w:line="7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We own and occupy approximately 147,000 square feet of laboratory, office and manufacturing space in Valencia, California. The facility contains our principal executive offices and houses our research and development laboratories for our cancer and other programs. We also use this facility to provide support for the development of our Technosphere programs.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lease approximately 48,000 square feet of office space in Paramus, New Jersey pursuant to a lease that ends in January 2009.</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 xml:space="preserve">In May 2005, our former Chief Medical Officer filed a complaint against us in the California Superior Court, County of Los Angeles, </w:t>
      </w:r>
      <w:r>
        <w:rPr>
          <w:rFonts w:ascii="Arial" w:cs="Arial" w:eastAsia="Arial" w:hAnsi="Arial"/>
          <w:sz w:val="12"/>
          <w:szCs w:val="12"/>
          <w:i w:val="1"/>
          <w:iCs w:val="1"/>
          <w:color w:val="auto"/>
        </w:rPr>
        <w:t>Wayman Wendell Cheatham, M.D. v. MannKind</w:t>
      </w:r>
      <w:r>
        <w:rPr>
          <w:rFonts w:ascii="Arial" w:cs="Arial" w:eastAsia="Arial" w:hAnsi="Arial"/>
          <w:sz w:val="12"/>
          <w:szCs w:val="12"/>
          <w:color w:val="auto"/>
        </w:rPr>
        <w:t xml:space="preserve"> </w:t>
      </w:r>
      <w:r>
        <w:rPr>
          <w:rFonts w:ascii="Arial" w:cs="Arial" w:eastAsia="Arial" w:hAnsi="Arial"/>
          <w:sz w:val="12"/>
          <w:szCs w:val="12"/>
          <w:i w:val="1"/>
          <w:iCs w:val="1"/>
          <w:color w:val="auto"/>
        </w:rPr>
        <w:t>Corporation</w:t>
      </w:r>
      <w:r>
        <w:rPr>
          <w:rFonts w:ascii="Arial" w:cs="Arial" w:eastAsia="Arial" w:hAnsi="Arial"/>
          <w:sz w:val="12"/>
          <w:szCs w:val="12"/>
          <w:color w:val="auto"/>
        </w:rPr>
        <w:t>, Case No. BC333845. The complaint alleges causes of action for wrongful termination in violation of public policy, breach of contract and retaliation in connection with our</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termination of Dr. Cheatham’s employment. In the complaint, Dr. Cheatham seeks compensatory, punitive and exemplary damages in excess of $2.0 million, as well as reimbursement of attorneys’ fees. In June 2005, we answered the complaint, generally denying each of Dr. Cheatham’s allegations and asserting various defenses. We believe the allegations in the complaint are without merit and intend to vigorously defend against them. We also filed a cross-complaint against Dr. Cheatham, alleging claims for libel per se, trade libel, breach of contract, breach of the implied covenant of good faith and fair dealing and breach of the duty of loyalty. The libel claims allege that Dr. Cheatham made certain false and malicious statements about us in a letter to the FDA with regard to a request by us to hold a meeting with the FDA. The remaining causes of action in the cross-complaint arise out of our allegations that Dr. Cheatham had an undisclosed consulting relationship with a competitor during his employment with us, in violation of our agreement. In July 2005, Dr. Cheatham filed a demurrer and motion to strike our cross-complaint under California’s anti-SLAPP statute. In September 2005, the California Superior Court overruled Dr. Cheatham’s demurrer and denied his motion to strike our cross-complaint. Dr. Cheatham then filed a notice of appeal of the Court’s ruling denying his motion to strike. In November 2005, Dr. Cheatham appealed the Court’s ruling denying his motion to strike. In July 2006, we filed a motion for summary judgment, or in the alternative, for summary adjudication, requesting dismissal before trial of Dr. Cheatham’s claims against us. In October 2006, the Superior Court denied the motion. In December 2006, the Court of Appeal affirmed in part and reversed in part the Superior Court’s order denying Dr. Cheatham’s motion to strike. Subsequently, Dr. Cheatham filed a notice of dismissal of the retaliation cause of action, and we filed a notice of dismissal of the remaining claims under the cross-complaint. This case is scheduled for trial to commence on April 30, 2007. We believe that the ultimate resolution of this matter will not have a material impact on our financial position or results of operations.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our security holders during the quarter ended December 31, 2006.</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the Registrant’s Common Equity, Related Stockholder Matters and Issuer Purchase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 Market Price</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common stock has been traded on the Nasdaq Global Market (and its predecessor the Nasdaq National Market) under the symbol “MNKD” since July 28, 2004. The following table sets forth for the quarterly periods indicated, the high and low sales prices for our common stock as reported by the Nasdaq Global Market.</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 (from July 28, 2004)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10.71</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14.32</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Year ended December 31, 2005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11.67</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8.58</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13.85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10.60</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22.00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11.05</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16.42</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15.50</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15.73</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closing sales price of our common stock on the Nasdaq Global Market was $15.58 on March 8, 2007 and there were 185 registered holders of record as of that date.</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Measurement Comparison</w:t>
      </w:r>
    </w:p>
    <w:p>
      <w:pPr>
        <w:spacing w:after="0" w:line="100" w:lineRule="exact"/>
        <w:rPr>
          <w:sz w:val="20"/>
          <w:szCs w:val="20"/>
          <w:color w:val="auto"/>
        </w:rPr>
      </w:pPr>
    </w:p>
    <w:p>
      <w:pPr>
        <w:jc w:val="both"/>
        <w:ind w:left="680" w:right="120" w:firstLine="399"/>
        <w:spacing w:after="0" w:line="371" w:lineRule="auto"/>
        <w:rPr>
          <w:sz w:val="20"/>
          <w:szCs w:val="20"/>
          <w:color w:val="auto"/>
        </w:rPr>
      </w:pPr>
      <w:r>
        <w:rPr>
          <w:rFonts w:ascii="Arial" w:cs="Arial" w:eastAsia="Arial" w:hAnsi="Arial"/>
          <w:sz w:val="11"/>
          <w:szCs w:val="11"/>
          <w:i w:val="1"/>
          <w:iCs w:val="1"/>
          <w:color w:val="auto"/>
        </w:rPr>
        <w:t>The material in this section is not “soliciting material,” is not deemed “filed” with the SEC and shall not be incorporated by reference by any general statement incorporating by reference this proxy statement into any filing of MannKind under the Securities Act or the Exchange Act, except to the extent MannKind specifically incorporates this section by reference.</w:t>
      </w:r>
    </w:p>
    <w:p>
      <w:pPr>
        <w:spacing w:after="0" w:line="1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97790</wp:posOffset>
            </wp:positionV>
            <wp:extent cx="3314065" cy="255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14065" cy="255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Assumes a $100 investment, on July 28, 2004, in (i) our common stock, (ii) the securities comprising the Nasdaq Composite Index and (iii) the securities comprising the Nasdaq Biotechnology Index.</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disclosed by Item 201(d) of Regulation S-K is incorporated herein by reference to the proxy Statement.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sales of equity securities by us that were not registered under the Securities Act of 1933, as amended, during the fourth quarter of 2006.</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1240" w:firstLine="399"/>
        <w:spacing w:after="0" w:line="276" w:lineRule="auto"/>
        <w:rPr>
          <w:sz w:val="20"/>
          <w:szCs w:val="20"/>
          <w:color w:val="auto"/>
        </w:rPr>
      </w:pPr>
      <w:r>
        <w:rPr>
          <w:rFonts w:ascii="Arial" w:cs="Arial" w:eastAsia="Arial" w:hAnsi="Arial"/>
          <w:sz w:val="13"/>
          <w:szCs w:val="13"/>
          <w:color w:val="auto"/>
        </w:rPr>
        <w:t>The following selected consolidated financial data should be read in conjunction with MannKind consolidated financial statements and notes thereto and with “Management’s Discussion and Analysis of Financial Condition and Results of Operations,” which are included elsewhere in this report.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tatement of Operations Data:</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8"/>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2002</w:t>
            </w: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6"/>
              <w:spacing w:after="0" w:line="108" w:lineRule="exact"/>
              <w:rPr>
                <w:sz w:val="20"/>
                <w:szCs w:val="20"/>
                <w:color w:val="auto"/>
              </w:rPr>
            </w:pPr>
            <w:r>
              <w:rPr>
                <w:rFonts w:ascii="Arial" w:cs="Arial" w:eastAsia="Arial" w:hAnsi="Arial"/>
                <w:sz w:val="10"/>
                <w:szCs w:val="10"/>
                <w:b w:val="1"/>
                <w:bCs w:val="1"/>
                <w:color w:val="auto"/>
              </w:rPr>
              <w:t>2003</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15"/>
              <w:spacing w:after="0" w:line="10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except per</w:t>
            </w:r>
          </w:p>
        </w:tc>
        <w:tc>
          <w:tcPr>
            <w:tcW w:w="1080" w:type="dxa"/>
            <w:vAlign w:val="bottom"/>
            <w:gridSpan w:val="3"/>
          </w:tcPr>
          <w:p>
            <w:pPr>
              <w:jc w:val="right"/>
              <w:ind w:right="335"/>
              <w:spacing w:after="0"/>
              <w:rPr>
                <w:sz w:val="20"/>
                <w:szCs w:val="20"/>
                <w:color w:val="auto"/>
              </w:rPr>
            </w:pPr>
            <w:r>
              <w:rPr>
                <w:rFonts w:ascii="Arial" w:cs="Arial" w:eastAsia="Arial" w:hAnsi="Arial"/>
                <w:sz w:val="10"/>
                <w:szCs w:val="10"/>
                <w:b w:val="1"/>
                <w:bCs w:val="1"/>
                <w:color w:val="auto"/>
                <w:w w:val="88"/>
              </w:rPr>
              <w:t>share amounts)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42,724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45,613</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59,406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95,347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191,796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13,215</w:t>
            </w:r>
          </w:p>
        </w:tc>
        <w:tc>
          <w:tcPr>
            <w:tcW w:w="120" w:type="dxa"/>
            <w:vAlign w:val="bottom"/>
          </w:tcPr>
          <w:p>
            <w:pPr>
              <w:spacing w:after="0"/>
              <w:rPr>
                <w:sz w:val="13"/>
                <w:szCs w:val="13"/>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3"/>
                <w:szCs w:val="13"/>
                <w:color w:val="auto"/>
              </w:rPr>
              <w:t>20,699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17,743</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22,775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42,001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 impairment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151,428</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207,367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3"/>
                <w:szCs w:val="13"/>
                <w:color w:val="auto"/>
              </w:rPr>
              <w:t>66,312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77,149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118,122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233,797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(207,367)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(66,312)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99"/>
              </w:rPr>
              <w:t>(77,149)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(118,122)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(233,697)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income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487</w:t>
            </w:r>
          </w:p>
        </w:tc>
        <w:tc>
          <w:tcPr>
            <w:tcW w:w="120" w:type="dxa"/>
            <w:vAlign w:val="bottom"/>
          </w:tcPr>
          <w:p>
            <w:pPr>
              <w:spacing w:after="0"/>
              <w:rPr>
                <w:sz w:val="13"/>
                <w:szCs w:val="13"/>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3"/>
                <w:szCs w:val="13"/>
                <w:color w:val="auto"/>
              </w:rPr>
              <w:t>36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226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on note payable to principal stockholder</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Interest expense on senior convertible notes</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line="20" w:lineRule="exact"/>
              <w:rPr>
                <w:sz w:val="1"/>
                <w:szCs w:val="1"/>
                <w:color w:val="auto"/>
              </w:rPr>
            </w:pPr>
          </w:p>
        </w:tc>
        <w:tc>
          <w:tcPr>
            <w:tcW w:w="560" w:type="dxa"/>
            <w:vAlign w:val="bottom"/>
            <w:gridSpan w:val="2"/>
            <w:vMerge w:val="restart"/>
          </w:tcPr>
          <w:p>
            <w:pPr>
              <w:jc w:val="right"/>
              <w:ind w:right="28"/>
              <w:spacing w:after="0"/>
              <w:rPr>
                <w:sz w:val="20"/>
                <w:szCs w:val="20"/>
                <w:color w:val="auto"/>
              </w:rPr>
            </w:pPr>
            <w:r>
              <w:rPr>
                <w:rFonts w:ascii="Arial" w:cs="Arial" w:eastAsia="Arial" w:hAnsi="Arial"/>
                <w:sz w:val="13"/>
                <w:szCs w:val="13"/>
                <w:color w:val="auto"/>
              </w:rPr>
              <w:t>—</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tcPr>
          <w:p>
            <w:pPr>
              <w:spacing w:after="0" w:line="20" w:lineRule="exact"/>
              <w:rPr>
                <w:sz w:val="1"/>
                <w:szCs w:val="1"/>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398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932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Loss before provision for income taxes</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(206,263)</w:t>
            </w: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(65,878)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(75,991)</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(114,337)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(230,543)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tax</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(206,265)</w:t>
            </w: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(65,879)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(75,992)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(114,338)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(230,548)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w w:val="94"/>
              </w:rPr>
              <w:t>Deemed dividends related to beneficial conversion feature of convertible preferred stock</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99"/>
              </w:rPr>
              <w:t>(19,822)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Accretion on redeemable preferred stock</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(253)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(207,937)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(67,149)</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99"/>
              </w:rPr>
              <w:t>(95,874)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(114,338)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(230,548)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Basic and diluted net loss per share</w:t>
            </w: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(15.43)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(3.63)</w:t>
            </w: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(3.80)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(2.87)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Shares used to compute basic and diluted net loss per share</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13,472</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18,488</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25,221</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39,871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8"/>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gridSpan w:val="2"/>
          </w:tcPr>
          <w:p>
            <w:pPr>
              <w:jc w:val="right"/>
              <w:ind w:right="34"/>
              <w:spacing w:after="0"/>
              <w:rPr>
                <w:sz w:val="20"/>
                <w:szCs w:val="20"/>
                <w:color w:val="auto"/>
              </w:rPr>
            </w:pPr>
            <w:r>
              <w:rPr>
                <w:rFonts w:ascii="Arial" w:cs="Arial" w:eastAsia="Arial" w:hAnsi="Arial"/>
                <w:sz w:val="13"/>
                <w:szCs w:val="13"/>
                <w:color w:val="auto"/>
              </w:rPr>
              <w:t>50</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B</w:t>
            </w:r>
            <w:r>
              <w:rPr>
                <w:rFonts w:ascii="Arial" w:cs="Arial" w:eastAsia="Arial" w:hAnsi="Arial"/>
                <w:sz w:val="10"/>
                <w:szCs w:val="10"/>
                <w:b w:val="1"/>
                <w:bCs w:val="1"/>
                <w:color w:val="auto"/>
              </w:rPr>
              <w:t>alance Sheet Data:</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As of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6"/>
              <w:spacing w:after="0" w:line="108" w:lineRule="exact"/>
              <w:rPr>
                <w:sz w:val="20"/>
                <w:szCs w:val="20"/>
                <w:color w:val="auto"/>
              </w:rPr>
            </w:pPr>
            <w:r>
              <w:rPr>
                <w:rFonts w:ascii="Arial" w:cs="Arial" w:eastAsia="Arial" w:hAnsi="Arial"/>
                <w:sz w:val="10"/>
                <w:szCs w:val="10"/>
                <w:b w:val="1"/>
                <w:bCs w:val="1"/>
                <w:color w:val="auto"/>
              </w:rPr>
              <w:t>2002</w:t>
            </w: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6"/>
              <w:spacing w:after="0" w:line="108" w:lineRule="exact"/>
              <w:rPr>
                <w:sz w:val="20"/>
                <w:szCs w:val="20"/>
                <w:color w:val="auto"/>
              </w:rPr>
            </w:pPr>
            <w:r>
              <w:rPr>
                <w:rFonts w:ascii="Arial" w:cs="Arial" w:eastAsia="Arial" w:hAnsi="Arial"/>
                <w:sz w:val="10"/>
                <w:szCs w:val="10"/>
                <w:b w:val="1"/>
                <w:bCs w:val="1"/>
                <w:color w:val="auto"/>
              </w:rPr>
              <w:t>2003</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6"/>
              <w:spacing w:after="0" w:line="10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6"/>
              <w:spacing w:after="0" w:line="10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6"/>
              <w:spacing w:after="0" w:line="10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marketable securities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31,052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55,945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90,533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145,634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436,479</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Working capital</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24,171</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49,097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82,837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128,507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404,588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104,773</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125,876</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163,483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228,371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539,737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Deferred compensation and other liabilities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404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Senior convertible notes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111,267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Redeemable convertible preferred stock</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4,935</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5,188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Deficit accumulated during the development stage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(301,092)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(366,971)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(442,963)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(557,301)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(787,849)</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90,773</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111,577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150,363</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206,977</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383,487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discussion of our financial condition and results of operations should be read in conjunction with our consolidated financial statements and notes thereto included in this report.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are a biopharmaceutical company focused on the discovery, development and commercialization of therapeutic products for diseases such as diabetes and cancer. We are currently in Phase 3 clinical trials in the United States, Europe and Latin America of our lead product, the Technosphere Insulin System, to study its safety and efficacy in the treatment of diabetes. This dry powder therapy consists of our proprietary Technosphere particles onto which insulin are loaded. These loaded particles are then aerosolized and inhaled into the deep lung using our proprietary inhaler. We believe that the combination of the performance characteristics, unique kinetics, convenience and ease of use of the Technosphere Insulin System may have the potential to change the way diabetes is treated. We are developing additional applications for our proprietary Technosphere platform technology by formulating other drugs for pulmonary delivery. We are also developing therapies for the treatment of solid-tumor cancers. Our other product candidates are in research and pre-clinical development.</w:t>
      </w:r>
    </w:p>
    <w:p>
      <w:pPr>
        <w:spacing w:after="0" w:line="59"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We are a development stage enterprise and have incurred significant losses since our inception in 1991. As of December 31, 2006, we have incurred a cumulative net loss of $787.8 million. To date, we have not generated any product revenues and have funded our operations primarily through the sale of equity securities.</w:t>
      </w:r>
    </w:p>
    <w:p>
      <w:pPr>
        <w:spacing w:after="0" w:line="35"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We do not anticipate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6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continue the clinical development and commercialization of our Technosphere Insulin System for the treatment of diabetes;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expand our manufacturing operations for our Technosphere Insulin System to meet our currently anticipated commercial production needs;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expand our other research, discovery and development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expand our proprietary Technosphere platform technology and develop additional applications for the pulmonary delivery of other drugs;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enter into sales and marketing collaborations with other companies, if available on commercially reasonable terms, or develop these capabilities ourselves.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71"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Statement of Financial Accounting Standards (“SFAS”) No. 123R, </w:t>
      </w:r>
      <w:r>
        <w:rPr>
          <w:rFonts w:ascii="Arial" w:cs="Arial" w:eastAsia="Arial" w:hAnsi="Arial"/>
          <w:sz w:val="12"/>
          <w:szCs w:val="12"/>
          <w:i w:val="1"/>
          <w:iCs w:val="1"/>
          <w:color w:val="auto"/>
        </w:rPr>
        <w:t>Share-based Payment: an Amendment of FASB Statement 123 and 95</w:t>
      </w:r>
      <w:r>
        <w:rPr>
          <w:rFonts w:ascii="Arial" w:cs="Arial" w:eastAsia="Arial" w:hAnsi="Arial"/>
          <w:sz w:val="12"/>
          <w:szCs w:val="12"/>
          <w:color w:val="auto"/>
        </w:rPr>
        <w:t xml:space="preserve"> (“SFAS No. 123R”), effective as of January 1, 2006, to increase in the future. See Note 2 — Summary of Significant Accounting Policies — Stock-Based Compensation in the notes to our financial statements.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35"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increase significantly as a result of the adoption of SFAS No. 123R. See Note 2 — Summary of Significant Accounting Policies — Stock-Based Compensation in the notes to our financial statements.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Impairment of long-lived assets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significant changes in our strategic business objectives and utilization of the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determination that the carrying value of such assets cannot be recovered through undiscounted cash flows;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loss of legal ownership or title to the assets;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impact of significant negative industry or economic trends.</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7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Clinical trial expenses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 xml:space="preserve">On January 1, 2006, the Company adopted the provisions of SFAS No. 123R, which is a revision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No. 123”). Prior to January 1, 2006, the Company accounted for employee stock options and the employee stock purchase plan using the intrinsic value method in accordance with Accounting Principles Board (“APB”) Opinion No. 25 (“APB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adopted the disclosure only alternative of SFAS No. 123. SFAS No. 123R eliminated the intrinsic value method of accounting for stock options which the Company followed until December 31, 2005. Further, SFAS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72"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w:t>
      </w:r>
    </w:p>
    <w:p>
      <w:pPr>
        <w:ind w:left="680" w:right="200"/>
        <w:spacing w:after="0" w:line="317" w:lineRule="auto"/>
        <w:rPr>
          <w:sz w:val="20"/>
          <w:szCs w:val="20"/>
          <w:color w:val="auto"/>
        </w:rPr>
      </w:pPr>
      <w:r>
        <w:rPr>
          <w:rFonts w:ascii="Arial" w:cs="Arial" w:eastAsia="Arial" w:hAnsi="Arial"/>
          <w:sz w:val="11"/>
          <w:szCs w:val="11"/>
          <w:color w:val="auto"/>
        </w:rPr>
        <w:t>SFAS No. 123. Our consolidated financial statements as of and for the year ended December 31, 2006 reflect the impact of SFAS No. 123R. In accordance with the modified prospective transition method, our consolidated financial statements for prior periods have not been restated to reflect, and do not include, the impact of SFAS 123R. If not for the adoption of SFAS No. 123R, stock-based compensation expense under APB No. 25 would have been approximately $3.7 million for the year ended December 31, 2006. The adoption of SFAS No. 123R in 2006 resulted in an increase in stock based compensation expense of $11.0 million for a total of $14.7 million of stock-based compensation for the year ended December 31, 2006.</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Accounting for income taxes</w:t>
      </w:r>
    </w:p>
    <w:p>
      <w:pPr>
        <w:spacing w:after="0" w:line="10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must make significant management judgments when determining our provision for income taxes, our deferred tax assets and liabilities and any valuation allowance recorded against our net deferred tax assets. At December 31, 2006, we have established a valuation allowance of $252.0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December 31, 2006 and 2005</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the year ended December 31, 2006, the Company recognized $0.1 million in revenue under a license agreement. No revenues were recorded for the year ended December 31, 2005. We do not anticipate sales of any product prior to regulatory approval and commercialization of our Technosphere Insulin System.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research and development expense categories for the years ended December 31, 2006 and 2005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51"/>
              <w:spacing w:after="0"/>
              <w:rPr>
                <w:sz w:val="20"/>
                <w:szCs w:val="20"/>
                <w:color w:val="auto"/>
              </w:rPr>
            </w:pPr>
            <w:r>
              <w:rPr>
                <w:rFonts w:ascii="Arial" w:cs="Arial" w:eastAsia="Arial" w:hAnsi="Arial"/>
                <w:sz w:val="10"/>
                <w:szCs w:val="10"/>
                <w:b w:val="1"/>
                <w:bCs w:val="1"/>
                <w:color w:val="auto"/>
              </w:rPr>
              <w:t>Year Ended</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ind w:right="179"/>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Clinical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110,623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49,483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61,140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40,656</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25,401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15,255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33,962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22,449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11,513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(1,666)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1,081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 (benefit)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7,460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Research and development expenses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191,796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95,347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96,449</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increase in research and development expenses for the year ended December 31, 2006, as compared to the year ended December 31, 2005 was primarily due to increased costs associated with the expanded clinical development of our Technosphere Insulin System and the continuation of other preclinical studies; increased salaries and related expenses driven by higher headcount; increases in consulting services and technology agreements, and increases in stock-based compensation expense. The increase in stock-based compensation expense was due to the adoption of SFAS 123R on January 1, 2006 and the stock-based compensation benefit in 2005 resulting from the fluctuation of our stock price on the stock options that were repriced in November 2003. We anticipate that our research and development expenses associated with our Technosphere Insulin System, expanding our Technosphere platform technology and the pursuit of cancer therapies will increase significantly in 2007. Specifically, we anticipate increased expenses related to the continuation of existing and initiation of new clinical trials, and the resulting manufacturing costs associated with producing clinical trial materials.</w:t>
      </w:r>
    </w:p>
    <w:p>
      <w:pPr>
        <w:spacing w:after="0" w:line="58"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research and development tax credit recognized for the years ended December 31, 2006 and 2005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2006 and 2005, research and development expenses were offset by $0.6 million and $1.7 million, respectively, in connection with the program.</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general and administrative expense categories for the years ended December 31, 2006 and 2005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21"/>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Salaries, employee related and other general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34,474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24,183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Stock-based compensation expense (benefit)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7,527</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(1,408)</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8,935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42,001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22,775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19,226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General and administrative expenses for the year ended December 31, 2006 increased as compared to the year ended December 31, 2005. Salaries, employee related and other general expenses increased primarily due to increased headcount and administrative services. The increase in stock-based compensation expense was due to the adoption of SFAS 123R on January 1, 2006 as compared to the stock-based compensation benefit in 2005 that resulted from the fluctuation of our stock price on stock options that were repriced in November 2003. We expect general and administrative expenses other than non-cash stock-based compensation expense to increase in the future. We expect overall general and administrative expenses to increase significantly as a result of the adoption of SFAS 123R. See Note 2 — Summary of Significant Accounting Policies — Stock-Based Compensation in the footnotes to our financial statements.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December 31, 2005 and 2004</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revenues were recorded for the years ended December 31, 2005 or 2004.</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research and development expense categories for the years ended December 31, 2005 and 2004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19"/>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Clinical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23,477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26,006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25,401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19,714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5,687</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22,449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17,309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(1,666)</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(4,030)</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2,364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3"/>
                <w:szCs w:val="13"/>
                <w:color w:val="auto"/>
              </w:rPr>
              <w:t>Research and development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line="20" w:lineRule="exact"/>
              <w:rPr>
                <w:sz w:val="1"/>
                <w:szCs w:val="1"/>
                <w:color w:val="auto"/>
              </w:rPr>
            </w:pPr>
          </w:p>
        </w:tc>
      </w:tr>
      <w:tr>
        <w:trPr>
          <w:trHeight w:val="156"/>
        </w:trPr>
        <w:tc>
          <w:tcPr>
            <w:tcW w:w="618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95,347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59,406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35,941</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increase in research and development expenses for the year ended December 31, 2005, as compared to the year ended December 31, 2004 was primarily due to ongoing expenses related to the clinical development of our Technosphere Insulin System. The expansion of our phase 3 clinical trial program for our Technosphere Insulin System and the continuation of other preclinical studies significantly increased our clinical research expenditures in 2005. This also resulted in increased Technosphere Insulin manufacturing costs to supply clinical trial materials. We continue to expand our qualification and validation of our manufacturing system. Additionally, research activities related to toxicology studies for our Technosphere Insulin System, expanding our proprietary Technosphere platform technology, developing additional applications for the pulmonary delivery of other drugs and the discovery and development of programs primarily focused on cancer therapies resulted in increased research expenditures.</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research and development tax credit recognized for the years ended December 31, 2005 and 2004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2005 and 2004, research and development expenses were offset by $1.7 million and $4.0 million, respectively, in connection with the program. The three months ended September 30, 2004 was the first period in which we were able to recognize the benefit of these credits for financial reporting purposes and accordingly the $4.0 million recognized in the year ended December 31, 2004 included amounts attributable to 2004 and prior years.</w:t>
      </w:r>
    </w:p>
    <w:p>
      <w:pPr>
        <w:spacing w:after="0" w:line="72"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The decrease in stock-based compensation expense for the year ended December 31, 2005 compared to the year ended December 31, 2004 primarily resulted from the effect of the decrease of our stock price from December 31, 2004 to December 31, 2005. A significant portion of the compensation expense is tied to the stock options that were repriced in November 2003 as the compensation cost for all repriced options was measured on a quarterly basis until the options expired or were exercised or canceled.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general and administrative expense categories for the years ended December 31, 2005 and 2004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21"/>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Salaries, employee related and other general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13,869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(1,408)</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3,874</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(5,282)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17,743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5,032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General and administrative expenses for the year ended December 31, 2005 increased as compared to the year ended December 31, 2004. Increased administrative services resulted in increased headcount, compensation adjustments and other employee related expenses. Additionally, litigation, public company compliance (including the Sarbanes-Oxley Act) and our establishment of a marketing function in 2005 increased both professional fees and consulting expenses. Offsetting increases to general and administrative expenses for these periods was a decrease in stock-based compensation expense resulting from the effect of the fluctuation of our stock price on the valuation of stock options that were repriced in November 2003.</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Deemed dividends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Deemed dividend for 2004 represents the beneficial conversion charge to common stockholders related to the downward adjustment of the Series B and C preferred stock conversion price. All outstanding preferred stock automatically converted into common stock at the close of the initial public offering in the third quarter of 2004, and no further deemed dividend has been or will be recognized.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funded our operations primarily through the sale of equity securities and a loan agreement with our principal stockholder. On November 1, 2006, we filed a shelf registration statement with the SEC for the issuance by us of up to $500 million of our equity and debt securities from time to time in one or more transactions. On December 12, 2006, we closed the sale of 20,000,000 shares of our common stock at a public offering price of $17.42 per share and on December 19, 2006, closed the sale of an additional 3,000,000 shares of our common stock at a public offering price of $17.42 per shares pursuant to an over-allotment option granted to the underwriters of the offering. The resulting aggregate net proceeds to us from this common stock offering was approximately $384.7 million after expenses. On December 12, 2006, we also sold $115.0 million aggregate principal amount of 3.75% Senior Convertible Notes due 2013, which included $15.0 million aggregate principal amount of the notes sold to cover over-allotments. The resulting aggregate net proceeds to us from this note offering was approximately $111.3 million after expenses.</w:t>
      </w:r>
    </w:p>
    <w:p>
      <w:pPr>
        <w:spacing w:after="0" w:line="73"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During the year ended December 31, 2006, we used $189.8 million of cash for our operations compared to using $101.2 million for our operations in the year ended December 31, 2005. We had a net loss of $230.5 million for the year ended December 31, 2006, of which $25.3 million consisted of non-cash charges such as depreciation and amortization, stock-based compensation, and other stock-based charges pursuant to a research agreement. We expect our negative operating cash flow to continue at least until we obtain regulatory approval and achieve commercialization of our Technosphere Insulin System.</w:t>
      </w:r>
    </w:p>
    <w:p>
      <w:pPr>
        <w:spacing w:after="0" w:line="7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We used $48.3 million of cash for investing activities during the year ended December 31, 2006, compared to using $94.4 million for the year ended December 31, 2005. Cash used in investing activities was primarily from net purchases of marketable securities of $27.5 million and $20.8 million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3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financing activities provided cash of $501.6 million for the year ended December 31, 2006 compared to $172.7 million for 2005. Cash from financing activities in 2006 was primarily from the equity and convertible note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offerings in December 2006 and the exercise of stock options throughout the year. For 2005, cash from financing activities was primarily from the private placement in August 2005 as well as the exercise of stock options.</w:t>
      </w:r>
    </w:p>
    <w:p>
      <w:pPr>
        <w:spacing w:after="0" w:line="59"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As of December 31, 2006, we had $436.5 million in cash, cash equivalents and marketable securities. Although we believe our existing cash resources, including the net proceeds from the equity and convertible note offerings of December 2006, and the $150.0 million loan agreement with our principal stockholder, will be sufficient to fund our anticipated cash requirements into the first quarter of 2008, we will require significant additional financing in the future to fund our operations. If adequate funds are not available, we may be required to delay, reduce or eliminate expenditures for certain of our programs, including our Technosphere Insulin System development activities.</w:t>
      </w:r>
    </w:p>
    <w:p>
      <w:pPr>
        <w:spacing w:after="0" w:line="53"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7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If we enter into a strategic business collaboration with a pharmaceutical or biotechnology company, we would expect, as part of the transaction, to receive additional capital and reimbursements for a portion of the costs associated with the 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6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Effects of Inflation</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cash resources.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we did not have any off-balance sheet arrangements.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(including facility leases executed in March 2005 and November 2005), the senior convertible notes, and open purchase commitments consisted of the following at December 31, 2006 (in thousands):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Payments Due in</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0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100" w:type="dxa"/>
            <w:vAlign w:val="bottom"/>
          </w:tcPr>
          <w:p>
            <w:pPr>
              <w:spacing w:after="0"/>
              <w:rPr>
                <w:sz w:val="7"/>
                <w:szCs w:val="7"/>
                <w:color w:val="auto"/>
              </w:rPr>
            </w:pPr>
          </w:p>
        </w:tc>
        <w:tc>
          <w:tcPr>
            <w:tcW w:w="1040" w:type="dxa"/>
            <w:vAlign w:val="bottom"/>
            <w:gridSpan w:val="2"/>
          </w:tcPr>
          <w:p>
            <w:pPr>
              <w:jc w:val="center"/>
              <w:ind w:right="500"/>
              <w:spacing w:after="0" w:line="91" w:lineRule="exact"/>
              <w:rPr>
                <w:sz w:val="20"/>
                <w:szCs w:val="20"/>
                <w:color w:val="auto"/>
              </w:rPr>
            </w:pPr>
            <w:r>
              <w:rPr>
                <w:rFonts w:ascii="Arial" w:cs="Arial" w:eastAsia="Arial" w:hAnsi="Arial"/>
                <w:sz w:val="10"/>
                <w:szCs w:val="10"/>
                <w:b w:val="1"/>
                <w:bCs w:val="1"/>
                <w:color w:val="auto"/>
                <w:w w:val="92"/>
              </w:rPr>
              <w:t>Less Than</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right"/>
              <w:ind w:right="520"/>
              <w:spacing w:after="0" w:line="91" w:lineRule="exact"/>
              <w:rPr>
                <w:sz w:val="20"/>
                <w:szCs w:val="20"/>
                <w:color w:val="auto"/>
              </w:rPr>
            </w:pPr>
            <w:r>
              <w:rPr>
                <w:rFonts w:ascii="Arial" w:cs="Arial" w:eastAsia="Arial" w:hAnsi="Arial"/>
                <w:sz w:val="10"/>
                <w:szCs w:val="10"/>
                <w:b w:val="1"/>
                <w:bCs w:val="1"/>
                <w:color w:val="auto"/>
                <w:w w:val="97"/>
              </w:rPr>
              <w:t>5 or More</w:t>
            </w: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One Year</w:t>
            </w:r>
          </w:p>
        </w:tc>
        <w:tc>
          <w:tcPr>
            <w:tcW w:w="80" w:type="dxa"/>
            <w:vAlign w:val="bottom"/>
          </w:tcPr>
          <w:p>
            <w:pPr>
              <w:spacing w:after="0"/>
              <w:rPr>
                <w:sz w:val="10"/>
                <w:szCs w:val="1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89"/>
              </w:rPr>
              <w:t>1-3 Years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9"/>
              </w:rPr>
              <w:t>3-5 Years</w:t>
            </w:r>
          </w:p>
        </w:tc>
        <w:tc>
          <w:tcPr>
            <w:tcW w:w="100" w:type="dxa"/>
            <w:vAlign w:val="bottom"/>
          </w:tcPr>
          <w:p>
            <w:pPr>
              <w:spacing w:after="0"/>
              <w:rPr>
                <w:sz w:val="10"/>
                <w:szCs w:val="10"/>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Years</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Open purchase order commitments(1)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101,356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52,823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154,669</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Senior Convertible Note Obligations(2)</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4,408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8,757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8,745</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123,757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145,667</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1,758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107,215</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63,338</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9,235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123,757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303,545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80" w:hanging="243"/>
        <w:spacing w:after="0" w:line="264" w:lineRule="auto"/>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the acquisition of manufacturing equipment and commitments related to our manufacturing plant expansion.</w:t>
      </w:r>
    </w:p>
    <w:p>
      <w:pPr>
        <w:spacing w:after="0" w:line="17" w:lineRule="exact"/>
        <w:rPr>
          <w:rFonts w:ascii="Arial" w:cs="Arial" w:eastAsia="Arial" w:hAnsi="Arial"/>
          <w:sz w:val="13"/>
          <w:szCs w:val="13"/>
          <w:color w:val="auto"/>
        </w:rPr>
      </w:pPr>
    </w:p>
    <w:p>
      <w:pPr>
        <w:ind w:left="1180" w:hanging="243"/>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senior convertible note obligation amounts include future interest payments at a fixed rate of 3.75% and payment of the notes in full upon maturity in 2013.</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description of our related party transactions see Note 17 — Certain Relationships and Related Party Transactions in the notes to our financial statements.</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3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 xml:space="preserve">In July 2006, the FASB issued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xml:space="preserve"> (“FIN 48”), which clarifies the accounting for uncertainty in income tax positions. FIN 48 addresses the recognition and measurement of uncertain income tax positions using a “more-likely-than-not” threshold and will also require enhanced disclosures in the financial statements. The provisions of FIN 48 are effective for us beginning January 1, 2007. We are currently evaluating the impact of this Interpretation on our financial statements.</w:t>
      </w:r>
    </w:p>
    <w:p>
      <w:pPr>
        <w:spacing w:after="0" w:line="8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SFAS No. 157 defines fair value, establishes a framework for measuring fair value in generally accepted accounting principles, and expands disclosures about fair value measurements. SFAS No. 157 is effective for financial statements issued for fiscal years beginning after November 15, 2007, and interim periods within those fiscal years. We are currently evaluating the impact of adopting SFAS No. 157 on our financial statements.</w:t>
      </w:r>
    </w:p>
    <w:p>
      <w:pPr>
        <w:spacing w:after="0" w:line="18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2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have not used derivative financial instruments. However, we are exposed to market risk related to changes in interest rates. Our current policy is to maintain a highly liquid short-term investment portfolio consisting mainly of U.S. money market funds and government and investment-grade corporate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December 31, 2006, we estimate that the fair value of our investment portfolio would decline by an immaterial amount.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included in Items 15(a)(1) and (2) of Part IV of this report.</w:t>
      </w:r>
    </w:p>
    <w:p>
      <w:pPr>
        <w:spacing w:after="0" w:line="22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w:t>
      </w:r>
    </w:p>
    <w:p>
      <w:pPr>
        <w:spacing w:after="0" w:line="13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91"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Our chief executive officer and chief financial officer performed an evaluation under the supervision and with the participation of our management, of our disclosure controls and procedures (as defined in Rule 13a-15(b) of the Securities Exchange Act of 1934, as amended) as of December 31, 2006. Based on that evaluation, our chief executive officer and chief financial officer concluded that our disclosure controls and procedures were effective at the reasonable assurance level.</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2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Based on our evaluation under the framework set forth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our management concluded that our internal control over financial reporting was effective as of December 31, 2006. Our management’s assessment of the effectiveness of our internal control over financial reporting as of December 31, 2006 has been audited by Deloitte &amp; Touche LLP, an independent registered public accounting firm, as stated in their report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MannKind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Valencia, California</w:t>
      </w:r>
    </w:p>
    <w:p>
      <w:pPr>
        <w:spacing w:after="0" w:line="8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audited management’s assessment, included in the accompanying Management’s Report on Internal Control Over Financial Reporting, that MannKind Corporation and subsidiaries (a development stage company) (the “Company”) maintained effective internal control over financial reporting as of December 31, 2006,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53"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left="680" w:right="260" w:firstLine="7"/>
        <w:spacing w:after="0" w:line="264" w:lineRule="auto"/>
        <w:tabs>
          <w:tab w:leader="none" w:pos="866"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our opinion, management’s assessment that the Company maintained effective internal control over financial reporting as of December 31, 2006, is fairly stated, in all material respects, based on the criteria established in Internal Control — Integrated Framework issued by the Committee of Sponsoring Organizations of the Treadway Commission. Also in our opinion, the Company maintained, in all material respects, effective internal control over financial reporting as of December 31, 2006, based on the criteria established in Internal Control — Integrated Framework issued by the Committee of Sponsoring Organizations of the Treadway Commission.</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as of and for the year ended December 31, 2006 of the Company and our report dated March 15, 2007 expressed an unqualified opinion on those financial statements and included an explanatory paragraph regarding a change in the manner in which the Company accounts for share-based compensation in 2006.</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15, 2007</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PART III</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Certain information required by Part III is omitted from this report because we will file a definitive proxy statement within 120 days after the end of our fiscal year pursuant to Regulation 14A for our 2007 annual meeting of stockholders, and the information included in the proxy statement is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w:t>
      </w:r>
    </w:p>
    <w:p>
      <w:pPr>
        <w:spacing w:after="0" w:line="100" w:lineRule="exact"/>
        <w:rPr>
          <w:sz w:val="20"/>
          <w:szCs w:val="20"/>
          <w:color w:val="auto"/>
        </w:rPr>
      </w:pPr>
    </w:p>
    <w:p>
      <w:pPr>
        <w:ind w:left="1260" w:hanging="174"/>
        <w:spacing w:after="0"/>
        <w:tabs>
          <w:tab w:leader="none" w:pos="126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Executive Officers — </w:t>
      </w:r>
      <w:r>
        <w:rPr>
          <w:rFonts w:ascii="Arial" w:cs="Arial" w:eastAsia="Arial" w:hAnsi="Arial"/>
          <w:sz w:val="12"/>
          <w:szCs w:val="12"/>
          <w:color w:val="auto"/>
        </w:rPr>
        <w:t>For information regarding the identification and business experience of our executive officers, see “Executive Officers” in Part I, Item 1 of this report.</w:t>
      </w:r>
    </w:p>
    <w:p>
      <w:pPr>
        <w:spacing w:after="0" w:line="107" w:lineRule="exact"/>
        <w:rPr>
          <w:rFonts w:ascii="Arial" w:cs="Arial" w:eastAsia="Arial" w:hAnsi="Arial"/>
          <w:sz w:val="12"/>
          <w:szCs w:val="12"/>
          <w:color w:val="auto"/>
        </w:rPr>
      </w:pPr>
    </w:p>
    <w:p>
      <w:pPr>
        <w:ind w:left="680" w:firstLine="406"/>
        <w:spacing w:after="0" w:line="264" w:lineRule="auto"/>
        <w:tabs>
          <w:tab w:leader="none" w:pos="1265"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Directors — </w:t>
      </w:r>
      <w:r>
        <w:rPr>
          <w:rFonts w:ascii="Arial" w:cs="Arial" w:eastAsia="Arial" w:hAnsi="Arial"/>
          <w:sz w:val="13"/>
          <w:szCs w:val="13"/>
          <w:color w:val="auto"/>
        </w:rPr>
        <w:t>The information required by this Item regarding the identification and business experience of our directors is contained in the section entitled “Proposal 1 — Election</w:t>
      </w:r>
      <w:r>
        <w:rPr>
          <w:rFonts w:ascii="Arial" w:cs="Arial" w:eastAsia="Arial" w:hAnsi="Arial"/>
          <w:sz w:val="13"/>
          <w:szCs w:val="13"/>
          <w:i w:val="1"/>
          <w:iCs w:val="1"/>
          <w:color w:val="auto"/>
        </w:rPr>
        <w:t xml:space="preserve"> </w:t>
      </w:r>
      <w:r>
        <w:rPr>
          <w:rFonts w:ascii="Arial" w:cs="Arial" w:eastAsia="Arial" w:hAnsi="Arial"/>
          <w:sz w:val="13"/>
          <w:szCs w:val="13"/>
          <w:color w:val="auto"/>
        </w:rPr>
        <w:t>of Directors” in the proxy statement for the May 2006 annual meeting of stockholders to be filed with the Securities and Exchange Commission within 120 days after the end of our fiscal year ended December 31, 2006, and is incorporated herein by reference.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Additional information required by this Item is incorporated by reference to the section entitled “Section 16(a) Beneficial Ownership Reporting Compliance” in the proxy statement.</w:t>
      </w:r>
    </w:p>
    <w:p>
      <w:pPr>
        <w:spacing w:after="0" w:line="108"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(www.mannkindcorp.com) in connection with “Investor Relations” materials. In addition, we intend to promptly disclose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on our website in the future.</w:t>
      </w:r>
    </w:p>
    <w:p>
      <w:pPr>
        <w:spacing w:after="0" w:line="1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under the caption “Executive Compensation” in the proxy statement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information under the captions “Security Ownership of Certain Beneficial Owners and Management” and “Executive Compensation — Securities Authorized for Issuance under Equity Compensation Plans” in the proxy statement is incorporated herein by this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information under the caption “Certain Transactions” in the proxy statement is incorporated herein by reference. With the exception of the information specifically incorporated by reference from the proxy statement in this report, the proxy statement shall not be deemed to be filed as part of this report. Without limiting the foregoing, the information under the captions “Report of the Audit Committee of the Board of Directors” and “Report of the Compensation Committee of the Board of Directors” in the proxy statement is not incorporated by reference in this report.</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under the caption “Principal Accounting Fees and Services” in the proxy statement is incorporated herein by reference.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The following documents are filed as part of, or incorporated by reference into, this report:</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(1)(2) Financial Statements and Financial Statement Schedules. The following Financial Statements of MannKind Corporation, Financial Statement Schedules and Report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Independent Registered Public Accounting Firm are included in a separate section of this report beginning on page F-2:</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35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Consolidated Balance Sheets</w:t>
            </w:r>
          </w:p>
        </w:tc>
        <w:tc>
          <w:tcPr>
            <w:tcW w:w="35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Statements of Operations</w:t>
            </w:r>
          </w:p>
        </w:tc>
        <w:tc>
          <w:tcPr>
            <w:tcW w:w="35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Statements of Stockholders’ Equity (Deficit)</w:t>
            </w:r>
          </w:p>
        </w:tc>
        <w:tc>
          <w:tcPr>
            <w:tcW w:w="35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Statements of Cash Flows</w:t>
            </w:r>
          </w:p>
        </w:tc>
        <w:tc>
          <w:tcPr>
            <w:tcW w:w="35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65"/>
        </w:trPr>
        <w:tc>
          <w:tcPr>
            <w:tcW w:w="6440" w:type="dxa"/>
            <w:vAlign w:val="bottom"/>
          </w:tcPr>
          <w:p>
            <w:pPr>
              <w:spacing w:after="0"/>
              <w:rPr>
                <w:sz w:val="20"/>
                <w:szCs w:val="20"/>
                <w:color w:val="auto"/>
              </w:rPr>
            </w:pPr>
            <w:r>
              <w:rPr>
                <w:rFonts w:ascii="Arial" w:cs="Arial" w:eastAsia="Arial" w:hAnsi="Arial"/>
                <w:sz w:val="13"/>
                <w:szCs w:val="13"/>
                <w:color w:val="auto"/>
              </w:rPr>
              <w:t>Notes to Financial Statements</w:t>
            </w:r>
          </w:p>
        </w:tc>
        <w:tc>
          <w:tcPr>
            <w:tcW w:w="3500" w:type="dxa"/>
            <w:vAlign w:val="bottom"/>
          </w:tcPr>
          <w:p>
            <w:pPr>
              <w:jc w:val="right"/>
              <w:spacing w:after="0"/>
              <w:rPr>
                <w:sz w:val="20"/>
                <w:szCs w:val="20"/>
                <w:color w:val="auto"/>
              </w:rPr>
            </w:pPr>
            <w:r>
              <w:rPr>
                <w:rFonts w:ascii="Arial" w:cs="Arial" w:eastAsia="Arial" w:hAnsi="Arial"/>
                <w:sz w:val="13"/>
                <w:szCs w:val="13"/>
                <w:color w:val="auto"/>
              </w:rPr>
              <w:t>78</w:t>
            </w:r>
          </w:p>
        </w:tc>
      </w:tr>
    </w:tbl>
    <w:p>
      <w:pPr>
        <w:spacing w:after="0" w:line="81" w:lineRule="exact"/>
        <w:rPr>
          <w:sz w:val="20"/>
          <w:szCs w:val="20"/>
          <w:color w:val="auto"/>
        </w:rPr>
      </w:pPr>
    </w:p>
    <w:p>
      <w:pPr>
        <w:ind w:left="1080" w:right="380" w:firstLine="383"/>
        <w:spacing w:after="0" w:line="276" w:lineRule="auto"/>
        <w:rPr>
          <w:sz w:val="20"/>
          <w:szCs w:val="20"/>
          <w:color w:val="auto"/>
        </w:rPr>
      </w:pPr>
      <w:r>
        <w:rPr>
          <w:rFonts w:ascii="Arial" w:cs="Arial" w:eastAsia="Arial" w:hAnsi="Arial"/>
          <w:sz w:val="13"/>
          <w:szCs w:val="13"/>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59" w:lineRule="exact"/>
        <w:rPr>
          <w:sz w:val="20"/>
          <w:szCs w:val="20"/>
          <w:color w:val="auto"/>
        </w:rPr>
      </w:pPr>
    </w:p>
    <w:p>
      <w:pPr>
        <w:ind w:left="1080" w:right="300" w:firstLine="389"/>
        <w:spacing w:after="0" w:line="276" w:lineRule="auto"/>
        <w:tabs>
          <w:tab w:leader="none" w:pos="1649" w:val="left"/>
        </w:tabs>
        <w:numPr>
          <w:ilvl w:val="1"/>
          <w:numId w:val="29"/>
        </w:numPr>
        <w:rPr>
          <w:rFonts w:ascii="Arial" w:cs="Arial" w:eastAsia="Arial" w:hAnsi="Arial"/>
          <w:sz w:val="13"/>
          <w:szCs w:val="13"/>
          <w:color w:val="auto"/>
        </w:rPr>
      </w:pPr>
      <w:r>
        <w:rPr>
          <w:rFonts w:ascii="Arial" w:cs="Arial" w:eastAsia="Arial" w:hAnsi="Arial"/>
          <w:sz w:val="13"/>
          <w:szCs w:val="13"/>
          <w:color w:val="auto"/>
        </w:rPr>
        <w:t>Exhibits. The exhibits listed under Item 15(c) hereof are filed with, or incorporated by reference into, this report. Each management contract or compensatory plan or arrangement is identified separately in Item 15(c) hereof.</w:t>
      </w:r>
    </w:p>
    <w:p>
      <w:pPr>
        <w:spacing w:after="0" w:line="59" w:lineRule="exact"/>
        <w:rPr>
          <w:rFonts w:ascii="Arial" w:cs="Arial" w:eastAsia="Arial" w:hAnsi="Arial"/>
          <w:sz w:val="13"/>
          <w:szCs w:val="13"/>
          <w:color w:val="auto"/>
        </w:rPr>
      </w:pPr>
    </w:p>
    <w:p>
      <w:pPr>
        <w:ind w:left="1260" w:hanging="174"/>
        <w:spacing w:after="0"/>
        <w:tabs>
          <w:tab w:leader="none" w:pos="12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Exhibits. The following exhibits are filed as part of, or incorporated by reference into, this report: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9760" w:type="dxa"/>
            <w:vAlign w:val="bottom"/>
            <w:gridSpan w:val="3"/>
          </w:tcPr>
          <w:p>
            <w:pPr>
              <w:ind w:left="360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1700" w:type="dxa"/>
            <w:vAlign w:val="bottom"/>
          </w:tcPr>
          <w:p>
            <w:pPr>
              <w:ind w:left="980"/>
              <w:spacing w:after="0"/>
              <w:rPr>
                <w:sz w:val="20"/>
                <w:szCs w:val="20"/>
                <w:color w:val="auto"/>
              </w:rPr>
            </w:pPr>
            <w:r>
              <w:rPr>
                <w:rFonts w:ascii="Arial" w:cs="Arial" w:eastAsia="Arial" w:hAnsi="Arial"/>
                <w:sz w:val="10"/>
                <w:szCs w:val="10"/>
                <w:b w:val="1"/>
                <w:bCs w:val="1"/>
                <w:color w:val="auto"/>
              </w:rPr>
              <w:t>Exhibit</w:t>
            </w:r>
          </w:p>
        </w:tc>
        <w:tc>
          <w:tcPr>
            <w:tcW w:w="9760" w:type="dxa"/>
            <w:vAlign w:val="bottom"/>
            <w:gridSpan w:val="3"/>
            <w:vMerge w:val="restart"/>
          </w:tcPr>
          <w:p>
            <w:pPr>
              <w:ind w:left="4480"/>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1700" w:type="dxa"/>
            <w:vAlign w:val="bottom"/>
          </w:tcPr>
          <w:p>
            <w:pPr>
              <w:ind w:left="1140"/>
              <w:spacing w:after="0"/>
              <w:rPr>
                <w:sz w:val="20"/>
                <w:szCs w:val="20"/>
                <w:color w:val="auto"/>
              </w:rPr>
            </w:pPr>
            <w:r>
              <w:rPr>
                <w:rFonts w:ascii="Arial" w:cs="Arial" w:eastAsia="Arial" w:hAnsi="Arial"/>
                <w:sz w:val="10"/>
                <w:szCs w:val="10"/>
                <w:b w:val="1"/>
                <w:bCs w:val="1"/>
                <w:color w:val="auto"/>
              </w:rPr>
              <w:t>Number</w:t>
            </w:r>
          </w:p>
        </w:tc>
        <w:tc>
          <w:tcPr>
            <w:tcW w:w="9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00" w:type="dxa"/>
            <w:vAlign w:val="bottom"/>
          </w:tcPr>
          <w:p>
            <w:pPr>
              <w:ind w:left="1140"/>
              <w:spacing w:after="0"/>
              <w:rPr>
                <w:sz w:val="20"/>
                <w:szCs w:val="20"/>
                <w:color w:val="auto"/>
              </w:rPr>
            </w:pPr>
            <w:r>
              <w:rPr>
                <w:rFonts w:ascii="Arial" w:cs="Arial" w:eastAsia="Arial" w:hAnsi="Arial"/>
                <w:sz w:val="13"/>
                <w:szCs w:val="13"/>
                <w:color w:val="auto"/>
              </w:rPr>
              <w:t>3.1(1)</w:t>
            </w:r>
          </w:p>
        </w:tc>
        <w:tc>
          <w:tcPr>
            <w:tcW w:w="4500" w:type="dxa"/>
            <w:vAlign w:val="bottom"/>
          </w:tcPr>
          <w:p>
            <w:pPr>
              <w:ind w:left="100"/>
              <w:spacing w:after="0"/>
              <w:rPr>
                <w:sz w:val="20"/>
                <w:szCs w:val="20"/>
                <w:color w:val="auto"/>
              </w:rPr>
            </w:pPr>
            <w:r>
              <w:rPr>
                <w:rFonts w:ascii="Arial" w:cs="Arial" w:eastAsia="Arial" w:hAnsi="Arial"/>
                <w:sz w:val="13"/>
                <w:szCs w:val="13"/>
                <w:color w:val="auto"/>
              </w:rPr>
              <w:t>Restated Certificate of Incorporation.</w:t>
            </w:r>
          </w:p>
        </w:tc>
        <w:tc>
          <w:tcPr>
            <w:tcW w:w="80" w:type="dxa"/>
            <w:vAlign w:val="bottom"/>
            <w:tcBorders>
              <w:top w:val="single" w:sz="8" w:color="auto"/>
            </w:tcBorders>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3.2(1)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Amended and Restated Bylaws.</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4.1(11)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4.2(4)</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4.3(4)</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Form of 3.75% Senior Convertible Note due 2013.</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4.4(1)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Form of common stock certificate.</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4.5(1)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Registration Rights Agreement, dated October 15, 1998 by and among CTL ImmunoTherapies Corp., Medical Research Group, LLC, McLean Watson Advisory Inc.</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and Alfred E. Mann, as amended.</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10.1(2)</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Promissory Note made by MannKind in favor of Alfred E. Mann dated August 2, 2006.</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10.2(10)</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Allonge #1 to the Promissory Note made by MannKind in favor of Alfred E. Mann dated August 2, 2006.</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10.3(3)</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August 2, 2005 by and among MannKind and the purchasers listed on Exhibit A thereto.</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10.4†(5)</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Supply Agreement, dated December 31, 2004, between MannKind and Vaupell,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10.5†(1)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Supply Agreement, dated January 1, 2000, between Diosynth B.V. and Pharmaceutical Discovery Corporation.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10.6*(1)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10.7*(9)</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Description of Officers’ Incentive Program.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10.8*(6)</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Description of 2006 executive officer salaries.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10.9*(6)</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Description of 2006 non-employee director compensation.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10.10*(1)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Wendell Cheatham.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Hakan Edstrom.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10.12*(1)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David Thomson.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10.13*(1)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Dick Anderson.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10.14*(1)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Dan Burns.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10.15*(1)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Wendell Cheatham.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10.16*(1)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Hakan Edstrom.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10.17*(1)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David Thomson.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10.18*(1)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Dick Anderson.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10.19*(1)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Dan Burns.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10.20*(8)</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2004 Equity Incentive Plan and form of stock option agreement there under.</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10.21*(7)</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Form of Phantom Stock Award Agreement under the 2004 Equity Incentive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10.22*(9)</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2004 Non-Employee Directors’ Stock Option Plan and form of stock option agreement there under.</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10.23*(1)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2004 Employee Stock Purchase Plan and form of offering document there under.</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10.24*(1)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Pharmaceutical Discovery Corporation 1991 Stock Option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10.25*(1)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Pharmaceutical Discovery Corporation 1999 Stock Plan and form of stock option plan there under.</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10.26*(1)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AlleCure Corp. 2000 Stock Option and Stock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10.27*(1)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CTL Immunotherapies Corp. 2000 Stock Option and Stock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10.28*(1)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2001 Stock Awards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23.1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65"/>
        </w:trPr>
        <w:tc>
          <w:tcPr>
            <w:tcW w:w="1700" w:type="dxa"/>
            <w:vAlign w:val="bottom"/>
          </w:tcPr>
          <w:p>
            <w:pPr>
              <w:ind w:left="1080"/>
              <w:spacing w:after="0"/>
              <w:rPr>
                <w:sz w:val="20"/>
                <w:szCs w:val="20"/>
                <w:color w:val="auto"/>
              </w:rPr>
            </w:pPr>
            <w:r>
              <w:rPr>
                <w:rFonts w:ascii="Arial" w:cs="Arial" w:eastAsia="Arial" w:hAnsi="Arial"/>
                <w:sz w:val="13"/>
                <w:szCs w:val="13"/>
                <w:color w:val="auto"/>
              </w:rPr>
              <w:t>31.1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Certification of the Chief Executive Officer pursuant to Rules 13a-14(a) and 15d-14(a) of the Securities Exchange Act of 1934, as amended.</w:t>
            </w:r>
          </w:p>
        </w:tc>
        <w:tc>
          <w:tcPr>
            <w:tcW w:w="0" w:type="dxa"/>
            <w:vAlign w:val="bottom"/>
          </w:tcPr>
          <w:p>
            <w:pPr>
              <w:spacing w:after="0"/>
              <w:rPr>
                <w:sz w:val="1"/>
                <w:szCs w:val="1"/>
                <w:color w:val="auto"/>
              </w:rPr>
            </w:pPr>
          </w:p>
        </w:tc>
      </w:tr>
      <w:tr>
        <w:trPr>
          <w:trHeight w:val="452"/>
        </w:trPr>
        <w:tc>
          <w:tcPr>
            <w:tcW w:w="1700" w:type="dxa"/>
            <w:vAlign w:val="bottom"/>
          </w:tcPr>
          <w:p>
            <w:pPr>
              <w:spacing w:after="0"/>
              <w:rPr>
                <w:sz w:val="24"/>
                <w:szCs w:val="24"/>
                <w:color w:val="auto"/>
              </w:rPr>
            </w:pPr>
          </w:p>
        </w:tc>
        <w:tc>
          <w:tcPr>
            <w:tcW w:w="4500" w:type="dxa"/>
            <w:vAlign w:val="bottom"/>
          </w:tcPr>
          <w:p>
            <w:pPr>
              <w:ind w:left="3920"/>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0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-4227830</wp:posOffset>
            </wp:positionV>
            <wp:extent cx="63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115"/>
        </w:trPr>
        <w:tc>
          <w:tcPr>
            <w:tcW w:w="680" w:type="dxa"/>
            <w:vAlign w:val="bottom"/>
          </w:tcPr>
          <w:p>
            <w:pPr>
              <w:jc w:val="right"/>
              <w:ind w:right="283"/>
              <w:spacing w:after="0"/>
              <w:rPr>
                <w:sz w:val="20"/>
                <w:szCs w:val="20"/>
                <w:color w:val="auto"/>
              </w:rPr>
            </w:pPr>
            <w:r>
              <w:rPr>
                <w:rFonts w:ascii="Arial" w:cs="Arial" w:eastAsia="Arial" w:hAnsi="Arial"/>
                <w:sz w:val="10"/>
                <w:szCs w:val="10"/>
                <w:b w:val="1"/>
                <w:bCs w:val="1"/>
                <w:color w:val="auto"/>
                <w:w w:val="95"/>
              </w:rPr>
              <w:t>Exhibit</w:t>
            </w:r>
          </w:p>
        </w:tc>
        <w:tc>
          <w:tcPr>
            <w:tcW w:w="4520" w:type="dxa"/>
            <w:vAlign w:val="bottom"/>
          </w:tcPr>
          <w:p>
            <w:pPr>
              <w:spacing w:after="0"/>
              <w:rPr>
                <w:sz w:val="10"/>
                <w:szCs w:val="10"/>
                <w:color w:val="auto"/>
              </w:rPr>
            </w:pPr>
          </w:p>
        </w:tc>
        <w:tc>
          <w:tcPr>
            <w:tcW w:w="2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680" w:type="dxa"/>
            <w:vAlign w:val="bottom"/>
          </w:tcPr>
          <w:p>
            <w:pPr>
              <w:jc w:val="right"/>
              <w:ind w:right="83"/>
              <w:spacing w:after="0"/>
              <w:rPr>
                <w:sz w:val="20"/>
                <w:szCs w:val="20"/>
                <w:color w:val="auto"/>
              </w:rPr>
            </w:pPr>
            <w:r>
              <w:rPr>
                <w:rFonts w:ascii="Arial" w:cs="Arial" w:eastAsia="Arial" w:hAnsi="Arial"/>
                <w:sz w:val="10"/>
                <w:szCs w:val="10"/>
                <w:b w:val="1"/>
                <w:bCs w:val="1"/>
                <w:color w:val="auto"/>
              </w:rPr>
              <w:t>Number</w:t>
            </w:r>
          </w:p>
        </w:tc>
        <w:tc>
          <w:tcPr>
            <w:tcW w:w="4520" w:type="dxa"/>
            <w:vAlign w:val="bottom"/>
          </w:tcPr>
          <w:p>
            <w:pPr>
              <w:spacing w:after="0"/>
              <w:rPr>
                <w:sz w:val="11"/>
                <w:szCs w:val="11"/>
                <w:color w:val="auto"/>
              </w:rPr>
            </w:pPr>
          </w:p>
        </w:tc>
        <w:tc>
          <w:tcPr>
            <w:tcW w:w="2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80" w:type="dxa"/>
            <w:vAlign w:val="bottom"/>
          </w:tcPr>
          <w:p>
            <w:pPr>
              <w:jc w:val="right"/>
              <w:ind w:right="303"/>
              <w:spacing w:after="0"/>
              <w:rPr>
                <w:sz w:val="20"/>
                <w:szCs w:val="20"/>
                <w:color w:val="auto"/>
              </w:rPr>
            </w:pPr>
            <w:r>
              <w:rPr>
                <w:rFonts w:ascii="Arial" w:cs="Arial" w:eastAsia="Arial" w:hAnsi="Arial"/>
                <w:sz w:val="13"/>
                <w:szCs w:val="13"/>
                <w:color w:val="auto"/>
              </w:rPr>
              <w:t>31.2</w:t>
            </w:r>
          </w:p>
        </w:tc>
        <w:tc>
          <w:tcPr>
            <w:tcW w:w="7460" w:type="dxa"/>
            <w:vAlign w:val="bottom"/>
            <w:gridSpan w:val="3"/>
          </w:tcPr>
          <w:p>
            <w:pPr>
              <w:ind w:left="140"/>
              <w:spacing w:after="0"/>
              <w:rPr>
                <w:sz w:val="20"/>
                <w:szCs w:val="20"/>
                <w:color w:val="auto"/>
              </w:rPr>
            </w:pPr>
            <w:r>
              <w:rPr>
                <w:rFonts w:ascii="Arial" w:cs="Arial" w:eastAsia="Arial" w:hAnsi="Arial"/>
                <w:sz w:val="13"/>
                <w:szCs w:val="13"/>
                <w:color w:val="auto"/>
                <w:w w:val="91"/>
              </w:rPr>
              <w:t>Certification of the Chief Financial Officer pursuant to Rules 13a-14(a) and 15d-14(a) of the Securities Exchange Act of 1934, as 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-129540</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800" w:hanging="722"/>
        <w:spacing w:after="0" w:line="264" w:lineRule="auto"/>
        <w:tabs>
          <w:tab w:leader="none" w:pos="18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Certifications of the Chief Executive Officer and Chief Financial Officer pursuant to Rules 13a-14(b) and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5"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Indicates management contract or compensatory plan.</w:t>
      </w:r>
    </w:p>
    <w:p>
      <w:pPr>
        <w:spacing w:after="0" w:line="47"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Confidential treatment has been granted with respect to certain portions of this exhibit. Omitted portions have been filed separately with the SEC.</w:t>
      </w:r>
    </w:p>
    <w:p>
      <w:pPr>
        <w:spacing w:after="0" w:line="47" w:lineRule="exact"/>
        <w:rPr>
          <w:sz w:val="20"/>
          <w:szCs w:val="20"/>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registration statement on Form S-1 (File No. 333-115020), filed with the SEC on April 30, 2004, as amended.</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Quarterly Report on Form 10-Q filed with the SEC on August 3,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August 5, 2005.</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December 12,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February 23, 2005.</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February 22,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December 14, 2005.</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May 31,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Annual Report on Form 10-K filed with the SEC on March 16, 2006.</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Quarterly Report on Form 10-Q filed with the SEC on November 2, 2006.</w:t>
      </w:r>
    </w:p>
    <w:p>
      <w:pPr>
        <w:spacing w:after="0" w:line="47" w:lineRule="exact"/>
        <w:rPr>
          <w:rFonts w:ascii="Arial" w:cs="Arial" w:eastAsia="Arial" w:hAnsi="Arial"/>
          <w:sz w:val="13"/>
          <w:szCs w:val="13"/>
          <w:color w:val="auto"/>
        </w:rPr>
      </w:pPr>
    </w:p>
    <w:p>
      <w:pPr>
        <w:ind w:left="1280" w:hanging="305"/>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MannKind’s Registration Statement on Form S-3 (File No. 333-138373) filed with the SEC on November 2, 2006.</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ANNKIND</w:t>
      </w:r>
      <w:r>
        <w:rPr>
          <w:rFonts w:ascii="Arial" w:cs="Arial" w:eastAsia="Arial" w:hAnsi="Arial"/>
          <w:sz w:val="13"/>
          <w:szCs w:val="13"/>
          <w:color w:val="auto"/>
        </w:rPr>
        <w:t xml:space="preserve"> C</w:t>
      </w:r>
      <w:r>
        <w:rPr>
          <w:rFonts w:ascii="Arial" w:cs="Arial" w:eastAsia="Arial" w:hAnsi="Arial"/>
          <w:sz w:val="8"/>
          <w:szCs w:val="8"/>
          <w:color w:val="auto"/>
        </w:rPr>
        <w:t>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15, 2007</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840" w:firstLine="399"/>
        <w:spacing w:after="0" w:line="282" w:lineRule="auto"/>
        <w:rPr>
          <w:sz w:val="20"/>
          <w:szCs w:val="20"/>
          <w:color w:val="auto"/>
        </w:rPr>
      </w:pPr>
      <w:r>
        <w:rPr>
          <w:rFonts w:ascii="Arial" w:cs="Arial" w:eastAsia="Arial" w:hAnsi="Arial"/>
          <w:sz w:val="12"/>
          <w:szCs w:val="12"/>
          <w:color w:val="auto"/>
        </w:rPr>
        <w:t>KNOW ALL BY THESE PRESENTS, that each person whose signature appears below constitutes and appoints Hakan S. Edstrom, Richard L. Anderson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59"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320" w:type="dxa"/>
            <w:vAlign w:val="bottom"/>
          </w:tcPr>
          <w:p>
            <w:pPr>
              <w:jc w:val="right"/>
              <w:ind w:right="1836"/>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340" w:type="dxa"/>
            <w:vAlign w:val="bottom"/>
          </w:tcPr>
          <w:p>
            <w:pPr>
              <w:ind w:left="84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Alfred E. Mann</w:t>
            </w:r>
          </w:p>
        </w:tc>
        <w:tc>
          <w:tcPr>
            <w:tcW w:w="4320" w:type="dxa"/>
            <w:vAlign w:val="bottom"/>
          </w:tcPr>
          <w:p>
            <w:pPr>
              <w:jc w:val="center"/>
              <w:ind w:left="56"/>
              <w:spacing w:after="0"/>
              <w:rPr>
                <w:sz w:val="20"/>
                <w:szCs w:val="20"/>
                <w:color w:val="auto"/>
              </w:rPr>
            </w:pPr>
            <w:r>
              <w:rPr>
                <w:rFonts w:ascii="Arial" w:cs="Arial" w:eastAsia="Arial" w:hAnsi="Arial"/>
                <w:sz w:val="13"/>
                <w:szCs w:val="13"/>
                <w:color w:val="auto"/>
                <w:w w:val="93"/>
              </w:rPr>
              <w:t>Chief Executive Officer and chairman of the Board of Directors</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15, 2007</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Alfred E. Mann</w:t>
            </w:r>
          </w:p>
        </w:tc>
        <w:tc>
          <w:tcPr>
            <w:tcW w:w="4320" w:type="dxa"/>
            <w:vAlign w:val="bottom"/>
          </w:tcPr>
          <w:p>
            <w:pPr>
              <w:jc w:val="center"/>
              <w:ind w:left="76"/>
              <w:spacing w:after="0" w:line="145" w:lineRule="exact"/>
              <w:rPr>
                <w:sz w:val="20"/>
                <w:szCs w:val="20"/>
                <w:color w:val="auto"/>
              </w:rPr>
            </w:pPr>
            <w:r>
              <w:rPr>
                <w:rFonts w:ascii="Arial" w:cs="Arial" w:eastAsia="Arial" w:hAnsi="Arial"/>
                <w:sz w:val="13"/>
                <w:szCs w:val="13"/>
                <w:i w:val="1"/>
                <w:iCs w:val="1"/>
                <w:color w:val="auto"/>
                <w:w w:val="95"/>
              </w:rPr>
              <w:t>(Principal Executive Officer)</w:t>
            </w: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Hakan S. Edstrom</w:t>
            </w:r>
          </w:p>
        </w:tc>
        <w:tc>
          <w:tcPr>
            <w:tcW w:w="4320" w:type="dxa"/>
            <w:vAlign w:val="bottom"/>
          </w:tcPr>
          <w:p>
            <w:pPr>
              <w:jc w:val="center"/>
              <w:ind w:left="76"/>
              <w:spacing w:after="0"/>
              <w:rPr>
                <w:sz w:val="20"/>
                <w:szCs w:val="20"/>
                <w:color w:val="auto"/>
              </w:rPr>
            </w:pPr>
            <w:r>
              <w:rPr>
                <w:rFonts w:ascii="Arial" w:cs="Arial" w:eastAsia="Arial" w:hAnsi="Arial"/>
                <w:sz w:val="13"/>
                <w:szCs w:val="13"/>
                <w:color w:val="auto"/>
                <w:w w:val="92"/>
              </w:rPr>
              <w:t>President, Chief Operating Officer and 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15,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Hakan S. Edstrom</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Richard L. Anderson</w:t>
            </w:r>
          </w:p>
        </w:tc>
        <w:tc>
          <w:tcPr>
            <w:tcW w:w="4320" w:type="dxa"/>
            <w:vAlign w:val="bottom"/>
          </w:tcPr>
          <w:p>
            <w:pPr>
              <w:jc w:val="center"/>
              <w:ind w:left="76"/>
              <w:spacing w:after="0"/>
              <w:rPr>
                <w:sz w:val="20"/>
                <w:szCs w:val="20"/>
                <w:color w:val="auto"/>
              </w:rPr>
            </w:pPr>
            <w:r>
              <w:rPr>
                <w:rFonts w:ascii="Arial" w:cs="Arial" w:eastAsia="Arial" w:hAnsi="Arial"/>
                <w:sz w:val="13"/>
                <w:szCs w:val="13"/>
                <w:color w:val="auto"/>
                <w:w w:val="92"/>
              </w:rPr>
              <w:t>Corporate Vice President and Chief Financial Officer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15, 2007</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Richard L. Anderson</w:t>
            </w:r>
          </w:p>
        </w:tc>
        <w:tc>
          <w:tcPr>
            <w:tcW w:w="4320" w:type="dxa"/>
            <w:vAlign w:val="bottom"/>
          </w:tcPr>
          <w:p>
            <w:pPr>
              <w:jc w:val="center"/>
              <w:ind w:left="76"/>
              <w:spacing w:after="0" w:line="145" w:lineRule="exact"/>
              <w:rPr>
                <w:sz w:val="20"/>
                <w:szCs w:val="20"/>
                <w:color w:val="auto"/>
              </w:rPr>
            </w:pPr>
            <w:r>
              <w:rPr>
                <w:rFonts w:ascii="Arial" w:cs="Arial" w:eastAsia="Arial" w:hAnsi="Arial"/>
                <w:sz w:val="13"/>
                <w:szCs w:val="13"/>
                <w:i w:val="1"/>
                <w:iCs w:val="1"/>
                <w:color w:val="auto"/>
                <w:w w:val="95"/>
              </w:rPr>
              <w:t>(Principal Financial and Accounting Officer)</w:t>
            </w: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Kathleen Connell, Ph.D.</w:t>
            </w:r>
          </w:p>
        </w:tc>
        <w:tc>
          <w:tcPr>
            <w:tcW w:w="43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15,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Kathleen Connell, Ph.D.</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Ronald J. Consiglio</w:t>
            </w:r>
          </w:p>
        </w:tc>
        <w:tc>
          <w:tcPr>
            <w:tcW w:w="43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15,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Ronald J. Consiglio</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Friedman, M.D.</w:t>
            </w:r>
          </w:p>
        </w:tc>
        <w:tc>
          <w:tcPr>
            <w:tcW w:w="43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15,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Michael Friedman, M.D.</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320" w:type="dxa"/>
            <w:vAlign w:val="bottom"/>
          </w:tcPr>
          <w:p>
            <w:pPr>
              <w:jc w:val="right"/>
              <w:ind w:right="3316"/>
              <w:spacing w:after="0"/>
              <w:rPr>
                <w:sz w:val="20"/>
                <w:szCs w:val="20"/>
                <w:color w:val="auto"/>
              </w:rPr>
            </w:pPr>
            <w:r>
              <w:rPr>
                <w:rFonts w:ascii="Arial" w:cs="Arial" w:eastAsia="Arial" w:hAnsi="Arial"/>
                <w:sz w:val="13"/>
                <w:szCs w:val="13"/>
                <w:color w:val="auto"/>
              </w:rPr>
              <w:t>66</w:t>
            </w:r>
          </w:p>
        </w:tc>
        <w:tc>
          <w:tcPr>
            <w:tcW w:w="23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2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-2237105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3600" w:type="dxa"/>
            <w:vAlign w:val="bottom"/>
          </w:tcPr>
          <w:p>
            <w:pPr>
              <w:ind w:left="22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1540" w:type="dxa"/>
            <w:vAlign w:val="bottom"/>
          </w:tcPr>
          <w:p>
            <w:pPr>
              <w:spacing w:after="0"/>
              <w:rPr>
                <w:sz w:val="11"/>
                <w:szCs w:val="11"/>
                <w:color w:val="auto"/>
              </w:rPr>
            </w:pPr>
          </w:p>
        </w:tc>
        <w:tc>
          <w:tcPr>
            <w:tcW w:w="1520" w:type="dxa"/>
            <w:vAlign w:val="bottom"/>
          </w:tcPr>
          <w:p>
            <w:pPr>
              <w:jc w:val="right"/>
              <w:ind w:right="1238"/>
              <w:spacing w:after="0"/>
              <w:rPr>
                <w:sz w:val="20"/>
                <w:szCs w:val="20"/>
                <w:color w:val="auto"/>
              </w:rPr>
            </w:pPr>
            <w:r>
              <w:rPr>
                <w:rFonts w:ascii="Arial" w:cs="Arial" w:eastAsia="Arial" w:hAnsi="Arial"/>
                <w:sz w:val="10"/>
                <w:szCs w:val="10"/>
                <w:b w:val="1"/>
                <w:bCs w:val="1"/>
                <w:color w:val="auto"/>
                <w:w w:val="92"/>
              </w:rPr>
              <w:t>Date</w:t>
            </w:r>
          </w:p>
        </w:tc>
      </w:tr>
      <w:tr>
        <w:trPr>
          <w:trHeight w:val="328"/>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1180"/>
              <w:spacing w:after="0"/>
              <w:rPr>
                <w:sz w:val="20"/>
                <w:szCs w:val="20"/>
                <w:color w:val="auto"/>
              </w:rPr>
            </w:pPr>
            <w:r>
              <w:rPr>
                <w:rFonts w:ascii="Arial" w:cs="Arial" w:eastAsia="Arial" w:hAnsi="Arial"/>
                <w:sz w:val="13"/>
                <w:szCs w:val="13"/>
                <w:color w:val="auto"/>
                <w:w w:val="94"/>
              </w:rPr>
              <w:t>March</w:t>
            </w:r>
          </w:p>
        </w:tc>
        <w:tc>
          <w:tcPr>
            <w:tcW w:w="1520" w:type="dxa"/>
            <w:vAlign w:val="bottom"/>
          </w:tcPr>
          <w:p>
            <w:pPr>
              <w:jc w:val="right"/>
              <w:ind w:right="1038"/>
              <w:spacing w:after="0"/>
              <w:rPr>
                <w:sz w:val="20"/>
                <w:szCs w:val="20"/>
                <w:color w:val="auto"/>
              </w:rPr>
            </w:pPr>
            <w:r>
              <w:rPr>
                <w:rFonts w:ascii="Arial" w:cs="Arial" w:eastAsia="Arial" w:hAnsi="Arial"/>
                <w:sz w:val="13"/>
                <w:szCs w:val="13"/>
                <w:color w:val="auto"/>
              </w:rPr>
              <w:t>, 2007</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Llew Keltner M.D., Ph.D.</w:t>
            </w:r>
          </w:p>
        </w:tc>
        <w:tc>
          <w:tcPr>
            <w:tcW w:w="3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1180"/>
              <w:spacing w:after="0"/>
              <w:rPr>
                <w:sz w:val="20"/>
                <w:szCs w:val="20"/>
                <w:color w:val="auto"/>
              </w:rPr>
            </w:pPr>
            <w:r>
              <w:rPr>
                <w:rFonts w:ascii="Arial" w:cs="Arial" w:eastAsia="Arial" w:hAnsi="Arial"/>
                <w:sz w:val="13"/>
                <w:szCs w:val="13"/>
                <w:color w:val="auto"/>
                <w:w w:val="94"/>
              </w:rPr>
              <w:t>March</w:t>
            </w:r>
          </w:p>
        </w:tc>
        <w:tc>
          <w:tcPr>
            <w:tcW w:w="1520" w:type="dxa"/>
            <w:vAlign w:val="bottom"/>
          </w:tcPr>
          <w:p>
            <w:pPr>
              <w:jc w:val="right"/>
              <w:ind w:right="1038"/>
              <w:spacing w:after="0"/>
              <w:rPr>
                <w:sz w:val="20"/>
                <w:szCs w:val="20"/>
                <w:color w:val="auto"/>
              </w:rPr>
            </w:pPr>
            <w:r>
              <w:rPr>
                <w:rFonts w:ascii="Arial" w:cs="Arial" w:eastAsia="Arial" w:hAnsi="Arial"/>
                <w:sz w:val="13"/>
                <w:szCs w:val="13"/>
                <w:color w:val="auto"/>
              </w:rPr>
              <w:t>, 2007</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Kent Kresa</w:t>
            </w:r>
          </w:p>
        </w:tc>
        <w:tc>
          <w:tcPr>
            <w:tcW w:w="3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H. MacCallum</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gridSpan w:val="2"/>
          </w:tcPr>
          <w:p>
            <w:pPr>
              <w:jc w:val="right"/>
              <w:ind w:right="1018"/>
              <w:spacing w:after="0"/>
              <w:rPr>
                <w:sz w:val="20"/>
                <w:szCs w:val="20"/>
                <w:color w:val="auto"/>
              </w:rPr>
            </w:pPr>
            <w:r>
              <w:rPr>
                <w:rFonts w:ascii="Arial" w:cs="Arial" w:eastAsia="Arial" w:hAnsi="Arial"/>
                <w:sz w:val="13"/>
                <w:szCs w:val="13"/>
                <w:color w:val="auto"/>
              </w:rPr>
              <w:t>March 15, 2007</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David H. MacCallum</w:t>
            </w:r>
          </w:p>
        </w:tc>
        <w:tc>
          <w:tcPr>
            <w:tcW w:w="3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1180"/>
              <w:spacing w:after="0"/>
              <w:rPr>
                <w:sz w:val="20"/>
                <w:szCs w:val="20"/>
                <w:color w:val="auto"/>
              </w:rPr>
            </w:pPr>
            <w:r>
              <w:rPr>
                <w:rFonts w:ascii="Arial" w:cs="Arial" w:eastAsia="Arial" w:hAnsi="Arial"/>
                <w:sz w:val="13"/>
                <w:szCs w:val="13"/>
                <w:color w:val="auto"/>
                <w:w w:val="94"/>
              </w:rPr>
              <w:t>March</w:t>
            </w:r>
          </w:p>
        </w:tc>
        <w:tc>
          <w:tcPr>
            <w:tcW w:w="1520" w:type="dxa"/>
            <w:vAlign w:val="bottom"/>
          </w:tcPr>
          <w:p>
            <w:pPr>
              <w:jc w:val="right"/>
              <w:ind w:right="1038"/>
              <w:spacing w:after="0"/>
              <w:rPr>
                <w:sz w:val="20"/>
                <w:szCs w:val="20"/>
                <w:color w:val="auto"/>
              </w:rPr>
            </w:pPr>
            <w:r>
              <w:rPr>
                <w:rFonts w:ascii="Arial" w:cs="Arial" w:eastAsia="Arial" w:hAnsi="Arial"/>
                <w:sz w:val="13"/>
                <w:szCs w:val="13"/>
                <w:color w:val="auto"/>
              </w:rPr>
              <w:t>, 2007</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Henry L. Nordhoff</w:t>
            </w:r>
          </w:p>
        </w:tc>
        <w:tc>
          <w:tcPr>
            <w:tcW w:w="3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0" w:type="dxa"/>
            <w:vAlign w:val="bottom"/>
          </w:tcPr>
          <w:p>
            <w:pPr>
              <w:ind w:left="820"/>
              <w:spacing w:after="0"/>
              <w:rPr>
                <w:sz w:val="20"/>
                <w:szCs w:val="20"/>
                <w:color w:val="auto"/>
              </w:rPr>
            </w:pPr>
            <w:r>
              <w:rPr>
                <w:rFonts w:ascii="Arial" w:cs="Arial" w:eastAsia="Arial" w:hAnsi="Arial"/>
                <w:sz w:val="13"/>
                <w:szCs w:val="13"/>
                <w:color w:val="auto"/>
              </w:rPr>
              <w:t>67</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-1631950</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49"/>
        </w:trPr>
        <w:tc>
          <w:tcPr>
            <w:tcW w:w="3960" w:type="dxa"/>
            <w:vAlign w:val="bottom"/>
            <w:gridSpan w:val="2"/>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7500" w:type="dxa"/>
            <w:vAlign w:val="bottom"/>
          </w:tcPr>
          <w:p>
            <w:pPr>
              <w:spacing w:after="0"/>
              <w:rPr>
                <w:sz w:val="13"/>
                <w:szCs w:val="13"/>
                <w:color w:val="auto"/>
              </w:rPr>
            </w:pPr>
          </w:p>
        </w:tc>
      </w:tr>
      <w:tr>
        <w:trPr>
          <w:trHeight w:val="370"/>
        </w:trPr>
        <w:tc>
          <w:tcPr>
            <w:tcW w:w="9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b w:val="1"/>
                <w:bCs w:val="1"/>
                <w:color w:val="auto"/>
              </w:rPr>
              <w:t>MANNKIND CORPORATION AND SUBSIDIARIES</w:t>
            </w:r>
          </w:p>
        </w:tc>
      </w:tr>
      <w:tr>
        <w:trPr>
          <w:trHeight w:val="169"/>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500" w:type="dxa"/>
            <w:vAlign w:val="bottom"/>
          </w:tcPr>
          <w:p>
            <w:pPr>
              <w:jc w:val="center"/>
              <w:ind w:right="4014"/>
              <w:spacing w:after="0"/>
              <w:rPr>
                <w:sz w:val="20"/>
                <w:szCs w:val="20"/>
                <w:color w:val="auto"/>
              </w:rPr>
            </w:pPr>
            <w:r>
              <w:rPr>
                <w:rFonts w:ascii="Arial" w:cs="Arial" w:eastAsia="Arial" w:hAnsi="Arial"/>
                <w:sz w:val="13"/>
                <w:szCs w:val="13"/>
                <w:b w:val="1"/>
                <w:bCs w:val="1"/>
                <w:color w:val="auto"/>
                <w:w w:val="90"/>
              </w:rPr>
              <w:t>(A Development Stage Company)</w:t>
            </w:r>
          </w:p>
        </w:tc>
      </w:tr>
      <w:tr>
        <w:trPr>
          <w:trHeight w:val="246"/>
        </w:trPr>
        <w:tc>
          <w:tcPr>
            <w:tcW w:w="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b w:val="1"/>
                <w:bCs w:val="1"/>
                <w:color w:val="auto"/>
              </w:rPr>
              <w:t>INDEX TO FINANCIAL STATEMENTS</w:t>
            </w:r>
          </w:p>
        </w:tc>
      </w:tr>
      <w:tr>
        <w:trPr>
          <w:trHeight w:val="327"/>
        </w:trPr>
        <w:tc>
          <w:tcPr>
            <w:tcW w:w="3960" w:type="dxa"/>
            <w:vAlign w:val="bottom"/>
            <w:gridSpan w:val="2"/>
          </w:tcPr>
          <w:p>
            <w:pPr>
              <w:ind w:left="680"/>
              <w:spacing w:after="0"/>
              <w:rPr>
                <w:sz w:val="20"/>
                <w:szCs w:val="20"/>
                <w:color w:val="auto"/>
              </w:rPr>
            </w:pPr>
            <w:r>
              <w:rPr>
                <w:rFonts w:ascii="Arial" w:cs="Arial" w:eastAsia="Arial" w:hAnsi="Arial"/>
                <w:sz w:val="13"/>
                <w:szCs w:val="13"/>
                <w:color w:val="auto"/>
                <w:w w:val="98"/>
              </w:rPr>
              <w:t>Report of Independent Registered Public Accounting Firm</w:t>
            </w: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69</w:t>
            </w:r>
          </w:p>
        </w:tc>
      </w:tr>
      <w:tr>
        <w:trPr>
          <w:trHeight w:val="157"/>
        </w:trPr>
        <w:tc>
          <w:tcPr>
            <w:tcW w:w="3960" w:type="dxa"/>
            <w:vAlign w:val="bottom"/>
            <w:gridSpan w:val="2"/>
          </w:tcPr>
          <w:p>
            <w:pPr>
              <w:ind w:left="680"/>
              <w:spacing w:after="0"/>
              <w:rPr>
                <w:sz w:val="20"/>
                <w:szCs w:val="20"/>
                <w:color w:val="auto"/>
              </w:rPr>
            </w:pPr>
            <w:r>
              <w:rPr>
                <w:rFonts w:ascii="Arial" w:cs="Arial" w:eastAsia="Arial" w:hAnsi="Arial"/>
                <w:sz w:val="13"/>
                <w:szCs w:val="13"/>
                <w:color w:val="auto"/>
              </w:rPr>
              <w:t>Consolidated Balance Sheets</w:t>
            </w: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70</w:t>
            </w:r>
          </w:p>
        </w:tc>
      </w:tr>
      <w:tr>
        <w:trPr>
          <w:trHeight w:val="157"/>
        </w:trPr>
        <w:tc>
          <w:tcPr>
            <w:tcW w:w="3960" w:type="dxa"/>
            <w:vAlign w:val="bottom"/>
            <w:gridSpan w:val="2"/>
          </w:tcPr>
          <w:p>
            <w:pPr>
              <w:ind w:left="680"/>
              <w:spacing w:after="0"/>
              <w:rPr>
                <w:sz w:val="20"/>
                <w:szCs w:val="20"/>
                <w:color w:val="auto"/>
              </w:rPr>
            </w:pPr>
            <w:r>
              <w:rPr>
                <w:rFonts w:ascii="Arial" w:cs="Arial" w:eastAsia="Arial" w:hAnsi="Arial"/>
                <w:sz w:val="13"/>
                <w:szCs w:val="13"/>
                <w:color w:val="auto"/>
              </w:rPr>
              <w:t>Statements of Operations</w:t>
            </w: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71</w:t>
            </w:r>
          </w:p>
        </w:tc>
      </w:tr>
      <w:tr>
        <w:trPr>
          <w:trHeight w:val="157"/>
        </w:trPr>
        <w:tc>
          <w:tcPr>
            <w:tcW w:w="3960" w:type="dxa"/>
            <w:vAlign w:val="bottom"/>
            <w:gridSpan w:val="2"/>
          </w:tcPr>
          <w:p>
            <w:pPr>
              <w:ind w:left="680"/>
              <w:spacing w:after="0"/>
              <w:rPr>
                <w:sz w:val="20"/>
                <w:szCs w:val="20"/>
                <w:color w:val="auto"/>
              </w:rPr>
            </w:pPr>
            <w:r>
              <w:rPr>
                <w:rFonts w:ascii="Arial" w:cs="Arial" w:eastAsia="Arial" w:hAnsi="Arial"/>
                <w:sz w:val="13"/>
                <w:szCs w:val="13"/>
                <w:color w:val="auto"/>
              </w:rPr>
              <w:t>Statements of Stockholders’ Equity (Deficit)</w:t>
            </w: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72</w:t>
            </w:r>
          </w:p>
        </w:tc>
      </w:tr>
      <w:tr>
        <w:trPr>
          <w:trHeight w:val="157"/>
        </w:trPr>
        <w:tc>
          <w:tcPr>
            <w:tcW w:w="3960" w:type="dxa"/>
            <w:vAlign w:val="bottom"/>
            <w:gridSpan w:val="2"/>
          </w:tcPr>
          <w:p>
            <w:pPr>
              <w:ind w:left="680"/>
              <w:spacing w:after="0"/>
              <w:rPr>
                <w:sz w:val="20"/>
                <w:szCs w:val="20"/>
                <w:color w:val="auto"/>
              </w:rPr>
            </w:pPr>
            <w:r>
              <w:rPr>
                <w:rFonts w:ascii="Arial" w:cs="Arial" w:eastAsia="Arial" w:hAnsi="Arial"/>
                <w:sz w:val="13"/>
                <w:szCs w:val="13"/>
                <w:color w:val="auto"/>
              </w:rPr>
              <w:t>Statements of Cash Flows</w:t>
            </w: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76</w:t>
            </w:r>
          </w:p>
        </w:tc>
      </w:tr>
      <w:tr>
        <w:trPr>
          <w:trHeight w:val="165"/>
        </w:trPr>
        <w:tc>
          <w:tcPr>
            <w:tcW w:w="3960" w:type="dxa"/>
            <w:vAlign w:val="bottom"/>
            <w:gridSpan w:val="2"/>
          </w:tcPr>
          <w:p>
            <w:pPr>
              <w:ind w:left="680"/>
              <w:spacing w:after="0"/>
              <w:rPr>
                <w:sz w:val="20"/>
                <w:szCs w:val="20"/>
                <w:color w:val="auto"/>
              </w:rPr>
            </w:pPr>
            <w:r>
              <w:rPr>
                <w:rFonts w:ascii="Arial" w:cs="Arial" w:eastAsia="Arial" w:hAnsi="Arial"/>
                <w:sz w:val="13"/>
                <w:szCs w:val="13"/>
                <w:color w:val="auto"/>
              </w:rPr>
              <w:t>Notes to Financial Statements</w:t>
            </w: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78</w:t>
            </w:r>
          </w:p>
        </w:tc>
      </w:tr>
      <w:tr>
        <w:trPr>
          <w:trHeight w:val="452"/>
        </w:trPr>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color w:val="auto"/>
                <w:w w:val="82"/>
              </w:rPr>
              <w:t>68</w:t>
            </w:r>
          </w:p>
        </w:tc>
      </w:tr>
      <w:tr>
        <w:trPr>
          <w:trHeight w:val="163"/>
        </w:trPr>
        <w:tc>
          <w:tcPr>
            <w:tcW w:w="9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7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MannKind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Valencia, California</w:t>
      </w:r>
    </w:p>
    <w:p>
      <w:pPr>
        <w:spacing w:after="0" w:line="8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MannKind Corporation and subsidiaries (a development stage company) (the “Company”) as of December 31, 2005 and 2006 and the related statements of operations, stockholders’ equity (deficit) and cash flows for each of the three years in the period ended December 31, 2006 and for the period from February 14, 1991 (date of inception) to December 31, 2006. These financial statements are the responsibility of the Company’s management. Our responsibility is to express an opinion on these financial statements based on our audits.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our opinion, such financial statements present fairly, in all material respects, the financial position of MannKind Corporation and subsidiaries as of December 31, 2005 and 2006 and the results of their operations and their cash flows for each of the three years in the period ended December 31, 2006 and for the period from February 14, 1991 (date of inception) to December 31, 2006 in conformity with accounting principles generally accepted in the United States of America.</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Note 2 to the consolidated financial statements, the Company changed the manner in which it accounts for share-based compensation in 2006.</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effectiveness of the Company’s internal control over financial reporting as of December 31, 2006, based on the criteria established in Internal Control — Integrated Framework issued by the Committee of Sponsoring Organizations of the Treadway Commission and our report dated March 15,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15, 2007</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19"/>
        </w:trPr>
        <w:tc>
          <w:tcPr>
            <w:tcW w:w="8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0"/>
                <w:szCs w:val="10"/>
                <w:b w:val="1"/>
                <w:bCs w:val="1"/>
                <w:color w:val="auto"/>
                <w:w w:val="92"/>
              </w:rPr>
              <w:t>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3"/>
          </w:tcPr>
          <w:p>
            <w:pPr>
              <w:jc w:val="center"/>
              <w:ind w:left="317"/>
              <w:spacing w:after="0" w:line="81" w:lineRule="exact"/>
              <w:rPr>
                <w:sz w:val="20"/>
                <w:szCs w:val="20"/>
                <w:color w:val="auto"/>
              </w:rPr>
            </w:pPr>
            <w:r>
              <w:rPr>
                <w:rFonts w:ascii="Arial" w:cs="Arial" w:eastAsia="Arial" w:hAnsi="Arial"/>
                <w:sz w:val="9"/>
                <w:szCs w:val="9"/>
                <w:b w:val="1"/>
                <w:bCs w:val="1"/>
                <w:color w:val="auto"/>
              </w:rPr>
              <w:t>(In thousands,</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jc w:val="center"/>
              <w:ind w:left="317"/>
              <w:spacing w:after="0"/>
              <w:rPr>
                <w:sz w:val="20"/>
                <w:szCs w:val="20"/>
                <w:color w:val="auto"/>
              </w:rPr>
            </w:pPr>
            <w:r>
              <w:rPr>
                <w:rFonts w:ascii="Arial" w:cs="Arial" w:eastAsia="Arial" w:hAnsi="Arial"/>
                <w:sz w:val="10"/>
                <w:szCs w:val="10"/>
                <w:b w:val="1"/>
                <w:bCs w:val="1"/>
                <w:color w:val="auto"/>
                <w:w w:val="91"/>
              </w:rPr>
              <w:t>except share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56,037</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319,555</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89,597</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116,924</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research and development credit exchange receivable — current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2,418</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3,044</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10,650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149,872</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449,547</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Property and equipment — net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76,183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88,328</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State research and development credit exchange receivable — net of current portion</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285</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228,371</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539,737</w:t>
            </w:r>
          </w:p>
        </w:tc>
        <w:tc>
          <w:tcPr>
            <w:tcW w:w="0" w:type="dxa"/>
            <w:vAlign w:val="bottom"/>
          </w:tcPr>
          <w:p>
            <w:pPr>
              <w:spacing w:after="0"/>
              <w:rPr>
                <w:sz w:val="1"/>
                <w:szCs w:val="1"/>
                <w:color w:val="auto"/>
              </w:rPr>
            </w:pPr>
          </w:p>
        </w:tc>
      </w:tr>
      <w:tr>
        <w:trPr>
          <w:trHeight w:val="284"/>
        </w:trPr>
        <w:tc>
          <w:tcPr>
            <w:tcW w:w="80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3,547</w:t>
            </w:r>
          </w:p>
        </w:tc>
        <w:tc>
          <w:tcPr>
            <w:tcW w:w="38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10,715</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17,818</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34,244</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Deferred compensation</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21,365</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44,959</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Senior convertible notes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111,267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21,394</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156,250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w w:val="94"/>
              </w:rPr>
              <w:t>Undesignated preferred stock, $0.01 par value — 10,000,000 shares authorized; no shares issued or outstanding at December 31, 2005 and 2006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3"/>
              </w:rPr>
              <w:t>Common stock, $0.01 par value — 90,000,000 shares authorized; 50,314,108 and 73,360,154 shares issued and outstanding at December 31, 2005</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and 2006, respectively</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503</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763,775</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1,170,602</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Deficit accumulated during the development stage</w:t>
            </w:r>
          </w:p>
        </w:tc>
        <w:tc>
          <w:tcPr>
            <w:tcW w:w="14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(557,301)</w:t>
            </w:r>
          </w:p>
        </w:tc>
        <w:tc>
          <w:tcPr>
            <w:tcW w:w="2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(787,849)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206,977</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383,487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228,371</w:t>
            </w:r>
          </w:p>
        </w:tc>
        <w:tc>
          <w:tcPr>
            <w:tcW w:w="38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539,737</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See notes to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STATEMENTS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vMerge w:val="restart"/>
          </w:tcPr>
          <w:p>
            <w:pPr>
              <w:jc w:val="right"/>
              <w:ind w:right="120"/>
              <w:spacing w:after="0"/>
              <w:rPr>
                <w:sz w:val="20"/>
                <w:szCs w:val="20"/>
                <w:color w:val="auto"/>
              </w:rPr>
            </w:pPr>
            <w:r>
              <w:rPr>
                <w:rFonts w:ascii="Arial" w:cs="Arial" w:eastAsia="Arial" w:hAnsi="Arial"/>
                <w:sz w:val="10"/>
                <w:szCs w:val="10"/>
                <w:b w:val="1"/>
                <w:bCs w:val="1"/>
                <w:color w:val="auto"/>
                <w:w w:val="99"/>
              </w:rPr>
              <w:t>Year Ended December 31,</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8"/>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95"/>
              </w:rPr>
              <w:t>(In thousands, except per share data)</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59,406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95,347</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191,796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490,196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17,743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22,775</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42,001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139,976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 costs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tcPr>
          <w:p>
            <w:pPr>
              <w:ind w:left="140"/>
              <w:spacing w:after="0"/>
              <w:rPr>
                <w:sz w:val="20"/>
                <w:szCs w:val="20"/>
                <w:color w:val="auto"/>
              </w:rPr>
            </w:pPr>
            <w:r>
              <w:rPr>
                <w:rFonts w:ascii="Arial" w:cs="Arial" w:eastAsia="Arial" w:hAnsi="Arial"/>
                <w:sz w:val="13"/>
                <w:szCs w:val="13"/>
                <w:color w:val="auto"/>
              </w:rPr>
              <w:t>Goodwill impairment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77,149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233,797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801,326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(77,149)</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(118,122)</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(233,697)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(798,368)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Interest expense on note payable to principal stockholder</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(1,511)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on senior convertible notes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3,707</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4,679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13,957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for income taxes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(75,991)</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(114,337)</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(230,543)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(787,828)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Income taxes</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(75,992)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(114,338)</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(230,548)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(787,849)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Deemed dividend related to beneficial conversion feature of convertible preferred stock</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(19,822)</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(22,260)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Accretion on redeemable preferred stock</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vMerge w:val="restart"/>
          </w:tcPr>
          <w:p>
            <w:pPr>
              <w:spacing w:after="0"/>
              <w:rPr>
                <w:sz w:val="20"/>
                <w:szCs w:val="20"/>
                <w:color w:val="auto"/>
              </w:rPr>
            </w:pPr>
            <w:r>
              <w:rPr>
                <w:rFonts w:ascii="Arial" w:cs="Arial" w:eastAsia="Arial" w:hAnsi="Arial"/>
                <w:sz w:val="13"/>
                <w:szCs w:val="13"/>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8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(95,874)</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(114,338)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(230,548)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(811,061)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Shares used to compute basic and diluted net loss per share applicable to common stockholders</w:t>
            </w:r>
          </w:p>
        </w:tc>
        <w:tc>
          <w:tcPr>
            <w:tcW w:w="1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39,871</w:t>
            </w:r>
          </w:p>
        </w:tc>
        <w:tc>
          <w:tcPr>
            <w:tcW w:w="3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50,970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5940" w:type="dxa"/>
            <w:vAlign w:val="bottom"/>
            <w:gridSpan w:val="2"/>
          </w:tcPr>
          <w:p>
            <w:pPr>
              <w:jc w:val="right"/>
              <w:ind w:right="14"/>
              <w:spacing w:after="0"/>
              <w:rPr>
                <w:sz w:val="20"/>
                <w:szCs w:val="20"/>
                <w:color w:val="auto"/>
              </w:rPr>
            </w:pPr>
            <w:r>
              <w:rPr>
                <w:rFonts w:ascii="Arial" w:cs="Arial" w:eastAsia="Arial" w:hAnsi="Arial"/>
                <w:sz w:val="13"/>
                <w:szCs w:val="13"/>
                <w:color w:val="auto"/>
              </w:rPr>
              <w:t>See notes to financial statements.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5800" w:type="dxa"/>
            <w:vAlign w:val="bottom"/>
          </w:tcPr>
          <w:p>
            <w:pPr>
              <w:ind w:left="4940"/>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STATEMENTS OF STOCKHOLDERS’ EQUITY (DEFICIT)</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7"/>
              </w:rPr>
              <w:t>Series C</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7"/>
              </w:rPr>
              <w:t>Series C</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0"/>
              </w:rPr>
              <w:t>Convertible</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9"/>
              </w:rPr>
              <w:t>Deficit</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3"/>
          </w:tcPr>
          <w:p>
            <w:pPr>
              <w:jc w:val="center"/>
              <w:ind w:right="400"/>
              <w:spacing w:after="0" w:line="89" w:lineRule="exact"/>
              <w:rPr>
                <w:sz w:val="20"/>
                <w:szCs w:val="20"/>
                <w:color w:val="auto"/>
              </w:rPr>
            </w:pPr>
            <w:r>
              <w:rPr>
                <w:rFonts w:ascii="Arial" w:cs="Arial" w:eastAsia="Arial" w:hAnsi="Arial"/>
                <w:sz w:val="8"/>
                <w:szCs w:val="8"/>
                <w:b w:val="1"/>
                <w:bCs w:val="1"/>
                <w:color w:val="auto"/>
                <w:w w:val="87"/>
              </w:rPr>
              <w:t>Series B</w:t>
            </w:r>
          </w:p>
        </w:tc>
        <w:tc>
          <w:tcPr>
            <w:tcW w:w="220" w:type="dxa"/>
            <w:vAlign w:val="bottom"/>
          </w:tcPr>
          <w:p>
            <w:pPr>
              <w:spacing w:after="0"/>
              <w:rPr>
                <w:sz w:val="7"/>
                <w:szCs w:val="7"/>
                <w:color w:val="auto"/>
              </w:rPr>
            </w:pPr>
          </w:p>
        </w:tc>
        <w:tc>
          <w:tcPr>
            <w:tcW w:w="680" w:type="dxa"/>
            <w:vAlign w:val="bottom"/>
            <w:gridSpan w:val="3"/>
          </w:tcPr>
          <w:p>
            <w:pPr>
              <w:jc w:val="center"/>
              <w:ind w:right="400"/>
              <w:spacing w:after="0" w:line="89" w:lineRule="exact"/>
              <w:rPr>
                <w:sz w:val="20"/>
                <w:szCs w:val="20"/>
                <w:color w:val="auto"/>
              </w:rPr>
            </w:pPr>
            <w:r>
              <w:rPr>
                <w:rFonts w:ascii="Arial" w:cs="Arial" w:eastAsia="Arial" w:hAnsi="Arial"/>
                <w:sz w:val="8"/>
                <w:szCs w:val="8"/>
                <w:b w:val="1"/>
                <w:bCs w:val="1"/>
                <w:color w:val="auto"/>
                <w:w w:val="87"/>
              </w:rPr>
              <w:t>Series C</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0"/>
              </w:rPr>
              <w:t>Convertible</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Preferred</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0"/>
              </w:rPr>
              <w:t>Notes</w:t>
            </w:r>
          </w:p>
        </w:tc>
        <w:tc>
          <w:tcPr>
            <w:tcW w:w="5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70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w w:val="91"/>
              </w:rPr>
              <w:t>Accumulated</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00" w:type="dxa"/>
            <w:vAlign w:val="bottom"/>
          </w:tcPr>
          <w:p>
            <w:pPr>
              <w:spacing w:after="0"/>
              <w:rPr>
                <w:sz w:val="7"/>
                <w:szCs w:val="7"/>
                <w:color w:val="auto"/>
              </w:rPr>
            </w:pPr>
          </w:p>
        </w:tc>
        <w:tc>
          <w:tcPr>
            <w:tcW w:w="90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90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Preferred</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1"/>
              </w:rPr>
              <w:t>Stock</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b w:val="1"/>
                <w:bCs w:val="1"/>
                <w:color w:val="auto"/>
                <w:w w:val="91"/>
              </w:rPr>
              <w:t>Additional</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6"/>
              </w:rPr>
              <w:t>Receivable</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4"/>
              </w:rPr>
              <w:t>During the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800" w:type="dxa"/>
            <w:vAlign w:val="bottom"/>
          </w:tcPr>
          <w:p>
            <w:pPr>
              <w:spacing w:after="0"/>
              <w:rPr>
                <w:sz w:val="8"/>
                <w:szCs w:val="8"/>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0"/>
              </w:rPr>
              <w:t>Preferred Stock</w:t>
            </w:r>
          </w:p>
        </w:tc>
        <w:tc>
          <w:tcPr>
            <w:tcW w:w="90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60" w:type="dxa"/>
            <w:vAlign w:val="bottom"/>
          </w:tcPr>
          <w:p>
            <w:pPr>
              <w:spacing w:after="0"/>
              <w:rPr>
                <w:sz w:val="8"/>
                <w:szCs w:val="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2"/>
              </w:rPr>
              <w:t>Stock</w:t>
            </w:r>
          </w:p>
        </w:tc>
        <w:tc>
          <w:tcPr>
            <w:tcW w:w="680" w:type="dxa"/>
            <w:vAlign w:val="bottom"/>
            <w:gridSpan w:val="3"/>
          </w:tcPr>
          <w:p>
            <w:pPr>
              <w:jc w:val="center"/>
              <w:ind w:right="180"/>
              <w:spacing w:after="0"/>
              <w:rPr>
                <w:sz w:val="20"/>
                <w:szCs w:val="20"/>
                <w:color w:val="auto"/>
              </w:rPr>
            </w:pPr>
            <w:r>
              <w:rPr>
                <w:rFonts w:ascii="Arial" w:cs="Arial" w:eastAsia="Arial" w:hAnsi="Arial"/>
                <w:sz w:val="8"/>
                <w:szCs w:val="8"/>
                <w:b w:val="1"/>
                <w:bCs w:val="1"/>
                <w:color w:val="auto"/>
                <w:w w:val="86"/>
              </w:rPr>
              <w:t>Subscriptions</w:t>
            </w:r>
          </w:p>
        </w:tc>
        <w:tc>
          <w:tcPr>
            <w:tcW w:w="1000" w:type="dxa"/>
            <w:vAlign w:val="bottom"/>
            <w:gridSpan w:val="4"/>
          </w:tcPr>
          <w:p>
            <w:pPr>
              <w:jc w:val="right"/>
              <w:ind w:right="340"/>
              <w:spacing w:after="0"/>
              <w:rPr>
                <w:sz w:val="20"/>
                <w:szCs w:val="20"/>
                <w:color w:val="auto"/>
              </w:rPr>
            </w:pPr>
            <w:r>
              <w:rPr>
                <w:rFonts w:ascii="Arial" w:cs="Arial" w:eastAsia="Arial" w:hAnsi="Arial"/>
                <w:sz w:val="8"/>
                <w:szCs w:val="8"/>
                <w:b w:val="1"/>
                <w:bCs w:val="1"/>
                <w:color w:val="auto"/>
              </w:rPr>
              <w:t>Common Stock</w:t>
            </w:r>
          </w:p>
        </w:tc>
        <w:tc>
          <w:tcPr>
            <w:tcW w:w="5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8"/>
                <w:szCs w:val="8"/>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9"/>
              </w:rPr>
              <w:t>from</w:t>
            </w:r>
          </w:p>
        </w:tc>
        <w:tc>
          <w:tcPr>
            <w:tcW w:w="5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from</w:t>
            </w:r>
          </w:p>
        </w:tc>
        <w:tc>
          <w:tcPr>
            <w:tcW w:w="70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91"/>
              </w:rPr>
              <w:t>Development</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800" w:type="dxa"/>
            <w:vAlign w:val="bottom"/>
          </w:tcPr>
          <w:p>
            <w:pPr>
              <w:spacing w:after="0"/>
              <w:rPr>
                <w:sz w:val="6"/>
                <w:szCs w:val="6"/>
                <w:color w:val="auto"/>
              </w:rPr>
            </w:pPr>
          </w:p>
        </w:tc>
        <w:tc>
          <w:tcPr>
            <w:tcW w:w="42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tcBorders>
              <w:top w:val="single" w:sz="8" w:color="auto"/>
            </w:tcBorders>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42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87"/>
              </w:rPr>
              <w:t>Issuable</w:t>
            </w:r>
          </w:p>
        </w:tc>
        <w:tc>
          <w:tcPr>
            <w:tcW w:w="40" w:type="dxa"/>
            <w:vAlign w:val="bottom"/>
          </w:tcPr>
          <w:p>
            <w:pPr>
              <w:spacing w:after="0"/>
              <w:rPr>
                <w:sz w:val="6"/>
                <w:szCs w:val="6"/>
                <w:color w:val="auto"/>
              </w:rPr>
            </w:pPr>
          </w:p>
        </w:tc>
        <w:tc>
          <w:tcPr>
            <w:tcW w:w="64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86"/>
              </w:rPr>
              <w:t>Receivable</w:t>
            </w:r>
          </w:p>
        </w:tc>
        <w:tc>
          <w:tcPr>
            <w:tcW w:w="500" w:type="dxa"/>
            <w:vAlign w:val="bottom"/>
            <w:tcBorders>
              <w:top w:val="single" w:sz="8" w:color="auto"/>
            </w:tcBorders>
            <w:gridSpan w:val="2"/>
          </w:tcPr>
          <w:p>
            <w:pPr>
              <w:jc w:val="right"/>
              <w:ind w:right="207"/>
              <w:spacing w:after="0" w:line="79" w:lineRule="exact"/>
              <w:rPr>
                <w:sz w:val="20"/>
                <w:szCs w:val="20"/>
                <w:color w:val="auto"/>
              </w:rPr>
            </w:pPr>
            <w:r>
              <w:rPr>
                <w:rFonts w:ascii="Arial" w:cs="Arial" w:eastAsia="Arial" w:hAnsi="Arial"/>
                <w:sz w:val="8"/>
                <w:szCs w:val="8"/>
                <w:b w:val="1"/>
                <w:bCs w:val="1"/>
                <w:color w:val="auto"/>
                <w:w w:val="89"/>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58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rPr>
              <w:t>Capital</w:t>
            </w:r>
          </w:p>
        </w:tc>
        <w:tc>
          <w:tcPr>
            <w:tcW w:w="700" w:type="dxa"/>
            <w:vAlign w:val="bottom"/>
            <w:gridSpan w:val="3"/>
          </w:tcPr>
          <w:p>
            <w:pPr>
              <w:jc w:val="center"/>
              <w:ind w:right="180"/>
              <w:spacing w:after="0" w:line="79" w:lineRule="exact"/>
              <w:rPr>
                <w:sz w:val="20"/>
                <w:szCs w:val="20"/>
                <w:color w:val="auto"/>
              </w:rPr>
            </w:pPr>
            <w:r>
              <w:rPr>
                <w:rFonts w:ascii="Arial" w:cs="Arial" w:eastAsia="Arial" w:hAnsi="Arial"/>
                <w:sz w:val="8"/>
                <w:szCs w:val="8"/>
                <w:b w:val="1"/>
                <w:bCs w:val="1"/>
                <w:color w:val="auto"/>
                <w:w w:val="86"/>
              </w:rPr>
              <w:t>Stockholders</w:t>
            </w:r>
          </w:p>
        </w:tc>
        <w:tc>
          <w:tcPr>
            <w:tcW w:w="5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5"/>
              </w:rPr>
              <w:t>Officers</w:t>
            </w:r>
          </w:p>
        </w:tc>
        <w:tc>
          <w:tcPr>
            <w:tcW w:w="60" w:type="dxa"/>
            <w:vAlign w:val="bottom"/>
          </w:tcPr>
          <w:p>
            <w:pPr>
              <w:spacing w:after="0"/>
              <w:rPr>
                <w:sz w:val="6"/>
                <w:szCs w:val="6"/>
                <w:color w:val="auto"/>
              </w:rPr>
            </w:pPr>
          </w:p>
        </w:tc>
        <w:tc>
          <w:tcPr>
            <w:tcW w:w="64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2"/>
              </w:rPr>
              <w:t>Stage</w:t>
            </w:r>
          </w:p>
        </w:tc>
        <w:tc>
          <w:tcPr>
            <w:tcW w:w="440" w:type="dxa"/>
            <w:vAlign w:val="bottom"/>
            <w:gridSpan w:val="2"/>
          </w:tcPr>
          <w:p>
            <w:pPr>
              <w:jc w:val="right"/>
              <w:ind w:right="18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jc w:val="right"/>
              <w:ind w:right="35"/>
              <w:spacing w:after="0" w:line="90" w:lineRule="exact"/>
              <w:rPr>
                <w:sz w:val="20"/>
                <w:szCs w:val="20"/>
                <w:color w:val="auto"/>
              </w:rPr>
            </w:pPr>
            <w:r>
              <w:rPr>
                <w:rFonts w:ascii="Arial" w:cs="Arial" w:eastAsia="Arial" w:hAnsi="Arial"/>
                <w:sz w:val="8"/>
                <w:szCs w:val="8"/>
                <w:b w:val="1"/>
                <w:bCs w:val="1"/>
                <w:color w:val="auto"/>
              </w:rPr>
              <w:t>(In</w:t>
            </w:r>
          </w:p>
        </w:tc>
        <w:tc>
          <w:tcPr>
            <w:tcW w:w="500" w:type="dxa"/>
            <w:vAlign w:val="bottom"/>
            <w:gridSpan w:val="2"/>
          </w:tcPr>
          <w:p>
            <w:pPr>
              <w:jc w:val="right"/>
              <w:ind w:right="154"/>
              <w:spacing w:after="0"/>
              <w:rPr>
                <w:sz w:val="20"/>
                <w:szCs w:val="20"/>
                <w:color w:val="auto"/>
              </w:rPr>
            </w:pPr>
            <w:r>
              <w:rPr>
                <w:rFonts w:ascii="Arial" w:cs="Arial" w:eastAsia="Arial" w:hAnsi="Arial"/>
                <w:sz w:val="7"/>
                <w:szCs w:val="7"/>
                <w:b w:val="1"/>
                <w:bCs w:val="1"/>
                <w:color w:val="auto"/>
                <w:w w:val="74"/>
              </w:rPr>
              <w:t>thousands)</w:t>
            </w: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28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FEBRUARY 14, 1991</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stock for cash</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spacing w:after="0" w:line="98" w:lineRule="exact"/>
              <w:rPr>
                <w:sz w:val="20"/>
                <w:szCs w:val="20"/>
                <w:color w:val="auto"/>
              </w:rPr>
            </w:pPr>
            <w:r>
              <w:rPr>
                <w:rFonts w:ascii="Arial" w:cs="Arial" w:eastAsia="Arial" w:hAnsi="Arial"/>
                <w:sz w:val="9"/>
                <w:szCs w:val="9"/>
                <w:color w:val="auto"/>
              </w:rPr>
              <w:t>$    —</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    —</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998</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    10</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w w:val="92"/>
              </w:rPr>
              <w:t>$890</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200"/>
              <w:spacing w:after="0" w:line="98" w:lineRule="exact"/>
              <w:rPr>
                <w:sz w:val="20"/>
                <w:szCs w:val="20"/>
                <w:color w:val="auto"/>
              </w:rPr>
            </w:pPr>
            <w:r>
              <w:rPr>
                <w:rFonts w:ascii="Arial" w:cs="Arial" w:eastAsia="Arial" w:hAnsi="Arial"/>
                <w:sz w:val="9"/>
                <w:szCs w:val="9"/>
                <w:color w:val="auto"/>
                <w:w w:val="88"/>
              </w:rPr>
              <w:t>$—</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$900</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(911)</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(911)</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FEBRUARY 29, 1992</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998</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890</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(911)</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 and services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73</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887</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888</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Capital contribution</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20</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(1,175)</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(1,175)</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FEBRUARY 28, 1993</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1,071</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1,797</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(2,086)</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11</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526</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526</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Issuance of stock for notes receivable</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8</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400</w:t>
            </w:r>
          </w:p>
        </w:tc>
        <w:tc>
          <w:tcPr>
            <w:tcW w:w="60" w:type="dxa"/>
            <w:vAlign w:val="bottom"/>
          </w:tcPr>
          <w:p>
            <w:pPr>
              <w:spacing w:after="0"/>
              <w:rPr>
                <w:sz w:val="8"/>
                <w:szCs w:val="8"/>
                <w:color w:val="auto"/>
              </w:rPr>
            </w:pPr>
          </w:p>
        </w:tc>
        <w:tc>
          <w:tcPr>
            <w:tcW w:w="6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(400)</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(1,156)</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(1,156)</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FEBRUARY 28, 1994</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1,090</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2,723</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(400)</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(3,242)</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(908)</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 and services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36</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1,805</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1,805</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Collection of stock subscription</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400</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400</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(2,004)</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(2,004)</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DECEMBER 31, 1994</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1,126</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4,528</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(5,246)</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(707)</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services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1</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22</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22</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Stock compensation</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384</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384</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Net loss</w:t>
            </w:r>
          </w:p>
        </w:tc>
        <w:tc>
          <w:tcPr>
            <w:tcW w:w="220" w:type="dxa"/>
            <w:vAlign w:val="bottom"/>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(2,815)</w:t>
            </w:r>
          </w:p>
        </w:tc>
        <w:tc>
          <w:tcPr>
            <w:tcW w:w="4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(2,815)</w:t>
            </w:r>
          </w:p>
        </w:tc>
      </w:tr>
      <w:tr>
        <w:trPr>
          <w:trHeight w:val="20"/>
        </w:trPr>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8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1995</w:t>
            </w:r>
          </w:p>
        </w:tc>
        <w:tc>
          <w:tcPr>
            <w:tcW w:w="220" w:type="dxa"/>
            <w:vAlign w:val="bottom"/>
            <w:shd w:val="clear" w:color="auto" w:fill="CCEEFF"/>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1,127</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4,942</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(8,061)</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(3,108)</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stock for cash and services</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1</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59</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59</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3</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12</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Stock compensation</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126</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126</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(2,570)</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(2,570)</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DECEMBER 31, 1996</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1,131</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5,139</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(10,631)</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(5,481)</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 and services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548</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190</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196</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Stock compensation</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27</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135</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135</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Conversion of notes payable</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12</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60</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60</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(2,280)</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(2,280)</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DECEMBER 31, 1997</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1,718</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17</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5,526</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(12,911)</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(7,368)</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 and services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2,253</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12,703</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12,726</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Stock compensation</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150</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150</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68</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24</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Conversion of notes payable</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215</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1,200</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1,202</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(3,331)</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(3,331)</w:t>
            </w:r>
          </w:p>
        </w:tc>
      </w:tr>
      <w:tr>
        <w:trPr>
          <w:trHeight w:val="98"/>
        </w:trPr>
        <w:tc>
          <w:tcPr>
            <w:tcW w:w="2800" w:type="dxa"/>
            <w:vAlign w:val="bottom"/>
          </w:tcPr>
          <w:p>
            <w:pPr>
              <w:spacing w:after="0" w:line="98" w:lineRule="exact"/>
              <w:rPr>
                <w:sz w:val="20"/>
                <w:szCs w:val="20"/>
                <w:color w:val="auto"/>
              </w:rPr>
            </w:pPr>
            <w:r>
              <w:rPr>
                <w:rFonts w:ascii="Arial" w:cs="Arial" w:eastAsia="Arial" w:hAnsi="Arial"/>
                <w:sz w:val="9"/>
                <w:szCs w:val="9"/>
                <w:color w:val="auto"/>
              </w:rPr>
              <w:t>BALANCE, DECEMBER 31, 1998</w:t>
            </w: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4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4,254</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43</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19,603</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(16,242)</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3,404</w:t>
            </w:r>
          </w:p>
        </w:tc>
        <w:tc>
          <w:tcPr>
            <w:tcW w:w="100" w:type="dxa"/>
            <w:vAlign w:val="bottom"/>
          </w:tcPr>
          <w:p>
            <w:pPr>
              <w:spacing w:after="0"/>
              <w:rPr>
                <w:sz w:val="8"/>
                <w:szCs w:val="8"/>
                <w:color w:val="auto"/>
              </w:rPr>
            </w:pP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162</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532</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534</w:t>
            </w:r>
          </w:p>
        </w:tc>
      </w:tr>
      <w:tr>
        <w:trPr>
          <w:trHeight w:val="98"/>
        </w:trPr>
        <w:tc>
          <w:tcPr>
            <w:tcW w:w="2800" w:type="dxa"/>
            <w:vAlign w:val="bottom"/>
          </w:tcPr>
          <w:p>
            <w:pPr>
              <w:ind w:left="80"/>
              <w:spacing w:after="0" w:line="98" w:lineRule="exact"/>
              <w:rPr>
                <w:sz w:val="20"/>
                <w:szCs w:val="20"/>
                <w:color w:val="auto"/>
              </w:rPr>
            </w:pPr>
            <w:r>
              <w:rPr>
                <w:rFonts w:ascii="Arial" w:cs="Arial" w:eastAsia="Arial" w:hAnsi="Arial"/>
                <w:sz w:val="9"/>
                <w:szCs w:val="9"/>
                <w:color w:val="auto"/>
              </w:rPr>
              <w:t>Conversion of notes payable</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80</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994</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995</w:t>
            </w:r>
          </w:p>
        </w:tc>
      </w:tr>
      <w:tr>
        <w:trPr>
          <w:trHeight w:val="98"/>
        </w:trPr>
        <w:tc>
          <w:tcPr>
            <w:tcW w:w="28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220" w:type="dxa"/>
            <w:vAlign w:val="bottom"/>
            <w:shd w:val="clear" w:color="auto" w:fill="CCEEFF"/>
          </w:tcPr>
          <w:p>
            <w:pPr>
              <w:ind w:left="1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(5,679)</w:t>
            </w: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(5,679)</w:t>
            </w:r>
          </w:p>
        </w:tc>
      </w:tr>
      <w:tr>
        <w:trPr>
          <w:trHeight w:val="20"/>
        </w:trPr>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Series C</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Series C</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Deficit</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gridSpan w:val="3"/>
          </w:tcPr>
          <w:p>
            <w:pPr>
              <w:jc w:val="center"/>
              <w:ind w:right="420"/>
              <w:spacing w:after="0" w:line="89" w:lineRule="exact"/>
              <w:rPr>
                <w:sz w:val="20"/>
                <w:szCs w:val="20"/>
                <w:color w:val="auto"/>
              </w:rPr>
            </w:pPr>
            <w:r>
              <w:rPr>
                <w:rFonts w:ascii="Arial" w:cs="Arial" w:eastAsia="Arial" w:hAnsi="Arial"/>
                <w:sz w:val="8"/>
                <w:szCs w:val="8"/>
                <w:b w:val="1"/>
                <w:bCs w:val="1"/>
                <w:color w:val="auto"/>
                <w:w w:val="87"/>
              </w:rPr>
              <w:t>Series B</w:t>
            </w:r>
          </w:p>
        </w:tc>
        <w:tc>
          <w:tcPr>
            <w:tcW w:w="220" w:type="dxa"/>
            <w:vAlign w:val="bottom"/>
          </w:tcPr>
          <w:p>
            <w:pPr>
              <w:spacing w:after="0"/>
              <w:rPr>
                <w:sz w:val="7"/>
                <w:szCs w:val="7"/>
                <w:color w:val="auto"/>
              </w:rPr>
            </w:pPr>
          </w:p>
        </w:tc>
        <w:tc>
          <w:tcPr>
            <w:tcW w:w="680" w:type="dxa"/>
            <w:vAlign w:val="bottom"/>
            <w:gridSpan w:val="3"/>
          </w:tcPr>
          <w:p>
            <w:pPr>
              <w:jc w:val="center"/>
              <w:ind w:right="420"/>
              <w:spacing w:after="0" w:line="89" w:lineRule="exact"/>
              <w:rPr>
                <w:sz w:val="20"/>
                <w:szCs w:val="20"/>
                <w:color w:val="auto"/>
              </w:rPr>
            </w:pPr>
            <w:r>
              <w:rPr>
                <w:rFonts w:ascii="Arial" w:cs="Arial" w:eastAsia="Arial" w:hAnsi="Arial"/>
                <w:sz w:val="8"/>
                <w:szCs w:val="8"/>
                <w:b w:val="1"/>
                <w:bCs w:val="1"/>
                <w:color w:val="auto"/>
                <w:w w:val="81"/>
              </w:rPr>
              <w:t>Series C</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5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Accumulated</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94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900" w:type="dxa"/>
            <w:vAlign w:val="bottom"/>
            <w:gridSpan w:val="4"/>
          </w:tcPr>
          <w:p>
            <w:pPr>
              <w:jc w:val="center"/>
              <w:ind w:right="200"/>
              <w:spacing w:after="0" w:line="89" w:lineRule="exact"/>
              <w:rPr>
                <w:sz w:val="20"/>
                <w:szCs w:val="20"/>
                <w:color w:val="auto"/>
              </w:rPr>
            </w:pPr>
            <w:r>
              <w:rPr>
                <w:rFonts w:ascii="Arial" w:cs="Arial" w:eastAsia="Arial" w:hAnsi="Arial"/>
                <w:sz w:val="8"/>
                <w:szCs w:val="8"/>
                <w:b w:val="1"/>
                <w:bCs w:val="1"/>
                <w:color w:val="auto"/>
                <w:w w:val="86"/>
              </w:rPr>
              <w:t>Convertible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6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2"/>
              </w:rPr>
              <w:t>Stock</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w w:val="91"/>
              </w:rPr>
              <w:t>Additional</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4"/>
              </w:rPr>
              <w:t>During the</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640" w:type="dxa"/>
            <w:vAlign w:val="bottom"/>
          </w:tcPr>
          <w:p>
            <w:pPr>
              <w:spacing w:after="0"/>
              <w:rPr>
                <w:sz w:val="8"/>
                <w:szCs w:val="8"/>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90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0"/>
              </w:rPr>
              <w:t>Preferred Stock</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Stock</w:t>
            </w: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6"/>
              </w:rPr>
              <w:t>Subscriptions</w:t>
            </w:r>
          </w:p>
        </w:tc>
        <w:tc>
          <w:tcPr>
            <w:tcW w:w="1040" w:type="dxa"/>
            <w:vAlign w:val="bottom"/>
            <w:gridSpan w:val="4"/>
          </w:tcPr>
          <w:p>
            <w:pPr>
              <w:ind w:left="180"/>
              <w:spacing w:after="0"/>
              <w:rPr>
                <w:sz w:val="20"/>
                <w:szCs w:val="20"/>
                <w:color w:val="auto"/>
              </w:rPr>
            </w:pPr>
            <w:r>
              <w:rPr>
                <w:rFonts w:ascii="Arial" w:cs="Arial" w:eastAsia="Arial" w:hAnsi="Arial"/>
                <w:sz w:val="8"/>
                <w:szCs w:val="8"/>
                <w:b w:val="1"/>
                <w:bCs w:val="1"/>
                <w:color w:val="auto"/>
              </w:rPr>
              <w:t>Common Stock</w:t>
            </w:r>
          </w:p>
        </w:tc>
        <w:tc>
          <w:tcPr>
            <w:tcW w:w="6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from</w:t>
            </w:r>
          </w:p>
        </w:tc>
        <w:tc>
          <w:tcPr>
            <w:tcW w:w="5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from</w:t>
            </w: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Development</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640" w:type="dxa"/>
            <w:vAlign w:val="bottom"/>
          </w:tcPr>
          <w:p>
            <w:pPr>
              <w:spacing w:after="0"/>
              <w:rPr>
                <w:sz w:val="6"/>
                <w:szCs w:val="6"/>
                <w:color w:val="auto"/>
              </w:rPr>
            </w:pPr>
          </w:p>
        </w:tc>
        <w:tc>
          <w:tcPr>
            <w:tcW w:w="2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74"/>
              </w:rPr>
              <w:t>Shares</w:t>
            </w:r>
          </w:p>
        </w:tc>
        <w:tc>
          <w:tcPr>
            <w:tcW w:w="1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40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7"/>
              </w:rPr>
              <w:t>Issuable</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6"/>
              </w:rPr>
              <w:t>Receivable</w:t>
            </w:r>
          </w:p>
        </w:tc>
        <w:tc>
          <w:tcPr>
            <w:tcW w:w="560" w:type="dxa"/>
            <w:vAlign w:val="bottom"/>
            <w:tcBorders>
              <w:top w:val="single" w:sz="8" w:color="auto"/>
            </w:tcBorders>
            <w:gridSpan w:val="2"/>
          </w:tcPr>
          <w:p>
            <w:pPr>
              <w:jc w:val="right"/>
              <w:ind w:right="227"/>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60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rPr>
              <w:t>Capital</w:t>
            </w:r>
          </w:p>
        </w:tc>
        <w:tc>
          <w:tcPr>
            <w:tcW w:w="70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6"/>
              </w:rPr>
              <w:t>Stockholders</w:t>
            </w:r>
          </w:p>
        </w:tc>
        <w:tc>
          <w:tcPr>
            <w:tcW w:w="5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5"/>
              </w:rPr>
              <w:t>Officers</w:t>
            </w:r>
          </w:p>
        </w:tc>
        <w:tc>
          <w:tcPr>
            <w:tcW w:w="70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2"/>
              </w:rPr>
              <w:t>Stage</w:t>
            </w:r>
          </w:p>
        </w:tc>
        <w:tc>
          <w:tcPr>
            <w:tcW w:w="520" w:type="dxa"/>
            <w:vAlign w:val="bottom"/>
            <w:gridSpan w:val="2"/>
          </w:tcPr>
          <w:p>
            <w:pPr>
              <w:jc w:val="right"/>
              <w:ind w:right="22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2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ind w:left="180"/>
              <w:spacing w:after="0" w:line="90" w:lineRule="exact"/>
              <w:rPr>
                <w:sz w:val="20"/>
                <w:szCs w:val="20"/>
                <w:color w:val="auto"/>
              </w:rPr>
            </w:pPr>
            <w:r>
              <w:rPr>
                <w:rFonts w:ascii="Arial" w:cs="Arial" w:eastAsia="Arial" w:hAnsi="Arial"/>
                <w:sz w:val="8"/>
                <w:szCs w:val="8"/>
                <w:b w:val="1"/>
                <w:bCs w:val="1"/>
                <w:color w:val="auto"/>
              </w:rPr>
              <w:t>(In</w:t>
            </w:r>
          </w:p>
        </w:tc>
        <w:tc>
          <w:tcPr>
            <w:tcW w:w="500" w:type="dxa"/>
            <w:vAlign w:val="bottom"/>
            <w:gridSpan w:val="2"/>
          </w:tcPr>
          <w:p>
            <w:pPr>
              <w:jc w:val="right"/>
              <w:ind w:right="154"/>
              <w:spacing w:after="0"/>
              <w:rPr>
                <w:sz w:val="20"/>
                <w:szCs w:val="20"/>
                <w:color w:val="auto"/>
              </w:rPr>
            </w:pPr>
            <w:r>
              <w:rPr>
                <w:rFonts w:ascii="Arial" w:cs="Arial" w:eastAsia="Arial" w:hAnsi="Arial"/>
                <w:sz w:val="7"/>
                <w:szCs w:val="7"/>
                <w:b w:val="1"/>
                <w:bCs w:val="1"/>
                <w:color w:val="auto"/>
                <w:w w:val="74"/>
              </w:rPr>
              <w:t>thousands)</w:t>
            </w: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26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1999</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4,496</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46</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21,129</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(21,921)</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(746)</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Conversion of notes payable</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63</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1,073</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1,074</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Series B preferred stock for cash</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193</w:t>
            </w:r>
          </w:p>
        </w:tc>
        <w:tc>
          <w:tcPr>
            <w:tcW w:w="700" w:type="dxa"/>
            <w:vAlign w:val="bottom"/>
            <w:tcBorders>
              <w:left w:val="single" w:sz="8" w:color="CCEEFF"/>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15,000</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15,000</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stock for cash, services and notes</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4,690</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46</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33,945</w:t>
            </w:r>
          </w:p>
        </w:tc>
        <w:tc>
          <w:tcPr>
            <w:tcW w:w="7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(2,358)</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31,633</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Discount on notes below market rate</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241</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241</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Accrued interest on notes</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(117)</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(117)</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Purchase of Series A redeemable convertible preferred stock</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(993)</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(993)</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Amount in excess of redemption obligation</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999</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999</w:t>
            </w:r>
          </w:p>
        </w:tc>
      </w:tr>
      <w:tr>
        <w:trPr>
          <w:trHeight w:val="87"/>
        </w:trPr>
        <w:tc>
          <w:tcPr>
            <w:tcW w:w="264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w w:val="96"/>
              </w:rPr>
              <w:t>Accretion to redemption value on Series A redeemable convertible</w:t>
            </w:r>
          </w:p>
        </w:tc>
        <w:tc>
          <w:tcPr>
            <w:tcW w:w="240" w:type="dxa"/>
            <w:vAlign w:val="bottom"/>
            <w:shd w:val="clear" w:color="auto" w:fill="CCEEFF"/>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640" w:type="dxa"/>
            <w:vAlign w:val="bottom"/>
            <w:shd w:val="clear" w:color="auto" w:fill="CCEEFF"/>
          </w:tcPr>
          <w:p>
            <w:pPr>
              <w:ind w:left="160"/>
              <w:spacing w:after="0"/>
              <w:rPr>
                <w:sz w:val="20"/>
                <w:szCs w:val="20"/>
                <w:color w:val="auto"/>
              </w:rPr>
            </w:pPr>
            <w:r>
              <w:rPr>
                <w:rFonts w:ascii="Arial" w:cs="Arial" w:eastAsia="Arial" w:hAnsi="Arial"/>
                <w:sz w:val="9"/>
                <w:szCs w:val="9"/>
                <w:color w:val="auto"/>
              </w:rPr>
              <w:t>preferred stock</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(149)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(149)</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9,609</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9,609</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(24,661)</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(24,661)</w:t>
            </w:r>
          </w:p>
        </w:tc>
      </w:tr>
      <w:tr>
        <w:trPr>
          <w:trHeight w:val="98"/>
        </w:trPr>
        <w:tc>
          <w:tcPr>
            <w:tcW w:w="2640" w:type="dxa"/>
            <w:vAlign w:val="bottom"/>
          </w:tcPr>
          <w:p>
            <w:pPr>
              <w:spacing w:after="0" w:line="98" w:lineRule="exact"/>
              <w:rPr>
                <w:sz w:val="20"/>
                <w:szCs w:val="20"/>
                <w:color w:val="auto"/>
              </w:rPr>
            </w:pPr>
            <w:r>
              <w:rPr>
                <w:rFonts w:ascii="Arial" w:cs="Arial" w:eastAsia="Arial" w:hAnsi="Arial"/>
                <w:sz w:val="9"/>
                <w:szCs w:val="9"/>
                <w:color w:val="auto"/>
              </w:rPr>
              <w:t>BALANCE, DECEMBER 31, 2000</w:t>
            </w: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193</w:t>
            </w:r>
          </w:p>
        </w:tc>
        <w:tc>
          <w:tcPr>
            <w:tcW w:w="18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15,000</w:t>
            </w:r>
          </w:p>
        </w:tc>
        <w:tc>
          <w:tcPr>
            <w:tcW w:w="18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180" w:type="dxa"/>
            <w:vAlign w:val="bottom"/>
          </w:tcPr>
          <w:p>
            <w:pPr>
              <w:spacing w:after="0"/>
              <w:rPr>
                <w:sz w:val="8"/>
                <w:szCs w:val="8"/>
                <w:color w:val="auto"/>
              </w:rPr>
            </w:pPr>
          </w:p>
        </w:tc>
        <w:tc>
          <w:tcPr>
            <w:tcW w:w="300" w:type="dxa"/>
            <w:vAlign w:val="bottom"/>
            <w:tcBorders>
              <w:top w:val="single" w:sz="8" w:color="auto"/>
            </w:tcBorders>
          </w:tcPr>
          <w:p>
            <w:pPr>
              <w:ind w:left="22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80" w:type="dxa"/>
            <w:vAlign w:val="bottom"/>
            <w:tcBorders>
              <w:top w:val="single" w:sz="8" w:color="auto"/>
            </w:tcBorders>
          </w:tcPr>
          <w:p>
            <w:pPr>
              <w:ind w:left="4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80" w:type="dxa"/>
            <w:vAlign w:val="bottom"/>
            <w:tcBorders>
              <w:top w:val="single" w:sz="8" w:color="auto"/>
            </w:tcBorders>
          </w:tcPr>
          <w:p>
            <w:pPr>
              <w:ind w:left="4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9,249</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93</w:t>
            </w: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65,613</w:t>
            </w:r>
          </w:p>
        </w:tc>
        <w:tc>
          <w:tcPr>
            <w:tcW w:w="18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(2,234)</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(46,582)</w:t>
            </w:r>
          </w:p>
        </w:tc>
        <w:tc>
          <w:tcPr>
            <w:tcW w:w="20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31,890</w:t>
            </w:r>
          </w:p>
        </w:tc>
        <w:tc>
          <w:tcPr>
            <w:tcW w:w="100" w:type="dxa"/>
            <w:vAlign w:val="bottom"/>
          </w:tcPr>
          <w:p>
            <w:pPr>
              <w:spacing w:after="0"/>
              <w:rPr>
                <w:sz w:val="8"/>
                <w:szCs w:val="8"/>
                <w:color w:val="auto"/>
              </w:rPr>
            </w:pP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3,052</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30</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78,000</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78,030</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Cash received for common stock to be issued</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3,900</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3,900</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services</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3</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60</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60</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1</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13</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Accrued interest on notes</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(189)</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Payments on notes receivable</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28</w:t>
            </w:r>
          </w:p>
        </w:tc>
      </w:tr>
      <w:tr>
        <w:trPr>
          <w:trHeight w:val="87"/>
        </w:trPr>
        <w:tc>
          <w:tcPr>
            <w:tcW w:w="264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w w:val="96"/>
              </w:rPr>
              <w:t>Accretion to redemption value on Series A redeemable convertible</w:t>
            </w:r>
          </w:p>
        </w:tc>
        <w:tc>
          <w:tcPr>
            <w:tcW w:w="240" w:type="dxa"/>
            <w:vAlign w:val="bottom"/>
            <w:shd w:val="clear" w:color="auto" w:fill="CCEEFF"/>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640" w:type="dxa"/>
            <w:vAlign w:val="bottom"/>
            <w:shd w:val="clear" w:color="auto" w:fill="CCEEFF"/>
          </w:tcPr>
          <w:p>
            <w:pPr>
              <w:ind w:left="160"/>
              <w:spacing w:after="0"/>
              <w:rPr>
                <w:sz w:val="20"/>
                <w:szCs w:val="20"/>
                <w:color w:val="auto"/>
              </w:rPr>
            </w:pPr>
            <w:r>
              <w:rPr>
                <w:rFonts w:ascii="Arial" w:cs="Arial" w:eastAsia="Arial" w:hAnsi="Arial"/>
                <w:sz w:val="9"/>
                <w:szCs w:val="9"/>
                <w:color w:val="auto"/>
              </w:rPr>
              <w:t>preferred stock</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(239)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(239)</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1,565</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1,565</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put option by stockholder</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(2,949)</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(2,949)</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Record merger of entities</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171,154</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171,154</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(48,245)</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(48,245)</w:t>
            </w:r>
          </w:p>
        </w:tc>
      </w:tr>
      <w:tr>
        <w:trPr>
          <w:trHeight w:val="98"/>
        </w:trPr>
        <w:tc>
          <w:tcPr>
            <w:tcW w:w="2640" w:type="dxa"/>
            <w:vAlign w:val="bottom"/>
          </w:tcPr>
          <w:p>
            <w:pPr>
              <w:spacing w:after="0" w:line="98" w:lineRule="exact"/>
              <w:rPr>
                <w:sz w:val="20"/>
                <w:szCs w:val="20"/>
                <w:color w:val="auto"/>
              </w:rPr>
            </w:pPr>
            <w:r>
              <w:rPr>
                <w:rFonts w:ascii="Arial" w:cs="Arial" w:eastAsia="Arial" w:hAnsi="Arial"/>
                <w:sz w:val="9"/>
                <w:szCs w:val="9"/>
                <w:color w:val="auto"/>
              </w:rPr>
              <w:t>BALANCE, DECEMBER 31, 2001</w:t>
            </w: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193</w:t>
            </w:r>
          </w:p>
        </w:tc>
        <w:tc>
          <w:tcPr>
            <w:tcW w:w="18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15,000</w:t>
            </w:r>
          </w:p>
        </w:tc>
        <w:tc>
          <w:tcPr>
            <w:tcW w:w="180" w:type="dxa"/>
            <w:vAlign w:val="bottom"/>
          </w:tcPr>
          <w:p>
            <w:pPr>
              <w:spacing w:after="0"/>
              <w:rPr>
                <w:sz w:val="8"/>
                <w:szCs w:val="8"/>
                <w:color w:val="auto"/>
              </w:rPr>
            </w:pPr>
          </w:p>
        </w:tc>
        <w:tc>
          <w:tcPr>
            <w:tcW w:w="2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88"/>
              </w:rPr>
              <w:t>—</w:t>
            </w:r>
          </w:p>
        </w:tc>
        <w:tc>
          <w:tcPr>
            <w:tcW w:w="180" w:type="dxa"/>
            <w:vAlign w:val="bottom"/>
          </w:tcPr>
          <w:p>
            <w:pPr>
              <w:spacing w:after="0"/>
              <w:rPr>
                <w:sz w:val="8"/>
                <w:szCs w:val="8"/>
                <w:color w:val="auto"/>
              </w:rPr>
            </w:pPr>
          </w:p>
        </w:tc>
        <w:tc>
          <w:tcPr>
            <w:tcW w:w="300" w:type="dxa"/>
            <w:vAlign w:val="bottom"/>
            <w:tcBorders>
              <w:top w:val="single" w:sz="8" w:color="auto"/>
            </w:tcBorders>
          </w:tcPr>
          <w:p>
            <w:pPr>
              <w:ind w:left="22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80" w:type="dxa"/>
            <w:vAlign w:val="bottom"/>
            <w:tcBorders>
              <w:top w:val="single" w:sz="8" w:color="auto"/>
            </w:tcBorders>
          </w:tcPr>
          <w:p>
            <w:pPr>
              <w:ind w:left="4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80" w:type="dxa"/>
            <w:vAlign w:val="bottom"/>
            <w:tcBorders>
              <w:top w:val="single" w:sz="8" w:color="auto"/>
            </w:tcBorders>
          </w:tcPr>
          <w:p>
            <w:pPr>
              <w:ind w:left="4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12,305</w:t>
            </w: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123</w:t>
            </w: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317,117</w:t>
            </w:r>
          </w:p>
        </w:tc>
        <w:tc>
          <w:tcPr>
            <w:tcW w:w="18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(2,395)</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(94,827)</w:t>
            </w:r>
          </w:p>
        </w:tc>
        <w:tc>
          <w:tcPr>
            <w:tcW w:w="20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235,018</w:t>
            </w:r>
          </w:p>
        </w:tc>
        <w:tc>
          <w:tcPr>
            <w:tcW w:w="100" w:type="dxa"/>
            <w:vAlign w:val="bottom"/>
          </w:tcPr>
          <w:p>
            <w:pPr>
              <w:spacing w:after="0"/>
              <w:rPr>
                <w:sz w:val="8"/>
                <w:szCs w:val="8"/>
                <w:color w:val="auto"/>
              </w:rPr>
            </w:pP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common stock for cash</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3,922</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40</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58,775</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58,815</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stock for cash already received</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234</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w:t>
            </w:r>
          </w:p>
        </w:tc>
        <w:tc>
          <w:tcPr>
            <w:tcW w:w="6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stock award to employee</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3</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84</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Cash received for common stock issuable</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98</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98</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Accrued interest on notes</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(229)</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(229)</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Payments on notes receivable</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1,314</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1,314</w:t>
            </w:r>
          </w:p>
        </w:tc>
      </w:tr>
      <w:tr>
        <w:trPr>
          <w:trHeight w:val="87"/>
        </w:trPr>
        <w:tc>
          <w:tcPr>
            <w:tcW w:w="264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Beneficial conversion feature of Series B convertible preferred</w:t>
            </w:r>
          </w:p>
        </w:tc>
        <w:tc>
          <w:tcPr>
            <w:tcW w:w="240" w:type="dxa"/>
            <w:vAlign w:val="bottom"/>
            <w:shd w:val="clear" w:color="auto" w:fill="CCEEFF"/>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64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1,421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1,421</w:t>
            </w:r>
          </w:p>
        </w:tc>
      </w:tr>
      <w:tr>
        <w:trPr>
          <w:trHeight w:val="87"/>
        </w:trPr>
        <w:tc>
          <w:tcPr>
            <w:tcW w:w="2640" w:type="dxa"/>
            <w:vAlign w:val="bottom"/>
          </w:tcPr>
          <w:p>
            <w:pPr>
              <w:ind w:left="80"/>
              <w:spacing w:after="0" w:line="88" w:lineRule="exact"/>
              <w:rPr>
                <w:sz w:val="20"/>
                <w:szCs w:val="20"/>
                <w:color w:val="auto"/>
              </w:rPr>
            </w:pPr>
            <w:r>
              <w:rPr>
                <w:rFonts w:ascii="Arial" w:cs="Arial" w:eastAsia="Arial" w:hAnsi="Arial"/>
                <w:sz w:val="9"/>
                <w:szCs w:val="9"/>
                <w:color w:val="auto"/>
              </w:rPr>
              <w:t>Deemed dividend related to beneficial conversion feature of</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640" w:type="dxa"/>
            <w:vAlign w:val="bottom"/>
          </w:tcPr>
          <w:p>
            <w:pPr>
              <w:ind w:left="160"/>
              <w:spacing w:after="0"/>
              <w:rPr>
                <w:sz w:val="20"/>
                <w:szCs w:val="20"/>
                <w:color w:val="auto"/>
              </w:rPr>
            </w:pPr>
            <w:r>
              <w:rPr>
                <w:rFonts w:ascii="Arial" w:cs="Arial" w:eastAsia="Arial" w:hAnsi="Arial"/>
                <w:sz w:val="9"/>
                <w:szCs w:val="9"/>
                <w:color w:val="auto"/>
              </w:rPr>
              <w:t>Series B convertible preferred stock</w:t>
            </w:r>
          </w:p>
        </w:tc>
        <w:tc>
          <w:tcPr>
            <w:tcW w:w="2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9"/>
                <w:szCs w:val="9"/>
                <w:color w:val="auto"/>
              </w:rPr>
              <w:t>(1,421)</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(1,421)</w:t>
            </w:r>
          </w:p>
        </w:tc>
      </w:tr>
      <w:tr>
        <w:trPr>
          <w:trHeight w:val="87"/>
        </w:trPr>
        <w:tc>
          <w:tcPr>
            <w:tcW w:w="264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w w:val="96"/>
              </w:rPr>
              <w:t>Accretion to redemption value on Series A redeemable convertible</w:t>
            </w:r>
          </w:p>
        </w:tc>
        <w:tc>
          <w:tcPr>
            <w:tcW w:w="240" w:type="dxa"/>
            <w:vAlign w:val="bottom"/>
            <w:shd w:val="clear" w:color="auto" w:fill="CCEEFF"/>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640" w:type="dxa"/>
            <w:vAlign w:val="bottom"/>
            <w:shd w:val="clear" w:color="auto" w:fill="CCEEFF"/>
          </w:tcPr>
          <w:p>
            <w:pPr>
              <w:ind w:left="160"/>
              <w:spacing w:after="0"/>
              <w:rPr>
                <w:sz w:val="20"/>
                <w:szCs w:val="20"/>
                <w:color w:val="auto"/>
              </w:rPr>
            </w:pPr>
            <w:r>
              <w:rPr>
                <w:rFonts w:ascii="Arial" w:cs="Arial" w:eastAsia="Arial" w:hAnsi="Arial"/>
                <w:sz w:val="9"/>
                <w:szCs w:val="9"/>
                <w:color w:val="auto"/>
              </w:rPr>
              <w:t>preferred stock</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(251)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(251)</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268</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268</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Put option redemption by stockholder</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1,921</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1,921</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Net loss</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220" w:type="dxa"/>
            <w:vAlign w:val="bottom"/>
          </w:tcPr>
          <w:p>
            <w:pPr>
              <w:ind w:left="120"/>
              <w:spacing w:after="0" w:line="98" w:lineRule="exact"/>
              <w:rPr>
                <w:sz w:val="20"/>
                <w:szCs w:val="20"/>
                <w:color w:val="auto"/>
              </w:rPr>
            </w:pPr>
            <w:r>
              <w:rPr>
                <w:rFonts w:ascii="Arial" w:cs="Arial" w:eastAsia="Arial" w:hAnsi="Arial"/>
                <w:sz w:val="9"/>
                <w:szCs w:val="9"/>
                <w:color w:val="auto"/>
                <w:w w:val="88"/>
              </w:rPr>
              <w:t>—</w:t>
            </w:r>
          </w:p>
        </w:tc>
        <w:tc>
          <w:tcPr>
            <w:tcW w:w="180" w:type="dxa"/>
            <w:vAlign w:val="bottom"/>
          </w:tcPr>
          <w:p>
            <w:pPr>
              <w:spacing w:after="0"/>
              <w:rPr>
                <w:sz w:val="8"/>
                <w:szCs w:val="8"/>
                <w:color w:val="auto"/>
              </w:rPr>
            </w:pPr>
          </w:p>
        </w:tc>
        <w:tc>
          <w:tcPr>
            <w:tcW w:w="500" w:type="dxa"/>
            <w:vAlign w:val="bottom"/>
            <w:gridSpan w:val="2"/>
          </w:tcPr>
          <w:p>
            <w:pPr>
              <w:ind w:left="22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ind w:left="4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7"/>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(206,265)</w:t>
            </w:r>
          </w:p>
        </w:tc>
        <w:tc>
          <w:tcPr>
            <w:tcW w:w="5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(206,265)</w:t>
            </w:r>
          </w:p>
        </w:tc>
      </w:tr>
      <w:tr>
        <w:trPr>
          <w:trHeight w:val="20"/>
        </w:trPr>
        <w:tc>
          <w:tcPr>
            <w:tcW w:w="2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Series C</w:t>
            </w: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C</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Deficit</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580" w:type="dxa"/>
            <w:vAlign w:val="bottom"/>
          </w:tcPr>
          <w:p>
            <w:pPr>
              <w:spacing w:after="0"/>
              <w:rPr>
                <w:sz w:val="7"/>
                <w:szCs w:val="7"/>
                <w:color w:val="auto"/>
              </w:rPr>
            </w:pPr>
          </w:p>
        </w:tc>
        <w:tc>
          <w:tcPr>
            <w:tcW w:w="100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81"/>
              </w:rPr>
              <w:t>Series B</w:t>
            </w:r>
          </w:p>
        </w:tc>
        <w:tc>
          <w:tcPr>
            <w:tcW w:w="102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C</w:t>
            </w: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Notes</w:t>
            </w:r>
          </w:p>
        </w:tc>
        <w:tc>
          <w:tcPr>
            <w:tcW w:w="5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Accumulated</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580" w:type="dxa"/>
            <w:vAlign w:val="bottom"/>
          </w:tcPr>
          <w:p>
            <w:pPr>
              <w:spacing w:after="0"/>
              <w:rPr>
                <w:sz w:val="7"/>
                <w:szCs w:val="7"/>
                <w:color w:val="auto"/>
              </w:rPr>
            </w:pPr>
          </w:p>
        </w:tc>
        <w:tc>
          <w:tcPr>
            <w:tcW w:w="1000" w:type="dxa"/>
            <w:vAlign w:val="bottom"/>
            <w:gridSpan w:val="4"/>
          </w:tcPr>
          <w:p>
            <w:pPr>
              <w:jc w:val="center"/>
              <w:ind w:right="160"/>
              <w:spacing w:after="0" w:line="89" w:lineRule="exact"/>
              <w:rPr>
                <w:sz w:val="20"/>
                <w:szCs w:val="20"/>
                <w:color w:val="auto"/>
              </w:rPr>
            </w:pPr>
            <w:r>
              <w:rPr>
                <w:rFonts w:ascii="Arial" w:cs="Arial" w:eastAsia="Arial" w:hAnsi="Arial"/>
                <w:sz w:val="8"/>
                <w:szCs w:val="8"/>
                <w:b w:val="1"/>
                <w:bCs w:val="1"/>
                <w:color w:val="auto"/>
                <w:w w:val="90"/>
              </w:rPr>
              <w:t>Convertible</w:t>
            </w:r>
          </w:p>
        </w:tc>
        <w:tc>
          <w:tcPr>
            <w:tcW w:w="102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Stock</w:t>
            </w: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w w:val="91"/>
              </w:rPr>
              <w:t>Additional</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6"/>
              </w:rPr>
              <w:t>Receivable</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4"/>
              </w:rPr>
              <w:t>During the</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580" w:type="dxa"/>
            <w:vAlign w:val="bottom"/>
          </w:tcPr>
          <w:p>
            <w:pPr>
              <w:spacing w:after="0"/>
              <w:rPr>
                <w:sz w:val="8"/>
                <w:szCs w:val="8"/>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90"/>
              </w:rPr>
              <w:t>Preferred Stock</w:t>
            </w:r>
          </w:p>
        </w:tc>
        <w:tc>
          <w:tcPr>
            <w:tcW w:w="102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6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1"/>
              </w:rPr>
              <w:t>Stock</w:t>
            </w: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6"/>
              </w:rPr>
              <w:t>Subscriptions</w:t>
            </w:r>
          </w:p>
        </w:tc>
        <w:tc>
          <w:tcPr>
            <w:tcW w:w="1000" w:type="dxa"/>
            <w:vAlign w:val="bottom"/>
            <w:gridSpan w:val="4"/>
          </w:tcPr>
          <w:p>
            <w:pPr>
              <w:jc w:val="right"/>
              <w:ind w:right="340"/>
              <w:spacing w:after="0"/>
              <w:rPr>
                <w:sz w:val="20"/>
                <w:szCs w:val="20"/>
                <w:color w:val="auto"/>
              </w:rPr>
            </w:pPr>
            <w:r>
              <w:rPr>
                <w:rFonts w:ascii="Arial" w:cs="Arial" w:eastAsia="Arial" w:hAnsi="Arial"/>
                <w:sz w:val="8"/>
                <w:szCs w:val="8"/>
                <w:b w:val="1"/>
                <w:bCs w:val="1"/>
                <w:color w:val="auto"/>
              </w:rPr>
              <w:t>Common Stock</w:t>
            </w:r>
          </w:p>
        </w:tc>
        <w:tc>
          <w:tcPr>
            <w:tcW w:w="6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from</w:t>
            </w:r>
          </w:p>
        </w:tc>
        <w:tc>
          <w:tcPr>
            <w:tcW w:w="5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from</w:t>
            </w: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Development</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580" w:type="dxa"/>
            <w:vAlign w:val="bottom"/>
          </w:tcPr>
          <w:p>
            <w:pPr>
              <w:spacing w:after="0"/>
              <w:rPr>
                <w:sz w:val="6"/>
                <w:szCs w:val="6"/>
                <w:color w:val="auto"/>
              </w:rPr>
            </w:pPr>
          </w:p>
        </w:tc>
        <w:tc>
          <w:tcPr>
            <w:tcW w:w="2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2"/>
              </w:rPr>
              <w:t>Shares</w:t>
            </w:r>
          </w:p>
        </w:tc>
        <w:tc>
          <w:tcPr>
            <w:tcW w:w="180" w:type="dxa"/>
            <w:vAlign w:val="bottom"/>
            <w:tcBorders>
              <w:top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w w:val="99"/>
              </w:rPr>
              <w:t>Amount</w:t>
            </w:r>
          </w:p>
        </w:tc>
        <w:tc>
          <w:tcPr>
            <w:tcW w:w="180" w:type="dxa"/>
            <w:vAlign w:val="bottom"/>
          </w:tcPr>
          <w:p>
            <w:pPr>
              <w:spacing w:after="0"/>
              <w:rPr>
                <w:sz w:val="6"/>
                <w:szCs w:val="6"/>
                <w:color w:val="auto"/>
              </w:rPr>
            </w:pPr>
          </w:p>
        </w:tc>
        <w:tc>
          <w:tcPr>
            <w:tcW w:w="280" w:type="dxa"/>
            <w:vAlign w:val="bottom"/>
            <w:tcBorders>
              <w:top w:val="single" w:sz="8" w:color="auto"/>
              <w:bottom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w w:val="82"/>
              </w:rPr>
              <w:t>Shares</w:t>
            </w:r>
          </w:p>
        </w:tc>
        <w:tc>
          <w:tcPr>
            <w:tcW w:w="180" w:type="dxa"/>
            <w:vAlign w:val="bottom"/>
            <w:tcBorders>
              <w:top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w w:val="99"/>
              </w:rPr>
              <w:t>Amount</w:t>
            </w:r>
          </w:p>
        </w:tc>
        <w:tc>
          <w:tcPr>
            <w:tcW w:w="180" w:type="dxa"/>
            <w:vAlign w:val="bottom"/>
          </w:tcPr>
          <w:p>
            <w:pPr>
              <w:spacing w:after="0"/>
              <w:rPr>
                <w:sz w:val="6"/>
                <w:szCs w:val="6"/>
                <w:color w:val="auto"/>
              </w:rPr>
            </w:pPr>
          </w:p>
        </w:tc>
        <w:tc>
          <w:tcPr>
            <w:tcW w:w="48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7"/>
              </w:rPr>
              <w:t>Issuable</w:t>
            </w:r>
          </w:p>
        </w:tc>
        <w:tc>
          <w:tcPr>
            <w:tcW w:w="180" w:type="dxa"/>
            <w:vAlign w:val="bottom"/>
          </w:tcPr>
          <w:p>
            <w:pPr>
              <w:spacing w:after="0"/>
              <w:rPr>
                <w:sz w:val="6"/>
                <w:szCs w:val="6"/>
                <w:color w:val="auto"/>
              </w:rPr>
            </w:pPr>
          </w:p>
        </w:tc>
        <w:tc>
          <w:tcPr>
            <w:tcW w:w="48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6"/>
              </w:rPr>
              <w:t>Receivable</w:t>
            </w:r>
          </w:p>
        </w:tc>
        <w:tc>
          <w:tcPr>
            <w:tcW w:w="200" w:type="dxa"/>
            <w:vAlign w:val="bottom"/>
          </w:tcPr>
          <w:p>
            <w:pPr>
              <w:spacing w:after="0"/>
              <w:rPr>
                <w:sz w:val="6"/>
                <w:szCs w:val="6"/>
                <w:color w:val="auto"/>
              </w:rPr>
            </w:pPr>
          </w:p>
        </w:tc>
        <w:tc>
          <w:tcPr>
            <w:tcW w:w="340" w:type="dxa"/>
            <w:vAlign w:val="bottom"/>
            <w:tcBorders>
              <w:top w:val="single" w:sz="8" w:color="auto"/>
              <w:bottom w:val="single" w:sz="8" w:color="auto"/>
            </w:tcBorders>
          </w:tcPr>
          <w:p>
            <w:pPr>
              <w:jc w:val="right"/>
              <w:ind w:right="15"/>
              <w:spacing w:after="0" w:line="79" w:lineRule="exact"/>
              <w:rPr>
                <w:sz w:val="20"/>
                <w:szCs w:val="20"/>
                <w:color w:val="auto"/>
              </w:rPr>
            </w:pPr>
            <w:r>
              <w:rPr>
                <w:rFonts w:ascii="Arial" w:cs="Arial" w:eastAsia="Arial" w:hAnsi="Arial"/>
                <w:sz w:val="8"/>
                <w:szCs w:val="8"/>
                <w:b w:val="1"/>
                <w:bCs w:val="1"/>
                <w:color w:val="auto"/>
                <w:w w:val="97"/>
              </w:rPr>
              <w:t>Shares</w:t>
            </w:r>
          </w:p>
        </w:tc>
        <w:tc>
          <w:tcPr>
            <w:tcW w:w="200" w:type="dxa"/>
            <w:vAlign w:val="bottom"/>
            <w:tcBorders>
              <w:top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400" w:type="dxa"/>
            <w:vAlign w:val="bottom"/>
            <w:tcBorders>
              <w:bottom w:val="single" w:sz="8" w:color="auto"/>
            </w:tcBorders>
          </w:tcPr>
          <w:p>
            <w:pPr>
              <w:jc w:val="right"/>
              <w:ind w:right="15"/>
              <w:spacing w:after="0" w:line="79" w:lineRule="exact"/>
              <w:rPr>
                <w:sz w:val="20"/>
                <w:szCs w:val="20"/>
                <w:color w:val="auto"/>
              </w:rPr>
            </w:pPr>
            <w:r>
              <w:rPr>
                <w:rFonts w:ascii="Arial" w:cs="Arial" w:eastAsia="Arial" w:hAnsi="Arial"/>
                <w:sz w:val="8"/>
                <w:szCs w:val="8"/>
                <w:b w:val="1"/>
                <w:bCs w:val="1"/>
                <w:color w:val="auto"/>
              </w:rPr>
              <w:t>Capital</w:t>
            </w:r>
          </w:p>
        </w:tc>
        <w:tc>
          <w:tcPr>
            <w:tcW w:w="200" w:type="dxa"/>
            <w:vAlign w:val="bottom"/>
          </w:tcPr>
          <w:p>
            <w:pPr>
              <w:spacing w:after="0"/>
              <w:rPr>
                <w:sz w:val="6"/>
                <w:szCs w:val="6"/>
                <w:color w:val="auto"/>
              </w:rPr>
            </w:pPr>
          </w:p>
        </w:tc>
        <w:tc>
          <w:tcPr>
            <w:tcW w:w="48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6"/>
              </w:rPr>
              <w:t>Stockholders</w:t>
            </w:r>
          </w:p>
        </w:tc>
        <w:tc>
          <w:tcPr>
            <w:tcW w:w="200" w:type="dxa"/>
            <w:vAlign w:val="bottom"/>
          </w:tcPr>
          <w:p>
            <w:pPr>
              <w:spacing w:after="0"/>
              <w:rPr>
                <w:sz w:val="6"/>
                <w:szCs w:val="6"/>
                <w:color w:val="auto"/>
              </w:rPr>
            </w:pPr>
          </w:p>
        </w:tc>
        <w:tc>
          <w:tcPr>
            <w:tcW w:w="38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5"/>
              </w:rPr>
              <w:t>Officers</w:t>
            </w:r>
          </w:p>
        </w:tc>
        <w:tc>
          <w:tcPr>
            <w:tcW w:w="200" w:type="dxa"/>
            <w:vAlign w:val="bottom"/>
          </w:tcPr>
          <w:p>
            <w:pPr>
              <w:spacing w:after="0"/>
              <w:rPr>
                <w:sz w:val="6"/>
                <w:szCs w:val="6"/>
                <w:color w:val="auto"/>
              </w:rPr>
            </w:pPr>
          </w:p>
        </w:tc>
        <w:tc>
          <w:tcPr>
            <w:tcW w:w="50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2"/>
              </w:rPr>
              <w:t>Stage</w:t>
            </w:r>
          </w:p>
        </w:tc>
        <w:tc>
          <w:tcPr>
            <w:tcW w:w="200" w:type="dxa"/>
            <w:vAlign w:val="bottom"/>
          </w:tcPr>
          <w:p>
            <w:pPr>
              <w:spacing w:after="0"/>
              <w:rPr>
                <w:sz w:val="6"/>
                <w:szCs w:val="6"/>
                <w:color w:val="auto"/>
              </w:rPr>
            </w:pPr>
          </w:p>
        </w:tc>
        <w:tc>
          <w:tcPr>
            <w:tcW w:w="380" w:type="dxa"/>
            <w:vAlign w:val="bottom"/>
            <w:tcBorders>
              <w:bottom w:val="single" w:sz="8" w:color="auto"/>
            </w:tcBorders>
          </w:tcPr>
          <w:p>
            <w:pPr>
              <w:ind w:left="100"/>
              <w:spacing w:after="0" w:line="79" w:lineRule="exact"/>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6"/>
                <w:szCs w:val="6"/>
                <w:color w:val="auto"/>
              </w:rPr>
            </w:pPr>
          </w:p>
        </w:tc>
      </w:tr>
      <w:tr>
        <w:trPr>
          <w:trHeight w:val="90"/>
        </w:trPr>
        <w:tc>
          <w:tcPr>
            <w:tcW w:w="2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gridSpan w:val="2"/>
          </w:tcPr>
          <w:p>
            <w:pPr>
              <w:jc w:val="right"/>
              <w:spacing w:after="0" w:line="90" w:lineRule="exact"/>
              <w:rPr>
                <w:sz w:val="20"/>
                <w:szCs w:val="20"/>
                <w:color w:val="auto"/>
              </w:rPr>
            </w:pPr>
            <w:r>
              <w:rPr>
                <w:rFonts w:ascii="Arial" w:cs="Arial" w:eastAsia="Arial" w:hAnsi="Arial"/>
                <w:sz w:val="8"/>
                <w:szCs w:val="8"/>
                <w:b w:val="1"/>
                <w:bCs w:val="1"/>
                <w:color w:val="auto"/>
                <w:w w:val="94"/>
              </w:rPr>
              <w:t>(In thousands)</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2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2002</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193</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15,000</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16,464</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165</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378,010</w:t>
            </w: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(1,310)</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(301,092)</w:t>
            </w:r>
          </w:p>
        </w:tc>
        <w:tc>
          <w:tcPr>
            <w:tcW w:w="4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90,773</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Issuance of Series C convertible preferred stock subscriptions</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50,000</w:t>
            </w: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(50,000)</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Cash collected on Series C convertible preferred stock</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subscriptions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31,847</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31,847</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stock for cash</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3,494</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35</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49,965</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50,000</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Non-cash compensation expense of officer resulting from</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stockholder contribution</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70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70</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stock for cash already received</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258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Notes receivable by stockholder issued to officers</w:t>
            </w: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225</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(225)</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Accrued interest on notes</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(102)</w:t>
            </w:r>
          </w:p>
        </w:tc>
        <w:tc>
          <w:tcPr>
            <w:tcW w:w="5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(105)</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Beneficial conversion feature of Series B convertible preferred</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1,017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1,017</w:t>
            </w:r>
          </w:p>
        </w:tc>
      </w:tr>
      <w:tr>
        <w:trPr>
          <w:trHeight w:val="87"/>
        </w:trPr>
        <w:tc>
          <w:tcPr>
            <w:tcW w:w="2580" w:type="dxa"/>
            <w:vAlign w:val="bottom"/>
          </w:tcPr>
          <w:p>
            <w:pPr>
              <w:ind w:left="80"/>
              <w:spacing w:after="0" w:line="88" w:lineRule="exact"/>
              <w:rPr>
                <w:sz w:val="20"/>
                <w:szCs w:val="20"/>
                <w:color w:val="auto"/>
              </w:rPr>
            </w:pPr>
            <w:r>
              <w:rPr>
                <w:rFonts w:ascii="Arial" w:cs="Arial" w:eastAsia="Arial" w:hAnsi="Arial"/>
                <w:sz w:val="9"/>
                <w:szCs w:val="9"/>
                <w:color w:val="auto"/>
              </w:rPr>
              <w:t>Deemed dividend related to beneficial conversion feature of</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580" w:type="dxa"/>
            <w:vAlign w:val="bottom"/>
          </w:tcPr>
          <w:p>
            <w:pPr>
              <w:ind w:left="160"/>
              <w:spacing w:after="0"/>
              <w:rPr>
                <w:sz w:val="20"/>
                <w:szCs w:val="20"/>
                <w:color w:val="auto"/>
              </w:rPr>
            </w:pPr>
            <w:r>
              <w:rPr>
                <w:rFonts w:ascii="Arial" w:cs="Arial" w:eastAsia="Arial" w:hAnsi="Arial"/>
                <w:sz w:val="9"/>
                <w:szCs w:val="9"/>
                <w:color w:val="auto"/>
              </w:rPr>
              <w:t>Series B convertible preferred stock</w:t>
            </w: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9"/>
                <w:szCs w:val="9"/>
                <w:color w:val="auto"/>
              </w:rPr>
              <w:t>(1,017)</w:t>
            </w: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(1,017)</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Accretion to redemption value on Series A redeemable</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convertible preferred stock</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(253)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(253)</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4,501</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4,501</w:t>
            </w:r>
          </w:p>
        </w:tc>
      </w:tr>
      <w:tr>
        <w:trPr>
          <w:trHeight w:val="98"/>
        </w:trPr>
        <w:tc>
          <w:tcPr>
            <w:tcW w:w="258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Put shares sold to majority stockholder</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623</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623</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Net loss</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(65,879)</w:t>
            </w: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(65,879)</w:t>
            </w:r>
          </w:p>
        </w:tc>
      </w:tr>
      <w:tr>
        <w:trPr>
          <w:trHeight w:val="20"/>
        </w:trPr>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2003</w:t>
            </w: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193</w:t>
            </w:r>
          </w:p>
        </w:tc>
        <w:tc>
          <w:tcPr>
            <w:tcW w:w="1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15,000</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50,000</w:t>
            </w: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(18,153)</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19,975</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200</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433,141</w:t>
            </w: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(1,412)</w:t>
            </w: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(228)</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(366,971)</w:t>
            </w:r>
          </w:p>
        </w:tc>
        <w:tc>
          <w:tcPr>
            <w:tcW w:w="4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111,577</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Issuance of Series C convertible preferred stock for cash</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356</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18,153</w:t>
            </w:r>
          </w:p>
        </w:tc>
        <w:tc>
          <w:tcPr>
            <w:tcW w:w="66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(18,153)</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18,153</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18,153</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w w:val="96"/>
              </w:rPr>
              <w:t>Issuance of Series C convertible preferred stock for cash already</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received</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624</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31,847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(31,847)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86</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1,079</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1,079</w:t>
            </w:r>
          </w:p>
        </w:tc>
      </w:tr>
      <w:tr>
        <w:trPr>
          <w:trHeight w:val="98"/>
        </w:trPr>
        <w:tc>
          <w:tcPr>
            <w:tcW w:w="258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Exercise of warrants</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46</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46</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Accrued interest on notes</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(107)</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(107)</w:t>
            </w:r>
          </w:p>
        </w:tc>
      </w:tr>
      <w:tr>
        <w:trPr>
          <w:trHeight w:val="98"/>
        </w:trPr>
        <w:tc>
          <w:tcPr>
            <w:tcW w:w="258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w w:val="97"/>
              </w:rPr>
              <w:t>Repayment of notes receivable by stockholder issued to officers</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(225)</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228</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Repayment of stock note receivable</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(90)</w:t>
            </w:r>
          </w:p>
        </w:tc>
        <w:tc>
          <w:tcPr>
            <w:tcW w:w="46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(1)</w:t>
            </w:r>
          </w:p>
        </w:tc>
        <w:tc>
          <w:tcPr>
            <w:tcW w:w="6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(1,518)</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1,519</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Conversion of Series A convertible preferred stock to common</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891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9</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5,239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5,248</w:t>
            </w:r>
          </w:p>
        </w:tc>
      </w:tr>
      <w:tr>
        <w:trPr>
          <w:trHeight w:val="87"/>
        </w:trPr>
        <w:tc>
          <w:tcPr>
            <w:tcW w:w="2580" w:type="dxa"/>
            <w:vAlign w:val="bottom"/>
          </w:tcPr>
          <w:p>
            <w:pPr>
              <w:ind w:left="80"/>
              <w:spacing w:after="0" w:line="88" w:lineRule="exact"/>
              <w:rPr>
                <w:sz w:val="20"/>
                <w:szCs w:val="20"/>
                <w:color w:val="auto"/>
              </w:rPr>
            </w:pPr>
            <w:r>
              <w:rPr>
                <w:rFonts w:ascii="Arial" w:cs="Arial" w:eastAsia="Arial" w:hAnsi="Arial"/>
                <w:sz w:val="9"/>
                <w:szCs w:val="9"/>
                <w:color w:val="auto"/>
              </w:rPr>
              <w:t>Conversion of Series B convertible preferred stock to common</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580" w:type="dxa"/>
            <w:vAlign w:val="bottom"/>
          </w:tcPr>
          <w:p>
            <w:pPr>
              <w:ind w:left="160"/>
              <w:spacing w:after="0"/>
              <w:rPr>
                <w:sz w:val="20"/>
                <w:szCs w:val="20"/>
                <w:color w:val="auto"/>
              </w:rPr>
            </w:pPr>
            <w:r>
              <w:rPr>
                <w:rFonts w:ascii="Arial" w:cs="Arial" w:eastAsia="Arial" w:hAnsi="Arial"/>
                <w:sz w:val="9"/>
                <w:szCs w:val="9"/>
                <w:color w:val="auto"/>
              </w:rPr>
              <w:t>stock</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(193)</w:t>
            </w: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(15,000)</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811</w:t>
            </w: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8</w:t>
            </w:r>
          </w:p>
        </w:tc>
        <w:tc>
          <w:tcPr>
            <w:tcW w:w="600" w:type="dxa"/>
            <w:vAlign w:val="bottom"/>
            <w:gridSpan w:val="2"/>
          </w:tcPr>
          <w:p>
            <w:pPr>
              <w:jc w:val="right"/>
              <w:ind w:right="180"/>
              <w:spacing w:after="0"/>
              <w:rPr>
                <w:sz w:val="20"/>
                <w:szCs w:val="20"/>
                <w:color w:val="auto"/>
              </w:rPr>
            </w:pPr>
            <w:r>
              <w:rPr>
                <w:rFonts w:ascii="Arial" w:cs="Arial" w:eastAsia="Arial" w:hAnsi="Arial"/>
                <w:sz w:val="9"/>
                <w:szCs w:val="9"/>
                <w:color w:val="auto"/>
              </w:rPr>
              <w:t>14,992</w:t>
            </w: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w w:val="99"/>
              </w:rPr>
              <w:t>Conversion of Series C convertible preferred stock to common</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(980)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(50,000)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4,464</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49,955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shares in exchange for warrants</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22</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Issuance of common shares under Employee Stock Purchase</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Plan</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36</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430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430</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Net proceeds from initial public offering</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6,557</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66</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83,110</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83,176</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Beneficial conversion feature of Series B convertible preferred</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19,822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19,822</w:t>
            </w:r>
          </w:p>
        </w:tc>
      </w:tr>
      <w:tr>
        <w:trPr>
          <w:trHeight w:val="87"/>
        </w:trPr>
        <w:tc>
          <w:tcPr>
            <w:tcW w:w="2580" w:type="dxa"/>
            <w:vAlign w:val="bottom"/>
          </w:tcPr>
          <w:p>
            <w:pPr>
              <w:ind w:left="80"/>
              <w:spacing w:after="0" w:line="88" w:lineRule="exact"/>
              <w:rPr>
                <w:sz w:val="20"/>
                <w:szCs w:val="20"/>
                <w:color w:val="auto"/>
              </w:rPr>
            </w:pPr>
            <w:r>
              <w:rPr>
                <w:rFonts w:ascii="Arial" w:cs="Arial" w:eastAsia="Arial" w:hAnsi="Arial"/>
                <w:sz w:val="9"/>
                <w:szCs w:val="9"/>
                <w:color w:val="auto"/>
              </w:rPr>
              <w:t>Deemed dividends related to beneficial conversion feature of</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580" w:type="dxa"/>
            <w:vAlign w:val="bottom"/>
          </w:tcPr>
          <w:p>
            <w:pPr>
              <w:ind w:left="160"/>
              <w:spacing w:after="0"/>
              <w:rPr>
                <w:sz w:val="20"/>
                <w:szCs w:val="20"/>
                <w:color w:val="auto"/>
              </w:rPr>
            </w:pPr>
            <w:r>
              <w:rPr>
                <w:rFonts w:ascii="Arial" w:cs="Arial" w:eastAsia="Arial" w:hAnsi="Arial"/>
                <w:sz w:val="9"/>
                <w:szCs w:val="9"/>
                <w:color w:val="auto"/>
              </w:rPr>
              <w:t>Series B and Series C convertible preferred stock</w:t>
            </w: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9"/>
                <w:szCs w:val="9"/>
                <w:color w:val="auto"/>
              </w:rPr>
              <w:t>(19,822)</w:t>
            </w: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(19,822)</w:t>
            </w:r>
          </w:p>
        </w:tc>
      </w:tr>
      <w:tr>
        <w:trPr>
          <w:trHeight w:val="87"/>
        </w:trPr>
        <w:tc>
          <w:tcPr>
            <w:tcW w:w="258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Accretion to redemption value on Series A redeemable</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80" w:type="dxa"/>
            <w:vAlign w:val="bottom"/>
            <w:shd w:val="clear" w:color="auto" w:fill="CCEEFF"/>
          </w:tcPr>
          <w:p>
            <w:pPr>
              <w:ind w:left="160"/>
              <w:spacing w:after="0"/>
              <w:rPr>
                <w:sz w:val="20"/>
                <w:szCs w:val="20"/>
                <w:color w:val="auto"/>
              </w:rPr>
            </w:pPr>
            <w:r>
              <w:rPr>
                <w:rFonts w:ascii="Arial" w:cs="Arial" w:eastAsia="Arial" w:hAnsi="Arial"/>
                <w:sz w:val="9"/>
                <w:szCs w:val="9"/>
                <w:color w:val="auto"/>
              </w:rPr>
              <w:t>convertible preferred stock</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(60)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(60)</w:t>
            </w:r>
          </w:p>
        </w:tc>
      </w:tr>
      <w:tr>
        <w:trPr>
          <w:trHeight w:val="98"/>
        </w:trPr>
        <w:tc>
          <w:tcPr>
            <w:tcW w:w="2580" w:type="dxa"/>
            <w:vAlign w:val="bottom"/>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6,810</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6,810</w:t>
            </w:r>
          </w:p>
        </w:tc>
      </w:tr>
      <w:tr>
        <w:trPr>
          <w:trHeight w:val="98"/>
        </w:trPr>
        <w:tc>
          <w:tcPr>
            <w:tcW w:w="258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Net loss</w:t>
            </w: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(75,992)</w:t>
            </w:r>
          </w:p>
        </w:tc>
        <w:tc>
          <w:tcPr>
            <w:tcW w:w="48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(75,992)</w:t>
            </w:r>
          </w:p>
        </w:tc>
      </w:tr>
      <w:tr>
        <w:trPr>
          <w:trHeight w:val="20"/>
        </w:trPr>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7"/>
              </w:rPr>
              <w:t>Series C</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7"/>
              </w:rPr>
              <w:t>Series C</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0"/>
              </w:rPr>
              <w:t>Convertible</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Deficit</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86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B</w:t>
            </w:r>
          </w:p>
        </w:tc>
        <w:tc>
          <w:tcPr>
            <w:tcW w:w="220" w:type="dxa"/>
            <w:vAlign w:val="bottom"/>
          </w:tcPr>
          <w:p>
            <w:pPr>
              <w:spacing w:after="0"/>
              <w:rPr>
                <w:sz w:val="7"/>
                <w:szCs w:val="7"/>
                <w:color w:val="auto"/>
              </w:rPr>
            </w:pPr>
          </w:p>
        </w:tc>
        <w:tc>
          <w:tcPr>
            <w:tcW w:w="680" w:type="dxa"/>
            <w:vAlign w:val="bottom"/>
            <w:gridSpan w:val="3"/>
          </w:tcPr>
          <w:p>
            <w:pPr>
              <w:jc w:val="center"/>
              <w:ind w:right="400"/>
              <w:spacing w:after="0" w:line="89" w:lineRule="exact"/>
              <w:rPr>
                <w:sz w:val="20"/>
                <w:szCs w:val="20"/>
                <w:color w:val="auto"/>
              </w:rPr>
            </w:pPr>
            <w:r>
              <w:rPr>
                <w:rFonts w:ascii="Arial" w:cs="Arial" w:eastAsia="Arial" w:hAnsi="Arial"/>
                <w:sz w:val="8"/>
                <w:szCs w:val="8"/>
                <w:b w:val="1"/>
                <w:bCs w:val="1"/>
                <w:color w:val="auto"/>
                <w:w w:val="87"/>
              </w:rPr>
              <w:t>Series C</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0"/>
              </w:rPr>
              <w:t>Convertible</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Preferred</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0"/>
              </w:rPr>
              <w:t>Notes</w:t>
            </w:r>
          </w:p>
        </w:tc>
        <w:tc>
          <w:tcPr>
            <w:tcW w:w="5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Accumulated</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860" w:type="dxa"/>
            <w:vAlign w:val="bottom"/>
            <w:gridSpan w:val="4"/>
          </w:tcPr>
          <w:p>
            <w:pPr>
              <w:ind w:left="140"/>
              <w:spacing w:after="0" w:line="89" w:lineRule="exact"/>
              <w:rPr>
                <w:sz w:val="20"/>
                <w:szCs w:val="20"/>
                <w:color w:val="auto"/>
              </w:rPr>
            </w:pPr>
            <w:r>
              <w:rPr>
                <w:rFonts w:ascii="Arial" w:cs="Arial" w:eastAsia="Arial" w:hAnsi="Arial"/>
                <w:sz w:val="8"/>
                <w:szCs w:val="8"/>
                <w:b w:val="1"/>
                <w:bCs w:val="1"/>
                <w:color w:val="auto"/>
              </w:rPr>
              <w:t>Convertible</w:t>
            </w:r>
          </w:p>
        </w:tc>
        <w:tc>
          <w:tcPr>
            <w:tcW w:w="90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Preferred</w:t>
            </w: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2"/>
              </w:rPr>
              <w:t>Stock</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tcPr>
          <w:p>
            <w:pPr>
              <w:jc w:val="right"/>
              <w:ind w:right="240"/>
              <w:spacing w:after="0" w:line="89" w:lineRule="exact"/>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6"/>
              </w:rPr>
              <w:t>Receivable</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4"/>
              </w:rPr>
              <w:t>During the</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640" w:type="dxa"/>
            <w:vAlign w:val="bottom"/>
          </w:tcPr>
          <w:p>
            <w:pPr>
              <w:spacing w:after="0"/>
              <w:rPr>
                <w:sz w:val="8"/>
                <w:szCs w:val="8"/>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90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0"/>
              </w:rPr>
              <w:t>Preferred Stock</w:t>
            </w:r>
          </w:p>
        </w:tc>
        <w:tc>
          <w:tcPr>
            <w:tcW w:w="40" w:type="dxa"/>
            <w:vAlign w:val="bottom"/>
          </w:tcPr>
          <w:p>
            <w:pPr>
              <w:spacing w:after="0"/>
              <w:rPr>
                <w:sz w:val="8"/>
                <w:szCs w:val="8"/>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2"/>
              </w:rPr>
              <w:t>Stock</w:t>
            </w:r>
          </w:p>
        </w:tc>
        <w:tc>
          <w:tcPr>
            <w:tcW w:w="70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86"/>
              </w:rPr>
              <w:t>Subscriptions</w:t>
            </w:r>
          </w:p>
        </w:tc>
        <w:tc>
          <w:tcPr>
            <w:tcW w:w="1040" w:type="dxa"/>
            <w:vAlign w:val="bottom"/>
            <w:gridSpan w:val="4"/>
          </w:tcPr>
          <w:p>
            <w:pPr>
              <w:jc w:val="right"/>
              <w:ind w:right="360"/>
              <w:spacing w:after="0"/>
              <w:rPr>
                <w:sz w:val="20"/>
                <w:szCs w:val="20"/>
                <w:color w:val="auto"/>
              </w:rPr>
            </w:pPr>
            <w:r>
              <w:rPr>
                <w:rFonts w:ascii="Arial" w:cs="Arial" w:eastAsia="Arial" w:hAnsi="Arial"/>
                <w:sz w:val="8"/>
                <w:szCs w:val="8"/>
                <w:b w:val="1"/>
                <w:bCs w:val="1"/>
                <w:color w:val="auto"/>
              </w:rPr>
              <w:t>Common Stock</w:t>
            </w:r>
          </w:p>
        </w:tc>
        <w:tc>
          <w:tcPr>
            <w:tcW w:w="66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8"/>
                <w:szCs w:val="8"/>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9"/>
              </w:rPr>
              <w:t>from</w:t>
            </w:r>
          </w:p>
        </w:tc>
        <w:tc>
          <w:tcPr>
            <w:tcW w:w="5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from</w:t>
            </w: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Development</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640" w:type="dxa"/>
            <w:vAlign w:val="bottom"/>
          </w:tcPr>
          <w:p>
            <w:pPr>
              <w:spacing w:after="0"/>
              <w:rPr>
                <w:sz w:val="6"/>
                <w:szCs w:val="6"/>
                <w:color w:val="auto"/>
              </w:rPr>
            </w:pPr>
          </w:p>
        </w:tc>
        <w:tc>
          <w:tcPr>
            <w:tcW w:w="3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40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1"/>
              </w:rPr>
              <w:t>Issuable</w:t>
            </w:r>
          </w:p>
        </w:tc>
        <w:tc>
          <w:tcPr>
            <w:tcW w:w="60" w:type="dxa"/>
            <w:vAlign w:val="bottom"/>
          </w:tcPr>
          <w:p>
            <w:pPr>
              <w:spacing w:after="0"/>
              <w:rPr>
                <w:sz w:val="6"/>
                <w:szCs w:val="6"/>
                <w:color w:val="auto"/>
              </w:rPr>
            </w:pPr>
          </w:p>
        </w:tc>
        <w:tc>
          <w:tcPr>
            <w:tcW w:w="64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86"/>
              </w:rPr>
              <w:t>Receivable</w:t>
            </w:r>
          </w:p>
        </w:tc>
        <w:tc>
          <w:tcPr>
            <w:tcW w:w="540" w:type="dxa"/>
            <w:vAlign w:val="bottom"/>
            <w:tcBorders>
              <w:top w:val="single" w:sz="8" w:color="auto"/>
            </w:tcBorders>
            <w:gridSpan w:val="2"/>
          </w:tcPr>
          <w:p>
            <w:pPr>
              <w:jc w:val="right"/>
              <w:ind w:right="221"/>
              <w:spacing w:after="0" w:line="79" w:lineRule="exact"/>
              <w:rPr>
                <w:sz w:val="20"/>
                <w:szCs w:val="20"/>
                <w:color w:val="auto"/>
              </w:rPr>
            </w:pPr>
            <w:r>
              <w:rPr>
                <w:rFonts w:ascii="Arial" w:cs="Arial" w:eastAsia="Arial" w:hAnsi="Arial"/>
                <w:sz w:val="8"/>
                <w:szCs w:val="8"/>
                <w:b w:val="1"/>
                <w:bCs w:val="1"/>
                <w:color w:val="auto"/>
                <w:w w:val="97"/>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66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Capital</w:t>
            </w:r>
          </w:p>
        </w:tc>
        <w:tc>
          <w:tcPr>
            <w:tcW w:w="700" w:type="dxa"/>
            <w:vAlign w:val="bottom"/>
            <w:gridSpan w:val="3"/>
          </w:tcPr>
          <w:p>
            <w:pPr>
              <w:jc w:val="center"/>
              <w:ind w:right="180"/>
              <w:spacing w:after="0" w:line="79" w:lineRule="exact"/>
              <w:rPr>
                <w:sz w:val="20"/>
                <w:szCs w:val="20"/>
                <w:color w:val="auto"/>
              </w:rPr>
            </w:pPr>
            <w:r>
              <w:rPr>
                <w:rFonts w:ascii="Arial" w:cs="Arial" w:eastAsia="Arial" w:hAnsi="Arial"/>
                <w:sz w:val="8"/>
                <w:szCs w:val="8"/>
                <w:b w:val="1"/>
                <w:bCs w:val="1"/>
                <w:color w:val="auto"/>
                <w:w w:val="86"/>
              </w:rPr>
              <w:t>Stockholders</w:t>
            </w:r>
          </w:p>
        </w:tc>
        <w:tc>
          <w:tcPr>
            <w:tcW w:w="5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5"/>
              </w:rPr>
              <w:t>Officers</w:t>
            </w:r>
          </w:p>
        </w:tc>
        <w:tc>
          <w:tcPr>
            <w:tcW w:w="70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2"/>
              </w:rPr>
              <w:t>Stage</w:t>
            </w:r>
          </w:p>
        </w:tc>
        <w:tc>
          <w:tcPr>
            <w:tcW w:w="520" w:type="dxa"/>
            <w:vAlign w:val="bottom"/>
            <w:gridSpan w:val="2"/>
          </w:tcPr>
          <w:p>
            <w:pPr>
              <w:jc w:val="right"/>
              <w:ind w:right="22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(In</w:t>
            </w:r>
          </w:p>
        </w:tc>
        <w:tc>
          <w:tcPr>
            <w:tcW w:w="480" w:type="dxa"/>
            <w:vAlign w:val="bottom"/>
            <w:gridSpan w:val="2"/>
          </w:tcPr>
          <w:p>
            <w:pPr>
              <w:jc w:val="right"/>
              <w:ind w:right="74"/>
              <w:spacing w:after="0" w:line="90" w:lineRule="exact"/>
              <w:rPr>
                <w:sz w:val="20"/>
                <w:szCs w:val="20"/>
                <w:color w:val="auto"/>
              </w:rPr>
            </w:pPr>
            <w:r>
              <w:rPr>
                <w:rFonts w:ascii="Arial" w:cs="Arial" w:eastAsia="Arial" w:hAnsi="Arial"/>
                <w:sz w:val="8"/>
                <w:szCs w:val="8"/>
                <w:b w:val="1"/>
                <w:bCs w:val="1"/>
                <w:color w:val="auto"/>
                <w:w w:val="78"/>
              </w:rPr>
              <w:t>thousands)</w:t>
            </w: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26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2004</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32,756</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327</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592,999</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(442,963)</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150,363</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shares in exchange for warrants</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24</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245</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245</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w w:val="95"/>
              </w:rPr>
              <w:t>Issuance of common shares under Employee Stock Purchase Plan</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58</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494</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495</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304</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1,948</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1,951</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Issuance of stock awards to consultants</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40</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(146)</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(145)</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Issuance of stock and warrants for cash</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17,132</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171</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170,063</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170,234</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(1,828)</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(1,828)</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Net loss</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(114,338)</w:t>
            </w:r>
          </w:p>
        </w:tc>
        <w:tc>
          <w:tcPr>
            <w:tcW w:w="5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(114,338)</w:t>
            </w: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6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2005</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50,314</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503</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763,775</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(557,301)</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206,977</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Exercise of warrants</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339</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2,691</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2,694</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w w:val="95"/>
              </w:rPr>
              <w:t>Issuance of common shares under Employee Stock Purchase Plan</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86</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980</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981</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Exercise of stock options</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263</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2,309</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2,312</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Cancellation of common shares for stock notes receivable</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1"/>
              <w:spacing w:after="0" w:line="98" w:lineRule="exact"/>
              <w:rPr>
                <w:sz w:val="20"/>
                <w:szCs w:val="20"/>
                <w:color w:val="auto"/>
              </w:rPr>
            </w:pPr>
            <w:r>
              <w:rPr>
                <w:rFonts w:ascii="Arial" w:cs="Arial" w:eastAsia="Arial" w:hAnsi="Arial"/>
                <w:sz w:val="9"/>
                <w:szCs w:val="9"/>
                <w:color w:val="auto"/>
              </w:rPr>
              <w:t>(844)</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(8)</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Issuance of stock for cash</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23,000</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230</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384,440</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384,670</w:t>
            </w:r>
          </w:p>
        </w:tc>
      </w:tr>
      <w:tr>
        <w:trPr>
          <w:trHeight w:val="87"/>
        </w:trPr>
        <w:tc>
          <w:tcPr>
            <w:tcW w:w="264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rPr>
              <w:t>Issuance of common shares from the release of restricted stock</w:t>
            </w: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640" w:type="dxa"/>
            <w:vAlign w:val="bottom"/>
            <w:shd w:val="clear" w:color="auto" w:fill="CCEEFF"/>
          </w:tcPr>
          <w:p>
            <w:pPr>
              <w:ind w:left="160"/>
              <w:spacing w:after="0"/>
              <w:rPr>
                <w:sz w:val="20"/>
                <w:szCs w:val="20"/>
                <w:color w:val="auto"/>
              </w:rPr>
            </w:pPr>
            <w:r>
              <w:rPr>
                <w:rFonts w:ascii="Arial" w:cs="Arial" w:eastAsia="Arial" w:hAnsi="Arial"/>
                <w:sz w:val="9"/>
                <w:szCs w:val="9"/>
                <w:color w:val="auto"/>
              </w:rPr>
              <w:t>units</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rPr>
                <w:sz w:val="20"/>
                <w:szCs w:val="20"/>
                <w:color w:val="auto"/>
              </w:rPr>
            </w:pPr>
            <w:r>
              <w:rPr>
                <w:rFonts w:ascii="Arial" w:cs="Arial" w:eastAsia="Arial" w:hAnsi="Arial"/>
                <w:sz w:val="9"/>
                <w:szCs w:val="9"/>
                <w:color w:val="auto"/>
              </w:rPr>
              <w:t>102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(341)</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(340)</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Issuance of common shares pursuant to research agreement</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100</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2,073</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2,074</w:t>
            </w:r>
          </w:p>
        </w:tc>
      </w:tr>
      <w:tr>
        <w:trPr>
          <w:trHeight w:val="98"/>
        </w:trPr>
        <w:tc>
          <w:tcPr>
            <w:tcW w:w="264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Stock-based compensation</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14,667</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14,667</w:t>
            </w:r>
          </w:p>
        </w:tc>
      </w:tr>
      <w:tr>
        <w:trPr>
          <w:trHeight w:val="98"/>
        </w:trPr>
        <w:tc>
          <w:tcPr>
            <w:tcW w:w="2640" w:type="dxa"/>
            <w:vAlign w:val="bottom"/>
          </w:tcPr>
          <w:p>
            <w:pPr>
              <w:ind w:left="80"/>
              <w:spacing w:after="0" w:line="98" w:lineRule="exact"/>
              <w:rPr>
                <w:sz w:val="20"/>
                <w:szCs w:val="20"/>
                <w:color w:val="auto"/>
              </w:rPr>
            </w:pPr>
            <w:r>
              <w:rPr>
                <w:rFonts w:ascii="Arial" w:cs="Arial" w:eastAsia="Arial" w:hAnsi="Arial"/>
                <w:sz w:val="9"/>
                <w:szCs w:val="9"/>
                <w:color w:val="auto"/>
              </w:rPr>
              <w:t>Net loss</w:t>
            </w:r>
          </w:p>
        </w:tc>
        <w:tc>
          <w:tcPr>
            <w:tcW w:w="38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40" w:type="dxa"/>
            <w:vAlign w:val="bottom"/>
            <w:gridSpan w:val="2"/>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41"/>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(230,548)</w:t>
            </w:r>
          </w:p>
        </w:tc>
        <w:tc>
          <w:tcPr>
            <w:tcW w:w="5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(230,548)</w:t>
            </w: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6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2006</w:t>
            </w:r>
          </w:p>
        </w:tc>
        <w:tc>
          <w:tcPr>
            <w:tcW w:w="3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    —</w:t>
            </w:r>
          </w:p>
        </w:tc>
        <w:tc>
          <w:tcPr>
            <w:tcW w:w="40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41"/>
              <w:spacing w:after="0" w:line="98" w:lineRule="exact"/>
              <w:rPr>
                <w:sz w:val="20"/>
                <w:szCs w:val="20"/>
                <w:color w:val="auto"/>
              </w:rPr>
            </w:pPr>
            <w:r>
              <w:rPr>
                <w:rFonts w:ascii="Arial" w:cs="Arial" w:eastAsia="Arial" w:hAnsi="Arial"/>
                <w:sz w:val="9"/>
                <w:szCs w:val="9"/>
                <w:color w:val="auto"/>
              </w:rPr>
              <w:t>73,360</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   734</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6"/>
              </w:rPr>
              <w:t>$ 1,170,602</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88"/>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7"/>
              </w:rPr>
              <w:t>$   (787,849)</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3"/>
              </w:rPr>
              <w:t>$  383,487</w:t>
            </w:r>
          </w:p>
        </w:tc>
      </w:tr>
      <w:tr>
        <w:trPr>
          <w:trHeight w:val="29"/>
        </w:trPr>
        <w:tc>
          <w:tcPr>
            <w:tcW w:w="2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3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STATEMENTS OF CASH FLOWS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restart"/>
          </w:tcPr>
          <w:p>
            <w:pPr>
              <w:jc w:val="right"/>
              <w:ind w:right="48"/>
              <w:spacing w:after="0"/>
              <w:rPr>
                <w:sz w:val="20"/>
                <w:szCs w:val="20"/>
                <w:color w:val="auto"/>
              </w:rPr>
            </w:pPr>
            <w:r>
              <w:rPr>
                <w:rFonts w:ascii="Arial" w:cs="Arial" w:eastAsia="Arial" w:hAnsi="Arial"/>
                <w:sz w:val="10"/>
                <w:szCs w:val="10"/>
                <w:b w:val="1"/>
                <w:bCs w:val="1"/>
                <w:color w:val="auto"/>
                <w:w w:val="93"/>
              </w:rPr>
              <w:t>Years Ended December 31,</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0" w:type="dxa"/>
            <w:vAlign w:val="bottom"/>
          </w:tcPr>
          <w:p>
            <w:pPr>
              <w:spacing w:after="0"/>
              <w:rPr>
                <w:sz w:val="1"/>
                <w:szCs w:val="1"/>
                <w:color w:val="auto"/>
              </w:rPr>
            </w:pPr>
          </w:p>
        </w:tc>
      </w:tr>
      <w:tr>
        <w:trPr>
          <w:trHeight w:val="115"/>
        </w:trPr>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98"/>
        </w:trPr>
        <w:tc>
          <w:tcPr>
            <w:tcW w:w="6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2004</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60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42"/>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(75,992)</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  (114,338)</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w w:val="95"/>
              </w:rPr>
              <w:t>$  (230,548)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(787,849)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7,179</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7,391</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8,517</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39,154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 (benefit)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6,810</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(1,728)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14,667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37,185</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Stock expense for shares issued pursuant to research agreement</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2,074</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2,074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on sale and abandonment/disposal of property and equipment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528</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16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3,446</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Accrued interest on investments, net of amortization of premiums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(146)</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204</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In-process research and development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19,726</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Discount on stockholder notes below market rate</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compensation expense of officer resulting from stockholder contribution</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Accrued interest expense on notes payable to stockholders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1,538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interest expense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Accrued interest on notes receivable</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(107)</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(747)</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Goodwill impairment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151,428</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Loss on available-for-sale securities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86</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assets and liabilities: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State research and development credit exchange receivable</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(2,530)</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(695)</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rPr>
              <w:t>(693)</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(3,918)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(1,406)</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221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(7,606)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(10,650)</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129</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(224)</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(362)</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1,486</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509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7,168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10,715</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4,244</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9,185</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16,426</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34,244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liabilities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(47)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Payment of deferred compensation</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(271)</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(1,373)</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used in operating activities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(59,887)</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(101,229)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(189,794)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(503,393)</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Purchase of marketable securities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(16,353)</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(258,150)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(154,431)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(557,149)</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Sales of marketable securities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13,648</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180,245</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126,900</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439,940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Purchase of property and equipment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(6,895)</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(17,169)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(20,773)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(131,142)</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Proceeds from sale of property and equipment</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90</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583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60"/>
              <w:spacing w:after="0"/>
              <w:rPr>
                <w:sz w:val="20"/>
                <w:szCs w:val="20"/>
                <w:color w:val="auto"/>
              </w:rPr>
            </w:pPr>
            <w:r>
              <w:rPr>
                <w:rFonts w:ascii="Arial" w:cs="Arial" w:eastAsia="Arial" w:hAnsi="Arial"/>
                <w:sz w:val="12"/>
                <w:szCs w:val="12"/>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(9,624)</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(94,401)</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rPr>
              <w:t>(48,272)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(248,137)</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Issuance of common stock and warrants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84,731</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172,680</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390,657</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883,908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Collection of Series C convertible preferred stock subscriptions receivable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18,153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20"/>
                <w:szCs w:val="20"/>
                <w:color w:val="auto"/>
              </w:rPr>
            </w:pPr>
            <w:r>
              <w:rPr>
                <w:rFonts w:ascii="Arial" w:cs="Arial" w:eastAsia="Arial" w:hAnsi="Arial"/>
                <w:sz w:val="12"/>
                <w:szCs w:val="12"/>
                <w:color w:val="auto"/>
              </w:rPr>
              <w:t>Issuance of Series B convertible preferred stock for cash</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STATEMENTS OF CASH FLOWS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vMerge w:val="restart"/>
          </w:tcPr>
          <w:p>
            <w:pPr>
              <w:jc w:val="right"/>
              <w:ind w:right="48"/>
              <w:spacing w:after="0"/>
              <w:rPr>
                <w:sz w:val="20"/>
                <w:szCs w:val="20"/>
                <w:color w:val="auto"/>
              </w:rPr>
            </w:pPr>
            <w:r>
              <w:rPr>
                <w:rFonts w:ascii="Arial" w:cs="Arial" w:eastAsia="Arial" w:hAnsi="Arial"/>
                <w:sz w:val="10"/>
                <w:szCs w:val="10"/>
                <w:b w:val="1"/>
                <w:bCs w:val="1"/>
                <w:color w:val="auto"/>
                <w:w w:val="93"/>
              </w:rPr>
              <w:t>Years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0" w:type="dxa"/>
            <w:vAlign w:val="bottom"/>
          </w:tcPr>
          <w:p>
            <w:pPr>
              <w:spacing w:after="0"/>
              <w:rPr>
                <w:sz w:val="1"/>
                <w:szCs w:val="1"/>
                <w:color w:val="auto"/>
              </w:rPr>
            </w:pPr>
          </w:p>
        </w:tc>
      </w:tr>
      <w:tr>
        <w:trPr>
          <w:trHeight w:val="115"/>
        </w:trPr>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98"/>
        </w:trPr>
        <w:tc>
          <w:tcPr>
            <w:tcW w:w="6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2004</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42"/>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3"/>
          </w:tcPr>
          <w:p>
            <w:pPr>
              <w:jc w:val="right"/>
              <w:ind w:right="26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received for common stock to be issued</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Repurchase of common stock</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(1,028)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Put shares sold to majority stockholder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Borrowings under lines of credit</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4,220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notes receivables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1,742</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Borrowings on notes payable from principal stockholder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70,000</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notes payable to principal stockholder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(70,000)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Borrowings on notes payable</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3,460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notes payable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(1,667)</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Payable to stockholder</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(1,406)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senior convertible notes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111,267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111,267</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Payment of employment taxes related to vested restricted stock units</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(340)</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provided by financing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101,478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172,680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501,584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1,071,085</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40"/>
              <w:spacing w:after="0"/>
              <w:rPr>
                <w:sz w:val="20"/>
                <w:szCs w:val="20"/>
                <w:color w:val="auto"/>
              </w:rPr>
            </w:pPr>
            <w:r>
              <w:rPr>
                <w:rFonts w:ascii="Arial" w:cs="Arial" w:eastAsia="Arial" w:hAnsi="Arial"/>
                <w:sz w:val="12"/>
                <w:szCs w:val="12"/>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00" w:type="dxa"/>
            <w:vAlign w:val="bottom"/>
            <w:vMerge w:val="continue"/>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31,967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88"/>
              <w:spacing w:after="0"/>
              <w:rPr>
                <w:sz w:val="20"/>
                <w:szCs w:val="20"/>
                <w:color w:val="auto"/>
              </w:rPr>
            </w:pPr>
            <w:r>
              <w:rPr>
                <w:rFonts w:ascii="Arial" w:cs="Arial" w:eastAsia="Arial" w:hAnsi="Arial"/>
                <w:sz w:val="12"/>
                <w:szCs w:val="12"/>
                <w:color w:val="auto"/>
              </w:rPr>
              <w:t>(22,950)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263,518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319,555</w:t>
            </w:r>
          </w:p>
        </w:tc>
        <w:tc>
          <w:tcPr>
            <w:tcW w:w="0" w:type="dxa"/>
            <w:vAlign w:val="bottom"/>
          </w:tcPr>
          <w:p>
            <w:pPr>
              <w:spacing w:after="0"/>
              <w:rPr>
                <w:sz w:val="1"/>
                <w:szCs w:val="1"/>
                <w:color w:val="auto"/>
              </w:rPr>
            </w:pPr>
          </w:p>
        </w:tc>
      </w:tr>
      <w:tr>
        <w:trPr>
          <w:trHeight w:val="150"/>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PERIOD</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47,020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78,987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56,037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2"/>
                <w:szCs w:val="12"/>
                <w:color w:val="auto"/>
              </w:rPr>
              <w:t>CASH AND CASH EQUIVALENTS, END OF PERIOD</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78,987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56,037</w:t>
            </w:r>
          </w:p>
        </w:tc>
        <w:tc>
          <w:tcPr>
            <w:tcW w:w="38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319,555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319,555</w:t>
            </w:r>
          </w:p>
        </w:tc>
        <w:tc>
          <w:tcPr>
            <w:tcW w:w="0" w:type="dxa"/>
            <w:vAlign w:val="bottom"/>
          </w:tcPr>
          <w:p>
            <w:pPr>
              <w:spacing w:after="0"/>
              <w:rPr>
                <w:sz w:val="1"/>
                <w:szCs w:val="1"/>
                <w:color w:val="auto"/>
              </w:rPr>
            </w:pPr>
          </w:p>
        </w:tc>
      </w:tr>
      <w:tr>
        <w:trPr>
          <w:trHeight w:val="155"/>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FLOWS DISCLOSURES:</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Cash paid for income taxes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48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1</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paid in cash</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1,695</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Accretion on redeemable convertible preferred stock</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(60)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(952)</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upon conversion of notes payable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3,331</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Increase in additional paid-in capital resulting from merger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171,154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for notes receivable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2,758</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Issuance of put option by stockholder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(2,949)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Put option redemption by stockholder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1,921</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Notes receivable by stockholder issued to officers</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(225)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Series C convertible preferred stock subscriptions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Issuance of Series A redeemable convertible preferred stock</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4,296</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Conversion of Series A redeemable convertible preferred stock</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(5,248)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(5,248)</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See notes to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175"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 and Basis of Presentation</w:t>
      </w:r>
    </w:p>
    <w:p>
      <w:pPr>
        <w:spacing w:after="0" w:line="100"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Business </w:t>
      </w:r>
      <w:r>
        <w:rPr>
          <w:rFonts w:ascii="Arial" w:cs="Arial" w:eastAsia="Arial" w:hAnsi="Arial"/>
          <w:sz w:val="12"/>
          <w:szCs w:val="12"/>
          <w:color w:val="auto"/>
        </w:rPr>
        <w:t>— MannKind Corporation (the “Company”) is a biopharmaceutical company focused on the development and commercialization of therapeutic products for diseases such</w:t>
      </w:r>
      <w:r>
        <w:rPr>
          <w:rFonts w:ascii="Arial" w:cs="Arial" w:eastAsia="Arial" w:hAnsi="Arial"/>
          <w:sz w:val="12"/>
          <w:szCs w:val="12"/>
          <w:i w:val="1"/>
          <w:iCs w:val="1"/>
          <w:color w:val="auto"/>
        </w:rPr>
        <w:t xml:space="preserve"> </w:t>
      </w:r>
      <w:r>
        <w:rPr>
          <w:rFonts w:ascii="Arial" w:cs="Arial" w:eastAsia="Arial" w:hAnsi="Arial"/>
          <w:sz w:val="12"/>
          <w:szCs w:val="12"/>
          <w:color w:val="auto"/>
        </w:rPr>
        <w:t>as diabetes and cancer. The Company’s lead investigational product candidate, the Technosphere Insulin System, is currently in Phase 3 clinical trials in the U.S.,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Basis of Presentation </w:t>
      </w:r>
      <w:r>
        <w:rPr>
          <w:rFonts w:ascii="Arial" w:cs="Arial" w:eastAsia="Arial" w:hAnsi="Arial"/>
          <w:sz w:val="12"/>
          <w:szCs w:val="12"/>
          <w:color w:val="auto"/>
        </w:rPr>
        <w:t>— The Company is considered to be in the development stage as its primary activities since incorporation have been establishing its facilities, recruiting</w:t>
      </w:r>
      <w:r>
        <w:rPr>
          <w:rFonts w:ascii="Arial" w:cs="Arial" w:eastAsia="Arial" w:hAnsi="Arial"/>
          <w:sz w:val="12"/>
          <w:szCs w:val="12"/>
          <w:i w:val="1"/>
          <w:iCs w:val="1"/>
          <w:color w:val="auto"/>
        </w:rPr>
        <w:t xml:space="preserve"> </w:t>
      </w:r>
      <w:r>
        <w:rPr>
          <w:rFonts w:ascii="Arial" w:cs="Arial" w:eastAsia="Arial" w:hAnsi="Arial"/>
          <w:sz w:val="12"/>
          <w:szCs w:val="12"/>
          <w:color w:val="auto"/>
        </w:rPr>
        <w:t>personnel, conducting research and development, business development, business and financial planning, and raising capital. Since its inception through December 31, 2006 the Company has reported accumulated net losses of $787.8 million, which include a goodwill impairment charge of $151.4 million (see Note 2), and negative cash flow from operations of $503.4 million. It is costly to develop therapeutic products and conduct clinical trials for these products. Based upon the Company’s current expectations, management believes the Company’s existing capital resources will enable it to continue planned operations into the first quarter of 2008.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w:t>
      </w:r>
    </w:p>
    <w:p>
      <w:pPr>
        <w:spacing w:after="0" w:line="59" w:lineRule="exact"/>
        <w:rPr>
          <w:sz w:val="20"/>
          <w:szCs w:val="20"/>
          <w:color w:val="auto"/>
        </w:rPr>
      </w:pPr>
    </w:p>
    <w:p>
      <w:pPr>
        <w:ind w:left="680" w:right="40" w:firstLine="399"/>
        <w:spacing w:after="0" w:line="301" w:lineRule="auto"/>
        <w:rPr>
          <w:sz w:val="20"/>
          <w:szCs w:val="20"/>
          <w:color w:val="auto"/>
        </w:rPr>
      </w:pPr>
      <w:r>
        <w:rPr>
          <w:rFonts w:ascii="Arial" w:cs="Arial" w:eastAsia="Arial" w:hAnsi="Arial"/>
          <w:sz w:val="11"/>
          <w:szCs w:val="11"/>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w:t>
      </w:r>
    </w:p>
    <w:p>
      <w:pPr>
        <w:spacing w:after="0" w:line="2"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72"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Segment Information </w:t>
      </w:r>
      <w:r>
        <w:rPr>
          <w:rFonts w:ascii="Arial" w:cs="Arial" w:eastAsia="Arial" w:hAnsi="Arial"/>
          <w:sz w:val="13"/>
          <w:szCs w:val="13"/>
          <w:color w:val="auto"/>
        </w:rPr>
        <w:t>— In accordance with Statement of Financial Accounting Standards (“SFAS”) No. 131,</w:t>
      </w:r>
      <w:r>
        <w:rPr>
          <w:rFonts w:ascii="Arial" w:cs="Arial" w:eastAsia="Arial" w:hAnsi="Arial"/>
          <w:sz w:val="13"/>
          <w:szCs w:val="13"/>
          <w:i w:val="1"/>
          <w:iCs w:val="1"/>
          <w:color w:val="auto"/>
        </w:rPr>
        <w:t xml:space="preserve"> Disclosures about Segments of an Enterprise and Related Information</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Private Placement </w:t>
      </w:r>
      <w:r>
        <w:rPr>
          <w:rFonts w:ascii="Arial" w:cs="Arial" w:eastAsia="Arial" w:hAnsi="Arial"/>
          <w:sz w:val="13"/>
          <w:szCs w:val="13"/>
          <w:color w:val="auto"/>
        </w:rPr>
        <w:t>— On August 5, 2005, the Company completed a $175.0 million private placement of common stock and the concurrent issuance of warrants for the purchase of</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additional shares of common stock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60"/>
        <w:spacing w:after="0" w:line="334" w:lineRule="auto"/>
        <w:rPr>
          <w:sz w:val="20"/>
          <w:szCs w:val="20"/>
          <w:color w:val="auto"/>
        </w:rPr>
      </w:pPr>
      <w:r>
        <w:rPr>
          <w:rFonts w:ascii="Arial" w:cs="Arial" w:eastAsia="Arial" w:hAnsi="Arial"/>
          <w:sz w:val="11"/>
          <w:szCs w:val="11"/>
          <w:color w:val="auto"/>
        </w:rPr>
        <w:t>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In connection with this private placement, the Company paid $4.5 million in commissions to the placement agents and incurred $300,000 in other offering expenses which resulted in net proceeds of approximately $170.2 million.</w:t>
      </w:r>
    </w:p>
    <w:p>
      <w:pPr>
        <w:spacing w:after="0" w:line="32"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i w:val="1"/>
          <w:iCs w:val="1"/>
          <w:color w:val="auto"/>
        </w:rPr>
        <w:t xml:space="preserve">Public Offerings </w:t>
      </w:r>
      <w:r>
        <w:rPr>
          <w:rFonts w:ascii="Arial" w:cs="Arial" w:eastAsia="Arial" w:hAnsi="Arial"/>
          <w:sz w:val="12"/>
          <w:szCs w:val="12"/>
          <w:color w:val="auto"/>
        </w:rPr>
        <w:t>— On November 1, 2006, the Company filed a shelf registration statement with the Securities and Exchange Commission for the issuance of up to $500 million of</w:t>
      </w:r>
      <w:r>
        <w:rPr>
          <w:rFonts w:ascii="Arial" w:cs="Arial" w:eastAsia="Arial" w:hAnsi="Arial"/>
          <w:sz w:val="12"/>
          <w:szCs w:val="12"/>
          <w:i w:val="1"/>
          <w:iCs w:val="1"/>
          <w:color w:val="auto"/>
        </w:rPr>
        <w:t xml:space="preserve"> </w:t>
      </w:r>
      <w:r>
        <w:rPr>
          <w:rFonts w:ascii="Arial" w:cs="Arial" w:eastAsia="Arial" w:hAnsi="Arial"/>
          <w:sz w:val="12"/>
          <w:szCs w:val="12"/>
          <w:color w:val="auto"/>
        </w:rPr>
        <w:t>our equity and debt securities from time to time in one or more transactions. On December 7, 2006, the Company increased such offering by an amount not to exceed $15.7 million. On December 12, 2006, the Company closed the sale of 20,000,000 shares of its common stock at a public offering price of $17.42 per share and on December 19, 2006, closed the sale of an additional 3,000,000 shares of its common stock at a public offering price of $17.42 per shares pursuant to an over-allotment option granted to the underwriters of the offering. The resulting aggregate net proceeds to the Company from this common stock offering were approximately $384.7 million after expenses. On December 12, 2006, the Company also sold $115.0 million aggregate principal amount of 3.75% Senior Convertible Notes due 2013, which included $15.0 million aggregate principal amount of the notes sold to cover over-allotments. The resulting aggregate net proceeds to the Company from this note offering were approximately $111.3 million after expenses.</w:t>
      </w:r>
    </w:p>
    <w:p>
      <w:pPr>
        <w:spacing w:after="0" w:line="133"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jc w:val="both"/>
        <w:ind w:left="680" w:right="400" w:firstLine="399"/>
        <w:spacing w:after="0" w:line="371" w:lineRule="auto"/>
        <w:rPr>
          <w:sz w:val="20"/>
          <w:szCs w:val="20"/>
          <w:color w:val="auto"/>
        </w:rPr>
      </w:pPr>
      <w:r>
        <w:rPr>
          <w:rFonts w:ascii="Arial" w:cs="Arial" w:eastAsia="Arial" w:hAnsi="Arial"/>
          <w:sz w:val="11"/>
          <w:szCs w:val="11"/>
          <w:i w:val="1"/>
          <w:iCs w:val="1"/>
          <w:color w:val="auto"/>
        </w:rPr>
        <w:t xml:space="preserve">Financial Statement Estimates </w:t>
      </w:r>
      <w:r>
        <w:rPr>
          <w:rFonts w:ascii="Arial" w:cs="Arial" w:eastAsia="Arial" w:hAnsi="Arial"/>
          <w:sz w:val="11"/>
          <w:szCs w:val="11"/>
          <w:color w:val="auto"/>
        </w:rPr>
        <w:t>— The preparation of financial statements in conformity with accounting principles generally accepted in the United States of America requires</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to make estimates and assumptions that affect the amounts reported in the financial statements and accompanying notes. Actual results could differ from those estimates.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The Company considers all highly liquid investments with a purchased maturity date of three months or less to be cash equivalents.</w:t>
      </w:r>
    </w:p>
    <w:p>
      <w:pPr>
        <w:spacing w:after="0" w:line="96"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i w:val="1"/>
          <w:iCs w:val="1"/>
          <w:color w:val="auto"/>
        </w:rPr>
        <w:t xml:space="preserve">Concentration of Credit Risk </w:t>
      </w:r>
      <w:r>
        <w:rPr>
          <w:rFonts w:ascii="Arial" w:cs="Arial" w:eastAsia="Arial" w:hAnsi="Arial"/>
          <w:sz w:val="13"/>
          <w:szCs w:val="13"/>
          <w:color w:val="auto"/>
        </w:rPr>
        <w:t>— Financial instruments that potentially subject the Company to concentration of credit risk consist of cash and cash equivalents and marketable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Cash and cash equivalents consist primarily of interest-bearing accounts and are regularly monitored by management and held in high credit quality institutions. Marketable securities consist of highly liquid short-term investment securities such as government and investment-grade corporate debt.</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Marketable Securities </w:t>
      </w:r>
      <w:r>
        <w:rPr>
          <w:rFonts w:ascii="Arial" w:cs="Arial" w:eastAsia="Arial" w:hAnsi="Arial"/>
          <w:sz w:val="12"/>
          <w:szCs w:val="12"/>
          <w:color w:val="auto"/>
        </w:rPr>
        <w:t>— The Company accounts for marketable securities as available for sale, in accordance with SFAS No. 115,</w:t>
      </w:r>
      <w:r>
        <w:rPr>
          <w:rFonts w:ascii="Arial" w:cs="Arial" w:eastAsia="Arial" w:hAnsi="Arial"/>
          <w:sz w:val="12"/>
          <w:szCs w:val="12"/>
          <w:i w:val="1"/>
          <w:iCs w:val="1"/>
          <w:color w:val="auto"/>
        </w:rPr>
        <w:t xml:space="preserve"> Accounting for Certain Debt and Equity Securities. </w:t>
      </w:r>
      <w:r>
        <w:rPr>
          <w:rFonts w:ascii="Arial" w:cs="Arial" w:eastAsia="Arial" w:hAnsi="Arial"/>
          <w:sz w:val="12"/>
          <w:szCs w:val="12"/>
          <w:color w:val="auto"/>
        </w:rPr>
        <w:t xml:space="preserve">Unrealized holding gains and losses for available-for-sale securities are reported as a separate component of stockholders’ equity until realized. The Company reviews the portfolio for other than temporary impairment in accordance with Emerging Issues Task Force (“EITF”) Issue No. 03-01, </w:t>
      </w:r>
      <w:r>
        <w:rPr>
          <w:rFonts w:ascii="Arial" w:cs="Arial" w:eastAsia="Arial" w:hAnsi="Arial"/>
          <w:sz w:val="12"/>
          <w:szCs w:val="12"/>
          <w:i w:val="1"/>
          <w:iCs w:val="1"/>
          <w:color w:val="auto"/>
        </w:rPr>
        <w:t>The Meaning of Other-Than-Temporary Impairment and Its Application to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Investments </w:t>
      </w:r>
      <w:r>
        <w:rPr>
          <w:rFonts w:ascii="Arial" w:cs="Arial" w:eastAsia="Arial" w:hAnsi="Arial"/>
          <w:sz w:val="12"/>
          <w:szCs w:val="12"/>
          <w:color w:val="auto"/>
        </w:rPr>
        <w:t>and FASB Staff Position No. 115-1,</w:t>
      </w:r>
      <w:r>
        <w:rPr>
          <w:rFonts w:ascii="Arial" w:cs="Arial" w:eastAsia="Arial" w:hAnsi="Arial"/>
          <w:sz w:val="12"/>
          <w:szCs w:val="12"/>
          <w:i w:val="1"/>
          <w:iCs w:val="1"/>
          <w:color w:val="auto"/>
        </w:rPr>
        <w:t xml:space="preserve"> The Meaning of Other-Than-Temporary Impairment and Its Application to Certain Investments.</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State Research and Development Credit Exchange Receivable </w:t>
      </w:r>
      <w:r>
        <w:rPr>
          <w:rFonts w:ascii="Arial" w:cs="Arial" w:eastAsia="Arial" w:hAnsi="Arial"/>
          <w:sz w:val="13"/>
          <w:szCs w:val="13"/>
          <w:color w:val="auto"/>
        </w:rPr>
        <w:t>— The State of Connecticut provides certain companies with the opportunity to exchange certain research and</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Fair Value of Financial Instruments </w:t>
      </w:r>
      <w:r>
        <w:rPr>
          <w:rFonts w:ascii="Arial" w:cs="Arial" w:eastAsia="Arial" w:hAnsi="Arial"/>
          <w:sz w:val="13"/>
          <w:szCs w:val="13"/>
          <w:color w:val="auto"/>
        </w:rPr>
        <w:t>— The carrying amounts of financial instruments, which include cash equivalents, marketable securities, accounts payable, accrued expenses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current liabilities and payable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jc w:val="both"/>
        <w:ind w:left="680" w:right="180"/>
        <w:spacing w:after="0" w:line="264" w:lineRule="auto"/>
        <w:rPr>
          <w:sz w:val="20"/>
          <w:szCs w:val="20"/>
          <w:color w:val="auto"/>
        </w:rPr>
      </w:pPr>
      <w:r>
        <w:rPr>
          <w:rFonts w:ascii="Arial" w:cs="Arial" w:eastAsia="Arial" w:hAnsi="Arial"/>
          <w:sz w:val="13"/>
          <w:szCs w:val="13"/>
          <w:color w:val="auto"/>
        </w:rPr>
        <w:t>stockholder, approximate their fair values due to their relatively short maturities. The carrying amounts of the notes receivable from stockholders through the dates when they were settled reflect market rates of interest for similar loans of similar amounts and terms available from a third party (see Notes 7 and 8). The carrying amounts of the senior convertible notes reflect market rates of interest for similar loans of similar amounts and terms to a third party (see Note 10).</w:t>
      </w:r>
    </w:p>
    <w:p>
      <w:pPr>
        <w:spacing w:after="0" w:line="67"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i w:val="1"/>
          <w:iCs w:val="1"/>
          <w:color w:val="auto"/>
        </w:rPr>
        <w:t xml:space="preserve">Goodwill and Identifiable Intangibles </w:t>
      </w:r>
      <w:r>
        <w:rPr>
          <w:rFonts w:ascii="Arial" w:cs="Arial" w:eastAsia="Arial" w:hAnsi="Arial"/>
          <w:sz w:val="12"/>
          <w:szCs w:val="12"/>
          <w:color w:val="auto"/>
        </w:rPr>
        <w:t>— As a result of the merger with AlleCure and CTL on December 12, 2001, as described in Note 1, goodwill of $151.4 million was recorded at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entity level in 2001. Upon adoption of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the Company adopted a policy of testing goodwill and intangible assets with indefinite lives for impairment at 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w:t>
      </w:r>
    </w:p>
    <w:p>
      <w:pPr>
        <w:spacing w:after="0" w:line="60"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i w:val="1"/>
          <w:iCs w:val="1"/>
          <w:color w:val="auto"/>
        </w:rPr>
        <w:t xml:space="preserve">Property and Equipment </w:t>
      </w:r>
      <w:r>
        <w:rPr>
          <w:rFonts w:ascii="Arial" w:cs="Arial" w:eastAsia="Arial" w:hAnsi="Arial"/>
          <w:sz w:val="11"/>
          <w:szCs w:val="11"/>
          <w:color w:val="auto"/>
        </w:rPr>
        <w:t>— Property and equipment are recorded at cost and depreciated using the straight-line method over the estimated useful lives of the related assets. Leasehold</w:t>
      </w:r>
      <w:r>
        <w:rPr>
          <w:rFonts w:ascii="Arial" w:cs="Arial" w:eastAsia="Arial" w:hAnsi="Arial"/>
          <w:sz w:val="11"/>
          <w:szCs w:val="11"/>
          <w:i w:val="1"/>
          <w:iCs w:val="1"/>
          <w:color w:val="auto"/>
        </w:rPr>
        <w:t xml:space="preserve"> </w:t>
      </w:r>
      <w:r>
        <w:rPr>
          <w:rFonts w:ascii="Arial" w:cs="Arial" w:eastAsia="Arial" w:hAnsi="Arial"/>
          <w:sz w:val="11"/>
          <w:szCs w:val="11"/>
          <w:color w:val="auto"/>
        </w:rPr>
        <w:t>improvements are amortized over the term of the lease or the service lives of the improvements, whichever is shorter. Assets under construction are not depreciated until placed into service.</w:t>
      </w:r>
    </w:p>
    <w:p>
      <w:pPr>
        <w:spacing w:after="0" w:line="1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Impairment of Long-Lived Assets </w:t>
      </w:r>
      <w:r>
        <w:rPr>
          <w:rFonts w:ascii="Arial" w:cs="Arial" w:eastAsia="Arial" w:hAnsi="Arial"/>
          <w:sz w:val="13"/>
          <w:szCs w:val="13"/>
          <w:color w:val="auto"/>
        </w:rPr>
        <w:t>— The Company evaluates long-lived assets for impairment whenever events or changes in circumstances indicate that the carrying value of an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asset may not be recoverable in accordance with SFAS No. 144, </w:t>
      </w:r>
      <w:r>
        <w:rPr>
          <w:rFonts w:ascii="Arial" w:cs="Arial" w:eastAsia="Arial" w:hAnsi="Arial"/>
          <w:sz w:val="13"/>
          <w:szCs w:val="13"/>
          <w:i w:val="1"/>
          <w:iCs w:val="1"/>
          <w:color w:val="auto"/>
        </w:rPr>
        <w:t>Accounting for the Impairment or Disposal of Long Lived-Assets.</w:t>
      </w:r>
      <w:r>
        <w:rPr>
          <w:rFonts w:ascii="Arial" w:cs="Arial" w:eastAsia="Arial" w:hAnsi="Arial"/>
          <w:sz w:val="13"/>
          <w:szCs w:val="13"/>
          <w:color w:val="auto"/>
        </w:rPr>
        <w:t xml:space="preserve"> Assets are considered to be impaired if the carrying value may not be recoverable based upon management’s assessment of the following events or changes in circumstances:</w:t>
      </w:r>
    </w:p>
    <w:p>
      <w:pPr>
        <w:spacing w:after="0" w:line="67"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significant changes in the Company’s strategic business objectives and utilization of the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determination that the carrying value of such assets can not be recovered through undiscounted cash flows;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loss of legal ownership or title to the assets;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significant negative industry or economic trends.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For the years ended December 31, 2004, 2005 and 2006, the Company did not consider any long-lived assets to be impaired based on management’s assessment.</w:t>
      </w:r>
    </w:p>
    <w:p>
      <w:pPr>
        <w:spacing w:after="0" w:line="67"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i w:val="1"/>
          <w:iCs w:val="1"/>
          <w:color w:val="auto"/>
        </w:rPr>
        <w:t xml:space="preserve">Accounts Payable and Accrued Expenses </w:t>
      </w:r>
      <w:r>
        <w:rPr>
          <w:rFonts w:ascii="Arial" w:cs="Arial" w:eastAsia="Arial" w:hAnsi="Arial"/>
          <w:sz w:val="12"/>
          <w:szCs w:val="12"/>
          <w:color w:val="auto"/>
        </w:rPr>
        <w:t>— All liabilities, including accounts payable and accrued expenses, are recorded consistent with the definition of liabilities and accrual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accounting as provided by Financial Accounting Standards Board (“FASB”) Statement of Financial Accounting Concepts No. 6, </w:t>
      </w:r>
      <w:r>
        <w:rPr>
          <w:rFonts w:ascii="Arial" w:cs="Arial" w:eastAsia="Arial" w:hAnsi="Arial"/>
          <w:sz w:val="12"/>
          <w:szCs w:val="12"/>
          <w:i w:val="1"/>
          <w:iCs w:val="1"/>
          <w:color w:val="auto"/>
        </w:rPr>
        <w:t>Elements of Financial Statements.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 In accordance with SFAS No. 109,</w:t>
      </w:r>
      <w:r>
        <w:rPr>
          <w:rFonts w:ascii="Arial" w:cs="Arial" w:eastAsia="Arial" w:hAnsi="Arial"/>
          <w:sz w:val="13"/>
          <w:szCs w:val="13"/>
          <w:i w:val="1"/>
          <w:iCs w:val="1"/>
          <w:color w:val="auto"/>
        </w:rPr>
        <w:t xml:space="preserve"> Accounting for Income Taxes, </w:t>
      </w:r>
      <w:r>
        <w:rPr>
          <w:rFonts w:ascii="Arial" w:cs="Arial" w:eastAsia="Arial" w:hAnsi="Arial"/>
          <w:sz w:val="13"/>
          <w:szCs w:val="13"/>
          <w:color w:val="auto"/>
        </w:rPr>
        <w:t>deferred income tax assets and liabilities are recorded for the expected future tax consequences of</w:t>
      </w:r>
      <w:r>
        <w:rPr>
          <w:rFonts w:ascii="Arial" w:cs="Arial" w:eastAsia="Arial" w:hAnsi="Arial"/>
          <w:sz w:val="13"/>
          <w:szCs w:val="13"/>
          <w:i w:val="1"/>
          <w:iCs w:val="1"/>
          <w:color w:val="auto"/>
        </w:rPr>
        <w:t xml:space="preserve"> </w:t>
      </w:r>
      <w:r>
        <w:rPr>
          <w:rFonts w:ascii="Arial" w:cs="Arial" w:eastAsia="Arial" w:hAnsi="Arial"/>
          <w:sz w:val="13"/>
          <w:szCs w:val="13"/>
          <w:color w:val="auto"/>
        </w:rPr>
        <w:t>temporary differences between the financial statement carrying amounts and the income tax basis of assets and liabilities. A valuation allowance is recorded to reduce net deferred income tax assets to amounts that are more likely than not to be realized.</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Contingencies </w:t>
      </w:r>
      <w:r>
        <w:rPr>
          <w:rFonts w:ascii="Arial" w:cs="Arial" w:eastAsia="Arial" w:hAnsi="Arial"/>
          <w:sz w:val="13"/>
          <w:szCs w:val="13"/>
          <w:color w:val="auto"/>
        </w:rPr>
        <w:t>— Contingencies are recorded in accordance with SFAS No. 5,</w:t>
      </w:r>
      <w:r>
        <w:rPr>
          <w:rFonts w:ascii="Arial" w:cs="Arial" w:eastAsia="Arial" w:hAnsi="Arial"/>
          <w:sz w:val="13"/>
          <w:szCs w:val="13"/>
          <w:i w:val="1"/>
          <w:iCs w:val="1"/>
          <w:color w:val="auto"/>
        </w:rPr>
        <w:t xml:space="preserve"> Accounting for Contingencies.</w:t>
      </w:r>
    </w:p>
    <w:p>
      <w:pPr>
        <w:spacing w:after="0" w:line="96"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 As of December 31, 2006, the Company had three active stock-based compensation plans, which are described more fully in Note 10. On January 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2006, the Company adopted the provisions of SFAS No. 123R (“SFAS No. 123R”), </w:t>
      </w:r>
      <w:r>
        <w:rPr>
          <w:rFonts w:ascii="Arial" w:cs="Arial" w:eastAsia="Arial" w:hAnsi="Arial"/>
          <w:sz w:val="12"/>
          <w:szCs w:val="12"/>
          <w:i w:val="1"/>
          <w:iCs w:val="1"/>
          <w:color w:val="auto"/>
        </w:rPr>
        <w:t>Share-based Payment: an Amendment of FASB Statements No. 123 and 95</w:t>
      </w:r>
      <w:r>
        <w:rPr>
          <w:rFonts w:ascii="Arial" w:cs="Arial" w:eastAsia="Arial" w:hAnsi="Arial"/>
          <w:sz w:val="12"/>
          <w:szCs w:val="12"/>
          <w:color w:val="auto"/>
        </w:rPr>
        <w:t xml:space="preserve">, which is a revision of SFAS No. 123 (“SFAS No.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Prior to January 1, 2006, the Company accounted for employee stock options and the employee stock purchase plan using the intrinsic value method in accordance with Accounting Principles Board (“APB”) Opinion No. 25 (“APB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adopted the disclosure only alternative of SFAS No. 123. SFAS No. 123R eliminated the intrinsic value method of accounting for stock options which the Company followed until December 31, 2005. Further, SFAS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 November 2005, the FASB issued FASB Staff Position No. FAS 123R-3, </w:t>
      </w:r>
      <w:r>
        <w:rPr>
          <w:rFonts w:ascii="Arial" w:cs="Arial" w:eastAsia="Arial" w:hAnsi="Arial"/>
          <w:sz w:val="13"/>
          <w:szCs w:val="13"/>
          <w:i w:val="1"/>
          <w:iCs w:val="1"/>
          <w:color w:val="auto"/>
        </w:rPr>
        <w:t>Transition Election Related to Accounting for Tax Effects of Share-Based Payment Awards</w:t>
      </w:r>
    </w:p>
    <w:p>
      <w:pPr>
        <w:spacing w:after="0" w:line="15" w:lineRule="exact"/>
        <w:rPr>
          <w:sz w:val="20"/>
          <w:szCs w:val="20"/>
          <w:color w:val="auto"/>
        </w:rPr>
      </w:pPr>
    </w:p>
    <w:p>
      <w:pPr>
        <w:ind w:left="680" w:right="140"/>
        <w:spacing w:after="0" w:line="284" w:lineRule="auto"/>
        <w:rPr>
          <w:sz w:val="20"/>
          <w:szCs w:val="20"/>
          <w:color w:val="auto"/>
        </w:rPr>
      </w:pPr>
      <w:r>
        <w:rPr>
          <w:rFonts w:ascii="Arial" w:cs="Arial" w:eastAsia="Arial" w:hAnsi="Arial"/>
          <w:sz w:val="12"/>
          <w:szCs w:val="12"/>
          <w:color w:val="auto"/>
        </w:rPr>
        <w:t>(“FSP No. 123R-3”). The Company has elected to adopt the alternative transition method provided in the FASB Staff Position for calculating the tax effects of stock-based compensation expense pursuant to SFAS No. 123R. The alternative transition method includes a simplified method to establish the beginning balance of the additional paid-in capital pool (“APIC pool”) related to the tax effects of employee and director stock-based compensation expense, and to determine the subsequent impact on the APIC pool and the consolidated statements of cash flows of the tax effects of employee and director stock-based awards that were outstanding upon adoption of SFAS No. 123R.</w:t>
      </w:r>
    </w:p>
    <w:p>
      <w:pPr>
        <w:spacing w:after="0" w:line="5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Warrants </w:t>
      </w:r>
      <w:r>
        <w:rPr>
          <w:rFonts w:ascii="Arial" w:cs="Arial" w:eastAsia="Arial" w:hAnsi="Arial"/>
          <w:sz w:val="13"/>
          <w:szCs w:val="13"/>
          <w:color w:val="auto"/>
        </w:rPr>
        <w:t>— The Company has issued warrants to purchase shares of its common stock. Warrants have been accounted for as equity in accordance with the provisions of EITF Issue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No. 00-19: </w:t>
      </w:r>
      <w:r>
        <w:rPr>
          <w:rFonts w:ascii="Arial" w:cs="Arial" w:eastAsia="Arial" w:hAnsi="Arial"/>
          <w:sz w:val="13"/>
          <w:szCs w:val="13"/>
          <w:i w:val="1"/>
          <w:iCs w:val="1"/>
          <w:color w:val="auto"/>
        </w:rPr>
        <w:t>Accounting for Derivative Financial Instruments Indexed to, and Potentially Settled in, a Company’s Own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i w:val="1"/>
          <w:iCs w:val="1"/>
          <w:color w:val="auto"/>
        </w:rPr>
        <w:t xml:space="preserve">Research and Development Expenses </w:t>
      </w:r>
      <w:r>
        <w:rPr>
          <w:rFonts w:ascii="Arial" w:cs="Arial" w:eastAsia="Arial" w:hAnsi="Arial"/>
          <w:sz w:val="12"/>
          <w:szCs w:val="12"/>
          <w:color w:val="auto"/>
        </w:rPr>
        <w:t>— Research and development expenses consist primarily of costs associated with the clinical trials of the Company’s product candidates,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manufacturing supplies and other development materials,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SFAS No. 2, </w:t>
      </w:r>
      <w:r>
        <w:rPr>
          <w:rFonts w:ascii="Arial" w:cs="Arial" w:eastAsia="Arial" w:hAnsi="Arial"/>
          <w:sz w:val="12"/>
          <w:szCs w:val="12"/>
          <w:i w:val="1"/>
          <w:iCs w:val="1"/>
          <w:color w:val="auto"/>
        </w:rPr>
        <w:t>Accounting for Research and Development Costs.</w:t>
      </w:r>
    </w:p>
    <w:p>
      <w:pPr>
        <w:spacing w:after="0" w:line="53" w:lineRule="exact"/>
        <w:rPr>
          <w:sz w:val="20"/>
          <w:szCs w:val="20"/>
          <w:color w:val="auto"/>
        </w:rPr>
      </w:pPr>
    </w:p>
    <w:p>
      <w:pPr>
        <w:ind w:left="680" w:right="60" w:firstLine="399"/>
        <w:spacing w:after="0" w:line="308" w:lineRule="auto"/>
        <w:rPr>
          <w:sz w:val="20"/>
          <w:szCs w:val="20"/>
          <w:color w:val="auto"/>
        </w:rPr>
      </w:pPr>
      <w:r>
        <w:rPr>
          <w:rFonts w:ascii="Arial" w:cs="Arial" w:eastAsia="Arial" w:hAnsi="Arial"/>
          <w:sz w:val="11"/>
          <w:szCs w:val="11"/>
          <w:i w:val="1"/>
          <w:iCs w:val="1"/>
          <w:color w:val="auto"/>
        </w:rPr>
        <w:t xml:space="preserve">Clinical Trial Expenses </w:t>
      </w:r>
      <w:r>
        <w:rPr>
          <w:rFonts w:ascii="Arial" w:cs="Arial" w:eastAsia="Arial" w:hAnsi="Arial"/>
          <w:sz w:val="11"/>
          <w:szCs w:val="11"/>
          <w:color w:val="auto"/>
        </w:rPr>
        <w:t>— Clinical trial expenses, which are reflected in research and development expenses in the accompanying statements of operations, result from obligations</w:t>
      </w:r>
      <w:r>
        <w:rPr>
          <w:rFonts w:ascii="Arial" w:cs="Arial" w:eastAsia="Arial" w:hAnsi="Arial"/>
          <w:sz w:val="11"/>
          <w:szCs w:val="11"/>
          <w:i w:val="1"/>
          <w:iCs w:val="1"/>
          <w:color w:val="auto"/>
        </w:rPr>
        <w:t xml:space="preserve"> </w:t>
      </w:r>
      <w:r>
        <w:rPr>
          <w:rFonts w:ascii="Arial" w:cs="Arial" w:eastAsia="Arial" w:hAnsi="Arial"/>
          <w:sz w:val="11"/>
          <w:szCs w:val="11"/>
          <w:color w:val="auto"/>
        </w:rPr>
        <w:t>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4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 Interest costs are expensed as incurred, except to the extent such interest is related to construction in progress, in which case interest is capitalized.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expense, net, for the year ended December 31, 2006 was $1.7 million. Interest costs capitalized for the year ended December 31, 2006 were $0.1 million. No interest was capitalized for the years ended December 31, 2004 and 2005.</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Net Loss Per Share of Common Stock </w:t>
      </w:r>
      <w:r>
        <w:rPr>
          <w:rFonts w:ascii="Arial" w:cs="Arial" w:eastAsia="Arial" w:hAnsi="Arial"/>
          <w:sz w:val="12"/>
          <w:szCs w:val="12"/>
          <w:color w:val="auto"/>
        </w:rPr>
        <w:t>— Basic net loss per share excludes dilution for potentially dilutive securities and is computed by dividing loss applicable to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Potentially dilutive securities outstanding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800" w:type="dxa"/>
            <w:vAlign w:val="bottom"/>
            <w:tcBorders>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800" w:type="dxa"/>
            <w:vAlign w:val="bottom"/>
            <w:tcBorders>
              <w:bottom w:val="single" w:sz="8" w:color="auto"/>
            </w:tcBorders>
          </w:tcPr>
          <w:p>
            <w:pPr>
              <w:jc w:val="right"/>
              <w:ind w:right="239"/>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800" w:type="dxa"/>
            <w:vAlign w:val="bottom"/>
            <w:tcBorders>
              <w:bottom w:val="single" w:sz="8" w:color="auto"/>
            </w:tcBorders>
          </w:tcPr>
          <w:p>
            <w:pPr>
              <w:jc w:val="right"/>
              <w:ind w:right="21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options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4,067,979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4,985,831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6,216,698</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Conversion into common stock of senior convertible notes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5,117,523</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warrants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131,628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3,438,776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2,895,332</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164,901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776,653</w:t>
            </w:r>
          </w:p>
        </w:tc>
      </w:tr>
    </w:tbl>
    <w:p>
      <w:pPr>
        <w:spacing w:after="0" w:line="72"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i w:val="1"/>
          <w:iCs w:val="1"/>
          <w:color w:val="auto"/>
        </w:rPr>
        <w:t xml:space="preserve">Exit or Disposal Activities </w:t>
      </w:r>
      <w:r>
        <w:rPr>
          <w:rFonts w:ascii="Arial" w:cs="Arial" w:eastAsia="Arial" w:hAnsi="Arial"/>
          <w:sz w:val="12"/>
          <w:szCs w:val="12"/>
          <w:color w:val="auto"/>
        </w:rPr>
        <w:t>— SFAS No. 146,</w:t>
      </w:r>
      <w:r>
        <w:rPr>
          <w:rFonts w:ascii="Arial" w:cs="Arial" w:eastAsia="Arial" w:hAnsi="Arial"/>
          <w:sz w:val="12"/>
          <w:szCs w:val="12"/>
          <w:i w:val="1"/>
          <w:iCs w:val="1"/>
          <w:color w:val="auto"/>
        </w:rPr>
        <w:t xml:space="preserve"> Accounting for Costs Associated with Exit or Disposal Activities</w:t>
      </w:r>
      <w:r>
        <w:rPr>
          <w:rFonts w:ascii="Arial" w:cs="Arial" w:eastAsia="Arial" w:hAnsi="Arial"/>
          <w:sz w:val="12"/>
          <w:szCs w:val="12"/>
          <w:color w:val="auto"/>
        </w:rPr>
        <w:t>, was effective for exit or disposal activities initiated after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2002. SFAS No. 146 addresses financial accounting and reporting for the costs associated with exit or disposal activities and EITF Issue No. 94-3, </w:t>
      </w:r>
      <w:r>
        <w:rPr>
          <w:rFonts w:ascii="Arial" w:cs="Arial" w:eastAsia="Arial" w:hAnsi="Arial"/>
          <w:sz w:val="12"/>
          <w:szCs w:val="12"/>
          <w:i w:val="1"/>
          <w:iCs w:val="1"/>
          <w:color w:val="auto"/>
        </w:rPr>
        <w:t>Liability Recognition for Certain Employee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Termination Benefits and Costs to Exit and Disposal Activity (Including Certain Costs Incurred in a Restructuring). </w:t>
      </w:r>
      <w:r>
        <w:rPr>
          <w:rFonts w:ascii="Arial" w:cs="Arial" w:eastAsia="Arial" w:hAnsi="Arial"/>
          <w:sz w:val="12"/>
          <w:szCs w:val="12"/>
          <w:color w:val="auto"/>
        </w:rPr>
        <w:t>SFAS No. 146 requires that a liability for costs associated with an exit or</w:t>
      </w:r>
      <w:r>
        <w:rPr>
          <w:rFonts w:ascii="Arial" w:cs="Arial" w:eastAsia="Arial" w:hAnsi="Arial"/>
          <w:sz w:val="12"/>
          <w:szCs w:val="12"/>
          <w:i w:val="1"/>
          <w:iCs w:val="1"/>
          <w:color w:val="auto"/>
        </w:rPr>
        <w:t xml:space="preserve"> </w:t>
      </w:r>
      <w:r>
        <w:rPr>
          <w:rFonts w:ascii="Arial" w:cs="Arial" w:eastAsia="Arial" w:hAnsi="Arial"/>
          <w:sz w:val="12"/>
          <w:szCs w:val="12"/>
          <w:color w:val="auto"/>
        </w:rPr>
        <w:t>disposal activity be recognized when the liability is incurred and establishes that fair value is the objective for initial measurements of the liability.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Recently Issued Accounting Standards </w:t>
      </w:r>
      <w:r>
        <w:rPr>
          <w:rFonts w:ascii="Arial" w:cs="Arial" w:eastAsia="Arial" w:hAnsi="Arial"/>
          <w:sz w:val="13"/>
          <w:szCs w:val="13"/>
          <w:color w:val="auto"/>
        </w:rPr>
        <w:t>— In July 2006, the FASB issued Interpretation No. 48,</w:t>
      </w:r>
      <w:r>
        <w:rPr>
          <w:rFonts w:ascii="Arial" w:cs="Arial" w:eastAsia="Arial" w:hAnsi="Arial"/>
          <w:sz w:val="13"/>
          <w:szCs w:val="13"/>
          <w:i w:val="1"/>
          <w:iCs w:val="1"/>
          <w:color w:val="auto"/>
        </w:rPr>
        <w:t xml:space="preserve"> Accounting for Uncertainty in Income Taxes — an interpretation of FASB Statement No. 109 </w:t>
      </w:r>
      <w:r>
        <w:rPr>
          <w:rFonts w:ascii="Arial" w:cs="Arial" w:eastAsia="Arial" w:hAnsi="Arial"/>
          <w:sz w:val="13"/>
          <w:szCs w:val="13"/>
          <w:color w:val="auto"/>
        </w:rPr>
        <w:t>(“FIN 48”). This interpretation clarifies the accounting for uncertainty in income tax recognized in an entity’s financial statements in accordance with SFAS No. 109 which</w:t>
      </w:r>
      <w:r>
        <w:rPr>
          <w:rFonts w:ascii="Arial" w:cs="Arial" w:eastAsia="Arial" w:hAnsi="Arial"/>
          <w:sz w:val="13"/>
          <w:szCs w:val="13"/>
          <w:i w:val="1"/>
          <w:iCs w:val="1"/>
          <w:color w:val="auto"/>
        </w:rPr>
        <w:t xml:space="preserve"> </w:t>
      </w:r>
      <w:r>
        <w:rPr>
          <w:rFonts w:ascii="Arial" w:cs="Arial" w:eastAsia="Arial" w:hAnsi="Arial"/>
          <w:sz w:val="13"/>
          <w:szCs w:val="13"/>
          <w:color w:val="auto"/>
        </w:rPr>
        <w:t>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The provisions of FIN 48 are effective beginning January 1, 2007. The Company is currently evaluating the impact of this Interpretation on its financial statements. The Company does not believe the adoption of FIN 48 will have a material effect on its financial statements.</w:t>
      </w:r>
    </w:p>
    <w:p>
      <w:pPr>
        <w:spacing w:after="0" w:line="72"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SFAS No. 157 defines fair value, establishes a framework for measuring fair value in generally accepted accounting principles, and expands disclosures about fair value measurements. SFAS No. 157 is effective for financial statements issued for fiscal years beginning after November 15, 2007, and interim periods within those fiscal years. The Company is currently evaluating the impact of adopting SFAS No. 157 on its financial statements.</w:t>
      </w:r>
    </w:p>
    <w:p>
      <w:pPr>
        <w:spacing w:after="0" w:line="124"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 in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available-for-sale securities classified as current assets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left="463"/>
              <w:spacing w:after="0"/>
              <w:rPr>
                <w:sz w:val="20"/>
                <w:szCs w:val="20"/>
                <w:color w:val="auto"/>
              </w:rPr>
            </w:pPr>
            <w:r>
              <w:rPr>
                <w:rFonts w:ascii="Arial" w:cs="Arial" w:eastAsia="Arial" w:hAnsi="Arial"/>
                <w:sz w:val="10"/>
                <w:szCs w:val="10"/>
                <w:b w:val="1"/>
                <w:bCs w:val="1"/>
                <w:color w:val="auto"/>
                <w:w w:val="92"/>
              </w:rPr>
              <w:t>December 31,</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tcPr>
          <w:p>
            <w:pPr>
              <w:jc w:val="center"/>
              <w:ind w:left="443"/>
              <w:spacing w:after="0"/>
              <w:rPr>
                <w:sz w:val="20"/>
                <w:szCs w:val="20"/>
                <w:color w:val="auto"/>
              </w:rPr>
            </w:pPr>
            <w:r>
              <w:rPr>
                <w:rFonts w:ascii="Arial" w:cs="Arial" w:eastAsia="Arial" w:hAnsi="Arial"/>
                <w:sz w:val="10"/>
                <w:szCs w:val="10"/>
                <w:b w:val="1"/>
                <w:bCs w:val="1"/>
                <w:color w:val="auto"/>
                <w:w w:val="92"/>
              </w:rPr>
              <w:t>December 31,</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98"/>
        </w:trPr>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63"/>
              <w:spacing w:after="0" w:line="98" w:lineRule="exact"/>
              <w:rPr>
                <w:sz w:val="20"/>
                <w:szCs w:val="20"/>
                <w:color w:val="auto"/>
              </w:rPr>
            </w:pPr>
            <w:r>
              <w:rPr>
                <w:rFonts w:ascii="Arial" w:cs="Arial" w:eastAsia="Arial" w:hAnsi="Arial"/>
                <w:sz w:val="10"/>
                <w:szCs w:val="10"/>
                <w:b w:val="1"/>
                <w:bCs w:val="1"/>
                <w:color w:val="auto"/>
                <w:w w:val="92"/>
              </w:rPr>
              <w:t>Cost Basis</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Fair Value</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Cost Basis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96"/>
              </w:rPr>
              <w:t>Fair Value</w:t>
            </w:r>
          </w:p>
        </w:tc>
        <w:tc>
          <w:tcPr>
            <w:tcW w:w="20" w:type="dxa"/>
            <w:vAlign w:val="bottom"/>
          </w:tcPr>
          <w:p>
            <w:pPr>
              <w:spacing w:after="0"/>
              <w:rPr>
                <w:sz w:val="8"/>
                <w:szCs w:val="8"/>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3"/>
                <w:szCs w:val="13"/>
                <w:color w:val="auto"/>
              </w:rPr>
              <w:t>Auction rate municipal bonds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89,597</w:t>
            </w:r>
          </w:p>
        </w:tc>
        <w:tc>
          <w:tcPr>
            <w:tcW w:w="4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89,597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116,924</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116,924</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policy is to maintain a highly liquid short-term investment portfolio. The contractual maturities for auction rate municipal bonds at December 31, 2006 are between 21 and 39 years. Despite the long-term nature of their stated contractual maturities, the Company has the ability to quickly liquidate these securities. Proceeds from the sale and maturities of available-for-sale securities amounted to approximately $13.6 million, $180.2 million, and $126.9 million for the years ended December 31, 2004, 2005 and 2006, respectively. Gross realized gains and losses for available-for-sale securities were insignificant for the years ended December 31, 2004, 2005 and 2006.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46"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State research and development credit exchange receivable</w:t>
      </w:r>
    </w:p>
    <w:p>
      <w:pPr>
        <w:spacing w:after="0" w:line="100"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The three months ended September 30, 2004 was the first period in which the Company was able to recognize the benefit of these credits for financial reporting purposes and accordingly the</w:t>
      </w:r>
    </w:p>
    <w:p>
      <w:pPr>
        <w:spacing w:after="0" w:line="2"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$4.0 million recognized in the year ended December 31, 2004 included amounts attributable to 2004 and prior years. During the years ended December 31, 2005 and 2006, research and development expenses were offset by $1.7 million and $0.6 million, respectively, in connection with the program.</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7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7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 (dollar amounts in thousands):</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Estimated</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Useful</w:t>
            </w:r>
          </w:p>
        </w:tc>
        <w:tc>
          <w:tcPr>
            <w:tcW w:w="140" w:type="dxa"/>
            <w:vAlign w:val="bottom"/>
          </w:tcPr>
          <w:p>
            <w:pPr>
              <w:spacing w:after="0"/>
              <w:rPr>
                <w:sz w:val="10"/>
                <w:szCs w:val="10"/>
                <w:color w:val="auto"/>
              </w:rPr>
            </w:pPr>
          </w:p>
        </w:tc>
        <w:tc>
          <w:tcPr>
            <w:tcW w:w="1120" w:type="dxa"/>
            <w:vAlign w:val="bottom"/>
            <w:gridSpan w:val="3"/>
            <w:vMerge w:val="restart"/>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12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w w:val="94"/>
              </w:rPr>
              <w:t>(Years)</w:t>
            </w:r>
          </w:p>
        </w:tc>
        <w:tc>
          <w:tcPr>
            <w:tcW w:w="140" w:type="dxa"/>
            <w:vAlign w:val="bottom"/>
          </w:tcPr>
          <w:p>
            <w:pPr>
              <w:spacing w:after="0"/>
              <w:rPr>
                <w:sz w:val="8"/>
                <w:szCs w:val="8"/>
                <w:color w:val="auto"/>
              </w:rPr>
            </w:pPr>
          </w:p>
        </w:tc>
        <w:tc>
          <w:tcPr>
            <w:tcW w:w="54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67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5,273</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Buildings</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39-40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9,566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9,566</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 improvements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39,543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44,041</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23,087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26,623</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2,923</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Computer equipment and software</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4,808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5,878</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10,298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20,164</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on equipment</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6,411</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101,564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121,474</w:t>
            </w: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(25,381)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(33,146)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Property and equipment — net</w:t>
            </w: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76,183</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88,328</w:t>
            </w:r>
          </w:p>
        </w:tc>
        <w:tc>
          <w:tcPr>
            <w:tcW w:w="0" w:type="dxa"/>
            <w:vAlign w:val="bottom"/>
          </w:tcPr>
          <w:p>
            <w:pPr>
              <w:spacing w:after="0"/>
              <w:rPr>
                <w:sz w:val="1"/>
                <w:szCs w:val="1"/>
                <w:color w:val="auto"/>
              </w:rPr>
            </w:pPr>
          </w:p>
        </w:tc>
      </w:tr>
      <w:tr>
        <w:trPr>
          <w:trHeight w:val="30"/>
        </w:trPr>
        <w:tc>
          <w:tcPr>
            <w:tcW w:w="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Leasehold improvements are amortized over four years which is the shorter of the term of the lease or the service lives of the improvements. Depreciation and amortization expense for the years ended December 31, 2004, 2005 and 2006, and the cumulative period from February 14, 1991 (date of inception) to December 31, 2006 was $7.2 million, $7.4 million, $8.5 million and $39.1 million, respectively.</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540" w:type="dxa"/>
            <w:vAlign w:val="bottom"/>
          </w:tcPr>
          <w:p>
            <w:pPr>
              <w:ind w:left="2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7540" w:type="dxa"/>
            <w:vAlign w:val="bottom"/>
          </w:tcPr>
          <w:p>
            <w:pPr>
              <w:ind w:left="100"/>
              <w:spacing w:after="0"/>
              <w:rPr>
                <w:sz w:val="20"/>
                <w:szCs w:val="20"/>
                <w:color w:val="auto"/>
              </w:rPr>
            </w:pPr>
            <w:r>
              <w:rPr>
                <w:rFonts w:ascii="Arial" w:cs="Arial" w:eastAsia="Arial" w:hAnsi="Arial"/>
                <w:sz w:val="13"/>
                <w:szCs w:val="13"/>
                <w:color w:val="auto"/>
              </w:rPr>
              <w:t>Accrued expenses and other current liabilities are comprised of the following (in thousands):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98"/>
        </w:trPr>
        <w:tc>
          <w:tcPr>
            <w:tcW w:w="300" w:type="dxa"/>
            <w:vAlign w:val="bottom"/>
          </w:tcPr>
          <w:p>
            <w:pPr>
              <w:spacing w:after="0"/>
              <w:rPr>
                <w:sz w:val="8"/>
                <w:szCs w:val="8"/>
                <w:color w:val="auto"/>
              </w:rPr>
            </w:pPr>
          </w:p>
        </w:tc>
        <w:tc>
          <w:tcPr>
            <w:tcW w:w="7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w w:val="98"/>
              </w:rPr>
              <w:t>2006</w:t>
            </w:r>
          </w:p>
        </w:tc>
        <w:tc>
          <w:tcPr>
            <w:tcW w:w="560" w:type="dxa"/>
            <w:vAlign w:val="bottom"/>
          </w:tcPr>
          <w:p>
            <w:pPr>
              <w:spacing w:after="0"/>
              <w:rPr>
                <w:sz w:val="8"/>
                <w:szCs w:val="8"/>
                <w:color w:val="auto"/>
              </w:rPr>
            </w:pPr>
          </w:p>
        </w:tc>
      </w:tr>
      <w:tr>
        <w:trPr>
          <w:trHeight w:val="29"/>
        </w:trPr>
        <w:tc>
          <w:tcPr>
            <w:tcW w:w="30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7"/>
        </w:trPr>
        <w:tc>
          <w:tcPr>
            <w:tcW w:w="7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Salary and related expenses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7,255</w:t>
            </w:r>
          </w:p>
        </w:tc>
      </w:tr>
      <w:tr>
        <w:trPr>
          <w:trHeight w:val="157"/>
        </w:trPr>
        <w:tc>
          <w:tcPr>
            <w:tcW w:w="7840" w:type="dxa"/>
            <w:vAlign w:val="bottom"/>
            <w:gridSpan w:val="2"/>
          </w:tcPr>
          <w:p>
            <w:pPr>
              <w:spacing w:after="0"/>
              <w:rPr>
                <w:sz w:val="20"/>
                <w:szCs w:val="20"/>
                <w:color w:val="auto"/>
              </w:rPr>
            </w:pPr>
            <w:r>
              <w:rPr>
                <w:rFonts w:ascii="Arial" w:cs="Arial" w:eastAsia="Arial" w:hAnsi="Arial"/>
                <w:sz w:val="13"/>
                <w:szCs w:val="13"/>
                <w:color w:val="auto"/>
              </w:rPr>
              <w:t>Research and clinical trial costs</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8,589</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3"/>
                <w:szCs w:val="13"/>
                <w:color w:val="auto"/>
              </w:rPr>
              <w:t>18,707</w:t>
            </w:r>
          </w:p>
        </w:tc>
      </w:tr>
      <w:tr>
        <w:trPr>
          <w:trHeight w:val="157"/>
        </w:trPr>
        <w:tc>
          <w:tcPr>
            <w:tcW w:w="7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Litigation settlement payable</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r>
      <w:tr>
        <w:trPr>
          <w:trHeight w:val="157"/>
        </w:trPr>
        <w:tc>
          <w:tcPr>
            <w:tcW w:w="7840" w:type="dxa"/>
            <w:vAlign w:val="bottom"/>
            <w:gridSpan w:val="2"/>
          </w:tcPr>
          <w:p>
            <w:pPr>
              <w:spacing w:after="0"/>
              <w:rPr>
                <w:sz w:val="20"/>
                <w:szCs w:val="20"/>
                <w:color w:val="auto"/>
              </w:rPr>
            </w:pPr>
            <w:r>
              <w:rPr>
                <w:rFonts w:ascii="Arial" w:cs="Arial" w:eastAsia="Arial" w:hAnsi="Arial"/>
                <w:sz w:val="13"/>
                <w:szCs w:val="13"/>
                <w:color w:val="auto"/>
              </w:rPr>
              <w:t>Accrued interest</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3"/>
                <w:szCs w:val="13"/>
                <w:color w:val="auto"/>
              </w:rPr>
              <w:t>228</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75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3,538</w:t>
            </w:r>
          </w:p>
        </w:tc>
        <w:tc>
          <w:tcPr>
            <w:tcW w:w="3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8,054</w:t>
            </w:r>
          </w:p>
        </w:tc>
        <w:tc>
          <w:tcPr>
            <w:tcW w:w="560" w:type="dxa"/>
            <w:vAlign w:val="bottom"/>
            <w:shd w:val="clear" w:color="auto" w:fill="CCEEFF"/>
          </w:tcPr>
          <w:p>
            <w:pPr>
              <w:spacing w:after="0"/>
              <w:rPr>
                <w:sz w:val="13"/>
                <w:szCs w:val="13"/>
                <w:color w:val="auto"/>
              </w:rPr>
            </w:pPr>
          </w:p>
        </w:tc>
      </w:tr>
      <w:tr>
        <w:trPr>
          <w:trHeight w:val="166"/>
        </w:trPr>
        <w:tc>
          <w:tcPr>
            <w:tcW w:w="7840" w:type="dxa"/>
            <w:vAlign w:val="bottom"/>
            <w:gridSpan w:val="2"/>
          </w:tcPr>
          <w:p>
            <w:pPr>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17,818</w:t>
            </w:r>
          </w:p>
        </w:tc>
        <w:tc>
          <w:tcPr>
            <w:tcW w:w="38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34,244</w:t>
            </w:r>
          </w:p>
        </w:tc>
        <w:tc>
          <w:tcPr>
            <w:tcW w:w="560" w:type="dxa"/>
            <w:vAlign w:val="bottom"/>
          </w:tcPr>
          <w:p>
            <w:pPr>
              <w:spacing w:after="0"/>
              <w:rPr>
                <w:sz w:val="14"/>
                <w:szCs w:val="14"/>
                <w:color w:val="auto"/>
              </w:rPr>
            </w:pPr>
          </w:p>
        </w:tc>
      </w:tr>
    </w:tbl>
    <w:p>
      <w:pPr>
        <w:spacing w:after="0" w:line="164" w:lineRule="exact"/>
        <w:rPr>
          <w:sz w:val="20"/>
          <w:szCs w:val="20"/>
          <w:color w:val="auto"/>
        </w:rPr>
      </w:pPr>
    </w:p>
    <w:p>
      <w:pPr>
        <w:ind w:left="1000" w:hanging="313"/>
        <w:spacing w:after="0"/>
        <w:tabs>
          <w:tab w:leader="none" w:pos="10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Notes receivable from stockholders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issued 110,000 shares of common stock to an executive of AlleCure in exchange for notes receivable, in the amounts of $1.2 million during the year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2000 and $750,000 during the year ended December 31, 2001. The notes bore interest at fixed rates and were payable in five years. The notes were pre-payable at the option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debtor. The notes were collateralized by the underlying common stock. The executive had no further obligation to the Company under the terms of the stock purchase. During the first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quarter of 2003, the executive was terminated by the Company (See Note 14-Commitments and Contingencies — Severance Agreements). The note-for-stock transactions have been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accounted for as in-substance stock option grants to an employee.</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The in-substance stock option grants had no intrinsic value as of the transaction dates. The pre-payment feature of the notes resulted in the exercise price of the in-substance stock option being unknown until the notes were paid in full. Accordingly, the Company was required to measure the intrinsic value of the in-substance stock options on the balance sheet date of each financial reporting period. During 2001, the Company recorded approximately $815,000 of stock-based compensation expense, which was included in general and administrative expense, relating to the in-substance stock options. This amount was reversed in 2002 because the in-substance stock options had no intrinsic value as of December 31, 2002. There was no stock-based compensation expense recorded for the in-substance options in 2003 because they had no intrinsic value as of December 31, 2003. The Company recorded approximately $17,000 of stock-based compensation expense relating to the in-substance stock options during the year ended December 31, 2004, which represented the intrinsic value of the in-substance options at year end. This amount was reversed in 2005 because the in-substance stock options had no intrinsic value as of December 31, 2005. In September and October 2005, the principal and interest totaling $1.6 million on the notes issued in exchange for approximately 78,000 of the 110,000 shares of common stock issued became due and payable. The Company pursued collection and, in January 2006, the debtor tendered 143,949 shares as full repayment of the notes in default and the note issued in exchange for 32,000 shares which would have become due in April 2006. These shares were valued at $2.6 million on January 31, 2006 and represented principal and interest due through that date on all notes outstanding. The Company received and cancelled 143,949 shares on January 31, 2006.</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years ended December 31, 2000 and 2001, the Company issued an aggregate 701,333 shares of common stock to various consultants in exchange for notes receivable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aggregating approximately $10.9 million. The notes bore interest at fixed rates and were payable in five years. The notes were pre-payable at the option of the debtors. The notes were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collateralized by the underlying common stock. The consultants had no further obligation to the Company under the terms of the stock purchases. The note-for-stock transactions have been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accounted for as in-substance stock option grants to non-employees. Since the in-substance stock options were 100% vested and nonforfeitable upon issuance, a measurement date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deemed to have occurred on the issuance date. Accordingly, the Company recorded stock-based compensation expense equal to the estimated fair value of the in-substance options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 million in 2000 and $15,000 in 2001. These amounts were estimated using the Black-Scholes option valuation model and the following weighted-average assumptions: volatility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 term of five years, interest rate of 5.06%. Notes issued in exchange for 699,972 of the 701,333 shares aggregating $10.9 million in principal became due on October 19, 2005.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remaining note for $32,000 was to become due in September 2006. A total of $14.6 million in principal and interest became due and payable on October 19, 2005 and the Company pursued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collection. On November 21, 2005, the consultants filed a complaint against the Company in the California Superior Court, County of Los Angeles, </w:t>
      </w:r>
      <w:r>
        <w:rPr>
          <w:rFonts w:ascii="Arial" w:cs="Arial" w:eastAsia="Arial" w:hAnsi="Arial"/>
          <w:sz w:val="12"/>
          <w:szCs w:val="12"/>
          <w:i w:val="1"/>
          <w:iCs w:val="1"/>
          <w:color w:val="auto"/>
        </w:rPr>
        <w:t>Rollins et al. v. MannKind et al</w:t>
      </w:r>
      <w:r>
        <w:rPr>
          <w:rFonts w:ascii="Arial" w:cs="Arial" w:eastAsia="Arial" w:hAnsi="Arial"/>
          <w:sz w:val="12"/>
          <w:szCs w:val="12"/>
          <w:color w:val="auto"/>
        </w:rPr>
        <w:t>, Case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No. BC343381. The complaint alleges causes of action for breach of certain agreements. On January 19, 2006, the parties mediated and settled the case. Under the settlement, the Company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repurchased 620,697 shares from the consultants in full satisfaction of the principal and interest on the notes previously accounted for by the Company as in-substance stock options. These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shares were tendered and cancelled on February 3, 2006. The Company also agreed to repurchase the remaining 79,275 shares held by the consultants for $1.4 million in cash. The settlement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was reflected as a $1.4 million charge to general and administrative expense in the fourth quarter of the year ended December 31, 2005 with a corresponding amount payable included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accrued expenses and other current liabilities as of December 31, 2005. On February 21, 2006, the Company received and cancelled the 79,275 shares, and paid the purchase price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 million to the consultants. The complaint was dismissed in its entirety with prejudice.</w:t>
      </w:r>
    </w:p>
    <w:p>
      <w:pPr>
        <w:spacing w:after="0" w:line="163" w:lineRule="exact"/>
        <w:rPr>
          <w:sz w:val="20"/>
          <w:szCs w:val="20"/>
          <w:color w:val="auto"/>
        </w:rPr>
      </w:pPr>
    </w:p>
    <w:p>
      <w:pPr>
        <w:ind w:left="1000" w:hanging="313"/>
        <w:spacing w:after="0"/>
        <w:tabs>
          <w:tab w:leader="none" w:pos="10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w:t>
      </w:r>
    </w:p>
    <w:p>
      <w:pPr>
        <w:spacing w:after="0" w:line="10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Certain officers elected to defer part or all of their compensation from 1991 through 1998 due to Company’s cash flow difficulties in those years. The amounts due for deferred compensation were non-interest bearing with no repayment terms. The remaining balance of $1.4 million at December 31, 2004 was paid in June 2005.</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loan arrangement</w:t>
      </w:r>
    </w:p>
    <w:p>
      <w:pPr>
        <w:spacing w:after="0" w:line="100" w:lineRule="exact"/>
        <w:rPr>
          <w:sz w:val="20"/>
          <w:szCs w:val="20"/>
          <w:color w:val="auto"/>
        </w:rPr>
      </w:pPr>
    </w:p>
    <w:p>
      <w:pPr>
        <w:ind w:left="680" w:firstLine="399"/>
        <w:spacing w:after="0" w:line="299" w:lineRule="auto"/>
        <w:rPr>
          <w:sz w:val="20"/>
          <w:szCs w:val="20"/>
          <w:color w:val="auto"/>
        </w:rPr>
      </w:pPr>
      <w:r>
        <w:rPr>
          <w:rFonts w:ascii="Arial" w:cs="Arial" w:eastAsia="Arial" w:hAnsi="Arial"/>
          <w:sz w:val="11"/>
          <w:szCs w:val="11"/>
          <w:color w:val="auto"/>
        </w:rPr>
        <w:t>On August 2, 2006 the Company entered into a $150.0 million loan arrangement with its principal stockholder. Under this arrangement, the Company can borrow in one or more advances at any time through August 2, 2007 that the Company’s cash balance falls below its projected cash requirements for the subsequent three month period, provided that each advance be no less than $50.0 million. Principal repayment is due and payable one year from the date of each advance. The Company borrowed $50.0 million under the loan arrangement on August 2, 2006 and $20.0 million on November 27, 2006. Interest accrues on each outstanding advance at a fixed rate equal to the one year LIBOR rate in effect on the day of such advance plus 3% per annum and is payable quarterly in arrears. The loan is unsecured and contains no financial covenants. There are no warrants associated with the loan nor is the loan convertible into the Company’s stock. In the event of a default, all unpaid principal and interest becomes immediately due and payable and the interest rate increases to one year LIBOR calculated on the date of the initial advance or in effect on the date of default, whichever is greater, plus 5% per annum. Upon the closing of certain financing events, including equity and debt financings or strategic transactions with third parties, in which the Company receives cash proceeds of at least $100.0 million, the Company is required to repay all or a portion of the principal and accrued and unpaid interest under the note equal to the difference between the Company’s cash balance immediately following the financing event and its projected cash requirements for the six month period following the financing event. On October 30, 2006, the loan arrangement was modified to provide that at no time shall the total principal amount borrowed exceed</w:t>
      </w:r>
    </w:p>
    <w:p>
      <w:pPr>
        <w:spacing w:after="0" w:line="4"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$150.0 million and that each advance be no less than $10.0 million. Any principal repaid can be re-borrowed by the Company subject to the limitations above. On December 12, 2006, the Company paid off the total borrowings of $70.0 million following the completion of concurrent offerings of convertible notes and common stock as described in Note 10 and Note 11. During the year end December 31, 2006, the Company paid $1.6 million in interest related to this borrowing and there was no balance outstanding or accrued interest related to this borrowing as of December 31, 2006.</w:t>
      </w:r>
    </w:p>
    <w:p>
      <w:pPr>
        <w:spacing w:after="0" w:line="147"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Senior convertible notes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December 12, 2006, the Company completed an offering of $115.0 million aggregate principal amount of 3.75% Senior Convertible Notes due 2013 (the “Notes”), including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 million aggregate principal amount of the Notes sold pursuant to the underwriters’ over-allotment option that was exercised in full. The Notes are governed by the terms of 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indenture dated as of November 1, 2006 and a First Supplemental Indenture, dated as of December 12, 2006. The Notes bear interest at the rate of 3.75% per year on the principal amount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Notes, payable in cash semi-annually in arrears on June 15 and December 15 of each year, beginning June 15, 2007. As of December 31, 2006, the Company had accrued interest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$228,000 related to the Notes. The Notes are general, unsecured, senior obligations of the Company and effectively rank junior in right of payment to all of the Company’s secured debt,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extent of the value of the assets securing such debt, and to the debt and all other liabilities of the Company’s subsidiaries. The maturity date of the Notes is December 15, 2013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payment is due in full on that date for unconverted securities. Holders may convert, at any time prior to the close of business on the business day immediately preceding the stated maturity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date, any outstanding Notes into shares of the Company’s common stock at an initial conversion rate of 44.5002 shares per $1,000 principal amount of Notes, which is equal to a conversion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price of approximately $22.47 per share, subject to adjustment. Except in certain circumstances, if the Company undergoes a fundamental change: (1) the Company will pay a make-whole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premium on the Notes converted in connection with a fundamental change by increasing the conversion rate on such Notes, which amount, if any, will be based on the Company’s common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stock price and the effective date of the fundamental change, and (2) each holder of the Notes will have the option to require the Company to repurchase all or any portion of such holder’s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Notes at a repurchase price of 100% of the principal amount of the Notes to be repurchased plus accrued and unpaid interest, if any.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incurred approximately $3.7 million in debt issuance costs which are recorded as an offset to the debt in the accompanying balance sheet. These costs and are being amortized to interest expense using the effective interest method over the term of the Notes.</w:t>
      </w:r>
    </w:p>
    <w:p>
      <w:pPr>
        <w:spacing w:after="0" w:line="134"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Common and preferred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Private Placement </w:t>
      </w:r>
      <w:r>
        <w:rPr>
          <w:rFonts w:ascii="Arial" w:cs="Arial" w:eastAsia="Arial" w:hAnsi="Arial"/>
          <w:sz w:val="13"/>
          <w:szCs w:val="13"/>
          <w:color w:val="auto"/>
        </w:rPr>
        <w:t>— On August 5, 2005, the Company closed a $175.0 million private placement of common stock and the concurrent issuance of warrants for the purchase of</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 on August 5, 2010. In connection with this private placement, the Company paid $4.5 million in commissions to the placement agents and incurred $300,000 in other offering expenses which resulted in net proceeds of approximately $170.2 million.</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Public Equity Offering </w:t>
      </w:r>
      <w:r>
        <w:rPr>
          <w:rFonts w:ascii="Arial" w:cs="Arial" w:eastAsia="Arial" w:hAnsi="Arial"/>
          <w:sz w:val="13"/>
          <w:szCs w:val="13"/>
          <w:color w:val="auto"/>
        </w:rPr>
        <w:t>— On December 12, 2006, the Company closed the sale of 20,000,000 shares of its common stock at a public offering price of $17.42 per share and on</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19, 2006, closed the sale of an additional 3,000,000 shares of its common stock at a public offering price of $17.42 per share pursuant to an over-allotment option granted to the underwriters of the offering. Approximately 5.8 million shares were sold to certain of the Company’s officers and directors, including 5.75 million shares sold to the principal stockholder. In connection with this offering, the Company paid approximately $15.0 million in underwriting fees and incurred approximately $1.1 million in other offering expenses which resulted in net proceeds of approximately $384.7 million.</w:t>
      </w:r>
    </w:p>
    <w:p>
      <w:pPr>
        <w:spacing w:after="0" w:line="7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Common Stock </w:t>
      </w:r>
      <w:r>
        <w:rPr>
          <w:rFonts w:ascii="Arial" w:cs="Arial" w:eastAsia="Arial" w:hAnsi="Arial"/>
          <w:sz w:val="13"/>
          <w:szCs w:val="13"/>
          <w:color w:val="auto"/>
        </w:rPr>
        <w:t>— The Company is authorized to issue 90,000,000 shares of common stock. As of December 31, 2006, 73,360,154 shares of common stock are issued and</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On February 22, 2007, the board of directors of the Company adopted a resolution, subject to stockholder approval, to amend the Company’s certificate of incorporation to permit the issuance of up to 150,000,000 shares of common stock. The Company intends to present this resolution for stockholder approval at the Company’s annual stockholders’ meeting scheduled for May 24,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had reserved shares of common stock for issuance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4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December 31,</w:t>
            </w:r>
          </w:p>
        </w:tc>
        <w:tc>
          <w:tcPr>
            <w:tcW w:w="1460" w:type="dxa"/>
            <w:vAlign w:val="bottom"/>
            <w:gridSpan w:val="3"/>
          </w:tcPr>
          <w:p>
            <w:pPr>
              <w:ind w:left="400"/>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140" w:type="dxa"/>
            <w:vAlign w:val="bottom"/>
          </w:tcPr>
          <w:p>
            <w:pPr>
              <w:spacing w:after="0"/>
              <w:rPr>
                <w:sz w:val="10"/>
                <w:szCs w:val="10"/>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2006</w:t>
            </w: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29"/>
        </w:trPr>
        <w:tc>
          <w:tcPr>
            <w:tcW w:w="7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options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4,985,831</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6,216,698</w:t>
            </w:r>
          </w:p>
        </w:tc>
        <w:tc>
          <w:tcPr>
            <w:tcW w:w="40" w:type="dxa"/>
            <w:vAlign w:val="bottom"/>
            <w:shd w:val="clear" w:color="auto" w:fill="CCEEFF"/>
          </w:tcPr>
          <w:p>
            <w:pPr>
              <w:spacing w:after="0"/>
              <w:rPr>
                <w:sz w:val="13"/>
                <w:szCs w:val="13"/>
                <w:color w:val="auto"/>
              </w:rPr>
            </w:pPr>
          </w:p>
        </w:tc>
      </w:tr>
      <w:tr>
        <w:trPr>
          <w:trHeight w:val="157"/>
        </w:trPr>
        <w:tc>
          <w:tcPr>
            <w:tcW w:w="7140" w:type="dxa"/>
            <w:vAlign w:val="bottom"/>
          </w:tcPr>
          <w:p>
            <w:pPr>
              <w:spacing w:after="0"/>
              <w:rPr>
                <w:sz w:val="20"/>
                <w:szCs w:val="20"/>
                <w:color w:val="auto"/>
              </w:rPr>
            </w:pPr>
            <w:r>
              <w:rPr>
                <w:rFonts w:ascii="Arial" w:cs="Arial" w:eastAsia="Arial" w:hAnsi="Arial"/>
                <w:sz w:val="13"/>
                <w:szCs w:val="13"/>
                <w:color w:val="auto"/>
              </w:rPr>
              <w:t>Conversion into common stock of senior convertible notes</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3"/>
                <w:szCs w:val="13"/>
                <w:color w:val="auto"/>
              </w:rPr>
              <w:t>5,117,523</w:t>
            </w:r>
          </w:p>
        </w:tc>
        <w:tc>
          <w:tcPr>
            <w:tcW w:w="40" w:type="dxa"/>
            <w:vAlign w:val="bottom"/>
          </w:tcPr>
          <w:p>
            <w:pPr>
              <w:spacing w:after="0"/>
              <w:rPr>
                <w:sz w:val="13"/>
                <w:szCs w:val="13"/>
                <w:color w:val="auto"/>
              </w:rPr>
            </w:pPr>
          </w:p>
        </w:tc>
      </w:tr>
      <w:tr>
        <w:trPr>
          <w:trHeight w:val="157"/>
        </w:trPr>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warrants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3,438,776</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2,895,332</w:t>
            </w:r>
          </w:p>
        </w:tc>
        <w:tc>
          <w:tcPr>
            <w:tcW w:w="40" w:type="dxa"/>
            <w:vAlign w:val="bottom"/>
            <w:shd w:val="clear" w:color="auto" w:fill="CCEEFF"/>
          </w:tcPr>
          <w:p>
            <w:pPr>
              <w:spacing w:after="0"/>
              <w:rPr>
                <w:sz w:val="13"/>
                <w:szCs w:val="13"/>
                <w:color w:val="auto"/>
              </w:rPr>
            </w:pPr>
          </w:p>
        </w:tc>
      </w:tr>
      <w:tr>
        <w:trPr>
          <w:trHeight w:val="157"/>
        </w:trPr>
        <w:tc>
          <w:tcPr>
            <w:tcW w:w="714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164,901</w:t>
            </w:r>
          </w:p>
        </w:tc>
        <w:tc>
          <w:tcPr>
            <w:tcW w:w="1420" w:type="dxa"/>
            <w:vAlign w:val="bottom"/>
            <w:gridSpan w:val="2"/>
          </w:tcPr>
          <w:p>
            <w:pPr>
              <w:jc w:val="right"/>
              <w:ind w:right="520"/>
              <w:spacing w:after="0"/>
              <w:rPr>
                <w:sz w:val="20"/>
                <w:szCs w:val="20"/>
                <w:color w:val="auto"/>
              </w:rPr>
            </w:pPr>
            <w:r>
              <w:rPr>
                <w:rFonts w:ascii="Arial" w:cs="Arial" w:eastAsia="Arial" w:hAnsi="Arial"/>
                <w:sz w:val="13"/>
                <w:szCs w:val="13"/>
                <w:color w:val="auto"/>
              </w:rPr>
              <w:t>776,653</w:t>
            </w:r>
          </w:p>
        </w:tc>
        <w:tc>
          <w:tcPr>
            <w:tcW w:w="40" w:type="dxa"/>
            <w:vAlign w:val="bottom"/>
          </w:tcPr>
          <w:p>
            <w:pPr>
              <w:spacing w:after="0"/>
              <w:rPr>
                <w:sz w:val="13"/>
                <w:szCs w:val="13"/>
                <w:color w:val="auto"/>
              </w:rPr>
            </w:pPr>
          </w:p>
        </w:tc>
      </w:tr>
      <w:tr>
        <w:trPr>
          <w:trHeight w:val="20"/>
        </w:trPr>
        <w:tc>
          <w:tcPr>
            <w:tcW w:w="7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7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8,589,508</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15,006,206</w:t>
            </w:r>
          </w:p>
        </w:tc>
        <w:tc>
          <w:tcPr>
            <w:tcW w:w="40" w:type="dxa"/>
            <w:vAlign w:val="bottom"/>
            <w:shd w:val="clear" w:color="auto" w:fill="CCEEFF"/>
          </w:tcPr>
          <w:p>
            <w:pPr>
              <w:spacing w:after="0"/>
              <w:rPr>
                <w:sz w:val="13"/>
                <w:szCs w:val="13"/>
                <w:color w:val="auto"/>
              </w:rPr>
            </w:pPr>
          </w:p>
        </w:tc>
      </w:tr>
      <w:tr>
        <w:trPr>
          <w:trHeight w:val="29"/>
        </w:trPr>
        <w:tc>
          <w:tcPr>
            <w:tcW w:w="7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Preferred Stock </w:t>
      </w:r>
      <w:r>
        <w:rPr>
          <w:rFonts w:ascii="Arial" w:cs="Arial" w:eastAsia="Arial" w:hAnsi="Arial"/>
          <w:sz w:val="12"/>
          <w:szCs w:val="12"/>
          <w:color w:val="auto"/>
        </w:rPr>
        <w:t>— The Company is authorized to issue 10,000,000 shares of preferred stock. As of December 31, 2006, no shares of preferred stock are issued and outstanding.</w:t>
      </w:r>
    </w:p>
    <w:p>
      <w:pPr>
        <w:spacing w:after="0" w:line="108"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i w:val="1"/>
          <w:iCs w:val="1"/>
          <w:color w:val="auto"/>
        </w:rPr>
        <w:t xml:space="preserve">Registration rights </w:t>
      </w:r>
      <w:r>
        <w:rPr>
          <w:rFonts w:ascii="Arial" w:cs="Arial" w:eastAsia="Arial" w:hAnsi="Arial"/>
          <w:sz w:val="13"/>
          <w:szCs w:val="13"/>
          <w:color w:val="auto"/>
        </w:rPr>
        <w:t>— As of December 31, 2006 the holders of 916,715 shares of the Company’s common stock and the holders of warrants to purchase 12,459 shares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December 31, 2006, the holders of 17,132,000 shares of common stock together with warrants to purchase up to 2,882,873 shares of common stock, all of which were issued in the August 2005 private placement,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have rights that require the Company to keep the registration of the shares of common stock purchased in the private placement or underlying warrants continuously effective until at least August 2007.</w:t>
      </w:r>
    </w:p>
    <w:p>
      <w:pPr>
        <w:spacing w:after="0" w:line="94" w:lineRule="exact"/>
        <w:rPr>
          <w:sz w:val="20"/>
          <w:szCs w:val="20"/>
          <w:color w:val="auto"/>
        </w:rPr>
      </w:pPr>
    </w:p>
    <w:p>
      <w:pPr>
        <w:ind w:left="1180" w:hanging="493"/>
        <w:spacing w:after="0"/>
        <w:tabs>
          <w:tab w:leader="none" w:pos="11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Stock award plans</w:t>
      </w:r>
    </w:p>
    <w:p>
      <w:pPr>
        <w:spacing w:after="0" w:line="100"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As of December 31, 2006, the Company has three active stock-based compensation plans —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Awards also remain outstanding at December 31, 2006 under the following inactive plans: the 1991 Stock Option Plan, the 1999 Stock Plan, the CTL Plan, and the Allecure Plan. There are also options outstanding to our principal stockholder at December 31, 2006 that were not granted under any plan; these options were granted during the year ended December 31, 2002, vested over four years, and have an exercise price of $25.23 per share. The following table summarizes information about our stock-based award plans as of December 31, 2006:</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Shares Available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2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rPr>
              <w:t>for</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Stock Units</w:t>
            </w:r>
          </w:p>
        </w:tc>
        <w:tc>
          <w:tcPr>
            <w:tcW w:w="12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Future Issuance</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w w:val="89"/>
              </w:rPr>
              <w:t>2004</w:t>
            </w:r>
          </w:p>
        </w:tc>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Incentive Plan</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5,441,501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776,653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2,300,337</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20"/>
                <w:szCs w:val="20"/>
                <w:color w:val="auto"/>
              </w:rPr>
            </w:pPr>
            <w:r>
              <w:rPr>
                <w:rFonts w:ascii="Arial" w:cs="Arial" w:eastAsia="Arial" w:hAnsi="Arial"/>
                <w:sz w:val="13"/>
                <w:szCs w:val="13"/>
                <w:color w:val="auto"/>
                <w:w w:val="89"/>
              </w:rPr>
              <w:t>2004</w:t>
            </w:r>
          </w:p>
        </w:tc>
        <w:tc>
          <w:tcPr>
            <w:tcW w:w="5820" w:type="dxa"/>
            <w:vAlign w:val="bottom"/>
          </w:tcPr>
          <w:p>
            <w:pPr>
              <w:ind w:left="20"/>
              <w:spacing w:after="0"/>
              <w:rPr>
                <w:sz w:val="20"/>
                <w:szCs w:val="20"/>
                <w:color w:val="auto"/>
              </w:rPr>
            </w:pPr>
            <w:r>
              <w:rPr>
                <w:rFonts w:ascii="Arial" w:cs="Arial" w:eastAsia="Arial" w:hAnsi="Arial"/>
                <w:sz w:val="13"/>
                <w:szCs w:val="13"/>
                <w:color w:val="auto"/>
              </w:rPr>
              <w:t>Non-Employee Directors’ Stock Option Plan</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337,500</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462,500</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w w:val="89"/>
              </w:rPr>
              <w:t>1991</w:t>
            </w:r>
          </w:p>
        </w:tc>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 Plan</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29,718</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20"/>
                <w:szCs w:val="20"/>
                <w:color w:val="auto"/>
              </w:rPr>
            </w:pPr>
            <w:r>
              <w:rPr>
                <w:rFonts w:ascii="Arial" w:cs="Arial" w:eastAsia="Arial" w:hAnsi="Arial"/>
                <w:sz w:val="13"/>
                <w:szCs w:val="13"/>
                <w:color w:val="auto"/>
                <w:w w:val="89"/>
              </w:rPr>
              <w:t>1999</w:t>
            </w:r>
          </w:p>
        </w:tc>
        <w:tc>
          <w:tcPr>
            <w:tcW w:w="5820" w:type="dxa"/>
            <w:vAlign w:val="bottom"/>
          </w:tcPr>
          <w:p>
            <w:pPr>
              <w:ind w:left="20"/>
              <w:spacing w:after="0"/>
              <w:rPr>
                <w:sz w:val="20"/>
                <w:szCs w:val="20"/>
                <w:color w:val="auto"/>
              </w:rPr>
            </w:pPr>
            <w:r>
              <w:rPr>
                <w:rFonts w:ascii="Arial" w:cs="Arial" w:eastAsia="Arial" w:hAnsi="Arial"/>
                <w:sz w:val="13"/>
                <w:szCs w:val="13"/>
                <w:color w:val="auto"/>
              </w:rPr>
              <w:t>Stock Plan</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122,721</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CTL and Allecure Plan</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44,286</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Options outside of any plan granted to principal stockholder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240,972</w:t>
            </w:r>
          </w:p>
        </w:tc>
        <w:tc>
          <w:tcPr>
            <w:tcW w:w="3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6,216,698</w:t>
            </w: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776,653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2,762,837</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Company’s board of directors determines eligibility, vesting schedules and exercise prices for stock awards granted under the Plan. The NED Plan provides for automatic, non-discretionary grant of options to the Company’s 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over four years with consideration satisfied by service to the Company. Certain performance-based awards vest upon achieving three pre-determined performance milestones which are expected to occur over a period of 42 months. The Plan provides for full acceleration of vesting if an employee is terminated within thirteen months of a change in control, as defined.</w:t>
      </w:r>
    </w:p>
    <w:p>
      <w:pPr>
        <w:spacing w:after="0" w:line="59"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In March 2004, the Company’s board of directors approved the 2004 Employee Stock Purchase Plan,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2005, 2006, and 2007 the purchase plan share reserve was increased by 327,562, 503,141 and 700,000 shares, respectively. In November 2006, the Board of Directors approved a decrease of 2.6 million shares to the reserve in order to make additional shares available for the Company’s December 2006 offerings (see Note 1 — Description of Business and Basis of Presentation — Public Offerings). For the years ended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2004, 2005, and 2006 the Company sold 36,152, 57,642, 86,093 shares, respectively, of its common stock to employees participating in the plan.</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On January 1, 2006, the Company adopted the provisions of SFAS No. 123R (“SFAS No. 123R”), </w:t>
      </w:r>
      <w:r>
        <w:rPr>
          <w:rFonts w:ascii="Arial" w:cs="Arial" w:eastAsia="Arial" w:hAnsi="Arial"/>
          <w:sz w:val="12"/>
          <w:szCs w:val="12"/>
          <w:i w:val="1"/>
          <w:iCs w:val="1"/>
          <w:color w:val="auto"/>
        </w:rPr>
        <w:t>Share-based Payment: an Amendment of FASB Statements No. 123 and 95</w:t>
      </w:r>
      <w:r>
        <w:rPr>
          <w:rFonts w:ascii="Arial" w:cs="Arial" w:eastAsia="Arial" w:hAnsi="Arial"/>
          <w:sz w:val="12"/>
          <w:szCs w:val="12"/>
          <w:color w:val="auto"/>
        </w:rPr>
        <w:t xml:space="preserve">, which is a revision of SFAS No. 123 (“SFAS No.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Prior to January 1, 2006, the Company accounted for employee stock options and the employee stock purchase plan using the intrinsic value method in accordance with Accounting Principles Board (“APB”) Opinion No. 25 (“APB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adopted the disclosure only alternative of SFAS No. 123. Accordingly, prior to January 1, 2006, no compensation expense was recorded for options issued to employees with fixed option quantities and fixed exercise prices which were at least equal to the fair value of the Company’s common stock at the date of grant. Conversely, when the exercise price for accounting purposes was below fair value of the Company’s common stock on the date of grant, a non-cash charge to compensation expense was recorded for the amount equal to the difference between the exercise price and the fair value ratably over the term of the option vesting period. SFAS No. 123R eliminated the intrinsic value method of accounting for stock options which the Company followed until December 31, 2005. Further, SFAS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6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October 7, 2003, our board of directors approved a repricing program for certain outstanding options to purchase shares of our common stock granted under each of our stock plans. Compensation cost for all options repriced under the repricing program were remeasured on a quarterly basis until the adoption of SFAS No. 123R. For the year ended December 31, 2004, the Company recorded $4.4 million in stock-based compensation expense related to the re-pricing program. For the year ended December 31, 2005, the Company recorded a decrease in stock-based compensation expense of approximately $2.4 million relating to the re-pricing program.</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Upon adoption of SFAS No. 123R, the Company continues to account for non-employee stock-based compensation expense based on the estimated fair value of the options, determined using the Black-Scholes option valuation model, in accordance with EITF No. 96-18, and amortizes such expense on a straight-line basis. In November 2004, pursuant to assignment agreements with two consultants, the Company issued 200 shares of its common stock under its 2004 Equity Incentive Plan. The Company agreed to issue 99,800 additional shares upon the achievement of certain milestones specified in consulting agreements and for the year ended December 31, 2004, the Company recorded approximately $1.1 million in stock-based compensation expense related to these agreements. In November 2005, 39,800 of the 99,800 shares were issued to the consultants and the Company decreased stock-based compensation expense by approximately $146,000 based on the fair market value of the shares when issued. As of December 31, 2006, there were 163,136 options outstanding to consultants.</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year ended December 31, 2006, the Company recorded stock-based compensation expense related to its stock award plans and the ESPP of $14.7 million. If not for the adoption of SFAS No. 123R, stock-based compensation expense under APB No. 25 would have been approximately $3.7 million for the year ended December 31, 2006. The adoption of SFAS No. 123R in 2006 resulted in an increase in both loss before provision for income taxes and net loss applicable to common stockholders of $11.0 million, and an increase in both basic and diluted loss per share of $0.22. The following table presents stock-based compensation expense included in operating expenses and the pro forma stock-based compensation amounts that would have been included in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statements of operations for the years ended December 31, 2004 and 2005 had stock-based compensation expense been determined in accordance with the fair value method prescribed by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SFAS No. 123:</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2004</w:t>
            </w: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Stock-based employee compensation expense determined under the fair value based method for all awards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(10,114)</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(13,162)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Fair value of discount on employee stock purchase plan</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(188)</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Total stock-based employee compensation expense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(10,302)</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(13,452)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Net loss — as reported</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(75,992)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(114,338)</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Add: Stock-based employee compensation expense (benefit) included in reported net loss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5,694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Deduct: Total stock-based employee compensation expense determined under the fair value based method for all awards</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(10,302)</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(13,452)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loss — pro forma</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(80,600)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(129,682)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Deemed dividends related to beneficial conversion features of convertible preferred stock</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(19,822)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Accretion on redeemable preferred stock</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Net loss applicable to common stockholders — pro forma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(100,482)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(129,682)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loss applicable to common stockholders per share, as reported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29"/>
        </w:trPr>
        <w:tc>
          <w:tcPr>
            <w:tcW w:w="7900" w:type="dxa"/>
            <w:vAlign w:val="bottom"/>
            <w:vMerge w:val="restart"/>
          </w:tcPr>
          <w:p>
            <w:pPr>
              <w:spacing w:after="0"/>
              <w:rPr>
                <w:sz w:val="20"/>
                <w:szCs w:val="20"/>
                <w:color w:val="auto"/>
              </w:rPr>
            </w:pPr>
            <w:r>
              <w:rPr>
                <w:rFonts w:ascii="Arial" w:cs="Arial" w:eastAsia="Arial" w:hAnsi="Arial"/>
                <w:sz w:val="13"/>
                <w:szCs w:val="13"/>
                <w:color w:val="auto"/>
              </w:rPr>
              <w:t>Basic and diluted loss applicable to common stockholders per share, pro forma</w:t>
            </w: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(3.98)</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stock-based compensation expense recognized in the accompanying statements of operations is as follows (in thousands):</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2004</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5,694</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14,387</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Consultant-related</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1,116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280</w:t>
            </w: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6,810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14,667</w:t>
            </w:r>
          </w:p>
        </w:tc>
      </w:tr>
      <w:tr>
        <w:trPr>
          <w:trHeight w:val="29"/>
        </w:trPr>
        <w:tc>
          <w:tcPr>
            <w:tcW w:w="7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2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8460" w:type="dxa"/>
            <w:vAlign w:val="bottom"/>
            <w:gridSpan w:val="6"/>
          </w:tcPr>
          <w:p>
            <w:pPr>
              <w:ind w:left="400"/>
              <w:spacing w:after="0"/>
              <w:rPr>
                <w:sz w:val="20"/>
                <w:szCs w:val="20"/>
                <w:color w:val="auto"/>
              </w:rPr>
            </w:pPr>
            <w:r>
              <w:rPr>
                <w:rFonts w:ascii="Arial" w:cs="Arial" w:eastAsia="Arial" w:hAnsi="Arial"/>
                <w:sz w:val="13"/>
                <w:szCs w:val="13"/>
                <w:color w:val="auto"/>
                <w:w w:val="90"/>
              </w:rPr>
              <w:t>Total stock-based compensation expense recognized in the accompanying statements of operations is included in the following categories (in thousands):</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7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2004</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2,936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7,140</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3,874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(1,408)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7,527</w:t>
            </w: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6,810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14,667</w:t>
            </w:r>
          </w:p>
        </w:tc>
      </w:tr>
      <w:tr>
        <w:trPr>
          <w:trHeight w:val="29"/>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uses the Black-Scholes option valuation model to estimate the grant date fair value of employee stock options. Upon adoption of SFAS No. 123R, the expected life of the option is estimated using the “simplified” method as provided in SEC Staff Accounting Bulletin No. 107 (SAB No. 107). Under this method, the expected life equals the arithmetic average of the vesting term and the original contractual term of the options. During the year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900"/>
        <w:spacing w:after="0" w:line="285" w:lineRule="auto"/>
        <w:rPr>
          <w:sz w:val="20"/>
          <w:szCs w:val="20"/>
          <w:color w:val="auto"/>
        </w:rPr>
      </w:pPr>
      <w:r>
        <w:rPr>
          <w:rFonts w:ascii="Arial" w:cs="Arial" w:eastAsia="Arial" w:hAnsi="Arial"/>
          <w:sz w:val="12"/>
          <w:szCs w:val="12"/>
          <w:color w:val="auto"/>
        </w:rPr>
        <w:t>ended December 31, 2006, the Company assumed estimated lives of 6.08 to 6.60 years. The Company also estimates volatility as provided in SAB 107. Under this method, volatility is estimated based on the historical volatility of similar entities whose share prices are publicly available. During the year ended December 31, 2006, the Company used volatility assumptions from 56% to 63%. The Company has selected risk-free interest rates based on U.S. Treasury Securities with an equivalent expected term in effect on the date the options were granted. During the year ended December 31, 2006, the Company used risk-free rates from 4.54% to 4.96%. Additionally, the Company uses historical data and management judgment to estimate stock option exercise behavior and employee turnover rates to estimate the number of stock option awards that will eventually vest.</w:t>
      </w:r>
    </w:p>
    <w:p>
      <w:pPr>
        <w:spacing w:after="0" w:line="55"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Prior to January 1, 2006, under SFAS No. 123, the Company estimated the fair value of each stock option at the grant date or modification date, if any, using the Black-Scholes option valuation model with the following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0"/>
                <w:szCs w:val="10"/>
                <w:b w:val="1"/>
                <w:bCs w:val="1"/>
                <w:color w:val="auto"/>
              </w:rPr>
              <w:t>Year Ended December 31,</w:t>
            </w: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2004</w:t>
            </w: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7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9"/>
            <w:shd w:val="clear" w:color="auto" w:fill="CCEEFF"/>
          </w:tcPr>
          <w:p>
            <w:pPr>
              <w:jc w:val="right"/>
              <w:ind w:right="880"/>
              <w:spacing w:after="0"/>
              <w:rPr>
                <w:sz w:val="20"/>
                <w:szCs w:val="20"/>
                <w:color w:val="auto"/>
              </w:rPr>
            </w:pPr>
            <w:r>
              <w:rPr>
                <w:rFonts w:ascii="Arial" w:cs="Arial" w:eastAsia="Arial" w:hAnsi="Arial"/>
                <w:sz w:val="13"/>
                <w:szCs w:val="13"/>
                <w:color w:val="auto"/>
              </w:rPr>
              <w:t>2.55% — 3.82%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3.43% — 4.49%</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Expected lives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7"/>
          </w:tcPr>
          <w:p>
            <w:pPr>
              <w:jc w:val="center"/>
              <w:ind w:right="800"/>
              <w:spacing w:after="0"/>
              <w:rPr>
                <w:sz w:val="20"/>
                <w:szCs w:val="20"/>
                <w:color w:val="auto"/>
              </w:rPr>
            </w:pPr>
            <w:r>
              <w:rPr>
                <w:rFonts w:ascii="Arial" w:cs="Arial" w:eastAsia="Arial" w:hAnsi="Arial"/>
                <w:sz w:val="13"/>
                <w:szCs w:val="13"/>
                <w:color w:val="auto"/>
                <w:w w:val="89"/>
              </w:rPr>
              <w:t>4.0 years</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Dividends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700" w:type="dxa"/>
            <w:vAlign w:val="bottom"/>
          </w:tcPr>
          <w:p>
            <w:pPr>
              <w:ind w:left="400"/>
              <w:spacing w:after="0"/>
              <w:rPr>
                <w:sz w:val="20"/>
                <w:szCs w:val="20"/>
                <w:color w:val="auto"/>
              </w:rPr>
            </w:pPr>
            <w:r>
              <w:rPr>
                <w:rFonts w:ascii="Arial" w:cs="Arial" w:eastAsia="Arial" w:hAnsi="Arial"/>
                <w:sz w:val="13"/>
                <w:szCs w:val="13"/>
                <w:color w:val="auto"/>
                <w:w w:val="97"/>
              </w:rPr>
              <w:t>The following table summarizes information about stock options outstanding:</w:t>
            </w: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5"/>
          </w:tcPr>
          <w:p>
            <w:pPr>
              <w:jc w:val="center"/>
              <w:ind w:right="5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5"/>
              </w:rPr>
              <w:t>Number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Average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5"/>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Average</w:t>
            </w:r>
          </w:p>
        </w:tc>
        <w:tc>
          <w:tcPr>
            <w:tcW w:w="1700" w:type="dxa"/>
            <w:vAlign w:val="bottom"/>
            <w:gridSpan w:val="3"/>
            <w:vMerge w:val="restart"/>
          </w:tcPr>
          <w:p>
            <w:pPr>
              <w:jc w:val="center"/>
              <w:ind w:right="9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Exercise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5"/>
          </w:tcPr>
          <w:p>
            <w:pPr>
              <w:jc w:val="center"/>
              <w:ind w:right="560"/>
              <w:spacing w:after="0" w:line="108" w:lineRule="exact"/>
              <w:rPr>
                <w:sz w:val="20"/>
                <w:szCs w:val="20"/>
                <w:color w:val="auto"/>
              </w:rPr>
            </w:pPr>
            <w:r>
              <w:rPr>
                <w:rFonts w:ascii="Arial" w:cs="Arial" w:eastAsia="Arial" w:hAnsi="Arial"/>
                <w:sz w:val="10"/>
                <w:szCs w:val="10"/>
                <w:b w:val="1"/>
                <w:bCs w:val="1"/>
                <w:color w:val="auto"/>
              </w:rPr>
              <w:t>Grant</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84"/>
              </w:rPr>
              <w:t>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Price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5"/>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Date</w:t>
            </w:r>
          </w:p>
        </w:tc>
        <w:tc>
          <w:tcPr>
            <w:tcW w:w="1700" w:type="dxa"/>
            <w:vAlign w:val="bottom"/>
            <w:gridSpan w:val="3"/>
          </w:tcPr>
          <w:p>
            <w:pPr>
              <w:jc w:val="center"/>
              <w:ind w:right="980"/>
              <w:spacing w:after="0" w:line="108" w:lineRule="exact"/>
              <w:rPr>
                <w:sz w:val="20"/>
                <w:szCs w:val="20"/>
                <w:color w:val="auto"/>
              </w:rPr>
            </w:pPr>
            <w:r>
              <w:rPr>
                <w:rFonts w:ascii="Arial" w:cs="Arial" w:eastAsia="Arial" w:hAnsi="Arial"/>
                <w:sz w:val="10"/>
                <w:szCs w:val="10"/>
                <w:b w:val="1"/>
                <w:bCs w:val="1"/>
                <w:color w:val="auto"/>
              </w:rPr>
              <w:t>Intrinsic</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per Share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tcPr>
          <w:p>
            <w:pPr>
              <w:jc w:val="center"/>
              <w:ind w:right="560"/>
              <w:spacing w:after="0"/>
              <w:rPr>
                <w:sz w:val="20"/>
                <w:szCs w:val="20"/>
                <w:color w:val="auto"/>
              </w:rPr>
            </w:pPr>
            <w:r>
              <w:rPr>
                <w:rFonts w:ascii="Arial" w:cs="Arial" w:eastAsia="Arial" w:hAnsi="Arial"/>
                <w:sz w:val="10"/>
                <w:szCs w:val="10"/>
                <w:b w:val="1"/>
                <w:bCs w:val="1"/>
                <w:color w:val="auto"/>
              </w:rPr>
              <w:t>Fair Value</w:t>
            </w:r>
          </w:p>
        </w:tc>
        <w:tc>
          <w:tcPr>
            <w:tcW w:w="1700" w:type="dxa"/>
            <w:vAlign w:val="bottom"/>
            <w:gridSpan w:val="3"/>
          </w:tcPr>
          <w:p>
            <w:pPr>
              <w:jc w:val="center"/>
              <w:ind w:right="980"/>
              <w:spacing w:after="0"/>
              <w:rPr>
                <w:sz w:val="20"/>
                <w:szCs w:val="20"/>
                <w:color w:val="auto"/>
              </w:rPr>
            </w:pPr>
            <w:r>
              <w:rPr>
                <w:rFonts w:ascii="Arial" w:cs="Arial" w:eastAsia="Arial" w:hAnsi="Arial"/>
                <w:sz w:val="10"/>
                <w:szCs w:val="10"/>
                <w:b w:val="1"/>
                <w:bCs w:val="1"/>
                <w:color w:val="auto"/>
                <w:w w:val="95"/>
              </w:rPr>
              <w:t>Value ($000)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2004</w:t>
            </w:r>
          </w:p>
        </w:tc>
        <w:tc>
          <w:tcPr>
            <w:tcW w:w="20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2,099,825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2000" w:type="dxa"/>
            <w:vAlign w:val="bottom"/>
            <w:gridSpan w:val="3"/>
          </w:tcPr>
          <w:p>
            <w:pPr>
              <w:jc w:val="right"/>
              <w:ind w:right="280"/>
              <w:spacing w:after="0"/>
              <w:rPr>
                <w:sz w:val="20"/>
                <w:szCs w:val="20"/>
                <w:color w:val="auto"/>
              </w:rPr>
            </w:pPr>
            <w:r>
              <w:rPr>
                <w:rFonts w:ascii="Arial" w:cs="Arial" w:eastAsia="Arial" w:hAnsi="Arial"/>
                <w:sz w:val="13"/>
                <w:szCs w:val="13"/>
                <w:color w:val="auto"/>
              </w:rPr>
              <w:t>2,145,124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14.09</w:t>
            </w:r>
          </w:p>
        </w:tc>
        <w:tc>
          <w:tcPr>
            <w:tcW w:w="360" w:type="dxa"/>
            <w:vAlign w:val="bottom"/>
            <w:gridSpan w:val="2"/>
          </w:tcPr>
          <w:p>
            <w:pPr>
              <w:jc w:val="center"/>
              <w:ind w:left="197"/>
              <w:spacing w:after="0"/>
              <w:rPr>
                <w:sz w:val="20"/>
                <w:szCs w:val="20"/>
                <w:color w:val="auto"/>
              </w:rPr>
            </w:pPr>
            <w:r>
              <w:rPr>
                <w:rFonts w:ascii="Arial" w:cs="Arial" w:eastAsia="Arial" w:hAnsi="Arial"/>
                <w:sz w:val="13"/>
                <w:szCs w:val="13"/>
                <w:color w:val="auto"/>
                <w:w w:val="82"/>
              </w:rPr>
              <w:t>$</w:t>
            </w:r>
          </w:p>
        </w:tc>
        <w:tc>
          <w:tcPr>
            <w:tcW w:w="1000" w:type="dxa"/>
            <w:vAlign w:val="bottom"/>
            <w:gridSpan w:val="4"/>
          </w:tcPr>
          <w:p>
            <w:pPr>
              <w:jc w:val="right"/>
              <w:ind w:right="400"/>
              <w:spacing w:after="0"/>
              <w:rPr>
                <w:sz w:val="20"/>
                <w:szCs w:val="20"/>
                <w:color w:val="auto"/>
              </w:rPr>
            </w:pPr>
            <w:r>
              <w:rPr>
                <w:rFonts w:ascii="Arial" w:cs="Arial" w:eastAsia="Arial" w:hAnsi="Arial"/>
                <w:sz w:val="13"/>
                <w:szCs w:val="13"/>
                <w:color w:val="auto"/>
              </w:rPr>
              <w:t>10.16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20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(86,066)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Forfeit</w:t>
            </w:r>
          </w:p>
        </w:tc>
        <w:tc>
          <w:tcPr>
            <w:tcW w:w="2000" w:type="dxa"/>
            <w:vAlign w:val="bottom"/>
            <w:gridSpan w:val="3"/>
          </w:tcPr>
          <w:p>
            <w:pPr>
              <w:jc w:val="right"/>
              <w:ind w:right="220"/>
              <w:spacing w:after="0"/>
              <w:rPr>
                <w:sz w:val="20"/>
                <w:szCs w:val="20"/>
                <w:color w:val="auto"/>
              </w:rPr>
            </w:pPr>
            <w:r>
              <w:rPr>
                <w:rFonts w:ascii="Arial" w:cs="Arial" w:eastAsia="Arial" w:hAnsi="Arial"/>
                <w:sz w:val="13"/>
                <w:szCs w:val="13"/>
                <w:color w:val="auto"/>
              </w:rPr>
              <w:t>(79,244)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12.86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9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(11,660)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20.22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Outstanding at December 31, 2004</w:t>
            </w: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12.19</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4,067,979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20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1,634,679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12.03</w:t>
            </w:r>
          </w:p>
        </w:tc>
        <w:tc>
          <w:tcPr>
            <w:tcW w:w="36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w w:val="82"/>
              </w:rPr>
              <w:t>$</w:t>
            </w:r>
          </w:p>
        </w:tc>
        <w:tc>
          <w:tcPr>
            <w:tcW w:w="100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8.14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2000" w:type="dxa"/>
            <w:vAlign w:val="bottom"/>
            <w:gridSpan w:val="3"/>
          </w:tcPr>
          <w:p>
            <w:pPr>
              <w:jc w:val="right"/>
              <w:ind w:right="220"/>
              <w:spacing w:after="0"/>
              <w:rPr>
                <w:sz w:val="20"/>
                <w:szCs w:val="20"/>
                <w:color w:val="auto"/>
              </w:rPr>
            </w:pPr>
            <w:r>
              <w:rPr>
                <w:rFonts w:ascii="Arial" w:cs="Arial" w:eastAsia="Arial" w:hAnsi="Arial"/>
                <w:sz w:val="13"/>
                <w:szCs w:val="13"/>
                <w:color w:val="auto"/>
              </w:rPr>
              <w:t>(304,555)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6.42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w:t>
            </w:r>
          </w:p>
        </w:tc>
        <w:tc>
          <w:tcPr>
            <w:tcW w:w="20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(379,850)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13.04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Expired</w:t>
            </w:r>
          </w:p>
        </w:tc>
        <w:tc>
          <w:tcPr>
            <w:tcW w:w="9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(32,422)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16.02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9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4,985,831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2000" w:type="dxa"/>
            <w:vAlign w:val="bottom"/>
            <w:gridSpan w:val="3"/>
          </w:tcPr>
          <w:p>
            <w:pPr>
              <w:jc w:val="right"/>
              <w:ind w:right="280"/>
              <w:spacing w:after="0"/>
              <w:rPr>
                <w:sz w:val="20"/>
                <w:szCs w:val="20"/>
                <w:color w:val="auto"/>
              </w:rPr>
            </w:pPr>
            <w:r>
              <w:rPr>
                <w:rFonts w:ascii="Arial" w:cs="Arial" w:eastAsia="Arial" w:hAnsi="Arial"/>
                <w:sz w:val="13"/>
                <w:szCs w:val="13"/>
                <w:color w:val="auto"/>
              </w:rPr>
              <w:t>1,792,525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17.51</w:t>
            </w:r>
          </w:p>
        </w:tc>
        <w:tc>
          <w:tcPr>
            <w:tcW w:w="360" w:type="dxa"/>
            <w:vAlign w:val="bottom"/>
            <w:gridSpan w:val="2"/>
          </w:tcPr>
          <w:p>
            <w:pPr>
              <w:jc w:val="center"/>
              <w:ind w:left="197"/>
              <w:spacing w:after="0"/>
              <w:rPr>
                <w:sz w:val="20"/>
                <w:szCs w:val="20"/>
                <w:color w:val="auto"/>
              </w:rPr>
            </w:pPr>
            <w:r>
              <w:rPr>
                <w:rFonts w:ascii="Arial" w:cs="Arial" w:eastAsia="Arial" w:hAnsi="Arial"/>
                <w:sz w:val="13"/>
                <w:szCs w:val="13"/>
                <w:color w:val="auto"/>
                <w:w w:val="82"/>
              </w:rPr>
              <w:t>$</w:t>
            </w:r>
          </w:p>
        </w:tc>
        <w:tc>
          <w:tcPr>
            <w:tcW w:w="1000" w:type="dxa"/>
            <w:vAlign w:val="bottom"/>
            <w:gridSpan w:val="4"/>
          </w:tcPr>
          <w:p>
            <w:pPr>
              <w:jc w:val="right"/>
              <w:ind w:right="400"/>
              <w:spacing w:after="0"/>
              <w:rPr>
                <w:sz w:val="20"/>
                <w:szCs w:val="20"/>
                <w:color w:val="auto"/>
              </w:rPr>
            </w:pPr>
            <w:r>
              <w:rPr>
                <w:rFonts w:ascii="Arial" w:cs="Arial" w:eastAsia="Arial" w:hAnsi="Arial"/>
                <w:sz w:val="13"/>
                <w:szCs w:val="13"/>
                <w:color w:val="auto"/>
              </w:rPr>
              <w:t>10.41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20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(262,987)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Forfeit</w:t>
            </w:r>
          </w:p>
        </w:tc>
        <w:tc>
          <w:tcPr>
            <w:tcW w:w="2000" w:type="dxa"/>
            <w:vAlign w:val="bottom"/>
            <w:gridSpan w:val="3"/>
          </w:tcPr>
          <w:p>
            <w:pPr>
              <w:jc w:val="right"/>
              <w:ind w:right="220"/>
              <w:spacing w:after="0"/>
              <w:rPr>
                <w:sz w:val="20"/>
                <w:szCs w:val="20"/>
                <w:color w:val="auto"/>
              </w:rPr>
            </w:pPr>
            <w:r>
              <w:rPr>
                <w:rFonts w:ascii="Arial" w:cs="Arial" w:eastAsia="Arial" w:hAnsi="Arial"/>
                <w:sz w:val="13"/>
                <w:szCs w:val="13"/>
                <w:color w:val="auto"/>
              </w:rPr>
              <w:t>(250,216)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13.25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9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(48,455)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17.94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Outstanding at December 31, 2006</w:t>
            </w: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13.94</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5"/>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15,872</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6,216,698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Vested or expected to vest at December 31, 2006</w:t>
            </w:r>
          </w:p>
        </w:tc>
        <w:tc>
          <w:tcPr>
            <w:tcW w:w="9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5,725,429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13.85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Exercisable at December 31, 2006</w:t>
            </w:r>
          </w:p>
        </w:tc>
        <w:tc>
          <w:tcPr>
            <w:tcW w:w="2000" w:type="dxa"/>
            <w:vAlign w:val="bottom"/>
            <w:gridSpan w:val="3"/>
          </w:tcPr>
          <w:p>
            <w:pPr>
              <w:jc w:val="right"/>
              <w:ind w:right="280"/>
              <w:spacing w:after="0"/>
              <w:rPr>
                <w:sz w:val="20"/>
                <w:szCs w:val="20"/>
                <w:color w:val="auto"/>
              </w:rPr>
            </w:pPr>
            <w:r>
              <w:rPr>
                <w:rFonts w:ascii="Arial" w:cs="Arial" w:eastAsia="Arial" w:hAnsi="Arial"/>
                <w:sz w:val="13"/>
                <w:szCs w:val="13"/>
                <w:color w:val="auto"/>
              </w:rPr>
              <w:t>2,754,149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10,602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00" w:type="dxa"/>
            <w:vAlign w:val="bottom"/>
          </w:tcPr>
          <w:p>
            <w:pPr>
              <w:jc w:val="right"/>
              <w:ind w:right="474"/>
              <w:spacing w:after="0"/>
              <w:rPr>
                <w:sz w:val="20"/>
                <w:szCs w:val="20"/>
                <w:color w:val="auto"/>
              </w:rPr>
            </w:pPr>
            <w:r>
              <w:rPr>
                <w:rFonts w:ascii="Arial" w:cs="Arial" w:eastAsia="Arial" w:hAnsi="Arial"/>
                <w:sz w:val="13"/>
                <w:szCs w:val="13"/>
                <w:color w:val="auto"/>
              </w:rPr>
              <w:t>91</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received from the exercise of options during the years ended December 31, 2004, 2005, and 2006 was approximately $1.1 million, $2.0 million, and $2.3 million, respectively.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weighted-average remaining contractual terms for options outstanding, vested or expected to vest, and exercisable at December 31, 2006 was 7.4 years, 7.3, and 5.7 years, respectively.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units activity for the years ended December 31, 2005 and 2006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2005</w:t>
            </w: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Granted</w:t>
            </w:r>
          </w:p>
        </w:tc>
        <w:tc>
          <w:tcPr>
            <w:tcW w:w="700" w:type="dxa"/>
            <w:vAlign w:val="bottom"/>
          </w:tcPr>
          <w:p>
            <w:pPr>
              <w:jc w:val="right"/>
              <w:spacing w:after="0"/>
              <w:rPr>
                <w:sz w:val="20"/>
                <w:szCs w:val="20"/>
                <w:color w:val="auto"/>
              </w:rPr>
            </w:pPr>
            <w:r>
              <w:rPr>
                <w:rFonts w:ascii="Arial" w:cs="Arial" w:eastAsia="Arial" w:hAnsi="Arial"/>
                <w:sz w:val="13"/>
                <w:szCs w:val="13"/>
                <w:color w:val="auto"/>
              </w:rPr>
              <w:t>165,354</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(453)</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0" w:type="dxa"/>
            <w:vAlign w:val="bottom"/>
          </w:tcPr>
          <w:p>
            <w:pPr>
              <w:spacing w:after="0"/>
              <w:rPr>
                <w:sz w:val="20"/>
                <w:szCs w:val="20"/>
                <w:color w:val="auto"/>
              </w:rPr>
            </w:pPr>
            <w:r>
              <w:rPr>
                <w:rFonts w:ascii="Arial" w:cs="Arial" w:eastAsia="Arial" w:hAnsi="Arial"/>
                <w:sz w:val="13"/>
                <w:szCs w:val="13"/>
                <w:color w:val="auto"/>
              </w:rPr>
              <w:t>Outstanding at December 31, 2005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164,901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773,713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Vested</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(135,744)</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(26,217)</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000" w:type="dxa"/>
            <w:vAlign w:val="bottom"/>
          </w:tcPr>
          <w:p>
            <w:pPr>
              <w:spacing w:after="0"/>
              <w:rPr>
                <w:sz w:val="20"/>
                <w:szCs w:val="20"/>
                <w:color w:val="auto"/>
              </w:rPr>
            </w:pPr>
            <w:r>
              <w:rPr>
                <w:rFonts w:ascii="Arial" w:cs="Arial" w:eastAsia="Arial" w:hAnsi="Arial"/>
                <w:sz w:val="13"/>
                <w:szCs w:val="13"/>
                <w:color w:val="auto"/>
              </w:rPr>
              <w:t>Outstanding at December 31, 2006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776,653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right="820" w:firstLine="399"/>
        <w:spacing w:after="0" w:line="276" w:lineRule="auto"/>
        <w:rPr>
          <w:sz w:val="20"/>
          <w:szCs w:val="20"/>
          <w:color w:val="auto"/>
        </w:rPr>
      </w:pPr>
      <w:r>
        <w:rPr>
          <w:rFonts w:ascii="Arial" w:cs="Arial" w:eastAsia="Arial" w:hAnsi="Arial"/>
          <w:sz w:val="13"/>
          <w:szCs w:val="13"/>
          <w:color w:val="auto"/>
        </w:rPr>
        <w:t>The total fair value of restricted stock units vested during the year ended December 31, 2006 was $2.5 million. The weighted- average remaining contractual terms for restricted stock units outstanding at December 31, 2006 was 9.3 years.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the Company’s nonvested shares, excluding restricted stock units, for the year ended December 31, 2006,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Nonvested at January 1, 2006</w:t>
            </w:r>
          </w:p>
        </w:tc>
        <w:tc>
          <w:tcPr>
            <w:tcW w:w="57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3,048,631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Granted</w:t>
            </w:r>
          </w:p>
        </w:tc>
        <w:tc>
          <w:tcPr>
            <w:tcW w:w="5740" w:type="dxa"/>
            <w:vAlign w:val="bottom"/>
            <w:gridSpan w:val="3"/>
          </w:tcPr>
          <w:p>
            <w:pPr>
              <w:jc w:val="right"/>
              <w:ind w:right="380"/>
              <w:spacing w:after="0"/>
              <w:rPr>
                <w:sz w:val="20"/>
                <w:szCs w:val="20"/>
                <w:color w:val="auto"/>
              </w:rPr>
            </w:pPr>
            <w:r>
              <w:rPr>
                <w:rFonts w:ascii="Arial" w:cs="Arial" w:eastAsia="Arial" w:hAnsi="Arial"/>
                <w:sz w:val="13"/>
                <w:szCs w:val="13"/>
                <w:color w:val="auto"/>
              </w:rPr>
              <w:t>1,792,525</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57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(1,128,391)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446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(250,216)</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Nonvested at December 31, 2006</w:t>
            </w:r>
          </w:p>
        </w:tc>
        <w:tc>
          <w:tcPr>
            <w:tcW w:w="4460" w:type="dxa"/>
            <w:vAlign w:val="bottom"/>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3,462,549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60" w:type="dxa"/>
            <w:vAlign w:val="bottom"/>
          </w:tcPr>
          <w:p>
            <w:pPr>
              <w:jc w:val="right"/>
              <w:ind w:right="2674"/>
              <w:spacing w:after="0"/>
              <w:rPr>
                <w:sz w:val="20"/>
                <w:szCs w:val="20"/>
                <w:color w:val="auto"/>
              </w:rPr>
            </w:pPr>
            <w:r>
              <w:rPr>
                <w:rFonts w:ascii="Arial" w:cs="Arial" w:eastAsia="Arial" w:hAnsi="Arial"/>
                <w:sz w:val="13"/>
                <w:szCs w:val="13"/>
                <w:color w:val="auto"/>
              </w:rPr>
              <w:t>92</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the Company’s nonvested restricted stock units, for the year ended December 31, 2006,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Nonvested at January 1, 2006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164,901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773,713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17.02</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Released</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(135,744)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14.80</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(26,217)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66"/>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Nonvested at December 31,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776,653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As of December 31, 2006, there was $28.0 million and $11.1 million of unrecognized compensation cost related to options and restricted stock units, respectively, which is expected to be recognized over the weighted average vesting period of 2.9 years.</w:t>
      </w:r>
    </w:p>
    <w:p>
      <w:pPr>
        <w:spacing w:after="0" w:line="134"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During 1995 and 1996, the Company issued warrants to purchase shares of common stock. The warrants have an exercise price of $12.64 per share as of December 31, 2006 and expire in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As of December 31, 2004, warrants to purchase</w:t>
      </w:r>
    </w:p>
    <w:p>
      <w:pPr>
        <w:spacing w:after="0" w:line="2"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131,628 shares of common stock were outstanding. During the second quarter ended June 30, 2005, warrants to purchase 110,888 shares of common stock were exchanged for 24,210 shares of common stock resulting in stock-based compensation expense of $245,000 based on a fair market value of the common stock of $10.12 per share. Warrants to purchase 8,304 shares of common stock expired during 2005. As of December 31, 2006, the remaining warrants to purchase 12,459 shares of common stock at a weighted average exercise price of $12.64 per share are outstanding and exercisable.</w:t>
      </w:r>
    </w:p>
    <w:p>
      <w:pPr>
        <w:spacing w:after="0" w:line="7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connection with the sale of common stock in the private placement which closed on August 5, 2005, the Company concurrently issued warrants to purchase up to 3,426,000 shares of common stock at an exercise price of $12.228 per share. See also Note 11 — Common and Preferred Stock — Private Placement. These warrants became exercisable on February 1, 2006 and expire in August 2010. During the year ended December 31, 2006, approximately 543,000 warrants were exercised and net settled for approximately 339,000 shares. As of December 31, 2006, warrants to purchase approximately 2,883,000 shares of common stock remained outstanding. In connection with the sale of common stock in the public offering that closed on December 6, 2006, two holders of outstanding warrants to purchase a total of 1,710,091 shares of common stock agreed to amend the terms of their warrants to provide that such warrants would not be exercisable from December 6, 2006 until the date on which the Company has at least 100,000,000 shares of its common stock duly and validly authorized.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 Company leases certain facilities and equipment under various operating leases, which expire at various dates through 2009. Future minimum rental</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required under operating leases are as follows at December 31, 2006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58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39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5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57"/>
        </w:trPr>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2007</w:t>
            </w:r>
          </w:p>
        </w:tc>
        <w:tc>
          <w:tcPr>
            <w:tcW w:w="3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1,451</w:t>
            </w:r>
          </w:p>
        </w:tc>
      </w:tr>
      <w:tr>
        <w:trPr>
          <w:trHeight w:val="157"/>
        </w:trPr>
        <w:tc>
          <w:tcPr>
            <w:tcW w:w="5580" w:type="dxa"/>
            <w:vAlign w:val="bottom"/>
            <w:gridSpan w:val="2"/>
          </w:tcPr>
          <w:p>
            <w:pPr>
              <w:spacing w:after="0"/>
              <w:rPr>
                <w:sz w:val="20"/>
                <w:szCs w:val="20"/>
                <w:color w:val="auto"/>
              </w:rPr>
            </w:pPr>
            <w:r>
              <w:rPr>
                <w:rFonts w:ascii="Arial" w:cs="Arial" w:eastAsia="Arial" w:hAnsi="Arial"/>
                <w:sz w:val="13"/>
                <w:szCs w:val="13"/>
                <w:color w:val="auto"/>
              </w:rPr>
              <w:t>2008</w:t>
            </w:r>
          </w:p>
        </w:tc>
        <w:tc>
          <w:tcPr>
            <w:tcW w:w="394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Arial" w:cs="Arial" w:eastAsia="Arial" w:hAnsi="Arial"/>
                <w:sz w:val="13"/>
                <w:szCs w:val="13"/>
                <w:color w:val="auto"/>
              </w:rPr>
              <w:t>1,439</w:t>
            </w:r>
          </w:p>
        </w:tc>
      </w:tr>
      <w:tr>
        <w:trPr>
          <w:trHeight w:val="157"/>
        </w:trPr>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2009</w:t>
            </w:r>
          </w:p>
        </w:tc>
        <w:tc>
          <w:tcPr>
            <w:tcW w:w="39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319</w:t>
            </w:r>
          </w:p>
        </w:tc>
      </w:tr>
      <w:tr>
        <w:trPr>
          <w:trHeight w:val="157"/>
        </w:trPr>
        <w:tc>
          <w:tcPr>
            <w:tcW w:w="5580" w:type="dxa"/>
            <w:vAlign w:val="bottom"/>
            <w:gridSpan w:val="2"/>
          </w:tcPr>
          <w:p>
            <w:pPr>
              <w:spacing w:after="0"/>
              <w:rPr>
                <w:sz w:val="20"/>
                <w:szCs w:val="20"/>
                <w:color w:val="auto"/>
              </w:rPr>
            </w:pPr>
            <w:r>
              <w:rPr>
                <w:rFonts w:ascii="Arial" w:cs="Arial" w:eastAsia="Arial" w:hAnsi="Arial"/>
                <w:sz w:val="13"/>
                <w:szCs w:val="13"/>
                <w:color w:val="auto"/>
              </w:rPr>
              <w:t>After 2009</w:t>
            </w:r>
          </w:p>
        </w:tc>
        <w:tc>
          <w:tcPr>
            <w:tcW w:w="394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157"/>
        </w:trPr>
        <w:tc>
          <w:tcPr>
            <w:tcW w:w="100" w:type="dxa"/>
            <w:vAlign w:val="bottom"/>
            <w:shd w:val="clear" w:color="auto" w:fill="CCEEFF"/>
          </w:tcPr>
          <w:p>
            <w:pPr>
              <w:spacing w:after="0"/>
              <w:rPr>
                <w:sz w:val="13"/>
                <w:szCs w:val="13"/>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minimum lease payments</w:t>
            </w:r>
          </w:p>
        </w:tc>
        <w:tc>
          <w:tcPr>
            <w:tcW w:w="3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3,209</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Rent expense under all operating leases for the years ended December 31, 2004, 2005 and 2006 was approximately, $601,000 and $1.1 million, and $1.3 Million, respectively.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 The Company’s capital leases were not material for the years ended December 31, 2004, 2005 and 2006.</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Guarantees and Indemnifications </w:t>
      </w:r>
      <w:r>
        <w:rPr>
          <w:rFonts w:ascii="Arial" w:cs="Arial" w:eastAsia="Arial" w:hAnsi="Arial"/>
          <w:sz w:val="13"/>
          <w:szCs w:val="13"/>
          <w:color w:val="auto"/>
        </w:rPr>
        <w:t>— In the ordinary course of its business, the Company makes certain indemnities, commitments and guarantees under which it may be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7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The Company is involved in various legal proceedings and other matters. In accordance with SFAS No. 5,</w:t>
      </w:r>
      <w:r>
        <w:rPr>
          <w:rFonts w:ascii="Arial" w:cs="Arial" w:eastAsia="Arial" w:hAnsi="Arial"/>
          <w:sz w:val="13"/>
          <w:szCs w:val="13"/>
          <w:i w:val="1"/>
          <w:iCs w:val="1"/>
          <w:color w:val="auto"/>
        </w:rPr>
        <w:t xml:space="preserve"> Accounting for Contingencies</w:t>
      </w:r>
      <w:r>
        <w:rPr>
          <w:rFonts w:ascii="Arial" w:cs="Arial" w:eastAsia="Arial" w:hAnsi="Arial"/>
          <w:sz w:val="13"/>
          <w:szCs w:val="13"/>
          <w:color w:val="auto"/>
        </w:rPr>
        <w:t>, the Company would record a</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 for a liability when it is both probable that a liability has been incurred and the amount of the loss can be reasonably estimated.</w:t>
      </w:r>
    </w:p>
    <w:p>
      <w:pPr>
        <w:spacing w:after="0" w:line="59"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 xml:space="preserve">In May 2005, the Company’s former Chief Medical Officer filed a complaint against the Company in the California Superior Court, County of Los Angeles. </w:t>
      </w:r>
      <w:r>
        <w:rPr>
          <w:rFonts w:ascii="Arial" w:cs="Arial" w:eastAsia="Arial" w:hAnsi="Arial"/>
          <w:sz w:val="11"/>
          <w:szCs w:val="11"/>
          <w:i w:val="1"/>
          <w:iCs w:val="1"/>
          <w:color w:val="auto"/>
        </w:rPr>
        <w:t>Wayman Wendell</w:t>
      </w:r>
      <w:r>
        <w:rPr>
          <w:rFonts w:ascii="Arial" w:cs="Arial" w:eastAsia="Arial" w:hAnsi="Arial"/>
          <w:sz w:val="11"/>
          <w:szCs w:val="11"/>
          <w:color w:val="auto"/>
        </w:rPr>
        <w:t xml:space="preserve"> </w:t>
      </w:r>
      <w:r>
        <w:rPr>
          <w:rFonts w:ascii="Arial" w:cs="Arial" w:eastAsia="Arial" w:hAnsi="Arial"/>
          <w:sz w:val="11"/>
          <w:szCs w:val="11"/>
          <w:i w:val="1"/>
          <w:iCs w:val="1"/>
          <w:color w:val="auto"/>
        </w:rPr>
        <w:t>Cheatham, M.D. v. MannKind Corporation</w:t>
      </w:r>
      <w:r>
        <w:rPr>
          <w:rFonts w:ascii="Arial" w:cs="Arial" w:eastAsia="Arial" w:hAnsi="Arial"/>
          <w:sz w:val="11"/>
          <w:szCs w:val="11"/>
          <w:color w:val="auto"/>
        </w:rPr>
        <w:t>, Case No. BC333845. The complaint alleges causes of action for wrongful termination in violation of public policy, breach of contract and</w:t>
      </w:r>
      <w:r>
        <w:rPr>
          <w:rFonts w:ascii="Arial" w:cs="Arial" w:eastAsia="Arial" w:hAnsi="Arial"/>
          <w:sz w:val="11"/>
          <w:szCs w:val="11"/>
          <w:i w:val="1"/>
          <w:iCs w:val="1"/>
          <w:color w:val="auto"/>
        </w:rPr>
        <w:t xml:space="preserve"> </w:t>
      </w:r>
      <w:r>
        <w:rPr>
          <w:rFonts w:ascii="Arial" w:cs="Arial" w:eastAsia="Arial" w:hAnsi="Arial"/>
          <w:sz w:val="11"/>
          <w:szCs w:val="11"/>
          <w:color w:val="auto"/>
        </w:rPr>
        <w:t>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intends to vigorously defend against them. The Company also filed a cross-complaint against</w:t>
      </w:r>
    </w:p>
    <w:p>
      <w:pPr>
        <w:spacing w:after="0" w:line="1"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Dr. Cheatham, alleging claims for libel per se, trade libel, breach of contract, breach of the implied covenant of good faith and fair dealing and breach of the duty of loyalty. The libel claims allege that Dr. Cheatham made certain false and malicious statements about the Company in a letter to the Food and Drug Administration (“FDA”) with regard to a request by the Company to hold a meeting with the FDA. The remaining causes of action in the cross-complaint arise out of the Company’s allegations that Dr. Cheatham had an undisclosed consulting relationship with a Company competitor during his employment with the Company, in violation of his agreement with the Company. In July 2005, Dr. Cheatham filed a demurrer and motion to strike the Company’s cross-complaint under California’s anti-SLAPP statute. In September 2005, the California Superior Court overruled Dr. Cheatham’s demurrer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80"/>
        <w:spacing w:after="0" w:line="257" w:lineRule="auto"/>
        <w:rPr>
          <w:sz w:val="20"/>
          <w:szCs w:val="20"/>
          <w:color w:val="auto"/>
        </w:rPr>
      </w:pPr>
      <w:r>
        <w:rPr>
          <w:rFonts w:ascii="Arial" w:cs="Arial" w:eastAsia="Arial" w:hAnsi="Arial"/>
          <w:sz w:val="13"/>
          <w:szCs w:val="13"/>
          <w:color w:val="auto"/>
        </w:rPr>
        <w:t>denied his motion to strike the Company’s cross-complaint. In November 2005, Dr. Cheatham appealed the Court’s ruling denying his motion to strike. In July 2006, the Company filed a motion for summary judgment, or in the alternative, for summary adjudication, requesting dismissal before trial of Dr, Cheatham’s claims against the Company. In October 2006, the Superior Court denied the motion. In December 2006, the Court of Appeal affirmed in part and reversed in part the Superior Court’s order denying Dr. Cheatham’s motion to strike. Subsequently, Dr. Cheatham filed a notice of dismissal of the retaliation cause of action, and the Company filed a notice of dismissal of the remaining claims under its cross-complaint. This case is scheduled for trial to commence on April 30, 2007. The Company believes that the ultimate resolution of this matter will not have a material impact on the Company’s financial position or results of operations.</w:t>
      </w:r>
    </w:p>
    <w:p>
      <w:pPr>
        <w:spacing w:after="0" w:line="72"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1"/>
          <w:szCs w:val="11"/>
          <w:color w:val="auto"/>
        </w:rPr>
        <w:t xml:space="preserve">In 2000, the Company issued 699,972 shares of common stock to three consultants in exchange for notes receivable aggregating approximately $10.9 million. The fixed interest bearing notes were collateralized by the underlying common stock. The notes-for-stock transactions were accounted for as in-substance stock option grants to non-employees. In November 2004, the consultants informed the Company that they had entered into an agreement in October 2001 with Alfred E. Mann, the Company’s chairman, chief executive officer and principal stockholder, under which Mr. Mann would purchase a portion of the consultants’ common stock, and that the Company was to apply the proceeds to the amounts owed under the consultants’ respective notes. The consultants informed the Company that they believed both the Company and Mr. Mann were in breach of the alleged agreement, and indicated their intent to seek alleged damages arising from the Company’s failure to perform the alleged agreement. On October 19, 2005, the principal and interest on the notes aggregating $14.6 million became due and payable and the Company pursued collection. On November 21, 2005, the consultants filed a complaint against the Company in the California Superior Court, County of Los Angeles, </w:t>
      </w:r>
      <w:r>
        <w:rPr>
          <w:rFonts w:ascii="Arial" w:cs="Arial" w:eastAsia="Arial" w:hAnsi="Arial"/>
          <w:sz w:val="11"/>
          <w:szCs w:val="11"/>
          <w:i w:val="1"/>
          <w:iCs w:val="1"/>
          <w:color w:val="auto"/>
        </w:rPr>
        <w:t>Rollins et al. v. MannKind et al</w:t>
      </w:r>
      <w:r>
        <w:rPr>
          <w:rFonts w:ascii="Arial" w:cs="Arial" w:eastAsia="Arial" w:hAnsi="Arial"/>
          <w:sz w:val="11"/>
          <w:szCs w:val="11"/>
          <w:color w:val="auto"/>
        </w:rPr>
        <w:t>, Case No. BC343381. The complaint alleges causes of action for breach of the abovementioned agreement, among other things. On January 19, 2006, the</w:t>
      </w:r>
      <w:r>
        <w:rPr>
          <w:rFonts w:ascii="Arial" w:cs="Arial" w:eastAsia="Arial" w:hAnsi="Arial"/>
          <w:sz w:val="11"/>
          <w:szCs w:val="11"/>
          <w:i w:val="1"/>
          <w:iCs w:val="1"/>
          <w:color w:val="auto"/>
        </w:rPr>
        <w:t xml:space="preserve"> </w:t>
      </w:r>
      <w:r>
        <w:rPr>
          <w:rFonts w:ascii="Arial" w:cs="Arial" w:eastAsia="Arial" w:hAnsi="Arial"/>
          <w:sz w:val="11"/>
          <w:szCs w:val="11"/>
          <w:color w:val="auto"/>
        </w:rPr>
        <w:t>parties mediated and settled the case. Under the settlement, the Company repurchased 620,697 shares from the consultants in full satisfaction of the notes. These shares were tendered and cancelled on February 3, 2006. The Company also agreed to repurchase the remaining 79,275 shares held by the consultants for $1.4 million in cash. The settlement was reflected as a</w:t>
      </w:r>
    </w:p>
    <w:p>
      <w:pPr>
        <w:spacing w:after="0" w:line="4"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$1.4 million charge to general and administrative expense in the fourth quarter of the year ended December 31, 2005 with a corresponding amount payable included in accrued expenses and other current liabilities as of December 31 2005. On February 21, 2006, the Company received and cancelled the 79,275 shares, and paid the purchase price of $1.4 million to the consultants. The complaint has been dismissed in its entirety with prejudice.</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September and October 2005, the principal and interest totaling $1.6 million on notes issued in exchange for approximately 78,000 shares of common stock to a former executive of the Company became due and payable to the Company. On December 31, 2005, the 78,000 shares of common stock issued in exchange for the notes receivable had a market value of approximately $878,000. The Company pursued collection. On January 31, 2006, former executive tendered 143,949 shares as full repayment of the notes in default and an additional note due in April 2006 issued in exchange for approximately 32,000 shares of common stock. The 143,949 shares were valued at $2.6 million on January 31, 2006 and represented principal and interest due through that date on all notes. The Company received and cancelled these shares on January 31, 2006.</w:t>
      </w:r>
    </w:p>
    <w:p>
      <w:pPr>
        <w:spacing w:after="0" w:line="5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Licensing Arrangement </w:t>
      </w:r>
      <w:r>
        <w:rPr>
          <w:rFonts w:ascii="Arial" w:cs="Arial" w:eastAsia="Arial" w:hAnsi="Arial"/>
          <w:sz w:val="13"/>
          <w:szCs w:val="13"/>
          <w:color w:val="auto"/>
        </w:rPr>
        <w:t>— On October 12, 2006, the Company entered into an agreement with The Technion Research and Development Foundation Ltd. (“TRDF”), an Israeli</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will be paid and the shares issued in three equal installments, the first of which occurred on October 18, 2006 and the second and third installments to occur, subject to the accomplishment of certain milestones, on October 12, 2007 and October 12, 2008. The Company has also agreed to pay royalties to TRDF with respect to sales of certain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820"/>
        <w:spacing w:after="0" w:line="280" w:lineRule="auto"/>
        <w:rPr>
          <w:sz w:val="20"/>
          <w:szCs w:val="20"/>
          <w:color w:val="auto"/>
        </w:rPr>
      </w:pPr>
      <w:r>
        <w:rPr>
          <w:rFonts w:ascii="Arial" w:cs="Arial" w:eastAsia="Arial" w:hAnsi="Arial"/>
          <w:sz w:val="12"/>
          <w:szCs w:val="12"/>
          <w:color w:val="auto"/>
        </w:rPr>
        <w:t>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receives if it decides to sub-license the technology. The Company has also agreed to pay a total of $2.0 million to TRDF in three nearly equal installments to fund sponsored research to be conducted at TRDF by a team led by a faculty member at the Technion. The initial sponsored research payment was made upon signing of the agreement, and the second and third sponsored research payments will occur, subject to the accomplishment of certain milestones, on October 12, 2007 and October 12, 2008. The Company also agreed to retain the services of the Technion faculty member as a consultant, for which the Company agrees to pay the consultant $60,000 per year and granted the individual an option to purchase 60,000 shares of the Company’s common stock. Under the terms of the agreement, the Company issued 100,000 shares of common stock to TRDF on October 12, 2006 and paid $1.6 million in license fees on October 18, 2006.</w:t>
      </w:r>
    </w:p>
    <w:p>
      <w:pPr>
        <w:spacing w:after="0" w:line="133" w:lineRule="exact"/>
        <w:rPr>
          <w:sz w:val="20"/>
          <w:szCs w:val="20"/>
          <w:color w:val="auto"/>
        </w:rPr>
      </w:pPr>
    </w:p>
    <w:p>
      <w:pPr>
        <w:ind w:left="1180" w:hanging="493"/>
        <w:spacing w:after="0"/>
        <w:tabs>
          <w:tab w:leader="none" w:pos="118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1160" w:firstLine="399"/>
        <w:spacing w:after="0" w:line="276" w:lineRule="auto"/>
        <w:rPr>
          <w:sz w:val="20"/>
          <w:szCs w:val="20"/>
          <w:color w:val="auto"/>
        </w:rPr>
      </w:pPr>
      <w:r>
        <w:rPr>
          <w:rFonts w:ascii="Arial" w:cs="Arial" w:eastAsia="Arial" w:hAnsi="Arial"/>
          <w:sz w:val="13"/>
          <w:szCs w:val="13"/>
          <w:color w:val="auto"/>
        </w:rPr>
        <w:t>The Company administers a 401(k) Savings Retirement Plan (the “MannKind Retirement Plan”) for its employees. For the years ended December 31, 2004, 2005 and 2006, the Company contributed $249,000, $372,000 and $567,000, respectively, to the MannKind Retirement Plan.</w:t>
      </w:r>
    </w:p>
    <w:p>
      <w:pPr>
        <w:spacing w:after="0" w:line="134" w:lineRule="exact"/>
        <w:rPr>
          <w:sz w:val="20"/>
          <w:szCs w:val="20"/>
          <w:color w:val="auto"/>
        </w:rPr>
      </w:pPr>
    </w:p>
    <w:p>
      <w:pPr>
        <w:ind w:left="1180" w:hanging="493"/>
        <w:spacing w:after="0"/>
        <w:tabs>
          <w:tab w:leader="none" w:pos="1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220" w:firstLine="399"/>
        <w:spacing w:after="0" w:line="264" w:lineRule="auto"/>
        <w:rPr>
          <w:sz w:val="20"/>
          <w:szCs w:val="20"/>
          <w:color w:val="auto"/>
        </w:rPr>
      </w:pPr>
      <w:r>
        <w:rPr>
          <w:rFonts w:ascii="Arial" w:cs="Arial" w:eastAsia="Arial" w:hAnsi="Arial"/>
          <w:sz w:val="13"/>
          <w:szCs w:val="13"/>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2004, 2005 and 2006 are approximately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w w:val="92"/>
              </w:rPr>
              <w:t>December 31,</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342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92,269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137,292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220,643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 credits</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4,566</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5,719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5,548</w:t>
            </w: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8,100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14,509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Non-qualified stock option expense</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5,027</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3,793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572</w:t>
            </w: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895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gross deferred tax assets</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107,982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155,799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252,043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(107,982)</w:t>
            </w:r>
          </w:p>
        </w:tc>
        <w:tc>
          <w:tcPr>
            <w:tcW w:w="8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(155,799)</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(252,043)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3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jc w:val="right"/>
              <w:ind w:right="1574"/>
              <w:spacing w:after="0"/>
              <w:rPr>
                <w:sz w:val="20"/>
                <w:szCs w:val="20"/>
                <w:color w:val="auto"/>
              </w:rPr>
            </w:pPr>
            <w:r>
              <w:rPr>
                <w:rFonts w:ascii="Arial" w:cs="Arial" w:eastAsia="Arial" w:hAnsi="Arial"/>
                <w:sz w:val="13"/>
                <w:szCs w:val="13"/>
                <w:color w:val="auto"/>
              </w:rPr>
              <w:t>96</w:t>
            </w: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effective income tax rate differs from the statutory federal income tax rate as follows for the years ended December 31, 2004, 2005 and 2006:</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38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8"/>
                <w:szCs w:val="8"/>
                <w:color w:val="auto"/>
              </w:rPr>
            </w:pPr>
          </w:p>
        </w:tc>
        <w:tc>
          <w:tcPr>
            <w:tcW w:w="580" w:type="dxa"/>
            <w:vAlign w:val="bottom"/>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8"/>
                <w:szCs w:val="8"/>
                <w:color w:val="auto"/>
              </w:rPr>
            </w:pPr>
          </w:p>
        </w:tc>
        <w:tc>
          <w:tcPr>
            <w:tcW w:w="36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Federal tax benefit rate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tax benefit, net of federal benefit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Other</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(35.0)</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0.0%</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0.0%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As required by SFAS No. 109,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2004, 2005 and 2006, the change in the valuation allowance was $34.1 million, $47.8 million, and $96.2 million respectively, for income taxes.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 December 31, 2006, the Company had federal and state net operating loss carryforwards of approximately $573.4 million and $360.2 million available, respectively, to reduce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future taxable income and which will expire at various dates beginning in 2007 and 2008, respectively. As a result of the Company’s initial public offering, an ownership change within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meaning of Internal Revenue Code Section 382 occurred in August 2004. As a result, annual use of the federal net operating loss and credit carry forward is limited to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$13.0 million per year. The annual limitation is cumulative and therefore, if not fully utilized in a year can be utilized in future years in addition to the Section 382 limitation for those years.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 December 31, 2006, the Company had research and development credits of $10.6 million that expire at various dates through 2017.</w:t>
      </w:r>
    </w:p>
    <w:p>
      <w:pPr>
        <w:spacing w:after="0" w:line="8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Company is currently evaluating the impact of FIN 48 on its financial statements which is effective beginning January 1, 2007. 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has not completed its evaluation of FIN 48 and the effect the adoption will have on the Company’s consolidated financial statements. The Company does not believe the adoption of FIN 48 will have a material effect on its financial statements.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issued 8,550,446 shares of its common stock to its principal stockholder during the year ended December 31, 2005 for proceeds of approximately $87.3 million. In connection with this issuance, the board of directors approved the issuance of warrants to purchase 1,710,091 shares of the Company’s common stock at $12.228 per share, which expire on August 2, 2010. The issuance of shares and warrants to the principal stockholder was on terms identical to the other purchasers in the private placement, as approved by the Company’s board of directors.</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During the year ended December 31, 2006 the principal stockholder purchased 5,750,000 shares of common stock at $17.42 per share in the Company’s December 2006 equity offering on terms identical to other purchasers resulting in proceeds of approximately $100.1 million to the Company. In connection with the equity offering the Company paid $280,000 in filing fees related to the principal stockholder’s filings made pursuant to the Hart-Scott-Rodino Antitrust Improvement Act of 1976. During the year ended December 31, 2006, the Company borrowed $70.0 million from its principal stockholder under the loan arrangement described in Note 9. On December 12, 2006, in connection with the completion of their equity and convertible debt offerings, the Company paid principal and interest of $70.0 million and $1.6 million, respectively, under the loan arrangement.</w:t>
      </w:r>
    </w:p>
    <w:p>
      <w:pPr>
        <w:spacing w:after="0" w:line="55"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Alfred E. Mann, our principal stockholder and chief executive officer, has established the Alfred Mann Institute for Biomedical Development at the Technion (“AMI-Technion”) to expedite the translation of intellectual property and technology of the Technion into commercial medical products for the public benefit. Over a period of several years, Mr. Mann will establish a $100 million endowment for AMI-Technion. Mr. Mann does not directly or indirectly have any interest in TRDF (see Note 14 — Licensing Arrangement).</w:t>
      </w:r>
    </w:p>
    <w:p>
      <w:pPr>
        <w:spacing w:after="0" w:line="5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During the years ended December 31, 2003 and 2004, the Company paid $497,000 and $218,000, respectively, to certain universities to conduct sponsored research programs, including clinical research. Certain stockholders of the Company are employees of these universities and oversee the sponsored research programs. No sponsored research programs were conducted with and no amounts were paid to these universities in 2005 or 2006.</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On January 19, 2006, the Company settled a claim filed by three consultants related to certain notes-for-stock transactions (see Note 14 — Commitments and Contingencies — Litigation).</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$145,000, $62,000 and $212,000, respectively, for the years ended December 31, 2004, 2005 and 2006 on the basis of the corresponding cost of commercial airfare. These payments were approved by the audit committee of the board of directors.</w:t>
      </w:r>
    </w:p>
    <w:p>
      <w:pPr>
        <w:spacing w:after="0" w:line="53"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2004, the Company engaged one of its directors to provide consulting services related to seeking potential partners in the development and commercialization of the Company’s technology. The Company paid this director approximately $47,000 for consulting services rendered for the year ended December 31, 2004. No services were provided for the years ended December 31, 2005 or 2006.</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has entered into indemnification agreements with each of its directors and executive officers, in addition to the indemnification provided for in its amended and restated certificate of incorporation and amended and restated bylaws (see Note 14 — Guarantees and Indemnifications).</w:t>
      </w:r>
    </w:p>
    <w:p>
      <w:pPr>
        <w:spacing w:after="0" w:line="134"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On February 20, 2007, our Corporate Vice President and President of Commercial Operations and Business Development resigned from the Company effective February 26, 2007. This individual has agreed to provide consulting services to the Company for a 15-month period. During the term of the consulting agreement, he will not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receive any cash compensation (other than payments made pursuant to the executive severance agreement between the Company and himself dated August 1, 2003), but he will be entitled to the continued vesting of his previously granted stock options and restricted stock units.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19.</w:t>
            </w:r>
          </w:p>
        </w:tc>
        <w:tc>
          <w:tcPr>
            <w:tcW w:w="4920" w:type="dxa"/>
            <w:vAlign w:val="bottom"/>
          </w:tcPr>
          <w:p>
            <w:pPr>
              <w:jc w:val="right"/>
              <w:ind w:right="2314"/>
              <w:spacing w:after="0"/>
              <w:rPr>
                <w:sz w:val="20"/>
                <w:szCs w:val="20"/>
                <w:color w:val="auto"/>
              </w:rPr>
            </w:pPr>
            <w:r>
              <w:rPr>
                <w:rFonts w:ascii="Arial" w:cs="Arial" w:eastAsia="Arial" w:hAnsi="Arial"/>
                <w:sz w:val="13"/>
                <w:szCs w:val="13"/>
                <w:b w:val="1"/>
                <w:bCs w:val="1"/>
                <w:color w:val="auto"/>
                <w:w w:val="92"/>
              </w:rPr>
              <w:t>Selected quarterly financial data (unaudited)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March 31</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June 30</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w w:val="97"/>
              </w:rPr>
              <w:t>September 30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0"/>
                <w:szCs w:val="10"/>
                <w:b w:val="1"/>
                <w:bCs w:val="1"/>
                <w:color w:val="auto"/>
                <w:w w:val="93"/>
              </w:rPr>
              <w:t>(In thousands, except per share data)</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4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w w:val="97"/>
              </w:rPr>
              <w:t>Net loss</w:t>
            </w:r>
          </w:p>
        </w:tc>
        <w:tc>
          <w:tcPr>
            <w:tcW w:w="4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(22,162)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(27,155)</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(31,730)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(33,291)</w:t>
            </w: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(22,162)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(27,155)</w:t>
            </w:r>
          </w:p>
        </w:tc>
        <w:tc>
          <w:tcPr>
            <w:tcW w:w="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(31,730)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(33,291)</w:t>
            </w:r>
          </w:p>
        </w:tc>
        <w:tc>
          <w:tcPr>
            <w:tcW w:w="0" w:type="dxa"/>
            <w:vAlign w:val="bottom"/>
          </w:tcPr>
          <w:p>
            <w:pPr>
              <w:spacing w:after="0"/>
              <w:rPr>
                <w:sz w:val="1"/>
                <w:szCs w:val="1"/>
                <w:color w:val="auto"/>
              </w:rPr>
            </w:pPr>
          </w:p>
        </w:tc>
      </w:tr>
      <w:tr>
        <w:trPr>
          <w:trHeight w:val="29"/>
        </w:trPr>
        <w:tc>
          <w:tcPr>
            <w:tcW w:w="5400" w:type="dxa"/>
            <w:vAlign w:val="bottom"/>
            <w:gridSpan w:val="2"/>
            <w:vMerge w:val="restart"/>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4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(0.68)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(0.83)</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(0.73)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156"/>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Weighted average common shares used to compute basic and diluted net loss per share applicable</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 common stockholders</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32,764</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32,777</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43,460</w:t>
            </w: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50,250</w:t>
            </w:r>
          </w:p>
        </w:tc>
        <w:tc>
          <w:tcPr>
            <w:tcW w:w="0" w:type="dxa"/>
            <w:vAlign w:val="bottom"/>
          </w:tcPr>
          <w:p>
            <w:pPr>
              <w:spacing w:after="0"/>
              <w:rPr>
                <w:sz w:val="1"/>
                <w:szCs w:val="1"/>
                <w:color w:val="auto"/>
              </w:rPr>
            </w:pPr>
          </w:p>
        </w:tc>
      </w:tr>
      <w:tr>
        <w:trPr>
          <w:trHeight w:val="295"/>
        </w:trPr>
        <w:tc>
          <w:tcPr>
            <w:tcW w:w="4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March 31</w:t>
            </w: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June 30</w:t>
            </w: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w w:val="97"/>
              </w:rPr>
              <w:t>September 30</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0"/>
                <w:szCs w:val="10"/>
                <w:b w:val="1"/>
                <w:bCs w:val="1"/>
                <w:color w:val="auto"/>
                <w:w w:val="93"/>
              </w:rPr>
              <w:t>(In thousands, except per share data)</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4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w w:val="97"/>
              </w:rPr>
              <w:t>Net loss</w:t>
            </w:r>
          </w:p>
        </w:tc>
        <w:tc>
          <w:tcPr>
            <w:tcW w:w="4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(43,559)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(54,751)</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(60,970)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(71,268)</w:t>
            </w: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(43,559)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(54,751)</w:t>
            </w:r>
          </w:p>
        </w:tc>
        <w:tc>
          <w:tcPr>
            <w:tcW w:w="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(60,970)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(71,268)</w:t>
            </w:r>
          </w:p>
        </w:tc>
        <w:tc>
          <w:tcPr>
            <w:tcW w:w="0" w:type="dxa"/>
            <w:vAlign w:val="bottom"/>
          </w:tcPr>
          <w:p>
            <w:pPr>
              <w:spacing w:after="0"/>
              <w:rPr>
                <w:sz w:val="1"/>
                <w:szCs w:val="1"/>
                <w:color w:val="auto"/>
              </w:rPr>
            </w:pPr>
          </w:p>
        </w:tc>
      </w:tr>
      <w:tr>
        <w:trPr>
          <w:trHeight w:val="29"/>
        </w:trPr>
        <w:tc>
          <w:tcPr>
            <w:tcW w:w="5400" w:type="dxa"/>
            <w:vAlign w:val="bottom"/>
            <w:gridSpan w:val="2"/>
            <w:vMerge w:val="restart"/>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4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(0.87)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(1.10)</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(1.23)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6"/>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Weighted average common shares used to compute basic and diluted net loss per share applicable</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 common stockholders</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49,787</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49,638</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49,731</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54,684</w:t>
            </w:r>
          </w:p>
        </w:tc>
        <w:tc>
          <w:tcPr>
            <w:tcW w:w="0" w:type="dxa"/>
            <w:vAlign w:val="bottom"/>
          </w:tcPr>
          <w:p>
            <w:pPr>
              <w:spacing w:after="0"/>
              <w:rPr>
                <w:sz w:val="1"/>
                <w:szCs w:val="1"/>
                <w:color w:val="auto"/>
              </w:rPr>
            </w:pPr>
          </w:p>
        </w:tc>
      </w:tr>
      <w:tr>
        <w:trPr>
          <w:trHeight w:val="461"/>
        </w:trPr>
        <w:tc>
          <w:tcPr>
            <w:tcW w:w="480" w:type="dxa"/>
            <w:vAlign w:val="bottom"/>
          </w:tcPr>
          <w:p>
            <w:pPr>
              <w:spacing w:after="0"/>
              <w:rPr>
                <w:sz w:val="24"/>
                <w:szCs w:val="24"/>
                <w:color w:val="auto"/>
              </w:rPr>
            </w:pPr>
          </w:p>
        </w:tc>
        <w:tc>
          <w:tcPr>
            <w:tcW w:w="4920" w:type="dxa"/>
            <w:vAlign w:val="bottom"/>
          </w:tcPr>
          <w:p>
            <w:pPr>
              <w:jc w:val="right"/>
              <w:ind w:right="274"/>
              <w:spacing w:after="0"/>
              <w:rPr>
                <w:sz w:val="20"/>
                <w:szCs w:val="20"/>
                <w:color w:val="auto"/>
              </w:rPr>
            </w:pPr>
            <w:r>
              <w:rPr>
                <w:rFonts w:ascii="Arial" w:cs="Arial" w:eastAsia="Arial" w:hAnsi="Arial"/>
                <w:sz w:val="13"/>
                <w:szCs w:val="13"/>
                <w:color w:val="auto"/>
              </w:rPr>
              <w:t>99</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jc w:val="both"/>
        <w:ind w:right="100" w:firstLine="399"/>
        <w:spacing w:after="0" w:line="289" w:lineRule="auto"/>
        <w:rPr>
          <w:sz w:val="20"/>
          <w:szCs w:val="20"/>
          <w:color w:val="auto"/>
        </w:rPr>
      </w:pPr>
      <w:r>
        <w:rPr>
          <w:rFonts w:ascii="Arial" w:cs="Arial" w:eastAsia="Arial" w:hAnsi="Arial"/>
          <w:sz w:val="12"/>
          <w:szCs w:val="12"/>
          <w:color w:val="auto"/>
        </w:rPr>
        <w:t>We consent to the incorporation by reference in Registration Statement Nos. 333-117811, 333-127876 and 333-137332, of MannKind Corporation on Form S-8 of our report (which report expresses an unqualified opinion and includes an explanatory paragraph regarding a change in the manner in which MannKind Corporation accounts for share-based compensation in 2006) dated March 15, 2007, relating to the financial statements of MannKind Corporation and of our report dated March 15, 2007, relating to management’s report on the effectiveness of internal control over financial reporting, appearing in the Annual Report on Form 10-K of MannKind Corporation for the year ended December 31, 2006.</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15, 2007</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9980"/>
          </w:cols>
          <w:pgMar w:left="900" w:top="716" w:right="10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RULE 13a-14(a)/15d-14(a)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Alfred E. Mann, certify that:</w:t>
      </w:r>
    </w:p>
    <w:p>
      <w:pPr>
        <w:spacing w:after="0" w:line="96" w:lineRule="exact"/>
        <w:rPr>
          <w:sz w:val="20"/>
          <w:szCs w:val="20"/>
          <w:color w:val="auto"/>
        </w:rPr>
      </w:pPr>
    </w:p>
    <w:p>
      <w:pPr>
        <w:ind w:left="540" w:hanging="134"/>
        <w:spacing w:after="0"/>
        <w:tabs>
          <w:tab w:leader="none" w:pos="5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MannKind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400" w:right="80" w:firstLine="389"/>
        <w:spacing w:after="0" w:line="264" w:lineRule="auto"/>
        <w:tabs>
          <w:tab w:leader="none" w:pos="961" w:val="left"/>
        </w:tabs>
        <w:numPr>
          <w:ilvl w:val="1"/>
          <w:numId w:val="5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20" w:firstLine="389"/>
        <w:spacing w:after="0" w:line="371" w:lineRule="auto"/>
        <w:tabs>
          <w:tab w:leader="none" w:pos="969" w:val="left"/>
        </w:tabs>
        <w:numPr>
          <w:ilvl w:val="1"/>
          <w:numId w:val="5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40" w:firstLine="389"/>
        <w:spacing w:after="0" w:line="276" w:lineRule="auto"/>
        <w:tabs>
          <w:tab w:leader="none" w:pos="961" w:val="left"/>
        </w:tabs>
        <w:numPr>
          <w:ilvl w:val="1"/>
          <w:numId w:val="5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200" w:firstLine="389"/>
        <w:spacing w:after="0" w:line="371" w:lineRule="auto"/>
        <w:tabs>
          <w:tab w:leader="none" w:pos="969" w:val="left"/>
        </w:tabs>
        <w:numPr>
          <w:ilvl w:val="1"/>
          <w:numId w:val="50"/>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260" w:firstLine="406"/>
        <w:spacing w:after="0" w:line="276" w:lineRule="auto"/>
        <w:tabs>
          <w:tab w:leader="none" w:pos="528"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firstLine="389"/>
        <w:spacing w:after="0" w:line="276" w:lineRule="auto"/>
        <w:tabs>
          <w:tab w:leader="none" w:pos="954" w:val="left"/>
        </w:tabs>
        <w:numPr>
          <w:ilvl w:val="1"/>
          <w:numId w:val="5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 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Chairman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March 15, 2007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9980"/>
          </w:cols>
          <w:pgMar w:left="900" w:top="716" w:right="10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RULE 13a-14(a)/15d-14(a)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Richard L. Anderson, certify that:</w:t>
      </w:r>
    </w:p>
    <w:p>
      <w:pPr>
        <w:spacing w:after="0" w:line="96" w:lineRule="exact"/>
        <w:rPr>
          <w:sz w:val="20"/>
          <w:szCs w:val="20"/>
          <w:color w:val="auto"/>
        </w:rPr>
      </w:pPr>
    </w:p>
    <w:p>
      <w:pPr>
        <w:ind w:left="540" w:hanging="134"/>
        <w:spacing w:after="0"/>
        <w:tabs>
          <w:tab w:leader="none" w:pos="5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MannKind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400" w:right="80" w:firstLine="389"/>
        <w:spacing w:after="0" w:line="264" w:lineRule="auto"/>
        <w:tabs>
          <w:tab w:leader="none" w:pos="961" w:val="left"/>
        </w:tabs>
        <w:numPr>
          <w:ilvl w:val="1"/>
          <w:numId w:val="5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20" w:firstLine="389"/>
        <w:spacing w:after="0" w:line="371" w:lineRule="auto"/>
        <w:tabs>
          <w:tab w:leader="none" w:pos="969" w:val="left"/>
        </w:tabs>
        <w:numPr>
          <w:ilvl w:val="1"/>
          <w:numId w:val="5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40" w:firstLine="389"/>
        <w:spacing w:after="0" w:line="276" w:lineRule="auto"/>
        <w:tabs>
          <w:tab w:leader="none" w:pos="961"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200" w:firstLine="389"/>
        <w:spacing w:after="0" w:line="371" w:lineRule="auto"/>
        <w:tabs>
          <w:tab w:leader="none" w:pos="969" w:val="left"/>
        </w:tabs>
        <w:numPr>
          <w:ilvl w:val="1"/>
          <w:numId w:val="51"/>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260" w:firstLine="406"/>
        <w:spacing w:after="0" w:line="276" w:lineRule="auto"/>
        <w:tabs>
          <w:tab w:leader="none" w:pos="528"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firstLine="389"/>
        <w:spacing w:after="0" w:line="276" w:lineRule="auto"/>
        <w:tabs>
          <w:tab w:leader="none" w:pos="954"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Richard L. Anderson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Corporate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March 15, 2007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9980"/>
          </w:cols>
          <w:pgMar w:left="900" w:top="716" w:right="10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32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r>
        <w:rPr>
          <w:rFonts w:ascii="Arial" w:cs="Arial" w:eastAsia="Arial" w:hAnsi="Arial"/>
          <w:sz w:val="11"/>
          <w:szCs w:val="11"/>
          <w:b w:val="1"/>
          <w:bCs w:val="1"/>
          <w:color w:val="auto"/>
        </w:rPr>
        <w:t>1</w:t>
      </w:r>
    </w:p>
    <w:p>
      <w:pPr>
        <w:spacing w:after="0" w:line="10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67" w:lineRule="exact"/>
        <w:rPr>
          <w:sz w:val="20"/>
          <w:szCs w:val="20"/>
          <w:color w:val="auto"/>
        </w:rPr>
      </w:pPr>
    </w:p>
    <w:p>
      <w:pPr>
        <w:ind w:left="400" w:right="260" w:firstLine="389"/>
        <w:spacing w:after="0" w:line="276" w:lineRule="auto"/>
        <w:tabs>
          <w:tab w:leader="none" w:pos="912"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Company’s Annual Report on Form 10-K for the period ended December 31, 2006, to which this Certification is attached as Exhibit 32 (the “Annual Report”) fully complies with the requirements of Section 13(a) or Section 15(d) of the Exchange Act,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information contained in the Annual Report fairly presents, in all material respects, the financial condition and results of operations of the Company.</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have set their hands hereto as of the 15th day of March 2007.</w:t>
      </w:r>
    </w:p>
    <w:p>
      <w:pPr>
        <w:sectPr>
          <w:pgSz w:w="11900" w:h="16838" w:orient="portrait"/>
          <w:cols w:equalWidth="0" w:num="1">
            <w:col w:w="9980"/>
          </w:cols>
          <w:pgMar w:left="900" w:top="716"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/s/ Alfred 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17055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7055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82359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303974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39745" cy="6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Richard L. Anderson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48" w:lineRule="exact"/>
        <w:rPr>
          <w:sz w:val="20"/>
          <w:szCs w:val="20"/>
          <w:color w:val="auto"/>
        </w:rPr>
      </w:pPr>
    </w:p>
    <w:p>
      <w:pPr>
        <w:sectPr>
          <w:pgSz w:w="11900" w:h="16838" w:orient="portrait"/>
          <w:cols w:equalWidth="0" w:num="2">
            <w:col w:w="4480" w:space="720"/>
            <w:col w:w="4780"/>
          </w:cols>
          <w:pgMar w:left="900" w:top="716" w:right="1019" w:bottom="1440" w:gutter="0" w:footer="0" w:header="0"/>
          <w:type w:val="continuous"/>
        </w:sectPr>
      </w:pPr>
    </w:p>
    <w:p>
      <w:pPr>
        <w:ind w:left="600" w:hanging="182"/>
        <w:spacing w:after="0" w:line="296" w:lineRule="auto"/>
        <w:tabs>
          <w:tab w:leader="none" w:pos="499" w:val="left"/>
        </w:tabs>
        <w:numPr>
          <w:ilvl w:val="0"/>
          <w:numId w:val="53"/>
        </w:numPr>
        <w:rPr>
          <w:rFonts w:ascii="Arial" w:cs="Arial" w:eastAsia="Arial" w:hAnsi="Arial"/>
          <w:sz w:val="10"/>
          <w:szCs w:val="10"/>
          <w:color w:val="auto"/>
        </w:rPr>
      </w:pPr>
      <w:r>
        <w:rPr>
          <w:rFonts w:ascii="Arial" w:cs="Arial" w:eastAsia="Arial" w:hAnsi="Arial"/>
          <w:sz w:val="12"/>
          <w:szCs w:val="12"/>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this the Annual Report on Form 10-K to which this certification relates), irrespective of any general incorporation language contained in such filing.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sectPr>
      <w:pgSz w:w="11900" w:h="16838" w:orient="portrait"/>
      <w:cols w:equalWidth="0" w:num="1">
        <w:col w:w="9980"/>
      </w:cols>
      <w:pgMar w:left="900" w:top="716" w:right="10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lvl w:ilvl="1">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3"/>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1"/>
    </w:lvl>
    <w:lvl w:ilvl="1">
      <w:lvlJc w:val="left"/>
      <w:lvlText w:val="(%2)"/>
      <w:numFmt w:val="decimal"/>
      <w:start w:val="3"/>
    </w:lvl>
  </w:abstractNum>
  <w:abstractNum w:abstractNumId="29">
    <w:nsid w:val="3855585C"/>
    <w:multiLevelType w:val="hybridMultilevel"/>
    <w:lvl w:ilvl="0">
      <w:lvlJc w:val="left"/>
      <w:lvlText w:val="(%1)"/>
      <w:numFmt w:val="lowerLetter"/>
      <w:start w:val="3"/>
    </w:lvl>
    <w:lvl w:ilvl="1">
      <w:lvlJc w:val="left"/>
      <w:lvlText w:val="%2"/>
      <w:numFmt w:val="decimal"/>
      <w:start w:val="1"/>
    </w:lvl>
  </w:abstractNum>
  <w:abstractNum w:abstractNumId="30">
    <w:nsid w:val="70A64E2A"/>
    <w:multiLevelType w:val="hybridMultilevel"/>
    <w:lvl w:ilvl="0">
      <w:lvlJc w:val="left"/>
      <w:lvlText w:val="%1"/>
      <w:numFmt w:val="decimal"/>
      <w:start w:val="32"/>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1."/>
      <w:numFmt w:val="decimal"/>
      <w:start w:val="4"/>
    </w:lvl>
  </w:abstractNum>
  <w:abstractNum w:abstractNumId="37">
    <w:nsid w:val="7A6D8D3C"/>
    <w:multiLevelType w:val="hybridMultilevel"/>
    <w:lvl w:ilvl="0">
      <w:lvlJc w:val="left"/>
      <w:lvlText w:val="%1."/>
      <w:numFmt w:val="decimal"/>
      <w:start w:val="7"/>
    </w:lvl>
  </w:abstractNum>
  <w:abstractNum w:abstractNumId="38">
    <w:nsid w:val="4B588F54"/>
    <w:multiLevelType w:val="hybridMultilevel"/>
    <w:lvl w:ilvl="0">
      <w:lvlJc w:val="left"/>
      <w:lvlText w:val="%1."/>
      <w:numFmt w:val="decimal"/>
      <w:start w:val="8"/>
    </w:lvl>
  </w:abstractNum>
  <w:abstractNum w:abstractNumId="39">
    <w:nsid w:val="542289EC"/>
    <w:multiLevelType w:val="hybridMultilevel"/>
    <w:lvl w:ilvl="0">
      <w:lvlJc w:val="left"/>
      <w:lvlText w:val="%1."/>
      <w:numFmt w:val="decimal"/>
      <w:start w:val="9"/>
    </w:lvl>
  </w:abstractNum>
  <w:abstractNum w:abstractNumId="40">
    <w:nsid w:val="6DE91B18"/>
    <w:multiLevelType w:val="hybridMultilevel"/>
    <w:lvl w:ilvl="0">
      <w:lvlJc w:val="left"/>
      <w:lvlText w:val="%1."/>
      <w:numFmt w:val="decimal"/>
      <w:start w:val="10"/>
    </w:lvl>
  </w:abstractNum>
  <w:abstractNum w:abstractNumId="41">
    <w:nsid w:val="38437FDB"/>
    <w:multiLevelType w:val="hybridMultilevel"/>
    <w:lvl w:ilvl="0">
      <w:lvlJc w:val="left"/>
      <w:lvlText w:val="%1."/>
      <w:numFmt w:val="decimal"/>
      <w:start w:val="11"/>
    </w:lvl>
  </w:abstractNum>
  <w:abstractNum w:abstractNumId="42">
    <w:nsid w:val="7644A45C"/>
    <w:multiLevelType w:val="hybridMultilevel"/>
    <w:lvl w:ilvl="0">
      <w:lvlJc w:val="left"/>
      <w:lvlText w:val="%1."/>
      <w:numFmt w:val="decimal"/>
      <w:start w:val="12"/>
    </w:lvl>
  </w:abstractNum>
  <w:abstractNum w:abstractNumId="43">
    <w:nsid w:val="32FFF902"/>
    <w:multiLevelType w:val="hybridMultilevel"/>
    <w:lvl w:ilvl="0">
      <w:lvlJc w:val="left"/>
      <w:lvlText w:val="%1."/>
      <w:numFmt w:val="decimal"/>
      <w:start w:val="13"/>
    </w:lvl>
  </w:abstractNum>
  <w:abstractNum w:abstractNumId="44">
    <w:nsid w:val="684A481A"/>
    <w:multiLevelType w:val="hybridMultilevel"/>
    <w:lvl w:ilvl="0">
      <w:lvlJc w:val="left"/>
      <w:lvlText w:val="%1."/>
      <w:numFmt w:val="decimal"/>
      <w:start w:val="14"/>
    </w:lvl>
  </w:abstractNum>
  <w:abstractNum w:abstractNumId="45">
    <w:nsid w:val="579478FE"/>
    <w:multiLevelType w:val="hybridMultilevel"/>
    <w:lvl w:ilvl="0">
      <w:lvlJc w:val="left"/>
      <w:lvlText w:val="%1."/>
      <w:numFmt w:val="decimal"/>
      <w:start w:val="15"/>
    </w:lvl>
  </w:abstractNum>
  <w:abstractNum w:abstractNumId="46">
    <w:nsid w:val="749ABB43"/>
    <w:multiLevelType w:val="hybridMultilevel"/>
    <w:lvl w:ilvl="0">
      <w:lvlJc w:val="left"/>
      <w:lvlText w:val="%1."/>
      <w:numFmt w:val="decimal"/>
      <w:start w:val="16"/>
    </w:lvl>
  </w:abstractNum>
  <w:abstractNum w:abstractNumId="47">
    <w:nsid w:val="3DC240FB"/>
    <w:multiLevelType w:val="hybridMultilevel"/>
    <w:lvl w:ilvl="0">
      <w:lvlJc w:val="left"/>
      <w:lvlText w:val="%1."/>
      <w:numFmt w:val="decimal"/>
      <w:start w:val="17"/>
    </w:lvl>
  </w:abstractNum>
  <w:abstractNum w:abstractNumId="48">
    <w:nsid w:val="1BA026FA"/>
    <w:multiLevelType w:val="hybridMultilevel"/>
    <w:lvl w:ilvl="0">
      <w:lvlJc w:val="left"/>
      <w:lvlText w:val="%1."/>
      <w:numFmt w:val="decimal"/>
      <w:start w:val="18"/>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2019-12-11T22:27:10Z</dcterms:created>
  <dcterms:modified xsi:type="dcterms:W3CDTF">2019-12-11T22:27:10Z</dcterms:modified>
</cp:coreProperties>
</file>