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7" w:lineRule="exact"/>
        <w:rPr>
          <w:sz w:val="24"/>
          <w:szCs w:val="24"/>
          <w:color w:val="auto"/>
        </w:rPr>
      </w:pPr>
    </w:p>
    <w:p>
      <w:pPr>
        <w:ind w:left="3660" w:right="1580" w:hanging="3652"/>
        <w:spacing w:after="0" w:line="328" w:lineRule="auto"/>
        <w:tabs>
          <w:tab w:leader="none" w:pos="5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580"/>
        <w:spacing w:after="0"/>
        <w:tabs>
          <w:tab w:leader="none" w:pos="6700" w:val="left"/>
          <w:tab w:leader="none" w:pos="7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right"/>
              <w:ind w:right="2296"/>
              <w:spacing w:after="0"/>
              <w:rPr>
                <w:sz w:val="20"/>
                <w:szCs w:val="20"/>
                <w:color w:val="auto"/>
              </w:rPr>
            </w:pPr>
            <w:r>
              <w:rPr>
                <w:rFonts w:ascii="Times New Roman" w:cs="Times New Roman" w:eastAsia="Times New Roman" w:hAnsi="Times New Roman"/>
                <w:sz w:val="18"/>
                <w:szCs w:val="18"/>
                <w:b w:val="1"/>
                <w:bCs w:val="1"/>
                <w:color w:val="auto"/>
              </w:rPr>
              <w:t>13-3607736</w:t>
            </w:r>
          </w:p>
        </w:tc>
        <w:tc>
          <w:tcPr>
            <w:tcW w:w="0" w:type="dxa"/>
            <w:vAlign w:val="bottom"/>
          </w:tcPr>
          <w:p>
            <w:pPr>
              <w:spacing w:after="0"/>
              <w:rPr>
                <w:sz w:val="1"/>
                <w:szCs w:val="1"/>
                <w:color w:val="auto"/>
              </w:rPr>
            </w:pPr>
          </w:p>
        </w:tc>
      </w:tr>
      <w:tr>
        <w:trPr>
          <w:trHeight w:val="216"/>
        </w:trPr>
        <w:tc>
          <w:tcPr>
            <w:tcW w:w="4000" w:type="dxa"/>
            <w:vAlign w:val="bottom"/>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000" w:type="dxa"/>
            <w:vAlign w:val="bottom"/>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288"/>
        </w:trPr>
        <w:tc>
          <w:tcPr>
            <w:tcW w:w="400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1 Casper Street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00" w:type="dxa"/>
            <w:vAlign w:val="bottom"/>
          </w:tcPr>
          <w:p>
            <w:pPr>
              <w:jc w:val="center"/>
              <w:ind w:left="1536"/>
              <w:spacing w:after="0"/>
              <w:rPr>
                <w:sz w:val="20"/>
                <w:szCs w:val="20"/>
                <w:color w:val="auto"/>
              </w:rPr>
            </w:pPr>
            <w:r>
              <w:rPr>
                <w:rFonts w:ascii="Times New Roman" w:cs="Times New Roman" w:eastAsia="Times New Roman" w:hAnsi="Times New Roman"/>
                <w:sz w:val="18"/>
                <w:szCs w:val="18"/>
                <w:b w:val="1"/>
                <w:bCs w:val="1"/>
                <w:color w:val="auto"/>
                <w:w w:val="99"/>
              </w:rPr>
              <w:t>Danbury, Connecticut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496"/>
              <w:spacing w:after="0"/>
              <w:rPr>
                <w:sz w:val="20"/>
                <w:szCs w:val="20"/>
                <w:color w:val="auto"/>
              </w:rPr>
            </w:pPr>
            <w:r>
              <w:rPr>
                <w:rFonts w:ascii="Times New Roman" w:cs="Times New Roman" w:eastAsia="Times New Roman" w:hAnsi="Times New Roman"/>
                <w:sz w:val="18"/>
                <w:szCs w:val="18"/>
                <w:b w:val="1"/>
                <w:bCs w:val="1"/>
                <w:color w:val="auto"/>
              </w:rPr>
              <w:t>06810</w:t>
            </w:r>
          </w:p>
        </w:tc>
        <w:tc>
          <w:tcPr>
            <w:tcW w:w="0" w:type="dxa"/>
            <w:vAlign w:val="bottom"/>
          </w:tcPr>
          <w:p>
            <w:pPr>
              <w:spacing w:after="0"/>
              <w:rPr>
                <w:sz w:val="1"/>
                <w:szCs w:val="1"/>
                <w:color w:val="auto"/>
              </w:rPr>
            </w:pPr>
          </w:p>
        </w:tc>
      </w:tr>
      <w:tr>
        <w:trPr>
          <w:trHeight w:val="190"/>
        </w:trPr>
        <w:tc>
          <w:tcPr>
            <w:tcW w:w="7600" w:type="dxa"/>
            <w:vAlign w:val="bottom"/>
            <w:gridSpan w:val="8"/>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40" w:type="dxa"/>
            <w:vAlign w:val="bottom"/>
          </w:tcPr>
          <w:p>
            <w:pPr>
              <w:jc w:val="center"/>
              <w:ind w:right="189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5"/>
        </w:trPr>
        <w:tc>
          <w:tcPr>
            <w:tcW w:w="4000" w:type="dxa"/>
            <w:vAlign w:val="bottom"/>
          </w:tcPr>
          <w:p>
            <w:pPr>
              <w:spacing w:after="0"/>
              <w:rPr>
                <w:sz w:val="22"/>
                <w:szCs w:val="22"/>
                <w:color w:val="auto"/>
              </w:rPr>
            </w:pPr>
          </w:p>
        </w:tc>
        <w:tc>
          <w:tcPr>
            <w:tcW w:w="2740" w:type="dxa"/>
            <w:vAlign w:val="bottom"/>
            <w:gridSpan w:val="4"/>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w w:val="99"/>
              </w:rPr>
              <w:t>(818) 661-5000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360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6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257"/>
        </w:trPr>
        <w:tc>
          <w:tcPr>
            <w:tcW w:w="7600" w:type="dxa"/>
            <w:vAlign w:val="bottom"/>
            <w:gridSpan w:val="8"/>
          </w:tcPr>
          <w:p>
            <w:pPr>
              <w:jc w:val="center"/>
              <w:ind w:left="3576"/>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000" w:type="dxa"/>
            <w:vAlign w:val="bottom"/>
            <w:vMerge w:val="restart"/>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40" w:type="dxa"/>
            <w:vAlign w:val="bottom"/>
            <w:vMerge w:val="restart"/>
          </w:tcPr>
          <w:p>
            <w:pPr>
              <w:jc w:val="center"/>
              <w:ind w:right="53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0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4"/>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00" w:type="dxa"/>
            <w:vAlign w:val="bottom"/>
            <w:tcBorders>
              <w:top w:val="single" w:sz="8" w:color="auto"/>
            </w:tcBorders>
          </w:tcPr>
          <w:p>
            <w:pPr>
              <w:jc w:val="center"/>
              <w:ind w:left="216"/>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8"/>
              </w:rPr>
              <w:t>MNKD</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56"/>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97"/>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 w:lineRule="exact"/>
        <w:rPr>
          <w:sz w:val="24"/>
          <w:szCs w:val="24"/>
          <w:color w:val="auto"/>
        </w:rPr>
      </w:pPr>
    </w:p>
    <w:p>
      <w:pPr>
        <w:jc w:val="both"/>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680"/>
        <w:spacing w:after="0" w:line="26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28, 2022, there were 263,195,593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PART I: FINANCIAL INFORMATION</w:t>
            </w:r>
          </w:p>
        </w:tc>
        <w:tc>
          <w:tcPr>
            <w:tcW w:w="7860" w:type="dxa"/>
            <w:vAlign w:val="bottom"/>
            <w:gridSpan w:val="11"/>
            <w:vMerge w:val="restart"/>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0"/>
            <w:vMerge w:val="continue"/>
          </w:tcPr>
          <w:p>
            <w:pPr>
              <w:spacing w:after="0"/>
              <w:rPr>
                <w:sz w:val="14"/>
                <w:szCs w:val="14"/>
                <w:color w:val="auto"/>
              </w:rPr>
            </w:pPr>
          </w:p>
        </w:tc>
        <w:tc>
          <w:tcPr>
            <w:tcW w:w="7860" w:type="dxa"/>
            <w:vAlign w:val="bottom"/>
            <w:gridSpan w:val="11"/>
            <w:vMerge w:val="continue"/>
          </w:tcPr>
          <w:p>
            <w:pPr>
              <w:spacing w:after="0"/>
              <w:rPr>
                <w:sz w:val="14"/>
                <w:szCs w:val="14"/>
                <w:color w:val="auto"/>
              </w:rPr>
            </w:pPr>
          </w:p>
        </w:tc>
        <w:tc>
          <w:tcPr>
            <w:tcW w:w="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7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September 30, 2022 and December 31, 2021</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Three and nine months ended September 30, 2022 and 2021</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Loss: Three and nine months ended September 30, 2022 and 2021</w:t>
            </w:r>
          </w:p>
        </w:tc>
        <w:tc>
          <w:tcPr>
            <w:tcW w:w="1940" w:type="dxa"/>
            <w:vAlign w:val="bottom"/>
            <w:gridSpan w:val="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7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Deficit: Three and nine months ended September 30, 2022 and 2021</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742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Nine months ended September 30, 2022 and 2021</w:t>
            </w:r>
          </w:p>
        </w:tc>
        <w:tc>
          <w:tcPr>
            <w:tcW w:w="1420" w:type="dxa"/>
            <w:vAlign w:val="bottom"/>
            <w:tcBorders>
              <w:top w:val="single" w:sz="8" w:color="0000EE"/>
            </w:tcBorders>
            <w:gridSpan w:val="3"/>
          </w:tcPr>
          <w:p>
            <w:pPr>
              <w:spacing w:after="0"/>
              <w:rPr>
                <w:sz w:val="17"/>
                <w:szCs w:val="17"/>
                <w:color w:val="auto"/>
              </w:rPr>
            </w:pPr>
          </w:p>
        </w:tc>
        <w:tc>
          <w:tcPr>
            <w:tcW w:w="192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7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3740" w:type="dxa"/>
            <w:vAlign w:val="bottom"/>
            <w:gridSpan w:val="5"/>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5840" w:type="dxa"/>
            <w:vAlign w:val="bottom"/>
            <w:gridSpan w:val="7"/>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8400" w:type="dxa"/>
            <w:vAlign w:val="bottom"/>
            <w:gridSpan w:val="14"/>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18"/>
        </w:trPr>
        <w:tc>
          <w:tcPr>
            <w:tcW w:w="107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PART II: OTHER INFORMATION</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18"/>
        </w:trPr>
        <w:tc>
          <w:tcPr>
            <w:tcW w:w="19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680" w:type="dxa"/>
            <w:vAlign w:val="bottom"/>
            <w:tcBorders>
              <w:top w:val="single" w:sz="8" w:color="0000EE"/>
            </w:tcBorders>
            <w:gridSpan w:val="3"/>
          </w:tcPr>
          <w:p>
            <w:pPr>
              <w:spacing w:after="0"/>
              <w:rPr>
                <w:sz w:val="24"/>
                <w:szCs w:val="24"/>
                <w:color w:val="auto"/>
              </w:rPr>
            </w:pPr>
          </w:p>
        </w:tc>
        <w:tc>
          <w:tcPr>
            <w:tcW w:w="8180" w:type="dxa"/>
            <w:vAlign w:val="bottom"/>
            <w:gridSpan w:val="13"/>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 Risk Factors</w:t>
            </w:r>
          </w:p>
        </w:tc>
        <w:tc>
          <w:tcPr>
            <w:tcW w:w="9160" w:type="dxa"/>
            <w:vAlign w:val="bottom"/>
            <w:gridSpan w:val="18"/>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07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5860" w:type="dxa"/>
            <w:vAlign w:val="bottom"/>
            <w:gridSpan w:val="8"/>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540" w:type="dxa"/>
            <w:vAlign w:val="bottom"/>
            <w:tcBorders>
              <w:top w:val="single" w:sz="8" w:color="0000EE"/>
            </w:tcBorders>
            <w:gridSpan w:val="3"/>
          </w:tcPr>
          <w:p>
            <w:pPr>
              <w:spacing w:after="0"/>
              <w:rPr>
                <w:sz w:val="17"/>
                <w:szCs w:val="17"/>
                <w:color w:val="auto"/>
              </w:rPr>
            </w:pPr>
          </w:p>
        </w:tc>
        <w:tc>
          <w:tcPr>
            <w:tcW w:w="7880" w:type="dxa"/>
            <w:vAlign w:val="bottom"/>
            <w:gridSpan w:val="1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5. Other Information</w:t>
            </w:r>
          </w:p>
        </w:tc>
        <w:tc>
          <w:tcPr>
            <w:tcW w:w="8880" w:type="dxa"/>
            <w:vAlign w:val="bottom"/>
            <w:gridSpan w:val="17"/>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107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Item 6. Exhibits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318"/>
        </w:trPr>
        <w:tc>
          <w:tcPr>
            <w:tcW w:w="11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9600" w:type="dxa"/>
            <w:vAlign w:val="bottom"/>
            <w:gridSpan w:val="19"/>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left="4080"/>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5"/>
                <w:szCs w:val="15"/>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6820" w:type="dxa"/>
            <w:vAlign w:val="bottom"/>
            <w:tcBorders>
              <w:top w:val="single" w:sz="8" w:color="CFF0FC"/>
            </w:tcBorders>
            <w:shd w:val="clear" w:color="auto" w:fill="CFF0FC"/>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54,308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124,184</w:t>
            </w: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110,738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79,932</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shd w:val="clear" w:color="auto" w:fill="CFF0FC"/>
          </w:tcPr>
          <w:p>
            <w:pPr>
              <w:spacing w:after="0"/>
              <w:rPr>
                <w:sz w:val="19"/>
                <w:szCs w:val="19"/>
                <w:color w:val="auto"/>
              </w:rPr>
            </w:pPr>
          </w:p>
        </w:tc>
      </w:tr>
      <w:tr>
        <w:trPr>
          <w:trHeight w:val="223"/>
        </w:trPr>
        <w:tc>
          <w:tcPr>
            <w:tcW w:w="6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218,381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219,489</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41,182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36,612</w:t>
            </w: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56,619</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17,310</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00" w:type="dxa"/>
            <w:vAlign w:val="bottom"/>
            <w:shd w:val="clear" w:color="auto" w:fill="CFF0FC"/>
          </w:tcPr>
          <w:p>
            <w:pPr>
              <w:spacing w:after="0"/>
              <w:rPr>
                <w:sz w:val="19"/>
                <w:szCs w:val="19"/>
                <w:color w:val="auto"/>
              </w:rPr>
            </w:pPr>
          </w:p>
        </w:tc>
      </w:tr>
      <w:tr>
        <w:trPr>
          <w:trHeight w:val="263"/>
        </w:trPr>
        <w:tc>
          <w:tcPr>
            <w:tcW w:w="68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7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293,837</w:t>
            </w:r>
          </w:p>
        </w:tc>
        <w:tc>
          <w:tcPr>
            <w:tcW w:w="3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321,161</w:t>
            </w:r>
          </w:p>
        </w:tc>
        <w:tc>
          <w:tcPr>
            <w:tcW w:w="100" w:type="dxa"/>
            <w:vAlign w:val="bottom"/>
            <w:tcBorders>
              <w:bottom w:val="single" w:sz="8" w:color="CFF0FC"/>
            </w:tcBorders>
          </w:tcPr>
          <w:p>
            <w:pPr>
              <w:spacing w:after="0"/>
              <w:rPr>
                <w:sz w:val="22"/>
                <w:szCs w:val="22"/>
                <w:color w:val="auto"/>
              </w:rPr>
            </w:pPr>
          </w:p>
        </w:tc>
      </w:tr>
      <w:tr>
        <w:trPr>
          <w:trHeight w:val="210"/>
        </w:trPr>
        <w:tc>
          <w:tcPr>
            <w:tcW w:w="68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82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27,419</w:t>
            </w: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Financing liability — current</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Recognized loss on purchase commitments — current</w:t>
            </w:r>
          </w:p>
        </w:tc>
        <w:tc>
          <w:tcPr>
            <w:tcW w:w="7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59,597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48,349</w:t>
            </w: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225,034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223,944</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Midcap credit facility</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39,155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38,833</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Mann Group convertible note</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 — promissory note</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Financing liability — long term</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93,525</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Recognized loss on purchase commitments — long term</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62,173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76,659</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 long term</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19,543</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Milestone liabilities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from customer</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shd w:val="clear" w:color="auto" w:fill="CFF0FC"/>
          </w:tcPr>
          <w:p>
            <w:pPr>
              <w:spacing w:after="0"/>
              <w:rPr>
                <w:sz w:val="19"/>
                <w:szCs w:val="19"/>
                <w:color w:val="auto"/>
              </w:rPr>
            </w:pPr>
          </w:p>
        </w:tc>
      </w:tr>
      <w:tr>
        <w:trPr>
          <w:trHeight w:val="223"/>
        </w:trPr>
        <w:tc>
          <w:tcPr>
            <w:tcW w:w="68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7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531,514</w:t>
            </w:r>
          </w:p>
        </w:tc>
        <w:tc>
          <w:tcPr>
            <w:tcW w:w="3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530,510</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Undesignated preferred stock, $0.01 par value — 10,000,000 shares authorized;</w:t>
            </w: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 shares issued or outstanding as of September 30, 2022 and December 31, 2021</w:t>
            </w:r>
          </w:p>
        </w:tc>
        <w:tc>
          <w:tcPr>
            <w:tcW w:w="7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- 400,000,000 shares authorized,</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263,156,165 and 251,477,562 shares issued and outstanding</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 September 30, 2022 and December 31, 2021, respectively</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20"/>
                <w:szCs w:val="20"/>
                <w:color w:val="auto"/>
              </w:rPr>
            </w:pPr>
          </w:p>
        </w:tc>
      </w:tr>
      <w:tr>
        <w:trPr>
          <w:trHeight w:val="22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2,960,419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2,918,205</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(1,206)</w:t>
            </w:r>
          </w:p>
        </w:tc>
        <w:tc>
          <w:tcPr>
            <w:tcW w:w="1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(3,199,522)</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(3,130,069)</w:t>
            </w:r>
          </w:p>
        </w:tc>
      </w:tr>
      <w:tr>
        <w:trPr>
          <w:trHeight w:val="223"/>
        </w:trPr>
        <w:tc>
          <w:tcPr>
            <w:tcW w:w="6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7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(237,677)</w:t>
            </w:r>
          </w:p>
        </w:tc>
        <w:tc>
          <w:tcPr>
            <w:tcW w:w="3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(209,349)</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7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293,837</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321,161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6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2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16,259</w:t>
            </w:r>
          </w:p>
        </w:tc>
        <w:tc>
          <w:tcPr>
            <w:tcW w:w="180" w:type="dxa"/>
            <w:vAlign w:val="bottom"/>
          </w:tcPr>
          <w:p>
            <w:pPr>
              <w:spacing w:after="0"/>
              <w:rPr>
                <w:sz w:val="19"/>
                <w:szCs w:val="19"/>
                <w:color w:val="auto"/>
              </w:rPr>
            </w:pPr>
          </w:p>
        </w:tc>
        <w:tc>
          <w:tcPr>
            <w:tcW w:w="4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9,753</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38,807</w:t>
            </w:r>
          </w:p>
        </w:tc>
        <w:tc>
          <w:tcPr>
            <w:tcW w:w="160" w:type="dxa"/>
            <w:vAlign w:val="bottom"/>
          </w:tcPr>
          <w:p>
            <w:pPr>
              <w:spacing w:after="0"/>
              <w:rPr>
                <w:sz w:val="19"/>
                <w:szCs w:val="19"/>
                <w:color w:val="auto"/>
              </w:rPr>
            </w:pP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Revenue — collaborations and services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Royalties — collaborations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4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22,211</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63,711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goods sold</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 impairment</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foreign currency translation</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(2,068)</w:t>
            </w: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(5,003)</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4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28,801</w:t>
            </w:r>
          </w:p>
        </w:tc>
        <w:tc>
          <w:tcPr>
            <w:tcW w:w="2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115,031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 on notes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(2,803)</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(12,202)</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(12,435)</w:t>
            </w: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(loss) on extinguishment of debt, net</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(17,200)</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(expense) income</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expense</w:t>
            </w:r>
          </w:p>
        </w:tc>
        <w:tc>
          <w:tcPr>
            <w:tcW w:w="4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(69,453)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FF0FC"/>
            </w:tcBorders>
            <w:vMerge w:val="continue"/>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to compute net loss per share - basic and diluted</w:t>
            </w:r>
          </w:p>
        </w:tc>
        <w:tc>
          <w:tcPr>
            <w:tcW w:w="4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259,300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249,910</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254,974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248,624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7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(69,453)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(52,865)</w:t>
            </w: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(1,206)</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(14,432)</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(70,659)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(52,865)</w:t>
            </w:r>
          </w:p>
        </w:tc>
        <w:tc>
          <w:tcPr>
            <w:tcW w:w="12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20" w:type="dxa"/>
            <w:vAlign w:val="bottom"/>
          </w:tcPr>
          <w:p>
            <w:pPr>
              <w:spacing w:after="0"/>
              <w:rPr>
                <w:sz w:val="13"/>
                <w:szCs w:val="13"/>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3"/>
                <w:szCs w:val="13"/>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3020" w:type="dxa"/>
            <w:vAlign w:val="bottom"/>
          </w:tcPr>
          <w:p>
            <w:pPr>
              <w:spacing w:after="0"/>
              <w:rPr>
                <w:sz w:val="12"/>
                <w:szCs w:val="12"/>
                <w:color w:val="auto"/>
              </w:rPr>
            </w:pPr>
          </w:p>
        </w:tc>
        <w:tc>
          <w:tcPr>
            <w:tcW w:w="128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80" w:type="dxa"/>
            <w:vAlign w:val="bottom"/>
          </w:tcPr>
          <w:p>
            <w:pPr>
              <w:spacing w:after="0"/>
              <w:rPr>
                <w:sz w:val="12"/>
                <w:szCs w:val="12"/>
                <w:color w:val="auto"/>
              </w:rPr>
            </w:pPr>
          </w:p>
        </w:tc>
        <w:tc>
          <w:tcPr>
            <w:tcW w:w="74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80" w:type="dxa"/>
            <w:vAlign w:val="bottom"/>
          </w:tcPr>
          <w:p>
            <w:pPr>
              <w:spacing w:after="0"/>
              <w:rPr>
                <w:sz w:val="12"/>
                <w:szCs w:val="12"/>
                <w:color w:val="auto"/>
              </w:rPr>
            </w:pPr>
          </w:p>
        </w:tc>
        <w:tc>
          <w:tcPr>
            <w:tcW w:w="12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Loss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2"/>
                <w:szCs w:val="12"/>
                <w:color w:val="auto"/>
              </w:rPr>
            </w:pPr>
          </w:p>
        </w:tc>
        <w:tc>
          <w:tcPr>
            <w:tcW w:w="88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302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JANUARY 1, 2021</w:t>
            </w: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242,118</w:t>
            </w:r>
          </w:p>
        </w:tc>
        <w:tc>
          <w:tcPr>
            <w:tcW w:w="2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2,421</w:t>
            </w:r>
          </w:p>
        </w:tc>
        <w:tc>
          <w:tcPr>
            <w:tcW w:w="2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2,866,303</w:t>
            </w:r>
          </w:p>
        </w:tc>
        <w:tc>
          <w:tcPr>
            <w:tcW w:w="2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auto"/>
            </w:tcBorders>
            <w:shd w:val="clear" w:color="auto" w:fill="CFF0FC"/>
          </w:tcPr>
          <w:p>
            <w:pPr>
              <w:ind w:left="108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(3,049,143)</w:t>
            </w:r>
          </w:p>
        </w:tc>
        <w:tc>
          <w:tcPr>
            <w:tcW w:w="2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(180,419)</w:t>
            </w:r>
          </w:p>
        </w:tc>
        <w:tc>
          <w:tcPr>
            <w:tcW w:w="80" w:type="dxa"/>
            <w:vAlign w:val="bottom"/>
            <w:tcBorders>
              <w:top w:val="single" w:sz="8" w:color="CFF0FC"/>
            </w:tcBorders>
            <w:shd w:val="clear" w:color="auto" w:fill="CFF0FC"/>
          </w:tcPr>
          <w:p>
            <w:pPr>
              <w:spacing w:after="0"/>
              <w:rPr>
                <w:sz w:val="12"/>
                <w:szCs w:val="12"/>
                <w:color w:val="auto"/>
              </w:rPr>
            </w:pPr>
          </w:p>
        </w:tc>
      </w:tr>
      <w:tr>
        <w:trPr>
          <w:trHeight w:val="130"/>
        </w:trPr>
        <w:tc>
          <w:tcPr>
            <w:tcW w:w="302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02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with stock options and restricted stock</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30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80" w:type="dxa"/>
            <w:vAlign w:val="bottom"/>
          </w:tcPr>
          <w:p>
            <w:pPr>
              <w:spacing w:after="0"/>
              <w:rPr>
                <w:sz w:val="13"/>
                <w:szCs w:val="13"/>
                <w:color w:val="auto"/>
              </w:rPr>
            </w:pPr>
          </w:p>
        </w:tc>
      </w:tr>
      <w:tr>
        <w:trPr>
          <w:trHeight w:val="130"/>
        </w:trPr>
        <w:tc>
          <w:tcPr>
            <w:tcW w:w="302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10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53"/>
        </w:trPr>
        <w:tc>
          <w:tcPr>
            <w:tcW w:w="30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Stock Purchase Plan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80" w:type="dxa"/>
            <w:vAlign w:val="bottom"/>
            <w:shd w:val="clear" w:color="auto" w:fill="CFF0FC"/>
          </w:tcPr>
          <w:p>
            <w:pPr>
              <w:spacing w:after="0"/>
              <w:rPr>
                <w:sz w:val="13"/>
                <w:szCs w:val="13"/>
                <w:color w:val="auto"/>
              </w:rPr>
            </w:pPr>
          </w:p>
        </w:tc>
      </w:tr>
      <w:tr>
        <w:trPr>
          <w:trHeight w:val="148"/>
        </w:trPr>
        <w:tc>
          <w:tcPr>
            <w:tcW w:w="3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80" w:type="dxa"/>
            <w:vAlign w:val="bottom"/>
          </w:tcPr>
          <w:p>
            <w:pPr>
              <w:spacing w:after="0"/>
              <w:rPr>
                <w:sz w:val="12"/>
                <w:szCs w:val="12"/>
                <w:color w:val="auto"/>
              </w:rPr>
            </w:pPr>
          </w:p>
        </w:tc>
      </w:tr>
      <w:tr>
        <w:trPr>
          <w:trHeight w:val="130"/>
        </w:trPr>
        <w:tc>
          <w:tcPr>
            <w:tcW w:w="302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10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35"/>
        </w:trPr>
        <w:tc>
          <w:tcPr>
            <w:tcW w:w="3020" w:type="dxa"/>
            <w:vAlign w:val="bottom"/>
            <w:shd w:val="clear" w:color="auto" w:fill="CFF0FC"/>
          </w:tcPr>
          <w:p>
            <w:pPr>
              <w:ind w:left="340"/>
              <w:spacing w:after="0" w:line="135" w:lineRule="exact"/>
              <w:rPr>
                <w:sz w:val="20"/>
                <w:szCs w:val="20"/>
                <w:color w:val="auto"/>
              </w:rPr>
            </w:pPr>
            <w:r>
              <w:rPr>
                <w:rFonts w:ascii="Times New Roman" w:cs="Times New Roman" w:eastAsia="Times New Roman" w:hAnsi="Times New Roman"/>
                <w:sz w:val="13"/>
                <w:szCs w:val="13"/>
                <w:color w:val="auto"/>
              </w:rPr>
              <w:t>conversion of the Mann Group</w:t>
            </w:r>
          </w:p>
        </w:tc>
        <w:tc>
          <w:tcPr>
            <w:tcW w:w="10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53"/>
        </w:trPr>
        <w:tc>
          <w:tcPr>
            <w:tcW w:w="30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convertible note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3,830</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9,535</w:t>
            </w: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9,573</w:t>
            </w:r>
          </w:p>
        </w:tc>
        <w:tc>
          <w:tcPr>
            <w:tcW w:w="80" w:type="dxa"/>
            <w:vAlign w:val="bottom"/>
            <w:shd w:val="clear" w:color="auto" w:fill="CFF0FC"/>
          </w:tcPr>
          <w:p>
            <w:pPr>
              <w:spacing w:after="0"/>
              <w:rPr>
                <w:sz w:val="13"/>
                <w:szCs w:val="13"/>
                <w:color w:val="auto"/>
              </w:rPr>
            </w:pPr>
          </w:p>
        </w:tc>
      </w:tr>
      <w:tr>
        <w:trPr>
          <w:trHeight w:val="130"/>
        </w:trPr>
        <w:tc>
          <w:tcPr>
            <w:tcW w:w="302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02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conversion of the Mann Group</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30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convertible note interest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80" w:type="dxa"/>
            <w:vAlign w:val="bottom"/>
          </w:tcPr>
          <w:p>
            <w:pPr>
              <w:spacing w:after="0"/>
              <w:rPr>
                <w:sz w:val="13"/>
                <w:szCs w:val="13"/>
                <w:color w:val="auto"/>
              </w:rPr>
            </w:pPr>
          </w:p>
        </w:tc>
      </w:tr>
      <w:tr>
        <w:trPr>
          <w:trHeight w:val="130"/>
        </w:trPr>
        <w:tc>
          <w:tcPr>
            <w:tcW w:w="302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10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53"/>
        </w:trPr>
        <w:tc>
          <w:tcPr>
            <w:tcW w:w="30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conversion of the 2024 convertible notes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1,667</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4,983</w:t>
            </w: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shd w:val="clear" w:color="auto" w:fill="CFF0FC"/>
          </w:tcPr>
          <w:p>
            <w:pPr>
              <w:spacing w:after="0"/>
              <w:rPr>
                <w:sz w:val="13"/>
                <w:szCs w:val="13"/>
                <w:color w:val="auto"/>
              </w:rPr>
            </w:pPr>
          </w:p>
        </w:tc>
      </w:tr>
      <w:tr>
        <w:trPr>
          <w:trHeight w:val="130"/>
        </w:trPr>
        <w:tc>
          <w:tcPr>
            <w:tcW w:w="302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02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payoff of the 2024 convertible note</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30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interest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tcPr>
          <w:p>
            <w:pPr>
              <w:spacing w:after="0"/>
              <w:rPr>
                <w:sz w:val="13"/>
                <w:szCs w:val="13"/>
                <w:color w:val="auto"/>
              </w:rPr>
            </w:pPr>
          </w:p>
        </w:tc>
      </w:tr>
      <w:tr>
        <w:trPr>
          <w:trHeight w:val="149"/>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Issuance of at-the-market placement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1,880</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80" w:type="dxa"/>
            <w:vAlign w:val="bottom"/>
            <w:shd w:val="clear" w:color="auto" w:fill="CFF0FC"/>
          </w:tcPr>
          <w:p>
            <w:pPr>
              <w:spacing w:after="0"/>
              <w:rPr>
                <w:sz w:val="12"/>
                <w:szCs w:val="12"/>
                <w:color w:val="auto"/>
              </w:rPr>
            </w:pPr>
          </w:p>
        </w:tc>
      </w:tr>
      <w:tr>
        <w:trPr>
          <w:trHeight w:val="130"/>
        </w:trPr>
        <w:tc>
          <w:tcPr>
            <w:tcW w:w="302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costs associated with at-the-</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30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market placement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3"/>
                <w:szCs w:val="13"/>
                <w:color w:val="auto"/>
              </w:rPr>
            </w:pPr>
          </w:p>
        </w:tc>
        <w:tc>
          <w:tcPr>
            <w:tcW w:w="1220" w:type="dxa"/>
            <w:vAlign w:val="bottom"/>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w:t>
            </w:r>
          </w:p>
        </w:tc>
      </w:tr>
      <w:tr>
        <w:trPr>
          <w:trHeight w:val="148"/>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2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(12,916)</w:t>
            </w:r>
          </w:p>
        </w:tc>
        <w:tc>
          <w:tcPr>
            <w:tcW w:w="2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(12,916)</w:t>
            </w:r>
          </w:p>
        </w:tc>
      </w:tr>
      <w:tr>
        <w:trPr>
          <w:trHeight w:val="182"/>
        </w:trPr>
        <w:tc>
          <w:tcPr>
            <w:tcW w:w="3020" w:type="dxa"/>
            <w:vAlign w:val="bottom"/>
            <w:tcBorders>
              <w:bottom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color w:val="auto"/>
              </w:rPr>
              <w:t>BALANCE, MARCH 31, 2021</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249,073</w:t>
            </w:r>
          </w:p>
        </w:tc>
        <w:tc>
          <w:tcPr>
            <w:tcW w:w="260" w:type="dxa"/>
            <w:vAlign w:val="bottom"/>
            <w:tcBorders>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2,491</w:t>
            </w:r>
          </w:p>
        </w:tc>
        <w:tc>
          <w:tcPr>
            <w:tcW w:w="28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2,885,946</w:t>
            </w:r>
          </w:p>
        </w:tc>
        <w:tc>
          <w:tcPr>
            <w:tcW w:w="28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auto"/>
              <w:bottom w:val="single" w:sz="8" w:color="auto"/>
            </w:tcBorders>
          </w:tcPr>
          <w:p>
            <w:pPr>
              <w:ind w:left="108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(3,062,059)</w:t>
            </w:r>
          </w:p>
        </w:tc>
        <w:tc>
          <w:tcPr>
            <w:tcW w:w="28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(173,622)</w:t>
            </w:r>
          </w:p>
        </w:tc>
        <w:tc>
          <w:tcPr>
            <w:tcW w:w="80" w:type="dxa"/>
            <w:vAlign w:val="bottom"/>
            <w:tcBorders>
              <w:bottom w:val="single" w:sz="8" w:color="CFF0FC"/>
            </w:tcBorders>
          </w:tcPr>
          <w:p>
            <w:pPr>
              <w:spacing w:after="0"/>
              <w:rPr>
                <w:sz w:val="15"/>
                <w:szCs w:val="15"/>
                <w:color w:val="auto"/>
              </w:rPr>
            </w:pPr>
          </w:p>
        </w:tc>
      </w:tr>
      <w:tr>
        <w:trPr>
          <w:trHeight w:val="111"/>
        </w:trPr>
        <w:tc>
          <w:tcPr>
            <w:tcW w:w="3020" w:type="dxa"/>
            <w:vAlign w:val="bottom"/>
            <w:shd w:val="clear" w:color="auto" w:fill="CFF0FC"/>
          </w:tcPr>
          <w:p>
            <w:pPr>
              <w:ind w:left="260"/>
              <w:spacing w:after="0" w:line="111" w:lineRule="exact"/>
              <w:rPr>
                <w:sz w:val="20"/>
                <w:szCs w:val="20"/>
                <w:color w:val="auto"/>
              </w:rPr>
            </w:pPr>
            <w:r>
              <w:rPr>
                <w:rFonts w:ascii="Times New Roman" w:cs="Times New Roman" w:eastAsia="Times New Roman" w:hAnsi="Times New Roman"/>
                <w:sz w:val="12"/>
                <w:szCs w:val="12"/>
                <w:color w:val="auto"/>
              </w:rPr>
              <w:t>Net issuance of common stock associated</w:t>
            </w:r>
          </w:p>
        </w:tc>
        <w:tc>
          <w:tcPr>
            <w:tcW w:w="10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r>
      <w:tr>
        <w:trPr>
          <w:trHeight w:val="135"/>
        </w:trPr>
        <w:tc>
          <w:tcPr>
            <w:tcW w:w="3020" w:type="dxa"/>
            <w:vAlign w:val="bottom"/>
            <w:shd w:val="clear" w:color="auto" w:fill="CFF0FC"/>
          </w:tcPr>
          <w:p>
            <w:pPr>
              <w:ind w:left="340"/>
              <w:spacing w:after="0" w:line="135" w:lineRule="exact"/>
              <w:rPr>
                <w:sz w:val="20"/>
                <w:szCs w:val="20"/>
                <w:color w:val="auto"/>
              </w:rPr>
            </w:pPr>
            <w:r>
              <w:rPr>
                <w:rFonts w:ascii="Times New Roman" w:cs="Times New Roman" w:eastAsia="Times New Roman" w:hAnsi="Times New Roman"/>
                <w:sz w:val="13"/>
                <w:szCs w:val="13"/>
                <w:color w:val="auto"/>
              </w:rPr>
              <w:t>with stock options and restricted stock</w:t>
            </w:r>
          </w:p>
        </w:tc>
        <w:tc>
          <w:tcPr>
            <w:tcW w:w="10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53"/>
        </w:trPr>
        <w:tc>
          <w:tcPr>
            <w:tcW w:w="30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units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shd w:val="clear" w:color="auto" w:fill="CFF0FC"/>
          </w:tcPr>
          <w:p>
            <w:pPr>
              <w:spacing w:after="0"/>
              <w:rPr>
                <w:sz w:val="13"/>
                <w:szCs w:val="13"/>
                <w:color w:val="auto"/>
              </w:rPr>
            </w:pPr>
          </w:p>
        </w:tc>
        <w:tc>
          <w:tcPr>
            <w:tcW w:w="122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(545)</w:t>
            </w:r>
          </w:p>
        </w:tc>
      </w:tr>
      <w:tr>
        <w:trPr>
          <w:trHeight w:val="148"/>
        </w:trPr>
        <w:tc>
          <w:tcPr>
            <w:tcW w:w="3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3,926</w:t>
            </w:r>
          </w:p>
        </w:tc>
        <w:tc>
          <w:tcPr>
            <w:tcW w:w="80" w:type="dxa"/>
            <w:vAlign w:val="bottom"/>
          </w:tcPr>
          <w:p>
            <w:pPr>
              <w:spacing w:after="0"/>
              <w:rPr>
                <w:sz w:val="12"/>
                <w:szCs w:val="12"/>
                <w:color w:val="auto"/>
              </w:rPr>
            </w:pPr>
          </w:p>
        </w:tc>
      </w:tr>
      <w:tr>
        <w:trPr>
          <w:trHeight w:val="149"/>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Premium on Mann Group convertible note</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22,107</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22,107</w:t>
            </w:r>
          </w:p>
        </w:tc>
        <w:tc>
          <w:tcPr>
            <w:tcW w:w="80" w:type="dxa"/>
            <w:vAlign w:val="bottom"/>
            <w:shd w:val="clear" w:color="auto" w:fill="CFF0FC"/>
          </w:tcPr>
          <w:p>
            <w:pPr>
              <w:spacing w:after="0"/>
              <w:rPr>
                <w:sz w:val="12"/>
                <w:szCs w:val="12"/>
                <w:color w:val="auto"/>
              </w:rPr>
            </w:pPr>
          </w:p>
        </w:tc>
      </w:tr>
      <w:tr>
        <w:trPr>
          <w:trHeight w:val="130"/>
        </w:trPr>
        <w:tc>
          <w:tcPr>
            <w:tcW w:w="302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30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price stock purchase</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3"/>
                <w:szCs w:val="13"/>
                <w:color w:val="auto"/>
              </w:rPr>
            </w:pPr>
          </w:p>
        </w:tc>
      </w:tr>
      <w:tr>
        <w:trPr>
          <w:trHeight w:val="148"/>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2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(35,523)</w:t>
            </w:r>
          </w:p>
        </w:tc>
        <w:tc>
          <w:tcPr>
            <w:tcW w:w="2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(35,523)</w:t>
            </w:r>
          </w:p>
        </w:tc>
      </w:tr>
      <w:tr>
        <w:trPr>
          <w:trHeight w:val="182"/>
        </w:trPr>
        <w:tc>
          <w:tcPr>
            <w:tcW w:w="3020" w:type="dxa"/>
            <w:vAlign w:val="bottom"/>
            <w:tcBorders>
              <w:bottom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color w:val="auto"/>
              </w:rPr>
              <w:t>BALANCE, JUNE 30, 2021</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249,618</w:t>
            </w:r>
          </w:p>
        </w:tc>
        <w:tc>
          <w:tcPr>
            <w:tcW w:w="260" w:type="dxa"/>
            <w:vAlign w:val="bottom"/>
            <w:tcBorders>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2,496</w:t>
            </w:r>
          </w:p>
        </w:tc>
        <w:tc>
          <w:tcPr>
            <w:tcW w:w="28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2,911,535</w:t>
            </w:r>
          </w:p>
        </w:tc>
        <w:tc>
          <w:tcPr>
            <w:tcW w:w="28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auto"/>
              <w:bottom w:val="single" w:sz="8" w:color="auto"/>
            </w:tcBorders>
          </w:tcPr>
          <w:p>
            <w:pPr>
              <w:ind w:left="108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(3,097,582)</w:t>
            </w:r>
          </w:p>
        </w:tc>
        <w:tc>
          <w:tcPr>
            <w:tcW w:w="28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(183,551)</w:t>
            </w:r>
          </w:p>
        </w:tc>
        <w:tc>
          <w:tcPr>
            <w:tcW w:w="80" w:type="dxa"/>
            <w:vAlign w:val="bottom"/>
            <w:tcBorders>
              <w:bottom w:val="single" w:sz="8" w:color="CFF0FC"/>
            </w:tcBorders>
          </w:tcPr>
          <w:p>
            <w:pPr>
              <w:spacing w:after="0"/>
              <w:rPr>
                <w:sz w:val="15"/>
                <w:szCs w:val="15"/>
                <w:color w:val="auto"/>
              </w:rPr>
            </w:pPr>
          </w:p>
        </w:tc>
      </w:tr>
      <w:tr>
        <w:trPr>
          <w:trHeight w:val="111"/>
        </w:trPr>
        <w:tc>
          <w:tcPr>
            <w:tcW w:w="3020" w:type="dxa"/>
            <w:vAlign w:val="bottom"/>
            <w:shd w:val="clear" w:color="auto" w:fill="CFF0FC"/>
          </w:tcPr>
          <w:p>
            <w:pPr>
              <w:ind w:left="260"/>
              <w:spacing w:after="0" w:line="111" w:lineRule="exact"/>
              <w:rPr>
                <w:sz w:val="20"/>
                <w:szCs w:val="20"/>
                <w:color w:val="auto"/>
              </w:rPr>
            </w:pPr>
            <w:r>
              <w:rPr>
                <w:rFonts w:ascii="Times New Roman" w:cs="Times New Roman" w:eastAsia="Times New Roman" w:hAnsi="Times New Roman"/>
                <w:sz w:val="12"/>
                <w:szCs w:val="12"/>
                <w:color w:val="auto"/>
              </w:rPr>
              <w:t>Issuance of common stock associated</w:t>
            </w:r>
          </w:p>
        </w:tc>
        <w:tc>
          <w:tcPr>
            <w:tcW w:w="10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r>
      <w:tr>
        <w:trPr>
          <w:trHeight w:val="153"/>
        </w:trPr>
        <w:tc>
          <w:tcPr>
            <w:tcW w:w="30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with debt interest payment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(594)</w:t>
            </w:r>
          </w:p>
        </w:tc>
        <w:tc>
          <w:tcPr>
            <w:tcW w:w="80" w:type="dxa"/>
            <w:vAlign w:val="bottom"/>
            <w:shd w:val="clear" w:color="auto" w:fill="CFF0FC"/>
          </w:tcPr>
          <w:p>
            <w:pPr>
              <w:spacing w:after="0"/>
              <w:rPr>
                <w:sz w:val="13"/>
                <w:szCs w:val="13"/>
                <w:color w:val="auto"/>
              </w:rPr>
            </w:pPr>
          </w:p>
        </w:tc>
        <w:tc>
          <w:tcPr>
            <w:tcW w:w="122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(590)</w:t>
            </w:r>
          </w:p>
        </w:tc>
      </w:tr>
      <w:tr>
        <w:trPr>
          <w:trHeight w:val="130"/>
        </w:trPr>
        <w:tc>
          <w:tcPr>
            <w:tcW w:w="302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02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with stock options and restricted stock</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30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80" w:type="dxa"/>
            <w:vAlign w:val="bottom"/>
          </w:tcPr>
          <w:p>
            <w:pPr>
              <w:spacing w:after="0"/>
              <w:rPr>
                <w:sz w:val="13"/>
                <w:szCs w:val="13"/>
                <w:color w:val="auto"/>
              </w:rPr>
            </w:pPr>
          </w:p>
        </w:tc>
      </w:tr>
      <w:tr>
        <w:trPr>
          <w:trHeight w:val="149"/>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3,179</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3,179</w:t>
            </w:r>
          </w:p>
        </w:tc>
        <w:tc>
          <w:tcPr>
            <w:tcW w:w="80" w:type="dxa"/>
            <w:vAlign w:val="bottom"/>
            <w:shd w:val="clear" w:color="auto" w:fill="CFF0FC"/>
          </w:tcPr>
          <w:p>
            <w:pPr>
              <w:spacing w:after="0"/>
              <w:rPr>
                <w:sz w:val="12"/>
                <w:szCs w:val="12"/>
                <w:color w:val="auto"/>
              </w:rPr>
            </w:pPr>
          </w:p>
        </w:tc>
      </w:tr>
      <w:tr>
        <w:trPr>
          <w:trHeight w:val="148"/>
        </w:trPr>
        <w:tc>
          <w:tcPr>
            <w:tcW w:w="3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20" w:type="dxa"/>
            <w:vAlign w:val="bottom"/>
          </w:tcPr>
          <w:p>
            <w:pPr>
              <w:ind w:left="108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(4,426)</w:t>
            </w:r>
          </w:p>
        </w:tc>
        <w:tc>
          <w:tcPr>
            <w:tcW w:w="22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(4,426)</w:t>
            </w:r>
          </w:p>
        </w:tc>
      </w:tr>
      <w:tr>
        <w:trPr>
          <w:trHeight w:val="142"/>
        </w:trPr>
        <w:tc>
          <w:tcPr>
            <w:tcW w:w="302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SEPTEMBER 30, 2021</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250,246</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2,502</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2,914,818</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auto"/>
              <w:bottom w:val="single" w:sz="8" w:color="auto"/>
            </w:tcBorders>
            <w:shd w:val="clear" w:color="auto" w:fill="CFF0FC"/>
          </w:tcPr>
          <w:p>
            <w:pPr>
              <w:ind w:left="108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(3,102,008)</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(184,688)</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55"/>
        </w:trPr>
        <w:tc>
          <w:tcPr>
            <w:tcW w:w="2860" w:type="dxa"/>
            <w:vAlign w:val="bottom"/>
          </w:tcPr>
          <w:p>
            <w:pPr>
              <w:spacing w:after="0"/>
              <w:rPr>
                <w:sz w:val="13"/>
                <w:szCs w:val="13"/>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3"/>
                <w:szCs w:val="13"/>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2860" w:type="dxa"/>
            <w:vAlign w:val="bottom"/>
          </w:tcPr>
          <w:p>
            <w:pPr>
              <w:spacing w:after="0"/>
              <w:rPr>
                <w:sz w:val="12"/>
                <w:szCs w:val="12"/>
                <w:color w:val="auto"/>
              </w:rPr>
            </w:pPr>
          </w:p>
        </w:tc>
        <w:tc>
          <w:tcPr>
            <w:tcW w:w="104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80" w:type="dxa"/>
            <w:vAlign w:val="bottom"/>
          </w:tcPr>
          <w:p>
            <w:pPr>
              <w:spacing w:after="0"/>
              <w:rPr>
                <w:sz w:val="12"/>
                <w:szCs w:val="12"/>
                <w:color w:val="auto"/>
              </w:rPr>
            </w:pPr>
          </w:p>
        </w:tc>
        <w:tc>
          <w:tcPr>
            <w:tcW w:w="14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286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JANUARY 1, 2022</w:t>
            </w: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251,478</w:t>
            </w:r>
          </w:p>
        </w:tc>
        <w:tc>
          <w:tcPr>
            <w:tcW w:w="2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2,515</w:t>
            </w: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2,918,205</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(3,130,069)</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(209,349)</w:t>
            </w:r>
          </w:p>
        </w:tc>
        <w:tc>
          <w:tcPr>
            <w:tcW w:w="120" w:type="dxa"/>
            <w:vAlign w:val="bottom"/>
            <w:tcBorders>
              <w:top w:val="single" w:sz="8" w:color="CFF0FC"/>
            </w:tcBorders>
            <w:shd w:val="clear" w:color="auto" w:fill="CFF0FC"/>
          </w:tcPr>
          <w:p>
            <w:pPr>
              <w:spacing w:after="0"/>
              <w:rPr>
                <w:sz w:val="12"/>
                <w:szCs w:val="12"/>
                <w:color w:val="auto"/>
              </w:rPr>
            </w:pPr>
          </w:p>
        </w:tc>
      </w:tr>
      <w:tr>
        <w:trPr>
          <w:trHeight w:val="130"/>
        </w:trPr>
        <w:tc>
          <w:tcPr>
            <w:tcW w:w="286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86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with stock options and restricted stock</w:t>
            </w: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20" w:type="dxa"/>
            <w:vAlign w:val="bottom"/>
          </w:tcPr>
          <w:p>
            <w:pPr>
              <w:spacing w:after="0"/>
              <w:rPr>
                <w:sz w:val="13"/>
                <w:szCs w:val="13"/>
                <w:color w:val="auto"/>
              </w:rPr>
            </w:pPr>
          </w:p>
        </w:tc>
      </w:tr>
      <w:tr>
        <w:trPr>
          <w:trHeight w:val="130"/>
        </w:trPr>
        <w:tc>
          <w:tcPr>
            <w:tcW w:w="286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2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Stock Purchase Plan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120" w:type="dxa"/>
            <w:vAlign w:val="bottom"/>
            <w:shd w:val="clear" w:color="auto" w:fill="CFF0FC"/>
          </w:tcPr>
          <w:p>
            <w:pPr>
              <w:spacing w:after="0"/>
              <w:rPr>
                <w:sz w:val="13"/>
                <w:szCs w:val="13"/>
                <w:color w:val="auto"/>
              </w:rPr>
            </w:pPr>
          </w:p>
        </w:tc>
      </w:tr>
      <w:tr>
        <w:trPr>
          <w:trHeight w:val="148"/>
        </w:trPr>
        <w:tc>
          <w:tcPr>
            <w:tcW w:w="2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2,806</w:t>
            </w:r>
          </w:p>
        </w:tc>
        <w:tc>
          <w:tcPr>
            <w:tcW w:w="120" w:type="dxa"/>
            <w:vAlign w:val="bottom"/>
          </w:tcPr>
          <w:p>
            <w:pPr>
              <w:spacing w:after="0"/>
              <w:rPr>
                <w:sz w:val="12"/>
                <w:szCs w:val="12"/>
                <w:color w:val="auto"/>
              </w:rPr>
            </w:pPr>
          </w:p>
        </w:tc>
      </w:tr>
      <w:tr>
        <w:trPr>
          <w:trHeight w:val="130"/>
        </w:trPr>
        <w:tc>
          <w:tcPr>
            <w:tcW w:w="286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2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price stock purchase plan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20" w:type="dxa"/>
            <w:vAlign w:val="bottom"/>
            <w:shd w:val="clear" w:color="auto" w:fill="CFF0FC"/>
          </w:tcPr>
          <w:p>
            <w:pPr>
              <w:spacing w:after="0"/>
              <w:rPr>
                <w:sz w:val="13"/>
                <w:szCs w:val="13"/>
                <w:color w:val="auto"/>
              </w:rPr>
            </w:pPr>
          </w:p>
        </w:tc>
      </w:tr>
      <w:tr>
        <w:trPr>
          <w:trHeight w:val="148"/>
        </w:trPr>
        <w:tc>
          <w:tcPr>
            <w:tcW w:w="2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Cumulative loss on available-for-sale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(1,076)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(1,076)</w:t>
            </w:r>
          </w:p>
        </w:tc>
      </w:tr>
      <w:tr>
        <w:trPr>
          <w:trHeight w:val="149"/>
        </w:trPr>
        <w:tc>
          <w:tcPr>
            <w:tcW w:w="2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(25,998)</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(25,998)</w:t>
            </w:r>
          </w:p>
        </w:tc>
      </w:tr>
      <w:tr>
        <w:trPr>
          <w:trHeight w:val="182"/>
        </w:trPr>
        <w:tc>
          <w:tcPr>
            <w:tcW w:w="2860" w:type="dxa"/>
            <w:vAlign w:val="bottom"/>
            <w:tcBorders>
              <w:bottom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color w:val="auto"/>
              </w:rPr>
              <w:t>BALANCE, MARCH 31, 2022</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252,413</w:t>
            </w:r>
          </w:p>
        </w:tc>
        <w:tc>
          <w:tcPr>
            <w:tcW w:w="260" w:type="dxa"/>
            <w:vAlign w:val="bottom"/>
            <w:tcBorders>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2,524</w:t>
            </w:r>
          </w:p>
        </w:tc>
        <w:tc>
          <w:tcPr>
            <w:tcW w:w="24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2,922,555</w:t>
            </w:r>
          </w:p>
        </w:tc>
        <w:tc>
          <w:tcPr>
            <w:tcW w:w="24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(1,076)</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(3,156,067)</w:t>
            </w:r>
          </w:p>
        </w:tc>
        <w:tc>
          <w:tcPr>
            <w:tcW w:w="2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(232,064)</w:t>
            </w:r>
          </w:p>
        </w:tc>
        <w:tc>
          <w:tcPr>
            <w:tcW w:w="120" w:type="dxa"/>
            <w:vAlign w:val="bottom"/>
            <w:tcBorders>
              <w:bottom w:val="single" w:sz="8" w:color="CFF0FC"/>
            </w:tcBorders>
          </w:tcPr>
          <w:p>
            <w:pPr>
              <w:spacing w:after="0"/>
              <w:rPr>
                <w:sz w:val="15"/>
                <w:szCs w:val="15"/>
                <w:color w:val="auto"/>
              </w:rPr>
            </w:pPr>
          </w:p>
        </w:tc>
      </w:tr>
      <w:tr>
        <w:trPr>
          <w:trHeight w:val="111"/>
        </w:trPr>
        <w:tc>
          <w:tcPr>
            <w:tcW w:w="2860" w:type="dxa"/>
            <w:vAlign w:val="bottom"/>
            <w:shd w:val="clear" w:color="auto" w:fill="CFF0FC"/>
          </w:tcPr>
          <w:p>
            <w:pPr>
              <w:ind w:left="260"/>
              <w:spacing w:after="0" w:line="111" w:lineRule="exact"/>
              <w:rPr>
                <w:sz w:val="20"/>
                <w:szCs w:val="20"/>
                <w:color w:val="auto"/>
              </w:rPr>
            </w:pPr>
            <w:r>
              <w:rPr>
                <w:rFonts w:ascii="Times New Roman" w:cs="Times New Roman" w:eastAsia="Times New Roman" w:hAnsi="Times New Roman"/>
                <w:sz w:val="12"/>
                <w:szCs w:val="12"/>
                <w:color w:val="auto"/>
              </w:rPr>
              <w:t>Issuance of common stock pursuant to</w:t>
            </w:r>
          </w:p>
        </w:tc>
        <w:tc>
          <w:tcPr>
            <w:tcW w:w="10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35"/>
        </w:trPr>
        <w:tc>
          <w:tcPr>
            <w:tcW w:w="2860" w:type="dxa"/>
            <w:vAlign w:val="bottom"/>
            <w:shd w:val="clear" w:color="auto" w:fill="CFF0FC"/>
          </w:tcPr>
          <w:p>
            <w:pPr>
              <w:ind w:left="340"/>
              <w:spacing w:after="0" w:line="135" w:lineRule="exact"/>
              <w:rPr>
                <w:sz w:val="20"/>
                <w:szCs w:val="20"/>
                <w:color w:val="auto"/>
              </w:rPr>
            </w:pPr>
            <w:r>
              <w:rPr>
                <w:rFonts w:ascii="Times New Roman" w:cs="Times New Roman" w:eastAsia="Times New Roman" w:hAnsi="Times New Roman"/>
                <w:sz w:val="13"/>
                <w:szCs w:val="13"/>
                <w:color w:val="auto"/>
              </w:rPr>
              <w:t>conversion of Mann Group</w:t>
            </w: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2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convertible note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3,838</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9,557</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9,596</w:t>
            </w:r>
          </w:p>
        </w:tc>
        <w:tc>
          <w:tcPr>
            <w:tcW w:w="120" w:type="dxa"/>
            <w:vAlign w:val="bottom"/>
            <w:shd w:val="clear" w:color="auto" w:fill="CFF0FC"/>
          </w:tcPr>
          <w:p>
            <w:pPr>
              <w:spacing w:after="0"/>
              <w:rPr>
                <w:sz w:val="13"/>
                <w:szCs w:val="13"/>
                <w:color w:val="auto"/>
              </w:rPr>
            </w:pPr>
          </w:p>
        </w:tc>
      </w:tr>
      <w:tr>
        <w:trPr>
          <w:trHeight w:val="130"/>
        </w:trPr>
        <w:tc>
          <w:tcPr>
            <w:tcW w:w="286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86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conversion of the Mann Group</w:t>
            </w: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convertible note interest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120" w:type="dxa"/>
            <w:vAlign w:val="bottom"/>
          </w:tcPr>
          <w:p>
            <w:pPr>
              <w:spacing w:after="0"/>
              <w:rPr>
                <w:sz w:val="13"/>
                <w:szCs w:val="13"/>
                <w:color w:val="auto"/>
              </w:rPr>
            </w:pPr>
          </w:p>
        </w:tc>
      </w:tr>
      <w:tr>
        <w:trPr>
          <w:trHeight w:val="130"/>
        </w:trPr>
        <w:tc>
          <w:tcPr>
            <w:tcW w:w="286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860" w:type="dxa"/>
            <w:vAlign w:val="bottom"/>
            <w:shd w:val="clear" w:color="auto" w:fill="CFF0FC"/>
          </w:tcPr>
          <w:p>
            <w:pPr>
              <w:ind w:left="340"/>
              <w:spacing w:after="0" w:line="135" w:lineRule="exact"/>
              <w:rPr>
                <w:sz w:val="20"/>
                <w:szCs w:val="20"/>
                <w:color w:val="auto"/>
              </w:rPr>
            </w:pPr>
            <w:r>
              <w:rPr>
                <w:rFonts w:ascii="Times New Roman" w:cs="Times New Roman" w:eastAsia="Times New Roman" w:hAnsi="Times New Roman"/>
                <w:sz w:val="13"/>
                <w:szCs w:val="13"/>
                <w:color w:val="auto"/>
              </w:rPr>
              <w:t>with stock options and restricted stock</w:t>
            </w: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2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units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(385)</w:t>
            </w:r>
          </w:p>
        </w:tc>
        <w:tc>
          <w:tcPr>
            <w:tcW w:w="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(377)</w:t>
            </w:r>
          </w:p>
        </w:tc>
      </w:tr>
      <w:tr>
        <w:trPr>
          <w:trHeight w:val="148"/>
        </w:trPr>
        <w:tc>
          <w:tcPr>
            <w:tcW w:w="2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4,422</w:t>
            </w:r>
          </w:p>
        </w:tc>
        <w:tc>
          <w:tcPr>
            <w:tcW w:w="120" w:type="dxa"/>
            <w:vAlign w:val="bottom"/>
          </w:tcPr>
          <w:p>
            <w:pPr>
              <w:spacing w:after="0"/>
              <w:rPr>
                <w:sz w:val="12"/>
                <w:szCs w:val="12"/>
                <w:color w:val="auto"/>
              </w:rPr>
            </w:pPr>
          </w:p>
        </w:tc>
      </w:tr>
      <w:tr>
        <w:trPr>
          <w:trHeight w:val="130"/>
        </w:trPr>
        <w:tc>
          <w:tcPr>
            <w:tcW w:w="286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Cumulative loss on available-for-sale</w:t>
            </w: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2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securities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(130)</w:t>
            </w:r>
          </w:p>
        </w:tc>
      </w:tr>
      <w:tr>
        <w:trPr>
          <w:trHeight w:val="148"/>
        </w:trPr>
        <w:tc>
          <w:tcPr>
            <w:tcW w:w="2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(29,023)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(29,023)</w:t>
            </w:r>
          </w:p>
        </w:tc>
      </w:tr>
      <w:tr>
        <w:trPr>
          <w:trHeight w:val="142"/>
        </w:trPr>
        <w:tc>
          <w:tcPr>
            <w:tcW w:w="286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JUNE 30, 2022</w:t>
            </w: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257,277</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2,573</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2,936,667</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(1,206)</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(3,185,090)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(247,056)</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2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2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Issuance of at-the-market placement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5,060</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19,739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19,790</w:t>
            </w:r>
          </w:p>
        </w:tc>
        <w:tc>
          <w:tcPr>
            <w:tcW w:w="120" w:type="dxa"/>
            <w:vAlign w:val="bottom"/>
            <w:shd w:val="clear" w:color="auto" w:fill="CFF0FC"/>
          </w:tcPr>
          <w:p>
            <w:pPr>
              <w:spacing w:after="0"/>
              <w:rPr>
                <w:sz w:val="12"/>
                <w:szCs w:val="12"/>
                <w:color w:val="auto"/>
              </w:rPr>
            </w:pPr>
          </w:p>
        </w:tc>
      </w:tr>
      <w:tr>
        <w:trPr>
          <w:trHeight w:val="130"/>
        </w:trPr>
        <w:tc>
          <w:tcPr>
            <w:tcW w:w="286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costs associated with at-the-</w:t>
            </w: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market placement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(381)</w:t>
            </w:r>
          </w:p>
        </w:tc>
        <w:tc>
          <w:tcPr>
            <w:tcW w:w="8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(381)</w:t>
            </w:r>
          </w:p>
        </w:tc>
      </w:tr>
      <w:tr>
        <w:trPr>
          <w:trHeight w:val="130"/>
        </w:trPr>
        <w:tc>
          <w:tcPr>
            <w:tcW w:w="286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860" w:type="dxa"/>
            <w:vAlign w:val="bottom"/>
            <w:shd w:val="clear" w:color="auto" w:fill="CFF0FC"/>
          </w:tcPr>
          <w:p>
            <w:pPr>
              <w:ind w:left="340"/>
              <w:spacing w:after="0" w:line="135" w:lineRule="exact"/>
              <w:rPr>
                <w:sz w:val="20"/>
                <w:szCs w:val="20"/>
                <w:color w:val="auto"/>
              </w:rPr>
            </w:pPr>
            <w:r>
              <w:rPr>
                <w:rFonts w:ascii="Times New Roman" w:cs="Times New Roman" w:eastAsia="Times New Roman" w:hAnsi="Times New Roman"/>
                <w:sz w:val="13"/>
                <w:szCs w:val="13"/>
                <w:color w:val="auto"/>
              </w:rPr>
              <w:t>conversion of the Mann Group</w:t>
            </w: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2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convertible note interest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shd w:val="clear" w:color="auto" w:fill="CFF0FC"/>
          </w:tcPr>
          <w:p>
            <w:pPr>
              <w:spacing w:after="0"/>
              <w:rPr>
                <w:sz w:val="13"/>
                <w:szCs w:val="13"/>
                <w:color w:val="auto"/>
              </w:rPr>
            </w:pPr>
          </w:p>
        </w:tc>
      </w:tr>
      <w:tr>
        <w:trPr>
          <w:trHeight w:val="130"/>
        </w:trPr>
        <w:tc>
          <w:tcPr>
            <w:tcW w:w="286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Issuance of common stock under</w:t>
            </w: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w:t>
            </w:r>
          </w:p>
        </w:tc>
        <w:tc>
          <w:tcPr>
            <w:tcW w:w="120" w:type="dxa"/>
            <w:vAlign w:val="bottom"/>
          </w:tcPr>
          <w:p>
            <w:pPr>
              <w:spacing w:after="0"/>
              <w:rPr>
                <w:sz w:val="13"/>
                <w:szCs w:val="13"/>
                <w:color w:val="auto"/>
              </w:rPr>
            </w:pPr>
          </w:p>
        </w:tc>
      </w:tr>
      <w:tr>
        <w:trPr>
          <w:trHeight w:val="130"/>
        </w:trPr>
        <w:tc>
          <w:tcPr>
            <w:tcW w:w="286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860" w:type="dxa"/>
            <w:vAlign w:val="bottom"/>
            <w:shd w:val="clear" w:color="auto" w:fill="CFF0FC"/>
          </w:tcPr>
          <w:p>
            <w:pPr>
              <w:ind w:left="340"/>
              <w:spacing w:after="0" w:line="135" w:lineRule="exact"/>
              <w:rPr>
                <w:sz w:val="20"/>
                <w:szCs w:val="20"/>
                <w:color w:val="auto"/>
              </w:rPr>
            </w:pPr>
            <w:r>
              <w:rPr>
                <w:rFonts w:ascii="Times New Roman" w:cs="Times New Roman" w:eastAsia="Times New Roman" w:hAnsi="Times New Roman"/>
                <w:sz w:val="13"/>
                <w:szCs w:val="13"/>
                <w:color w:val="auto"/>
              </w:rPr>
              <w:t>with stock options and restricted stock</w:t>
            </w: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2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units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(197)</w:t>
            </w:r>
          </w:p>
        </w:tc>
        <w:tc>
          <w:tcPr>
            <w:tcW w:w="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(192)</w:t>
            </w:r>
          </w:p>
        </w:tc>
      </w:tr>
      <w:tr>
        <w:trPr>
          <w:trHeight w:val="148"/>
        </w:trPr>
        <w:tc>
          <w:tcPr>
            <w:tcW w:w="2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120" w:type="dxa"/>
            <w:vAlign w:val="bottom"/>
          </w:tcPr>
          <w:p>
            <w:pPr>
              <w:spacing w:after="0"/>
              <w:rPr>
                <w:sz w:val="12"/>
                <w:szCs w:val="12"/>
                <w:color w:val="auto"/>
              </w:rPr>
            </w:pPr>
          </w:p>
        </w:tc>
      </w:tr>
      <w:tr>
        <w:trPr>
          <w:trHeight w:val="148"/>
        </w:trPr>
        <w:tc>
          <w:tcPr>
            <w:tcW w:w="2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(14,432)</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(14,432)</w:t>
            </w:r>
          </w:p>
        </w:tc>
      </w:tr>
      <w:tr>
        <w:trPr>
          <w:trHeight w:val="142"/>
        </w:trPr>
        <w:tc>
          <w:tcPr>
            <w:tcW w:w="28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BALANCE, SEPTEMBER 30, 2022</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263,156</w:t>
            </w:r>
          </w:p>
        </w:tc>
        <w:tc>
          <w:tcPr>
            <w:tcW w:w="2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2,632</w:t>
            </w: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2,960,419</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(1,206)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(3,199,522)</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(237,677)</w:t>
            </w:r>
          </w:p>
        </w:tc>
        <w:tc>
          <w:tcPr>
            <w:tcW w:w="120" w:type="dxa"/>
            <w:vAlign w:val="bottom"/>
          </w:tcPr>
          <w:p>
            <w:pPr>
              <w:spacing w:after="0"/>
              <w:rPr>
                <w:sz w:val="12"/>
                <w:szCs w:val="12"/>
                <w:color w:val="auto"/>
              </w:rPr>
            </w:pPr>
          </w:p>
        </w:tc>
      </w:tr>
      <w:tr>
        <w:trPr>
          <w:trHeight w:val="20"/>
        </w:trPr>
        <w:tc>
          <w:tcPr>
            <w:tcW w:w="2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MANNKIND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60" w:type="dxa"/>
            <w:vAlign w:val="bottom"/>
            <w:tcBorders>
              <w:bottom w:val="single" w:sz="8" w:color="auto"/>
            </w:tcBorders>
            <w:gridSpan w:val="5"/>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4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3"/>
                <w:szCs w:val="13"/>
                <w:b w:val="1"/>
                <w:bCs w:val="1"/>
                <w:color w:val="auto"/>
              </w:rPr>
              <w:t>2021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46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126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48"/>
        </w:trPr>
        <w:tc>
          <w:tcPr>
            <w:tcW w:w="6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2260" w:type="dxa"/>
            <w:vAlign w:val="bottom"/>
            <w:gridSpan w:val="2"/>
          </w:tcPr>
          <w:p>
            <w:pPr>
              <w:jc w:val="right"/>
              <w:ind w:right="881"/>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(69,453)</w:t>
            </w:r>
          </w:p>
        </w:tc>
        <w:tc>
          <w:tcPr>
            <w:tcW w:w="1140" w:type="dxa"/>
            <w:vAlign w:val="bottom"/>
            <w:gridSpan w:val="2"/>
          </w:tcPr>
          <w:p>
            <w:pPr>
              <w:jc w:val="right"/>
              <w:ind w:right="88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(52,865)</w:t>
            </w:r>
          </w:p>
        </w:tc>
      </w:tr>
      <w:tr>
        <w:trPr>
          <w:trHeight w:val="149"/>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9,040</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Interest expense on financing liability</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7,127</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4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Interest on milestone payment</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3,663</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4,504</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2,995</w:t>
            </w: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Amortization of right-of-use assets</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00" w:type="dxa"/>
            <w:vAlign w:val="bottom"/>
          </w:tcPr>
          <w:p>
            <w:pPr>
              <w:spacing w:after="0"/>
              <w:rPr>
                <w:sz w:val="12"/>
                <w:szCs w:val="12"/>
                <w:color w:val="auto"/>
              </w:rPr>
            </w:pPr>
          </w:p>
        </w:tc>
      </w:tr>
      <w:tr>
        <w:trPr>
          <w:trHeight w:val="149"/>
        </w:trPr>
        <w:tc>
          <w:tcPr>
            <w:tcW w:w="6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Interest expense on Mann Group promissory note</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4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Gain on foreign currency translation</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(8,285)</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(5,003)</w:t>
            </w:r>
          </w:p>
        </w:tc>
      </w:tr>
      <w:tr>
        <w:trPr>
          <w:trHeight w:val="148"/>
        </w:trPr>
        <w:tc>
          <w:tcPr>
            <w:tcW w:w="6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Write-off of inventory</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1,368</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4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Payment-in-kind interest on Mann Group promissory note</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17,200</w:t>
            </w:r>
          </w:p>
        </w:tc>
        <w:tc>
          <w:tcPr>
            <w:tcW w:w="100" w:type="dxa"/>
            <w:vAlign w:val="bottom"/>
            <w:shd w:val="clear" w:color="auto" w:fill="CFF0FC"/>
          </w:tcPr>
          <w:p>
            <w:pPr>
              <w:spacing w:after="0"/>
              <w:rPr>
                <w:sz w:val="12"/>
                <w:szCs w:val="12"/>
                <w:color w:val="auto"/>
              </w:rPr>
            </w:pPr>
          </w:p>
        </w:tc>
      </w:tr>
      <w:tr>
        <w:trPr>
          <w:trHeight w:val="149"/>
        </w:trPr>
        <w:tc>
          <w:tcPr>
            <w:tcW w:w="64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Asset impairment</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Accounts receivable, net</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(18,499)</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(5,227)</w:t>
            </w:r>
          </w:p>
        </w:tc>
      </w:tr>
      <w:tr>
        <w:trPr>
          <w:trHeight w:val="148"/>
        </w:trPr>
        <w:tc>
          <w:tcPr>
            <w:tcW w:w="64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Inventory</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(1,337)</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(2,509)</w:t>
            </w:r>
          </w:p>
        </w:tc>
      </w:tr>
      <w:tr>
        <w:trPr>
          <w:trHeight w:val="148"/>
        </w:trPr>
        <w:tc>
          <w:tcPr>
            <w:tcW w:w="64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(8,087)</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(105)</w:t>
            </w:r>
          </w:p>
        </w:tc>
      </w:tr>
      <w:tr>
        <w:trPr>
          <w:trHeight w:val="149"/>
        </w:trPr>
        <w:tc>
          <w:tcPr>
            <w:tcW w:w="64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Other assets</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(568)</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(439)</w:t>
            </w:r>
          </w:p>
        </w:tc>
      </w:tr>
      <w:tr>
        <w:trPr>
          <w:trHeight w:val="148"/>
        </w:trPr>
        <w:tc>
          <w:tcPr>
            <w:tcW w:w="64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Accounts payable</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3,946</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(2,935)</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3,471</w:t>
            </w: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Deferred revenue</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(19,369)</w:t>
            </w:r>
          </w:p>
        </w:tc>
      </w:tr>
      <w:tr>
        <w:trPr>
          <w:trHeight w:val="148"/>
        </w:trPr>
        <w:tc>
          <w:tcPr>
            <w:tcW w:w="64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(2,985)</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(1,367)</w:t>
            </w:r>
          </w:p>
        </w:tc>
      </w:tr>
      <w:tr>
        <w:trPr>
          <w:trHeight w:val="148"/>
        </w:trPr>
        <w:tc>
          <w:tcPr>
            <w:tcW w:w="64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Recognized loss on purchase commitments</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(4,306)</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(4,972)</w:t>
            </w:r>
          </w:p>
        </w:tc>
      </w:tr>
      <w:tr>
        <w:trPr>
          <w:trHeight w:val="149"/>
        </w:trPr>
        <w:tc>
          <w:tcPr>
            <w:tcW w:w="64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Accrued interest on Mann Group Mann Group promissory note</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(4,919)</w:t>
            </w:r>
          </w:p>
        </w:tc>
      </w:tr>
      <w:tr>
        <w:trPr>
          <w:trHeight w:val="148"/>
        </w:trPr>
        <w:tc>
          <w:tcPr>
            <w:tcW w:w="64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Customer deposits</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(4,950)</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5,007</w:t>
            </w:r>
          </w:p>
        </w:tc>
        <w:tc>
          <w:tcPr>
            <w:tcW w:w="100" w:type="dxa"/>
            <w:vAlign w:val="bottom"/>
          </w:tcPr>
          <w:p>
            <w:pPr>
              <w:spacing w:after="0"/>
              <w:rPr>
                <w:sz w:val="12"/>
                <w:szCs w:val="12"/>
                <w:color w:val="auto"/>
              </w:rPr>
            </w:pPr>
          </w:p>
        </w:tc>
      </w:tr>
      <w:tr>
        <w:trPr>
          <w:trHeight w:val="142"/>
        </w:trPr>
        <w:tc>
          <w:tcPr>
            <w:tcW w:w="6460" w:type="dxa"/>
            <w:vAlign w:val="bottom"/>
            <w:tcBorders>
              <w:top w:val="single" w:sz="8" w:color="CFF0FC"/>
            </w:tcBorders>
            <w:shd w:val="clear" w:color="auto" w:fill="CFF0FC"/>
          </w:tcPr>
          <w:p>
            <w:pPr>
              <w:ind w:left="1000"/>
              <w:spacing w:after="0" w:line="142"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126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(78,303)</w:t>
            </w:r>
          </w:p>
        </w:tc>
        <w:tc>
          <w:tcPr>
            <w:tcW w:w="1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(49,362)</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64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Proceeds from maturity of debt securities</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82,584</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105,724</w:t>
            </w: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 of debt securities</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(70,128)</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(235,406)</w:t>
            </w:r>
          </w:p>
        </w:tc>
      </w:tr>
      <w:tr>
        <w:trPr>
          <w:trHeight w:val="148"/>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Acquisition of V-Go</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(15,099)</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 of available-for-sale securities</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(5,000)</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(3,000)</w:t>
            </w:r>
          </w:p>
        </w:tc>
      </w:tr>
      <w:tr>
        <w:trPr>
          <w:trHeight w:val="149"/>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(2,493)</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(6,276)</w:t>
            </w:r>
          </w:p>
        </w:tc>
      </w:tr>
      <w:tr>
        <w:trPr>
          <w:trHeight w:val="142"/>
        </w:trPr>
        <w:tc>
          <w:tcPr>
            <w:tcW w:w="6460" w:type="dxa"/>
            <w:vAlign w:val="bottom"/>
            <w:tcBorders>
              <w:bottom w:val="single" w:sz="8" w:color="CFF0FC"/>
            </w:tcBorders>
          </w:tcPr>
          <w:p>
            <w:pPr>
              <w:ind w:left="1000"/>
              <w:spacing w:after="0" w:line="142"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260" w:type="dxa"/>
            <w:vAlign w:val="bottom"/>
            <w:tcBorders>
              <w:bottom w:val="single" w:sz="8" w:color="CFF0FC"/>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(10,136)</w:t>
            </w: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(138,958)</w:t>
            </w:r>
          </w:p>
        </w:tc>
        <w:tc>
          <w:tcPr>
            <w:tcW w:w="100" w:type="dxa"/>
            <w:vAlign w:val="bottom"/>
            <w:tcBorders>
              <w:bottom w:val="single" w:sz="8" w:color="CFF0FC"/>
            </w:tcBorders>
          </w:tcPr>
          <w:p>
            <w:pPr>
              <w:spacing w:after="0"/>
              <w:rPr>
                <w:sz w:val="12"/>
                <w:szCs w:val="12"/>
                <w:color w:val="auto"/>
              </w:rPr>
            </w:pPr>
          </w:p>
        </w:tc>
      </w:tr>
      <w:tr>
        <w:trPr>
          <w:trHeight w:val="142"/>
        </w:trPr>
        <w:tc>
          <w:tcPr>
            <w:tcW w:w="6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Payment on financing liability</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Proceeds from market price stock purchase plan</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FF0FC"/>
          </w:tcPr>
          <w:p>
            <w:pPr>
              <w:spacing w:after="0"/>
              <w:rPr>
                <w:sz w:val="12"/>
                <w:szCs w:val="12"/>
                <w:color w:val="auto"/>
              </w:rPr>
            </w:pPr>
          </w:p>
        </w:tc>
      </w:tr>
      <w:tr>
        <w:trPr>
          <w:trHeight w:val="149"/>
        </w:trPr>
        <w:tc>
          <w:tcPr>
            <w:tcW w:w="6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Payment of employment taxes related to vested restricted stock units and exercise of stock options</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(440)</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(738)</w:t>
            </w:r>
          </w:p>
        </w:tc>
      </w:tr>
      <w:tr>
        <w:trPr>
          <w:trHeight w:val="148"/>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Proceeds from the Senior convertible notes</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230,000</w:t>
            </w:r>
          </w:p>
        </w:tc>
        <w:tc>
          <w:tcPr>
            <w:tcW w:w="100" w:type="dxa"/>
            <w:vAlign w:val="bottom"/>
            <w:shd w:val="clear" w:color="auto" w:fill="CFF0FC"/>
          </w:tcPr>
          <w:p>
            <w:pPr>
              <w:spacing w:after="0"/>
              <w:rPr>
                <w:sz w:val="12"/>
                <w:szCs w:val="12"/>
                <w:color w:val="auto"/>
              </w:rPr>
            </w:pPr>
          </w:p>
        </w:tc>
      </w:tr>
      <w:tr>
        <w:trPr>
          <w:trHeight w:val="149"/>
        </w:trPr>
        <w:tc>
          <w:tcPr>
            <w:tcW w:w="6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costs associated with Senior convertible notes</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(7,268)</w:t>
            </w:r>
          </w:p>
        </w:tc>
      </w:tr>
      <w:tr>
        <w:trPr>
          <w:trHeight w:val="148"/>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Principal payments on Mann Group Mann Group promissory note</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(35,051)</w:t>
            </w:r>
          </w:p>
        </w:tc>
      </w:tr>
      <w:tr>
        <w:trPr>
          <w:trHeight w:val="148"/>
        </w:trPr>
        <w:tc>
          <w:tcPr>
            <w:tcW w:w="6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Payment of MidCap credit facility</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(10,000)</w:t>
            </w:r>
          </w:p>
        </w:tc>
      </w:tr>
      <w:tr>
        <w:trPr>
          <w:trHeight w:val="149"/>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Payment of MidCap credit facility prepayment penalty</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(1,000)</w:t>
            </w:r>
          </w:p>
        </w:tc>
      </w:tr>
      <w:tr>
        <w:trPr>
          <w:trHeight w:val="148"/>
        </w:trPr>
        <w:tc>
          <w:tcPr>
            <w:tcW w:w="6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Milestone payment</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(1,088)</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(5,000)</w:t>
            </w:r>
          </w:p>
        </w:tc>
      </w:tr>
      <w:tr>
        <w:trPr>
          <w:trHeight w:val="148"/>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Proceeds from at-the-market offering</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19,790</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100" w:type="dxa"/>
            <w:vAlign w:val="bottom"/>
            <w:shd w:val="clear" w:color="auto" w:fill="CFF0FC"/>
          </w:tcPr>
          <w:p>
            <w:pPr>
              <w:spacing w:after="0"/>
              <w:rPr>
                <w:sz w:val="12"/>
                <w:szCs w:val="12"/>
                <w:color w:val="auto"/>
              </w:rPr>
            </w:pPr>
          </w:p>
        </w:tc>
      </w:tr>
      <w:tr>
        <w:trPr>
          <w:trHeight w:val="149"/>
        </w:trPr>
        <w:tc>
          <w:tcPr>
            <w:tcW w:w="6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costs associated with at-the-market offering</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(381)</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(38)</w:t>
            </w:r>
          </w:p>
        </w:tc>
      </w:tr>
      <w:tr>
        <w:trPr>
          <w:trHeight w:val="142"/>
        </w:trPr>
        <w:tc>
          <w:tcPr>
            <w:tcW w:w="6460" w:type="dxa"/>
            <w:vAlign w:val="bottom"/>
            <w:tcBorders>
              <w:top w:val="single" w:sz="8" w:color="CFF0FC"/>
            </w:tcBorders>
            <w:shd w:val="clear" w:color="auto" w:fill="CFF0FC"/>
          </w:tcPr>
          <w:p>
            <w:pPr>
              <w:ind w:left="1000"/>
              <w:spacing w:after="0" w:line="142"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126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18,563</w:t>
            </w:r>
          </w:p>
        </w:tc>
        <w:tc>
          <w:tcPr>
            <w:tcW w:w="1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172,897</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6460" w:type="dxa"/>
            <w:vAlign w:val="bottom"/>
            <w:tcBorders>
              <w:bottom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(DECREASE) INCREASE IN CASH AND CASH EQUIVALENTS</w:t>
            </w:r>
          </w:p>
        </w:tc>
        <w:tc>
          <w:tcPr>
            <w:tcW w:w="126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(69,876)</w:t>
            </w: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(15,423)</w:t>
            </w:r>
          </w:p>
        </w:tc>
        <w:tc>
          <w:tcPr>
            <w:tcW w:w="100" w:type="dxa"/>
            <w:vAlign w:val="bottom"/>
            <w:tcBorders>
              <w:bottom w:val="single" w:sz="8" w:color="CFF0FC"/>
            </w:tcBorders>
          </w:tcPr>
          <w:p>
            <w:pPr>
              <w:spacing w:after="0"/>
              <w:rPr>
                <w:sz w:val="12"/>
                <w:szCs w:val="12"/>
                <w:color w:val="auto"/>
              </w:rPr>
            </w:pPr>
          </w:p>
        </w:tc>
      </w:tr>
      <w:tr>
        <w:trPr>
          <w:trHeight w:val="142"/>
        </w:trPr>
        <w:tc>
          <w:tcPr>
            <w:tcW w:w="6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BEGINNING OF PERIOD</w:t>
            </w:r>
          </w:p>
        </w:tc>
        <w:tc>
          <w:tcPr>
            <w:tcW w:w="1260" w:type="dxa"/>
            <w:vAlign w:val="bottom"/>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124,184</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67,163</w:t>
            </w:r>
          </w:p>
        </w:tc>
        <w:tc>
          <w:tcPr>
            <w:tcW w:w="100" w:type="dxa"/>
            <w:vAlign w:val="bottom"/>
            <w:shd w:val="clear" w:color="auto" w:fill="CFF0FC"/>
          </w:tcPr>
          <w:p>
            <w:pPr>
              <w:spacing w:after="0"/>
              <w:rPr>
                <w:sz w:val="12"/>
                <w:szCs w:val="12"/>
                <w:color w:val="auto"/>
              </w:rPr>
            </w:pPr>
          </w:p>
        </w:tc>
      </w:tr>
      <w:tr>
        <w:trPr>
          <w:trHeight w:val="182"/>
        </w:trPr>
        <w:tc>
          <w:tcPr>
            <w:tcW w:w="6460" w:type="dxa"/>
            <w:vAlign w:val="bottom"/>
            <w:tcBorders>
              <w:bottom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END OF PERIOD</w:t>
            </w:r>
          </w:p>
        </w:tc>
        <w:tc>
          <w:tcPr>
            <w:tcW w:w="126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54,308</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51,740</w:t>
            </w:r>
          </w:p>
        </w:tc>
        <w:tc>
          <w:tcPr>
            <w:tcW w:w="100" w:type="dxa"/>
            <w:vAlign w:val="bottom"/>
            <w:tcBorders>
              <w:bottom w:val="single" w:sz="8" w:color="CFF0FC"/>
            </w:tcBorders>
          </w:tcPr>
          <w:p>
            <w:pPr>
              <w:spacing w:after="0"/>
              <w:rPr>
                <w:sz w:val="15"/>
                <w:szCs w:val="15"/>
                <w:color w:val="auto"/>
              </w:rPr>
            </w:pPr>
          </w:p>
        </w:tc>
      </w:tr>
      <w:tr>
        <w:trPr>
          <w:trHeight w:val="129"/>
        </w:trPr>
        <w:tc>
          <w:tcPr>
            <w:tcW w:w="64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SUPPLEMENTAL CASH FLOWS DISCLOSURES:</w:t>
            </w:r>
          </w:p>
        </w:tc>
        <w:tc>
          <w:tcPr>
            <w:tcW w:w="1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6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paid in cash</w:t>
            </w:r>
          </w:p>
        </w:tc>
        <w:tc>
          <w:tcPr>
            <w:tcW w:w="2260" w:type="dxa"/>
            <w:vAlign w:val="bottom"/>
            <w:gridSpan w:val="2"/>
          </w:tcPr>
          <w:p>
            <w:pPr>
              <w:jc w:val="right"/>
              <w:ind w:right="881"/>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5,143</w:t>
            </w:r>
          </w:p>
        </w:tc>
        <w:tc>
          <w:tcPr>
            <w:tcW w:w="180" w:type="dxa"/>
            <w:vAlign w:val="bottom"/>
          </w:tcPr>
          <w:p>
            <w:pPr>
              <w:spacing w:after="0"/>
              <w:rPr>
                <w:sz w:val="12"/>
                <w:szCs w:val="12"/>
                <w:color w:val="auto"/>
              </w:rPr>
            </w:pPr>
          </w:p>
        </w:tc>
        <w:tc>
          <w:tcPr>
            <w:tcW w:w="1140" w:type="dxa"/>
            <w:vAlign w:val="bottom"/>
            <w:gridSpan w:val="2"/>
          </w:tcPr>
          <w:p>
            <w:pPr>
              <w:jc w:val="right"/>
              <w:ind w:right="88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10,535</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Reclassification of investments from long-term to current</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72,090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20,747</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Payments on debt and interest through common stock issuance</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10,215</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15,145</w:t>
            </w: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Modification of operating leases</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(744)</w:t>
            </w:r>
          </w:p>
        </w:tc>
      </w:tr>
      <w:tr>
        <w:trPr>
          <w:trHeight w:val="149"/>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Addition of right-of-use asset</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1,812</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Non-cash construction in progress and property and equipment</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Common stock issuance to settle employee stock purchase plan liability</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1,613</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100" w:type="dxa"/>
            <w:vAlign w:val="bottom"/>
            <w:shd w:val="clear" w:color="auto" w:fill="CFF0FC"/>
          </w:tcPr>
          <w:p>
            <w:pPr>
              <w:spacing w:after="0"/>
              <w:rPr>
                <w:sz w:val="12"/>
                <w:szCs w:val="12"/>
                <w:color w:val="auto"/>
              </w:rPr>
            </w:pPr>
          </w:p>
        </w:tc>
      </w:tr>
      <w:tr>
        <w:trPr>
          <w:trHeight w:val="149"/>
        </w:trPr>
        <w:tc>
          <w:tcPr>
            <w:tcW w:w="6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Contingent milestone liability</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Premium on Mann Group convertible note</w:t>
            </w:r>
          </w:p>
        </w:tc>
        <w:tc>
          <w:tcPr>
            <w:tcW w:w="1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22,107</w:t>
            </w:r>
          </w:p>
        </w:tc>
        <w:tc>
          <w:tcPr>
            <w:tcW w:w="100" w:type="dxa"/>
            <w:vAlign w:val="bottom"/>
            <w:shd w:val="clear" w:color="auto" w:fill="CFF0FC"/>
          </w:tcPr>
          <w:p>
            <w:pPr>
              <w:spacing w:after="0"/>
              <w:rPr>
                <w:sz w:val="12"/>
                <w:szCs w:val="12"/>
                <w:color w:val="auto"/>
              </w:rPr>
            </w:pPr>
          </w:p>
        </w:tc>
      </w:tr>
      <w:tr>
        <w:trPr>
          <w:trHeight w:val="164"/>
        </w:trPr>
        <w:tc>
          <w:tcPr>
            <w:tcW w:w="6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Forgiveness of PPP loan</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(4,873)</w:t>
            </w:r>
          </w:p>
        </w:tc>
      </w:tr>
    </w:tbl>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MANNKIND CORPORATION AND SUBSIDIARIES NOTES TO CONDENSED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Significant Accounting Policies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2021, filed with the SEC on February 24, 2022 (the “Annual Report”).</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nine months ended September 30, 2022 may not be indicative of the results that may be expected for the full year.</w:t>
      </w:r>
    </w:p>
    <w:p>
      <w:pPr>
        <w:spacing w:after="0" w:line="17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Financial Statement Estimates </w:t>
      </w:r>
      <w:r>
        <w:rPr>
          <w:rFonts w:ascii="Times New Roman" w:cs="Times New Roman" w:eastAsia="Times New Roman" w:hAnsi="Times New Roman"/>
          <w:sz w:val="18"/>
          <w:szCs w:val="18"/>
          <w:color w:val="auto"/>
        </w:rPr>
        <w:t>— The preparation of financial statements in conformity with GAAP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In addition, the ongoing COVID-19 pandemic has increased the level of judgment used by management in developing these estimates and assumptions, particularly given that the ultimate impact of the COVID-19 pandemic is uncertain and subject to change. These effects could have a material impact on the estimates and assumptions used in the preparation of the condensed consolidated financial statements. The more significant estimates include revenue recognition, including gross-to-net adjustments, stand-alone selling price considerations for recognition of collaboration revenue, assessing long-lived assets for impairment, clinical trial expenses, inventory costing and recoverability, recognized loss on purchase commitment, milestone rights liability, stock-based compensation and the determination of the provision for income taxes and corresponding deferred tax assets and liabilities, and the valuation allowance recorded against net deferred tax assets.</w:t>
      </w:r>
    </w:p>
    <w:p>
      <w:pPr>
        <w:spacing w:after="0" w:line="192"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Business </w:t>
      </w:r>
      <w:r>
        <w:rPr>
          <w:rFonts w:ascii="Times New Roman" w:cs="Times New Roman" w:eastAsia="Times New Roman" w:hAnsi="Times New Roman"/>
          <w:sz w:val="17"/>
          <w:szCs w:val="17"/>
          <w:color w:val="auto"/>
        </w:rPr>
        <w:t>— MannKind focuses on the development and commercialization of therapeutic products for patients with endocrine and orphan lung diseases.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is currently commercializing Afrezza (insulin human) Inhalation Powder, an ultra rapid-acting inhaled insulin indicated to improve glycemic control in adults with diabetes, and the V-Go wearable insulin delivery device, which provides continuous subcutaneous infusion of insulin in adults that require insulin. The Company also collaborates with third parties to formulate their drugs on the Company’s Technosphere drug delivery platform. In May 2022, the Company’s partner, United Therapeutics Corporation (“United Therapeutics” or “UT”), received approval from the U.S. Food and Drug Administration (“FDA”) for Tyvaso DPI (treprostinil) inhalation powder, which is indicated for the treatment of pulmonary arterial hypertension and for the treatment of pulmonary hypertension associated with interstitial lung disease. UT began commercializing Tyvaso DPI in June 2022 and is obligated to pay the Company a royalty on net sales of the product. The Company also receives a margin on supplies of Tyvaso DPI that it manufactures for UT.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 The condensed consolidated financial statements have been prepared in accordance with GAAP.</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is not currently profitable and has rarely generated positive net cash flow from operations. In addition, the Company expects to continue to incur significant expenditures for the foreseeable future in support of its manufacturing operations, sales and marketing costs for its diabetes products, and development of other product candidates in the Company’s pipeline. As of September 30, 2022, the Company had capital resources of $54.3 million in cash and cash equivalents, $110.7 million in short-term investments, $12.7 million in long-term investments, $278.8 million of total principal amount of outstanding borrowings, $104.0 million of total amount of financial liability related to a sale-leaseback transaction, and an accumulated deficit of $3.2 billion.</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August 2019, MannKind and its wholly owned subsidiary, MannKind LLC, entered into a credit and security agreement with MidCap Financial Trust (as amended, the “MidCap Credit Facility”). The MidCap Credit Facility currently provides a secured term loan facility with a potential aggregate principal amount of up to $100.0 million, with a balance of $40.0 million borrowed as of September 30, 2022. The final $60.0 million tranche became available through June 30, 2022 after the Tyvaso DPI approval by the FDA. The Company did not exercise its right to borrow the final tranche.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In March 2021, the Company issued $230.0 million of 2.50% convertible senior notes due 2026 (the “Senior convertible notes”)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operating capital and pay down higher cost debt.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believes its resources will be sufficient to fund its operations for the next twelve months from the date of issuance of these condensed consolidated financial statements.</w:t>
      </w:r>
    </w:p>
    <w:p>
      <w:pPr>
        <w:spacing w:after="0" w:line="1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condensed consolidated financial statements include the accounts of the Company and its wholly-owned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Intercompany balances and transactions have been eliminated. Certain prior year amounts have been reclassified for consistency with the current year presentation. Changes were made to the condensed consolidated statement of operations to disclose a single caption for interest expense on all outstanding notes. Changes were made to the condensed consolidated balance sheets to reclassify interest receivable from investments from accounts receivable, net to other assets.</w:t>
      </w:r>
    </w:p>
    <w:p>
      <w:pPr>
        <w:spacing w:after="0" w:line="183"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 Operating segments are identified as components of an enterprise about which separate discrete financial information is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17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The Company recognizes revenue when its customers obtain control of promised goods or services, in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which the Company expects to be entitled in exchange for those goods or services.</w:t>
      </w:r>
    </w:p>
    <w:p>
      <w:pPr>
        <w:spacing w:after="0" w:line="1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To determine revenue recognition for arrangements that are within the scope of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the Company performs the following five steps: (i) identify the contract(s) with a customer, (ii) identify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it is entitled to in exchange for the goods or services it transfers to the customer.</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(ii) collaboration arrangements.</w:t>
      </w:r>
    </w:p>
    <w:p>
      <w:pPr>
        <w:spacing w:after="0" w:line="1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Recognition – Net Revenue – Commercial Product Sales – </w:t>
      </w:r>
      <w:r>
        <w:rPr>
          <w:rFonts w:ascii="Times New Roman" w:cs="Times New Roman" w:eastAsia="Times New Roman" w:hAnsi="Times New Roman"/>
          <w:sz w:val="18"/>
          <w:szCs w:val="18"/>
          <w:color w:val="auto"/>
        </w:rPr>
        <w:t>The Company sells its products to a limited number of wholesale distributors,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retail pharmacies, and durable medical equipment suppliers (“DME”) in the U.S.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revenue on product sales when the Customer obtains control of the Company's product, which occurs at delivery for wholesale distributors and generally at delivery for specialty pharmacies. The Company recognizes revenue on product sales to a retail pharmacy as the product is dispensed to patients. Product revenues are recorded net of applicable reserves, including discounts, allowances, rebates, returns and other incentives. See </w:t>
      </w:r>
      <w:r>
        <w:rPr>
          <w:rFonts w:ascii="Times New Roman" w:cs="Times New Roman" w:eastAsia="Times New Roman" w:hAnsi="Times New Roman"/>
          <w:sz w:val="18"/>
          <w:szCs w:val="18"/>
          <w:i w:val="1"/>
          <w:iCs w:val="1"/>
          <w:color w:val="auto"/>
        </w:rPr>
        <w:t xml:space="preserve">Reserves for Variable Consideration </w:t>
      </w:r>
      <w:r>
        <w:rPr>
          <w:rFonts w:ascii="Times New Roman" w:cs="Times New Roman" w:eastAsia="Times New Roman" w:hAnsi="Times New Roman"/>
          <w:sz w:val="18"/>
          <w:szCs w:val="18"/>
          <w:color w:val="auto"/>
        </w:rPr>
        <w:t>below.</w:t>
      </w:r>
    </w:p>
    <w:p>
      <w:pPr>
        <w:spacing w:after="0" w:line="17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Free Goods Program – </w:t>
      </w:r>
      <w:r>
        <w:rPr>
          <w:rFonts w:ascii="Times New Roman" w:cs="Times New Roman" w:eastAsia="Times New Roman" w:hAnsi="Times New Roman"/>
          <w:sz w:val="18"/>
          <w:szCs w:val="18"/>
          <w:color w:val="auto"/>
        </w:rPr>
        <w:t>From time to time, the Company offers programs to potential new patients that allow them to obtain free goods (prescription fills)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pharmacy. The Company excludes such amounts related to these programs from both gross and net revenue. The cost of product associated with the free goods program is recognized as cost of goods sold in the condensed consolidated statements of operations.</w:t>
      </w:r>
    </w:p>
    <w:p>
      <w:pPr>
        <w:spacing w:after="0" w:line="1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Reserves for Variable Consideration </w:t>
      </w:r>
      <w:r>
        <w:rPr>
          <w:rFonts w:ascii="Times New Roman" w:cs="Times New Roman" w:eastAsia="Times New Roman" w:hAnsi="Times New Roman"/>
          <w:sz w:val="18"/>
          <w:szCs w:val="18"/>
          <w:color w:val="auto"/>
        </w:rPr>
        <w:t>— Revenues from product sales are recorded at the net sales price (transaction price), which includes estimates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judgments are required in making these estimates.</w:t>
      </w:r>
    </w:p>
    <w:p>
      <w:pPr>
        <w:spacing w:after="0" w:line="1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right="100"/>
        <w:spacing w:after="0" w:line="255" w:lineRule="auto"/>
        <w:rPr>
          <w:sz w:val="20"/>
          <w:szCs w:val="20"/>
          <w:color w:val="auto"/>
        </w:rPr>
      </w:pPr>
      <w:r>
        <w:rPr>
          <w:rFonts w:ascii="Times New Roman" w:cs="Times New Roman" w:eastAsia="Times New Roman" w:hAnsi="Times New Roman"/>
          <w:sz w:val="18"/>
          <w:szCs w:val="18"/>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estimates detailed below as of September 30, 2022 and, therefore, the transaction price was not reduced further during the nine months ended September 30, 2022.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18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Significant judgment is required in estimating gross-to-net adjustments considering legal interpretations of applicable laws and regulations, historical experience, payer channel mix, current contract prices under applicable programs, unbilled claims, processing time lags and inventory levels in the distribution channel.</w:t>
      </w:r>
    </w:p>
    <w:p>
      <w:pPr>
        <w:spacing w:after="0" w:line="174" w:lineRule="exact"/>
        <w:rPr>
          <w:sz w:val="20"/>
          <w:szCs w:val="20"/>
          <w:color w:val="auto"/>
        </w:rPr>
      </w:pPr>
    </w:p>
    <w:p>
      <w:pPr>
        <w:jc w:val="both"/>
        <w:ind w:right="18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Trade Discounts and Allowances </w:t>
      </w:r>
      <w:r>
        <w:rPr>
          <w:rFonts w:ascii="Times New Roman" w:cs="Times New Roman" w:eastAsia="Times New Roman" w:hAnsi="Times New Roman"/>
          <w:sz w:val="17"/>
          <w:szCs w:val="17"/>
          <w:color w:val="auto"/>
        </w:rPr>
        <w:t>— The Company generally provides Customers with discounts which include incentives, such as prompt pay discounts,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 Consistent with industry practice, the Company generally offers Customers a right of return for unopened product that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 digits. Adjustments to the returns reserve have been made in the past and may be necessary in the future based on revised estimates to the Company’s assumptions.</w:t>
      </w:r>
    </w:p>
    <w:p>
      <w:pPr>
        <w:spacing w:after="0" w:line="18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Provider Chargebacks and Discounts </w:t>
      </w:r>
      <w:r>
        <w:rPr>
          <w:rFonts w:ascii="Times New Roman" w:cs="Times New Roman" w:eastAsia="Times New Roman" w:hAnsi="Times New Roman"/>
          <w:sz w:val="18"/>
          <w:szCs w:val="18"/>
          <w:color w:val="auto"/>
        </w:rPr>
        <w:t>— 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to qualified healthcare providers at prices lower than the list prices charged to Customers who directly purchase products from the Company. Customers charge the Company for the difference between what they pay for products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8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 The Company is subject to discount obligations under Medicare and state Medicaid programs. These reserves are recorded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Afrezza,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products that have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spacing w:after="0" w:line="18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Payer Rebates </w:t>
      </w:r>
      <w:r>
        <w:rPr>
          <w:rFonts w:ascii="Times New Roman" w:cs="Times New Roman" w:eastAsia="Times New Roman" w:hAnsi="Times New Roman"/>
          <w:sz w:val="18"/>
          <w:szCs w:val="18"/>
          <w:color w:val="auto"/>
        </w:rPr>
        <w:t>— The Company contracts with certain private payer organizations, primarily insurance companies and pharmacy benefit managers,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 Other incentives which the Company offers include voluntary patient support programs, such as the Company's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co-payments required by payers. The calculation of the accrual for co-pay assistance is based on an estimate of claims and the cost per claim that the Company expects to receive associated with products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8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Revenue Recognition — Revenue — Collaborations and Services </w:t>
      </w:r>
      <w:r>
        <w:rPr>
          <w:rFonts w:ascii="Times New Roman" w:cs="Times New Roman" w:eastAsia="Times New Roman" w:hAnsi="Times New Roman"/>
          <w:sz w:val="18"/>
          <w:szCs w:val="18"/>
          <w:color w:val="auto"/>
        </w:rPr>
        <w:t>— The Company enters into licensing, research or other agreements under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manufacturing commercial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With respect to our significant collaboration and service agreement with UT that includes a long-term commercial supply agreement (as amended, the “CSA”), we have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future commercial manufacturing and supply of product (“Manufacturing Services”). Pre-production activities under the CSA, such as facility expansion services and other administrative services, were considered bundled services under the Manufacturing Services performance obligation as required by ASC 606. Following the FDA’s approval of Tyvaso DPI, UT began issuing purchase orders for the supply of product, which represent distinct contracts and performance obligations under ASC 606. Revenue is recognized for the supply of product at a point in time, once control is transferred to UT. See Note 10 – </w:t>
      </w:r>
      <w:r>
        <w:rPr>
          <w:rFonts w:ascii="Times New Roman" w:cs="Times New Roman" w:eastAsia="Times New Roman" w:hAnsi="Times New Roman"/>
          <w:sz w:val="18"/>
          <w:szCs w:val="18"/>
          <w:i w:val="1"/>
          <w:iCs w:val="1"/>
          <w:color w:val="auto"/>
        </w:rPr>
        <w:t>Collaboration, Licensing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10 – Collaboration, Licensing and Other Arrangements.</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 If the revenue for a sales-based or usage-based royalty is promised in exchange for an intellectual property license, the Company recognizes revenue as the latter of the subsequent sale or usage occurs or the performance obligation to which the royalty has been allocated has been satisfied or partially satisfied.</w:t>
      </w:r>
    </w:p>
    <w:p>
      <w:pPr>
        <w:spacing w:after="0" w:line="18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obligations have been delivered, the Company will recognize the milestone payment as revenue in its entirety in the period the milestone was achieved.</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collaborative agreements, for accounting purposes, represent contracts with customers and therefore are not subject to accounting literature on collaborative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collaborative agreements must generally be accounted for pursuant to ASC 606.</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The Company assessed the CSA agreement with UT and determined that a material right existed for the manufacturing services performance obligation. The transaction price is allocated to the material right as well as the remaining performance obligations in accordance with ASC 606. The Company also evaluates grants of additional licensing rights upon option exercises to determine whether such should be accounted for as separate contracts.</w:t>
      </w:r>
    </w:p>
    <w:p>
      <w:pPr>
        <w:spacing w:after="0" w:line="1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net revenue and cost of revenue and goods sold as shown on the condensed consolidated statement of operations is comprised of revenue generated from product sales, services and royalties as shown below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5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7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3780" w:type="dxa"/>
            <w:vAlign w:val="bottom"/>
            <w:tcBorders>
              <w:bottom w:val="single" w:sz="8" w:color="CFF0FC"/>
            </w:tcBorders>
          </w:tcPr>
          <w:p>
            <w:pPr>
              <w:spacing w:after="0"/>
              <w:rPr>
                <w:sz w:val="19"/>
                <w:szCs w:val="19"/>
                <w:color w:val="auto"/>
              </w:rPr>
            </w:pPr>
          </w:p>
        </w:tc>
        <w:tc>
          <w:tcPr>
            <w:tcW w:w="1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r>
      <w:tr>
        <w:trPr>
          <w:trHeight w:val="22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 (in thousands)</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Product sales</w:t>
            </w:r>
            <w:r>
              <w:rPr>
                <w:rFonts w:ascii="Times New Roman" w:cs="Times New Roman" w:eastAsia="Times New Roman" w:hAnsi="Times New Roman"/>
                <w:sz w:val="15"/>
                <w:szCs w:val="15"/>
                <w:color w:val="auto"/>
              </w:rPr>
              <w:t>(1)</w:t>
            </w:r>
          </w:p>
        </w:tc>
        <w:tc>
          <w:tcPr>
            <w:tcW w:w="19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26,175</w:t>
            </w:r>
          </w:p>
        </w:tc>
        <w:tc>
          <w:tcPr>
            <w:tcW w:w="6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9,753</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54,602</w:t>
            </w:r>
          </w:p>
        </w:tc>
        <w:tc>
          <w:tcPr>
            <w:tcW w:w="6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12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w:t>
            </w:r>
            <w:r>
              <w:rPr>
                <w:rFonts w:ascii="Times New Roman" w:cs="Times New Roman" w:eastAsia="Times New Roman" w:hAnsi="Times New Roman"/>
                <w:sz w:val="15"/>
                <w:szCs w:val="15"/>
                <w:color w:val="auto"/>
              </w:rPr>
              <w:t>(2)</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35,099</w:t>
            </w:r>
          </w:p>
        </w:tc>
        <w:tc>
          <w:tcPr>
            <w:tcW w:w="120" w:type="dxa"/>
            <w:vAlign w:val="bottom"/>
            <w:shd w:val="clear" w:color="auto" w:fill="CFF0FC"/>
          </w:tcPr>
          <w:p>
            <w:pPr>
              <w:spacing w:after="0"/>
              <w:rPr>
                <w:sz w:val="19"/>
                <w:szCs w:val="19"/>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Royalties</w:t>
            </w:r>
            <w:r>
              <w:rPr>
                <w:rFonts w:ascii="Times New Roman" w:cs="Times New Roman" w:eastAsia="Times New Roman" w:hAnsi="Times New Roman"/>
                <w:sz w:val="15"/>
                <w:szCs w:val="15"/>
                <w:color w:val="auto"/>
              </w:rPr>
              <w:t>(3)</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net revenue</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-79375</wp:posOffset>
            </wp:positionV>
            <wp:extent cx="35833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380" w:hanging="372"/>
        <w:spacing w:after="0" w:line="186" w:lineRule="auto"/>
        <w:tabs>
          <w:tab w:leader="none" w:pos="38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Amounts represent the sales of Afrezza and V-Go to wholesalers and specialty pharmacies and Tyvaso DPI to UT.</w:t>
      </w:r>
    </w:p>
    <w:p>
      <w:pPr>
        <w:spacing w:after="0" w:line="10" w:lineRule="exact"/>
        <w:rPr>
          <w:rFonts w:ascii="Times New Roman" w:cs="Times New Roman" w:eastAsia="Times New Roman" w:hAnsi="Times New Roman"/>
          <w:sz w:val="23"/>
          <w:szCs w:val="23"/>
          <w:color w:val="auto"/>
          <w:vertAlign w:val="superscript"/>
        </w:rPr>
      </w:pPr>
    </w:p>
    <w:p>
      <w:pPr>
        <w:ind w:left="380" w:right="40" w:hanging="372"/>
        <w:spacing w:after="0" w:line="200" w:lineRule="auto"/>
        <w:tabs>
          <w:tab w:leader="none" w:pos="38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 xml:space="preserve">Amounts represent revenue generated from our collaboration arrangements, including Next-Gen R&amp;D Services (as defined in Note 10) for UT as well as arrangements with other collaboration partners. See Note 10 – </w:t>
      </w:r>
      <w:r>
        <w:rPr>
          <w:rFonts w:ascii="Times New Roman" w:cs="Times New Roman" w:eastAsia="Times New Roman" w:hAnsi="Times New Roman"/>
          <w:sz w:val="16"/>
          <w:szCs w:val="16"/>
          <w:i w:val="1"/>
          <w:iCs w:val="1"/>
          <w:color w:val="auto"/>
        </w:rPr>
        <w:t>Collaboration, Licensing and Other Arrangements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25"/>
          <w:szCs w:val="25"/>
          <w:color w:val="auto"/>
          <w:vertAlign w:val="superscript"/>
        </w:rPr>
      </w:pPr>
    </w:p>
    <w:p>
      <w:pPr>
        <w:ind w:left="380" w:hanging="372"/>
        <w:spacing w:after="0" w:line="183" w:lineRule="auto"/>
        <w:tabs>
          <w:tab w:leader="none" w:pos="38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Amounts represent royalties on UT’s net sales of Tyvaso DPI.</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56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476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r>
      <w:tr>
        <w:trPr>
          <w:trHeight w:val="22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goods sold and cost of revenue (in thousands)</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9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17,067</w:t>
            </w:r>
          </w:p>
        </w:tc>
        <w:tc>
          <w:tcPr>
            <w:tcW w:w="6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39,424</w:t>
            </w:r>
          </w:p>
        </w:tc>
        <w:tc>
          <w:tcPr>
            <w:tcW w:w="240" w:type="dxa"/>
            <w:vAlign w:val="bottom"/>
          </w:tcPr>
          <w:p>
            <w:pPr>
              <w:spacing w:after="0"/>
              <w:rPr>
                <w:sz w:val="19"/>
                <w:szCs w:val="19"/>
                <w:color w:val="auto"/>
              </w:rPr>
            </w:pPr>
          </w:p>
        </w:tc>
        <w:tc>
          <w:tcPr>
            <w:tcW w:w="400" w:type="dxa"/>
            <w:vAlign w:val="bottom"/>
            <w:gridSpan w:val="2"/>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1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w:t>
            </w:r>
          </w:p>
        </w:tc>
        <w:tc>
          <w:tcPr>
            <w:tcW w:w="7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20" w:type="dxa"/>
            <w:vAlign w:val="bottom"/>
            <w:shd w:val="clear" w:color="auto" w:fill="CFF0FC"/>
          </w:tcPr>
          <w:p>
            <w:pPr>
              <w:spacing w:after="0"/>
              <w:rPr>
                <w:sz w:val="19"/>
                <w:szCs w:val="19"/>
                <w:color w:val="auto"/>
              </w:rPr>
            </w:pPr>
          </w:p>
        </w:tc>
      </w:tr>
      <w:tr>
        <w:trPr>
          <w:trHeight w:val="223"/>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cost of goods sold and cost of revenue</w:t>
            </w:r>
          </w:p>
        </w:tc>
        <w:tc>
          <w:tcPr>
            <w:tcW w:w="72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17,460</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27,423</w:t>
            </w:r>
          </w:p>
        </w:tc>
        <w:tc>
          <w:tcPr>
            <w:tcW w:w="12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follows detailed accounting guidance in measuring revenue and certain judgments affect the application of its revenue policy. For example, in connection with its existing collaboration agreements, the Company has recorded on its condensed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At the inception of each arrangement that includes development milestone payments,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Cost of goods sold includes material, labor costs and manufacturing overhead. Cost of goods sold also includes a component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period manufacturing costs in excess of costs capitalized into inventory (“excess capacity costs”). These costs, in addition to the impact of the revaluation of inventory for standard costing, and write-offs of inventory are recorded as expenses in the period in which they are incurred, rather than as a portion of inventory costs. Cost of goods sold excludes the cost of insulin purchased under the Company’s Insulin Supply Agreement (the “Insulin Supply Agreement”) with Amphastar Pharmaceuticals, Inc. (“Amphastar”). All insulin inventory on hand was written off and the full purchase commitment contract to purchase future insulin was accrued as a recognized loss on purchase commitments as of the end of 2015.</w:t>
      </w:r>
    </w:p>
    <w:p>
      <w:pPr>
        <w:spacing w:after="0" w:line="18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Revenues – Collaborations and Services </w:t>
      </w:r>
      <w:r>
        <w:rPr>
          <w:rFonts w:ascii="Times New Roman" w:cs="Times New Roman" w:eastAsia="Times New Roman" w:hAnsi="Times New Roman"/>
          <w:sz w:val="18"/>
          <w:szCs w:val="18"/>
          <w:color w:val="auto"/>
        </w:rPr>
        <w:t>— Cost of revenues – collaborations and services includes material, labor costs, manufacturing overhead,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excess capacity costs. These costs, in addition to the write-offs of inventory are recorded as expenses in the period in which they are incurred, rather than as a portion of inventory costs. Cost of revenues – collaborations and services also includes the cost of product development.</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with original or remaining maturities of 90 days or less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that are readily convertible into cash to be cash equivalents. As of September 30, 2022 and December 31, 2021, cash equivalents were comprised of money market funds, corporate bonds and commercial paper accounts with original maturities less than 90 days from the date of purchase.</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Held-to-Maturity Investments </w:t>
      </w:r>
      <w:r>
        <w:rPr>
          <w:rFonts w:ascii="Times New Roman" w:cs="Times New Roman" w:eastAsia="Times New Roman" w:hAnsi="Times New Roman"/>
          <w:sz w:val="18"/>
          <w:szCs w:val="18"/>
          <w:color w:val="auto"/>
        </w:rPr>
        <w:t>— The Company’s investments generally consist of commercial paper, corporate notes or bonds and U.S. Treasury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September 30, 2022, the Company held short-term and long-term investments of debt securities, including commercial paper and bonds. The Company assesses whether it has any intention to sell the investment before maturity, whether any declines in fair value are the result of credit losses, as well as whether there were other-than-temporary impairments associated with the available for sale investment. The Company intends to hold its investments until maturity; therefore, these investments are stated at amortized cost. The investments with maturities less than 12 months are included in short-term investments and investments with maturities in excess of twelve months are included in long-term investments in the condensed consolidated balance sheets. The amortization or accretion of the Company’s investments is recognized as interest income in the condensed consolidated statements of operations.</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 </w:t>
      </w:r>
      <w:r>
        <w:rPr>
          <w:rFonts w:ascii="Times New Roman" w:cs="Times New Roman" w:eastAsia="Times New Roman" w:hAnsi="Times New Roman"/>
          <w:sz w:val="18"/>
          <w:szCs w:val="18"/>
          <w:color w:val="auto"/>
        </w:rPr>
        <w:t>— In June 2021, the Company purchased a $3.0 million convertible promissory note (the “Thirona convertible note”)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Thirona Bio, Inc. (“Thirona”). In January 2022, the Company purchased an additional $5.0 million convertible promissory note issued by Thirona. Unless earlier converted into conversion shares pursuant to the note purchase agreement, the principal and accrued interest shall be due and payable by Thirona on demand by the Company at any time after the maturity date of December 31, 2023. Interest accrues at a rate of 6% per annum. The Thirona convertible notes are general unsecured obligations of Thirona. The Thirona convertible notes are classified as available-for-sale securities and are included in other assets in the condensed consolidated balance sheet. Available-for-sale investments are subsequently measured at fair value. Unrealized holding gains and losses are excluded from earnings and reported in other comprehensive income until realized. The Company assesses whether it has any intention to sell the investment, determines fair value of its available-for-sale investments using level 3 inputs as well as assesses whether there were other-than-temporary impairments associated with the available-for-sale investment. In June 2021, the Company and Thirona also entered into a collaboration agreement to develop a compound for the treatment of fibrotic lung diseases. See Note 10– </w:t>
      </w:r>
      <w:r>
        <w:rPr>
          <w:rFonts w:ascii="Times New Roman" w:cs="Times New Roman" w:eastAsia="Times New Roman" w:hAnsi="Times New Roman"/>
          <w:sz w:val="18"/>
          <w:szCs w:val="18"/>
          <w:i w:val="1"/>
          <w:iCs w:val="1"/>
          <w:color w:val="auto"/>
        </w:rPr>
        <w:t>Collaboration, Licensing and Other Arrangements</w:t>
      </w:r>
      <w:r>
        <w:rPr>
          <w:rFonts w:ascii="Times New Roman" w:cs="Times New Roman" w:eastAsia="Times New Roman" w:hAnsi="Times New Roman"/>
          <w:sz w:val="18"/>
          <w:szCs w:val="18"/>
          <w:color w:val="auto"/>
        </w:rPr>
        <w:t xml:space="preserve"> for additional information.</w:t>
      </w:r>
    </w:p>
    <w:p>
      <w:pPr>
        <w:spacing w:after="0" w:line="19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Concentration of Credit Risk </w:t>
      </w:r>
      <w:r>
        <w:rPr>
          <w:rFonts w:ascii="Times New Roman" w:cs="Times New Roman" w:eastAsia="Times New Roman" w:hAnsi="Times New Roman"/>
          <w:sz w:val="17"/>
          <w:szCs w:val="17"/>
          <w:color w:val="auto"/>
        </w:rPr>
        <w:t>— Financial instruments that potentially subject the Company to concentration of credit risk consist of cash and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equivalents and investments. Cash and cash equivalents are held in high credit quality institutions. Cash equivalents consist of interest-bearing money market funds and U.S. Treasury securities with original or remaining maturities of 90 days or less at the time of purchase. Investments generally consist of commercial paper, corporate notes or bonds and U.S. Treasury securities. The cash equivalents and investments are regularly monitored by management.</w:t>
      </w:r>
    </w:p>
    <w:p>
      <w:pPr>
        <w:spacing w:after="0" w:line="16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Accounts Receivable and Allowance for Credit Losses </w:t>
      </w:r>
      <w:r>
        <w:rPr>
          <w:rFonts w:ascii="Times New Roman" w:cs="Times New Roman" w:eastAsia="Times New Roman" w:hAnsi="Times New Roman"/>
          <w:sz w:val="18"/>
          <w:szCs w:val="18"/>
          <w:color w:val="auto"/>
        </w:rPr>
        <w:t>— Accounts receivable are recorded at the invoiced amount and are not interest bearing.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14" w:name="page15"/>
    <w:bookmarkEnd w:id="14"/>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Pre-Launch Inventory </w:t>
      </w:r>
      <w:r>
        <w:rPr>
          <w:rFonts w:ascii="Times New Roman" w:cs="Times New Roman" w:eastAsia="Times New Roman" w:hAnsi="Times New Roman"/>
          <w:sz w:val="18"/>
          <w:szCs w:val="18"/>
          <w:color w:val="auto"/>
        </w:rPr>
        <w:t>— An improvement to the manufacturing process for the Company’s primary excipient, fumaryl diketopiperazine (“FDKP”)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demonstrated to be viable and management expects to realize an economic benefit in the future as a result of such process improvement. Accordingly, the Company is required to assess whether to capitalize inventory costs related to such excipient prior to regulatory approval of the new supplier and the improved manufacturing process. In doing so, management must consider a number of factors in order to determine the amount of inventory to be capitalized, including the historical experience of achieving regulatory approvals for the Company’s manufacturing process, feedback from regulatory agencies on the changes being effected and the amount of inventory that is likely to be used in commercial production. The shelf life of the excipient will be determined as part of the regulatory approval process; in the interim, the Company must assess the available stability data to determine whether there is likely to be adequate shelf life to support anticipated future sales occurring beyond the expected approval date of the new raw material. If management is aware of any specific material risks or contingencies other than the normal regulatory review and approval process, or if the criteria for capitalizing inventory produced prior to regulatory approval are otherwise not met, the Company would not capitalize such inventory costs, choosing instead to recognize such costs as a research and development expense in the period incurred.</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stated at the lower of cost or net realizable value. The Company determines the cost of inventory using the first-in, first-out,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FIFO, method. The Company capitalizes inventory costs associated with the Company’s products based on management’s judgment that future economic benefits are expected to be realized; otherwise, such costs are expensed as incurred as cost of goods sold. The Company uses a contract manufacturing organization outside of the U.S. for certain stages of V-Go inventory.</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 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8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The Company evaluates long-lived assets for impairment whenever events or changes in circumstances indicate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carrying value of an asset may not be recoverable. Assets are considered to be impaired if the carrying value is considered to be unrecoverable.</w:t>
      </w:r>
    </w:p>
    <w:p>
      <w:pPr>
        <w:spacing w:after="0" w:line="16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The Company first determines whether a set of assets acquired constitute a business and should be accounted for as a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assets acquired do not constitute a business, the Company accounts for the transaction as an asset acquisition. Business combinations are accounted for by means of the acquisition method of accounting. Under the acquisition method, assets acquired, including in-process research and development (“IPR&amp;D”) projects, and liabilities assumed are recorded at their respective fair values as of the acquisition date in the Company’s consolidated financial statements. The excess of the fair value of consideration transferred over the fair value of the net assets acquired is recorded as goodwill. Contingent consideration obligations incurred in connection with a business combination (including the assumption of an acquiree’s liability arising from an acquisition it consummated prior to the Company’s acquisition) are recorded at their fair values on the acquisition date and remeasured at their fair values each subsequent reporting period until the related contingencies have been resolved. The resulting changes in fair values are recorded in earnings. 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 See Note 2 – Acquisition.</w:t>
      </w:r>
    </w:p>
    <w:p>
      <w:pPr>
        <w:spacing w:after="0" w:line="19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 </w:t>
      </w:r>
      <w:r>
        <w:rPr>
          <w:rFonts w:ascii="Times New Roman" w:cs="Times New Roman" w:eastAsia="Times New Roman" w:hAnsi="Times New Roman"/>
          <w:sz w:val="18"/>
          <w:szCs w:val="18"/>
          <w:color w:val="auto"/>
        </w:rPr>
        <w:t>The fair value of acquired intangible assets is determined using an income-based approach referred to as the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method utilizing Level 3 fair value inputs. Market participant valuations assume a global view considering all potential jurisdictions and indications based on discounted after-tax cash flow projections, risk adjusted for estimated probability of technical and regulatory success.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tests for impairment annually on a reporting unit basis, at the beginning of the Company’s fourth fiscal quarter and between annual tests if events and circumstances indicate it is more likely than not that the fair value of a reporting unit is less than its carrying amount. To the extent the carrying amount of a reporting unit is less than its estimated fair value, an impairment charge will be recorded.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15" w:name="page16"/>
    <w:bookmarkEnd w:id="15"/>
    <w:p>
      <w:pPr>
        <w:ind w:right="240"/>
        <w:spacing w:after="0" w:line="261" w:lineRule="auto"/>
        <w:rPr>
          <w:sz w:val="20"/>
          <w:szCs w:val="20"/>
          <w:color w:val="auto"/>
        </w:rPr>
      </w:pPr>
      <w:r>
        <w:rPr>
          <w:rFonts w:ascii="Times New Roman" w:cs="Times New Roman" w:eastAsia="Times New Roman" w:hAnsi="Times New Roman"/>
          <w:sz w:val="18"/>
          <w:szCs w:val="18"/>
          <w:color w:val="auto"/>
        </w:rPr>
        <w:t>Finite-lived intangible assets are amortized on a straight-line basis over the estimated useful life. Estimated useful lives are determined considering the period assets are expected to contribute to future cash flows. Finite-lived intangible assets are tested for impairment when facts or circumstances suggest that the carrying value of the asset may not be recoverable. If the carrying value exceeds the projected undiscounted pretax cash flows of the intangible asset, an impairment loss equal to the excess of the carrying value over the estimated fair value (discounted after-tax cash flows) is recognized.</w:t>
      </w:r>
    </w:p>
    <w:p>
      <w:pPr>
        <w:spacing w:after="0" w:line="17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Recognized Loss on Purchase Commitments </w:t>
      </w:r>
      <w:r>
        <w:rPr>
          <w:rFonts w:ascii="Times New Roman" w:cs="Times New Roman" w:eastAsia="Times New Roman" w:hAnsi="Times New Roman"/>
          <w:sz w:val="18"/>
          <w:szCs w:val="18"/>
          <w:color w:val="auto"/>
        </w:rPr>
        <w:t>— The Company assesses whether losses on long-term purchase commitments should be accrued. Losses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statements of operations. The liability balance of the recognized loss on insulin purchase commitments as of September 30, 2022 and December 31, 2021 was $70.2 million and $82.8 million, respectively. No new contracts were identified in 2021 or in the first nine months of 2022 that required a new loss on purchase commitment accrual.</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In July 2013, in conjunction with the execution of a (now repaid) loan agreement with Deerfield Private Design Fund II, 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Deerfield Private Design International II, L.P. (collectively, “Deerfield”), the Company entered into a Milestone Rights Purchase Agreement (the “Milestone Rights Agreement”) pursuant to which the Company issued certain milestone rights to Deerfield Private Design Fund II, L.P. and Horizon Santé FLML SÁRL (the “Original Milestone Purchasers”). The foregoing milestone rights provided the Original Milestone Purchasers certain rights to receive payments of up to $90.0 million upon the occurrence of specified strategic and sales milestones, $60.0 million of which remains payable upon achievement of such milestones (collectively, the “Milestone Rights”). In December 2021, the Milestone Rights were purchased by Barings Global Special Situations Credit Fund 4 (Delaware), L.P. and Barings Global Special Situations Credit 4 (LUX) S.ar.l. (together the “Milestone Purchasers”). As a result, the Milestone Purchasers have assumed the obligations of the Original Milestone Purchasers and is now entitled to all rights under the Milestone Rights Agreement. As of September 30, 2022, $60.0 million remained payable pursuant to the Milestone Rights Agreement upon achievement of Afrezza net sales milestones. The Milestone Rights liability is reported at fair value at the date of the agreement which is periodically offset against payments. (See Note 11 –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condensed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Company applies various valuation approaches in determining the fair value of its financial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17"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provisions for federal, foreign, state and local income taxes are calculated on pre-tax income based on current tax law and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line="258" w:lineRule="auto"/>
        <w:rPr>
          <w:sz w:val="20"/>
          <w:szCs w:val="20"/>
          <w:color w:val="auto"/>
        </w:rPr>
      </w:pPr>
      <w:r>
        <w:rPr>
          <w:rFonts w:ascii="Times New Roman" w:cs="Times New Roman" w:eastAsia="Times New Roman" w:hAnsi="Times New Roman"/>
          <w:sz w:val="18"/>
          <w:szCs w:val="18"/>
          <w:color w:val="auto"/>
        </w:rPr>
        <w:t>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p>
    <w:p>
      <w:pPr>
        <w:spacing w:after="0" w:line="1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The Company records a loss contingency for a liability when it is both probable that a liability has been incurred and the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Share-based payments to employees, including grants of stock options, RSUs, performance-based non-qualified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awards (“PNQs”), restricted stock units with market conditions (“Market RSUs”) and the compensatory elements of employee stock purchase plans, are recognized in the condensed consolidated statements of operations based upon the fair value of the awards at the grant date. The Company uses the Black-Scholes option valuation model to estimate the grant date fair value of employee stock options and the compensatory elements of employee stock purchase plans.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w:t>
      </w:r>
    </w:p>
    <w:p>
      <w:pPr>
        <w:spacing w:after="0" w:line="183"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Clinical Trial Expenses </w:t>
      </w:r>
      <w:r>
        <w:rPr>
          <w:rFonts w:ascii="Times New Roman" w:cs="Times New Roman" w:eastAsia="Times New Roman" w:hAnsi="Times New Roman"/>
          <w:sz w:val="18"/>
          <w:szCs w:val="18"/>
          <w:color w:val="auto"/>
        </w:rPr>
        <w:t>— Clinical trial expenses, which are primarily reflected in research and development expenses in the condensed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operations, result from obligations under contracts with vendors, consultants and clinical site agreements in addition to internal costs associated with conducting clinical trials.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(Loss) Per Share of Common Stock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Basic net income or loss per share excludes dilution for potentially dilutive securities and is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Recently Issued Accounting Standards </w:t>
      </w:r>
      <w:r>
        <w:rPr>
          <w:rFonts w:ascii="Times New Roman" w:cs="Times New Roman" w:eastAsia="Times New Roman" w:hAnsi="Times New Roman"/>
          <w:sz w:val="17"/>
          <w:szCs w:val="17"/>
          <w:color w:val="auto"/>
        </w:rPr>
        <w:t>— In March 2020, the Financial Accounting Standards Board (“FASB”) issued a new accounting standard to ease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financial reporting burdens caused by the expected market transition from LIBOR and other interbank offered rates to alternative reference rates, commonly referred to as reference rate reform. The new standard provides temporary optional expedients and exceptions to current GAAP guidance on contract modifications and hedge accounting. Specifically, a modification to transition to an alternative reference rate is treated as an event that does not require contract remeasurement or reassessment of a previous accounting treatment. Moreover, for all types of hedging relationships, an entity is permitted to change the reference rate without having to redesignate the hedging relationship. The standard is generally effective for all contract modifications made and hedging relationships evaluated through December 31, 2022. In January 2021, the FASB issued a new accounting standard that expanded the scope of the original March 2020 standard to include derivative instruments on discounting transactions. The Company has adopted these standards in the third quarter of 2022 using the prospective method and has determined there is no impact on our condensed consolidated financial statements.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November 2021, the FASB issued a new accounting standard around the recognition and measurement of contract assets and contract liabilities from revenue contracts with customers acquired in a business combination. The new standard clarifies that contract assets and contract liabilities acquired in a business combination from an acquiree should initially be recognized by applying revenue recognition principles and not at fair value. The standard is effective for interim and annual periods beginning on January 1, 2023, and early adoption is permitted. The impact of this standard will depend on the facts and circumstances of future transactions.</w:t>
      </w:r>
    </w:p>
    <w:p>
      <w:pPr>
        <w:spacing w:after="0" w:line="18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May 17, 2022, the Company entered into an Asset Purchase Agreement (the “APA”) to purchase from Zealand Pharma A/S and Zealand Pharma US, Inc. (together “Zealand”) certain assets and assume certain liabilities associated with the V-Go wearable insulin delivery device. The transaction closed on May 31, 2022 (the “Acquisition Date”).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the terms of the APA, the Company paid up-front consideration of $15.1 million for certain assets and assumed liabilities related to V-Go. In addition, the Company will be obligated to make one-time, sales-based milestone payments to Zealand totaling up to a maximum of $10.0 million upon the achievement of specified annual revenue milestones between $40 million and $100 million.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total preliminary purchase consideration for V-Go was as follows (in thousands):</w:t>
            </w: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w:t>
            </w:r>
          </w:p>
        </w:tc>
        <w:tc>
          <w:tcPr>
            <w:tcW w:w="380" w:type="dxa"/>
            <w:vAlign w:val="bottom"/>
          </w:tcPr>
          <w:p>
            <w:pPr>
              <w:spacing w:after="0"/>
              <w:rPr>
                <w:sz w:val="24"/>
                <w:szCs w:val="24"/>
                <w:color w:val="auto"/>
              </w:rPr>
            </w:pP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9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2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of accounting, which requires, among other things, the assets acquired and liabilities assumed to be recognized at their respective fair values as of the acquisition date. The excess of the purchase price over those fair values was recorded as goodwill, which will be amortized over a period of 15 years for tax purposes. The estimates and assumptions used include the projected timing and amount of future cash flows and discount rates to reflect the risk inherent in the future cash flows. The estimated fair values of assets acquired and liabilities assumed and resulting goodwill are subject to adjustment as the Company finalizes its purchase price accounting. The significant items for which a final fair value has not been determined include, but are not limited to the valuation of the intangible asset and assumed liabilities for rebates and return reserves. The Company does not expect its fair value determinations to materially change; however, there may be differences between the amounts recorded at the Acquisition Date and the final fair value analysis, which is expected to be complete no later than the second quarter of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below reflects the preliminary amounts of identifiable assets acquired and liabilities assumed as of the Acquisition Date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9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00" w:type="dxa"/>
            <w:vAlign w:val="bottom"/>
          </w:tcPr>
          <w:p>
            <w:pPr>
              <w:spacing w:after="0"/>
              <w:rPr>
                <w:sz w:val="19"/>
                <w:szCs w:val="19"/>
                <w:color w:val="auto"/>
              </w:rPr>
            </w:pPr>
          </w:p>
        </w:tc>
      </w:tr>
      <w:tr>
        <w:trPr>
          <w:trHeight w:val="230"/>
        </w:trPr>
        <w:tc>
          <w:tcPr>
            <w:tcW w:w="9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w:t>
            </w:r>
          </w:p>
        </w:tc>
        <w:tc>
          <w:tcPr>
            <w:tcW w:w="4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shd w:val="clear" w:color="auto" w:fill="CFF0FC"/>
          </w:tcPr>
          <w:p>
            <w:pPr>
              <w:spacing w:after="0"/>
              <w:rPr>
                <w:sz w:val="19"/>
                <w:szCs w:val="19"/>
                <w:color w:val="auto"/>
              </w:rPr>
            </w:pPr>
          </w:p>
        </w:tc>
      </w:tr>
      <w:tr>
        <w:trPr>
          <w:trHeight w:val="230"/>
        </w:trPr>
        <w:tc>
          <w:tcPr>
            <w:tcW w:w="9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Pr>
          <w:p>
            <w:pPr>
              <w:spacing w:after="0"/>
              <w:rPr>
                <w:sz w:val="19"/>
                <w:szCs w:val="19"/>
                <w:color w:val="auto"/>
              </w:rPr>
            </w:pPr>
          </w:p>
        </w:tc>
      </w:tr>
      <w:tr>
        <w:trPr>
          <w:trHeight w:val="230"/>
        </w:trPr>
        <w:tc>
          <w:tcPr>
            <w:tcW w:w="9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Intangible asset - Developed technology</w:t>
            </w:r>
          </w:p>
        </w:tc>
        <w:tc>
          <w:tcPr>
            <w:tcW w:w="4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FF0FC"/>
            </w:tcBorders>
          </w:tcPr>
          <w:p>
            <w:pPr>
              <w:spacing w:after="0"/>
              <w:rPr>
                <w:sz w:val="19"/>
                <w:szCs w:val="19"/>
                <w:color w:val="auto"/>
              </w:rPr>
            </w:pPr>
          </w:p>
        </w:tc>
      </w:tr>
      <w:tr>
        <w:trPr>
          <w:trHeight w:val="223"/>
        </w:trPr>
        <w:tc>
          <w:tcPr>
            <w:tcW w:w="9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20,152</w:t>
            </w:r>
          </w:p>
        </w:tc>
        <w:tc>
          <w:tcPr>
            <w:tcW w:w="100" w:type="dxa"/>
            <w:vAlign w:val="bottom"/>
            <w:shd w:val="clear" w:color="auto" w:fill="CFF0FC"/>
          </w:tcPr>
          <w:p>
            <w:pPr>
              <w:spacing w:after="0"/>
              <w:rPr>
                <w:sz w:val="19"/>
                <w:szCs w:val="19"/>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Liabilities assumed</w:t>
            </w:r>
          </w:p>
        </w:tc>
        <w:tc>
          <w:tcPr>
            <w:tcW w:w="4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shd w:val="clear" w:color="auto" w:fill="CFF0FC"/>
          </w:tcPr>
          <w:p>
            <w:pPr>
              <w:spacing w:after="0"/>
              <w:rPr>
                <w:sz w:val="19"/>
                <w:szCs w:val="19"/>
                <w:color w:val="auto"/>
              </w:rPr>
            </w:pPr>
          </w:p>
        </w:tc>
      </w:tr>
      <w:tr>
        <w:trPr>
          <w:trHeight w:val="230"/>
        </w:trPr>
        <w:tc>
          <w:tcPr>
            <w:tcW w:w="92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FF0FC"/>
            </w:tcBorders>
          </w:tcPr>
          <w:p>
            <w:pPr>
              <w:spacing w:after="0"/>
              <w:rPr>
                <w:sz w:val="19"/>
                <w:szCs w:val="19"/>
                <w:color w:val="auto"/>
              </w:rPr>
            </w:pPr>
          </w:p>
        </w:tc>
      </w:tr>
      <w:tr>
        <w:trPr>
          <w:trHeight w:val="223"/>
        </w:trPr>
        <w:tc>
          <w:tcPr>
            <w:tcW w:w="9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shd w:val="clear" w:color="auto" w:fill="CFF0FC"/>
          </w:tcPr>
          <w:p>
            <w:pPr>
              <w:spacing w:after="0"/>
              <w:rPr>
                <w:sz w:val="19"/>
                <w:szCs w:val="19"/>
                <w:color w:val="auto"/>
              </w:rPr>
            </w:pPr>
          </w:p>
        </w:tc>
      </w:tr>
      <w:tr>
        <w:trPr>
          <w:trHeight w:val="223"/>
        </w:trPr>
        <w:tc>
          <w:tcPr>
            <w:tcW w:w="9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assets acquired</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10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Inventory of $11.2 million consisted of raw materials, semi-finished goods and finished goods. The fair value of the inventory was determined based on the estimated selling price to be generated from the finished goods, less costs to sell, including a reasonable margin, which are level 3 inputs not observable in the market. Property and equipment and assumed liabilities were recorded at their carrying amounts which were deemed to approximate their fair values based on level 3 unobservable inputs. The fair values of the right-of-use assets and lease liabilities for assumed operating leases were assessed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based on discounted cash flow from lease payments, utilizing the Company’s incremental borrowing rate of 7.25%.</w:t>
      </w:r>
    </w:p>
    <w:p>
      <w:pPr>
        <w:spacing w:after="0" w:line="18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fair value of the intangible asset was determined by applying the income approach based on significant level 3 unobservable inputs. The income approach estimates fair value based on the present value of cash flow that the assets could be expected to generate in the future. We developed internal estimates for expected cash flows in the present value calculation using inputs and significant assumptions that include historical revenues and earnings, long-term growth rate, discount rate, contributory asset charges and future tax rates, among others.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8" w:name="page19"/>
    <w:bookmarkEnd w:id="18"/>
    <w:p>
      <w:pPr>
        <w:ind w:right="40"/>
        <w:spacing w:after="0" w:line="266" w:lineRule="auto"/>
        <w:rPr>
          <w:sz w:val="20"/>
          <w:szCs w:val="20"/>
          <w:color w:val="auto"/>
        </w:rPr>
      </w:pPr>
      <w:r>
        <w:rPr>
          <w:rFonts w:ascii="Times New Roman" w:cs="Times New Roman" w:eastAsia="Times New Roman" w:hAnsi="Times New Roman"/>
          <w:sz w:val="18"/>
          <w:szCs w:val="18"/>
          <w:color w:val="auto"/>
        </w:rPr>
        <w:t>The fair value of the contingent milestone liability was estimated using the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2.95%, dividend yield of 0%, volatility of 65%, period of 15 years and credit risk of 12%.</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costs of approximately $0.2 million and $0.4 million for the three and nine months ended September 30,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Pro Forma Information (unaudited)</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revenue for the three and nine months ended September 30, 2022 was $5.4 million and $7.5 million, respectively, and loss from operations for the three and nine months ended September 30, 2022 was $0.2 million and $0.1 million, respectively, since the Acquisition Date. The following unaudited pro forma summary presents consolidated information of the Company as if the acquisition had occurred on January 1, 2021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2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78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9"/>
                <w:szCs w:val="19"/>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30,752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28,087</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73,874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79,665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(14,124)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(4,264)</w:t>
            </w: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(69,020)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(53,005)</w:t>
            </w:r>
          </w:p>
        </w:tc>
      </w:tr>
      <w:tr>
        <w:trPr>
          <w:trHeight w:val="230"/>
        </w:trPr>
        <w:tc>
          <w:tcPr>
            <w:tcW w:w="37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9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9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(0.27)</w:t>
            </w: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r>
    </w:tbl>
    <w:p>
      <w:pPr>
        <w:spacing w:after="0" w:line="19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beginning January 1, 2021. The Company did not have any other material nonrecurring pro forma adjustments directly attributable to the acquisition included in the reported pro forma revenue and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Held-to-Maturity Investments </w:t>
      </w:r>
      <w:r>
        <w:rPr>
          <w:rFonts w:ascii="Times New Roman" w:cs="Times New Roman" w:eastAsia="Times New Roman" w:hAnsi="Times New Roman"/>
          <w:sz w:val="18"/>
          <w:szCs w:val="18"/>
          <w:color w:val="auto"/>
        </w:rPr>
        <w:t>— Investments consist of highly liquid investments that are intended to facilitate liquidity and capital preservation.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September 30, 2022, the Company held $110.7 million of short-term investments and $12.7 million of long-term investments. As of December 31, 2021, the Company held $79.9 million of short-term investments and $56.6 million of long-term investments. For the three and nine months ended September 30, 2022, the Company recognized $0.7 million and $1.6 million of interest income on investments and $0.2 million and $0.6 million of amortization on certain investments. The interest income net of amortization on investments is reflected as interest income, net on the condensed consolidated statement of operations. For the three and nine months ended September 30, 2021, the Company recognized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interest income on investments. No allowance for credit losses on held-to-maturity securities was required as of September 30, 2022.</w:t>
      </w:r>
    </w:p>
    <w:p>
      <w:pPr>
        <w:spacing w:after="0" w:line="183"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Available-for-Sale Investment </w:t>
      </w:r>
      <w:r>
        <w:rPr>
          <w:rFonts w:ascii="Times New Roman" w:cs="Times New Roman" w:eastAsia="Times New Roman" w:hAnsi="Times New Roman"/>
          <w:sz w:val="17"/>
          <w:szCs w:val="17"/>
          <w:color w:val="auto"/>
        </w:rPr>
        <w:t>— The Thirona convertible notes are classified as available-for-sale securities and are included in other assets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condensed consolidated balance sheet. Available-for-sale investments are subsequently measured at fair value. Unrealized holding gains and losses are excluded from earnings and reported in other comprehensive income until realized. The Company determines fair value of its available-for-sale investments using level 3 inputs. The Company evaluated the fair value of its investment in Thirona as of September 30, 2022 by applying a Monte Carlo simulation and determined that the fair value was $6.8 million. The fair value of the investment in Thirona as of December 31, 2021 was $3.0 million, which approximated carrying value. For the nine months ended September 30, 2022, an unrealized holding loss of $1.2 million was recognized as other comprehensive loss in our condensed consolidated statements of comprehensive loss and condensed consolidated statements of stockholders’ deficit.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cash equivalents, long-term and short-term investments are disclosed below (amounts in millions).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6"/>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2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cash equivalents</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3"/>
        </w:trPr>
        <w:tc>
          <w:tcPr>
            <w:tcW w:w="4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Investments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560" w:type="dxa"/>
            <w:vAlign w:val="bottom"/>
            <w:vMerge w:val="restart"/>
          </w:tcPr>
          <w:p>
            <w:pPr>
              <w:jc w:val="right"/>
              <w:ind w:right="174"/>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440" w:type="dxa"/>
            <w:vAlign w:val="bottom"/>
          </w:tcPr>
          <w:p>
            <w:pPr>
              <w:spacing w:after="0"/>
              <w:rPr>
                <w:sz w:val="11"/>
                <w:szCs w:val="11"/>
                <w:color w:val="auto"/>
              </w:rPr>
            </w:pPr>
          </w:p>
        </w:tc>
        <w:tc>
          <w:tcPr>
            <w:tcW w:w="1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140" w:type="dxa"/>
            <w:vAlign w:val="bottom"/>
          </w:tcPr>
          <w:p>
            <w:pPr>
              <w:spacing w:after="0"/>
              <w:rPr>
                <w:sz w:val="11"/>
                <w:szCs w:val="11"/>
                <w:color w:val="auto"/>
              </w:rPr>
            </w:pPr>
          </w:p>
        </w:tc>
        <w:tc>
          <w:tcPr>
            <w:tcW w:w="148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200" w:type="dxa"/>
            <w:vAlign w:val="bottom"/>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40" w:type="dxa"/>
            <w:vAlign w:val="bottom"/>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15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76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cash equivalents</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3"/>
        </w:trPr>
        <w:tc>
          <w:tcPr>
            <w:tcW w:w="4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Investments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there was $0.6 million and $0.3 million, respectively, of interest receivable included in our condensed consolidated balance sheets as prepaid expenses and other current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6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 commercial</w:t>
            </w:r>
          </w:p>
        </w:tc>
        <w:tc>
          <w:tcPr>
            <w:tcW w:w="1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22,971</w:t>
            </w:r>
          </w:p>
        </w:tc>
        <w:tc>
          <w:tcPr>
            <w:tcW w:w="300" w:type="dxa"/>
            <w:vAlign w:val="bottom"/>
          </w:tcPr>
          <w:p>
            <w:pPr>
              <w:spacing w:after="0"/>
              <w:rPr>
                <w:sz w:val="19"/>
                <w:szCs w:val="19"/>
                <w:color w:val="auto"/>
              </w:rPr>
            </w:pP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Wholesaler distribution fees and prompt pay discounts</w:t>
            </w: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(2,863)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(1,696)</w:t>
            </w: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Reserve for returns</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(2,797)</w:t>
            </w:r>
          </w:p>
        </w:tc>
      </w:tr>
      <w:tr>
        <w:trPr>
          <w:trHeight w:val="223"/>
        </w:trPr>
        <w:tc>
          <w:tcPr>
            <w:tcW w:w="61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accounts receivable – commercial, net</w:t>
            </w:r>
          </w:p>
        </w:tc>
        <w:tc>
          <w:tcPr>
            <w:tcW w:w="1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collaborations and services</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r>
      <w:tr>
        <w:trPr>
          <w:trHeight w:val="223"/>
        </w:trPr>
        <w:tc>
          <w:tcPr>
            <w:tcW w:w="61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accounts receivable – collaborations and services, net</w:t>
            </w:r>
          </w:p>
        </w:tc>
        <w:tc>
          <w:tcPr>
            <w:tcW w:w="1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2022 and December 31, 2021, the allowance for doubtful accounts for accounts receivable – commercial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The Company had three wholesale distributors representing approximately 78% of commercial accounts receivable as of September 30, 2022 and approximately 75% and 73% of gross sales for the three and nine months ended September 30, 2022, respectively. As of December 31, 2021, the Company had three wholesale distributors representing approximately 79% of commercial accounts receivables and approximately 80% of gross sales.</w:t>
      </w:r>
    </w:p>
    <w:p>
      <w:pPr>
        <w:spacing w:after="0" w:line="182"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As of September 30, 2022, there was no allowance for credit losses for accounts receivable – collaborations and services. The Company had one collaboration partner, United Therapeutics, that comprised 100% of the collaboration and services net accounts receivable as of September 30, 2022 and approximately 100% and 96% of gross revenue from collaborations and services for the three and nine months ended September 30, 2022,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7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9"/>
                <w:szCs w:val="19"/>
                <w:color w:val="auto"/>
              </w:rPr>
            </w:pPr>
          </w:p>
        </w:tc>
      </w:tr>
      <w:tr>
        <w:trPr>
          <w:trHeight w:val="23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FF0FC"/>
          </w:tcPr>
          <w:p>
            <w:pPr>
              <w:spacing w:after="0"/>
              <w:rPr>
                <w:sz w:val="19"/>
                <w:szCs w:val="19"/>
                <w:color w:val="auto"/>
              </w:rPr>
            </w:pPr>
          </w:p>
        </w:tc>
      </w:tr>
      <w:tr>
        <w:trPr>
          <w:trHeight w:val="223"/>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inventory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18,273</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Work-in-process and finished goods as of September 30, 2022 and December 31, 2021 include conversion costs and exclude the cost of insulin. All insulin inventory on hand was written off and the projected loss on the purchase commitment contract to purchase future insulin was accrued as of the end of 2015. Raw materials inventory included $0.8 million of pre-launch inventory as of September 30, 2022 and December 31, 2021, which consisted of FDKP received in November 2019. The Company expects to request approval from the FDA for the new source of FDKP in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20" w:name="page21"/>
    <w:bookmarkEnd w:id="20"/>
    <w:p>
      <w:pPr>
        <w:spacing w:after="0" w:line="256" w:lineRule="auto"/>
        <w:rPr>
          <w:sz w:val="20"/>
          <w:szCs w:val="20"/>
          <w:color w:val="auto"/>
        </w:rPr>
      </w:pPr>
      <w:r>
        <w:rPr>
          <w:rFonts w:ascii="Times New Roman" w:cs="Times New Roman" w:eastAsia="Times New Roman" w:hAnsi="Times New Roman"/>
          <w:sz w:val="18"/>
          <w:szCs w:val="18"/>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at September 30, 2022 and December 31, 2021. Inventory that was forecasted to become obsolete due to expiration as well as inventory that does not meet acceptable standards is recorded in costs of goods sold in the condensed consolidated statements of operations. There was an inventory write-off of $0.9 million and $1.4 million as a result of this assessment for the three and nine months ended September 30, 2022, respectively. There were no inventory write-offs for the three and nine months ended September 30, 2021.</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3"/>
        </w:trPr>
        <w:tc>
          <w:tcPr>
            <w:tcW w:w="552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8"/>
                <w:szCs w:val="18"/>
                <w:color w:val="auto"/>
              </w:rPr>
            </w:pP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40" w:type="dxa"/>
            <w:vAlign w:val="bottom"/>
          </w:tcPr>
          <w:p>
            <w:pPr>
              <w:spacing w:after="0"/>
              <w:rPr>
                <w:sz w:val="18"/>
                <w:szCs w:val="18"/>
                <w:color w:val="auto"/>
              </w:rPr>
            </w:pP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4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38,875</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38,651</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(1)</w:t>
            </w:r>
          </w:p>
        </w:tc>
      </w:tr>
      <w:tr>
        <w:trPr>
          <w:trHeight w:val="223"/>
        </w:trPr>
        <w:tc>
          <w:tcPr>
            <w:tcW w:w="5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140,304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(99,122)</w:t>
            </w: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(97,661)</w:t>
            </w:r>
          </w:p>
        </w:tc>
        <w:tc>
          <w:tcPr>
            <w:tcW w:w="340" w:type="dxa"/>
            <w:vAlign w:val="bottom"/>
            <w:shd w:val="clear" w:color="auto" w:fill="CFF0FC"/>
          </w:tcPr>
          <w:p>
            <w:pPr>
              <w:spacing w:after="0"/>
              <w:rPr>
                <w:sz w:val="19"/>
                <w:szCs w:val="19"/>
                <w:color w:val="auto"/>
              </w:rPr>
            </w:pPr>
          </w:p>
        </w:tc>
      </w:tr>
      <w:tr>
        <w:trPr>
          <w:trHeight w:val="223"/>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41,182</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5" w:lineRule="exact"/>
        <w:rPr>
          <w:sz w:val="20"/>
          <w:szCs w:val="20"/>
          <w:color w:val="auto"/>
        </w:rPr>
      </w:pPr>
    </w:p>
    <w:p>
      <w:pPr>
        <w:ind w:left="380" w:right="280" w:hanging="372"/>
        <w:spacing w:after="0"/>
        <w:tabs>
          <w:tab w:leader="none" w:pos="38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As of December 31, 2021</w:t>
      </w:r>
      <w:r>
        <w:rPr>
          <w:rFonts w:ascii="Times New Roman" w:cs="Times New Roman" w:eastAsia="Times New Roman" w:hAnsi="Times New Roman"/>
          <w:sz w:val="17"/>
          <w:szCs w:val="17"/>
          <w:color w:val="auto"/>
        </w:rPr>
        <w:t>, c</w:t>
      </w:r>
      <w:r>
        <w:rPr>
          <w:rFonts w:ascii="Times New Roman" w:cs="Times New Roman" w:eastAsia="Times New Roman" w:hAnsi="Times New Roman"/>
          <w:sz w:val="16"/>
          <w:szCs w:val="16"/>
          <w:color w:val="auto"/>
        </w:rPr>
        <w:t xml:space="preserve">onstruction in progress included $4.7 million of equipment under construction for the manufacturing expansion for UT (the “UT Equipment”). See Note 10 – </w:t>
      </w:r>
      <w:r>
        <w:rPr>
          <w:rFonts w:ascii="Times New Roman" w:cs="Times New Roman" w:eastAsia="Times New Roman" w:hAnsi="Times New Roman"/>
          <w:sz w:val="16"/>
          <w:szCs w:val="16"/>
          <w:i w:val="1"/>
          <w:iCs w:val="1"/>
          <w:color w:val="auto"/>
        </w:rPr>
        <w:t>Collaboration, Licensing and Other Arrangements.</w:t>
      </w:r>
      <w:r>
        <w:rPr>
          <w:rFonts w:ascii="Times New Roman" w:cs="Times New Roman" w:eastAsia="Times New Roman" w:hAnsi="Times New Roman"/>
          <w:sz w:val="16"/>
          <w:szCs w:val="16"/>
          <w:color w:val="auto"/>
        </w:rPr>
        <w:t xml:space="preserve"> The Company acted as agent on behalf of UT for the procurement of the UT Equipment. The Company received $5.0 million in deposit for this service, which was recognized as deposits from customer in the condensed consolidated balance sheet as of December 31, 2021. In April 2022, the Company and UT agreed that UT would hold title to the UT Equipment at all times. As such, there is no balance related to the UT Equipment included in construction in progress or deposit from customer in our consolidated condensed balance sheet as of September 30, 2022.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property and equipment for the three and nine months ended September 30, 2022 and 2021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48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2,278</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On November 8, 2021, the Company sold certain land, building and improvements located in Danbury, CT (the “Property”) to an affiliate of Creative Manufacturing Properties (the “Purchaser”) for a sales price of $102.3 million, subject to terms and conditions contained in a purchase and sale agreement. Effective with the closing of this transaction, the Company entered into a 20-year lease agreement with the Purchaser (the “Sale-Leaseback Transaction”). The sale of the Property and subsequent lease did not result in the transfer of control of the Property to the Purchaser; therefore, the Sale-Leaseback Transaction qualified as a failed sale leaseback transaction whereby the lease is accounted for as a finance lease and the Property remains as a long-lived asset of the Company and is depreciated at its remaining useful life of 20 years or less. See Note 13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represents the excess of the purchase price over the identifiable tangible and intangible assets acquired plus liabilities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arising from business combinations. The balance of goodwill was approximately $3.1 million as of September 30, 2022 as a result of our acquisition of V-Go in May 2022. Goodwill is tested at least annually for impairment by assessing qualitative factors in determining whether it is more likely than not that the fair value of net assets is below their carrying amounts. See Note 1 – </w:t>
      </w:r>
      <w:r>
        <w:rPr>
          <w:rFonts w:ascii="Times New Roman" w:cs="Times New Roman" w:eastAsia="Times New Roman" w:hAnsi="Times New Roman"/>
          <w:sz w:val="18"/>
          <w:szCs w:val="18"/>
          <w:i w:val="1"/>
          <w:iCs w:val="1"/>
          <w:color w:val="auto"/>
        </w:rPr>
        <w:t>Description of Business and Significant Accounting Policies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 xml:space="preserve">Other Intangible Asset </w:t>
      </w:r>
      <w:r>
        <w:rPr>
          <w:rFonts w:ascii="Times New Roman" w:cs="Times New Roman" w:eastAsia="Times New Roman" w:hAnsi="Times New Roman"/>
          <w:sz w:val="18"/>
          <w:szCs w:val="18"/>
          <w:color w:val="auto"/>
        </w:rPr>
        <w:t>— Other intangible asset consisted of the following (dollars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3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30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780" w:type="dxa"/>
            <w:vAlign w:val="bottom"/>
            <w:gridSpan w:val="2"/>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3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Amortization expense related to the other intangible asset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for the three and nine months ended September 30, 2022.</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The Company evaluates its other intangible asset for potential impairment when events or changes in circumstances indicate that the carrying amount of an asset or asset group may not be recoverable. See Note 1 – </w:t>
      </w:r>
      <w:r>
        <w:rPr>
          <w:rFonts w:ascii="Times New Roman" w:cs="Times New Roman" w:eastAsia="Times New Roman" w:hAnsi="Times New Roman"/>
          <w:sz w:val="18"/>
          <w:szCs w:val="18"/>
          <w:i w:val="1"/>
          <w:iCs w:val="1"/>
          <w:color w:val="auto"/>
        </w:rPr>
        <w:t>Description of Business and Significant Accounting Policies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were comprised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Salary and related expenses</w:t>
            </w:r>
          </w:p>
        </w:tc>
        <w:tc>
          <w:tcPr>
            <w:tcW w:w="9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11,627</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Discounts and allowances for commercial product sales</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Danbury facility buildout</w:t>
            </w: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Deferred lease liability</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milestone rights liability</w:t>
            </w: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Retail inventory purchase</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b w:val="1"/>
                <w:bCs w:val="1"/>
                <w:color w:val="auto"/>
              </w:rPr>
              <w:t xml:space="preserve"> Borrowings</w:t>
            </w: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2"/>
        </w:trPr>
        <w:tc>
          <w:tcPr>
            <w:tcW w:w="61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of borrowings consist of the following (in thousands):</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9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225,034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MidCap credit facility</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Mann Group convertible note</w:t>
            </w:r>
          </w:p>
        </w:tc>
        <w:tc>
          <w:tcPr>
            <w:tcW w:w="9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debt — net carrying amount</w:t>
            </w:r>
          </w:p>
        </w:tc>
        <w:tc>
          <w:tcPr>
            <w:tcW w:w="980" w:type="dxa"/>
            <w:vAlign w:val="bottom"/>
          </w:tcPr>
          <w:p>
            <w:pPr>
              <w:spacing w:after="0"/>
              <w:rPr>
                <w:sz w:val="19"/>
                <w:szCs w:val="19"/>
                <w:color w:val="auto"/>
              </w:rPr>
            </w:pP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principal balance of debt and key terms: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338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1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Terms</w:t>
            </w: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55"/>
        </w:trPr>
        <w:tc>
          <w:tcPr>
            <w:tcW w:w="2780" w:type="dxa"/>
            <w:vAlign w:val="bottom"/>
          </w:tcPr>
          <w:p>
            <w:pPr>
              <w:spacing w:after="0"/>
              <w:rPr>
                <w:sz w:val="13"/>
                <w:szCs w:val="13"/>
                <w:color w:val="auto"/>
              </w:rPr>
            </w:pPr>
          </w:p>
        </w:tc>
        <w:tc>
          <w:tcPr>
            <w:tcW w:w="1700" w:type="dxa"/>
            <w:vAlign w:val="bottom"/>
            <w:tcBorders>
              <w:top w:val="single" w:sz="8" w:color="auto"/>
            </w:tcBorders>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15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13"/>
                <w:szCs w:val="13"/>
                <w:color w:val="auto"/>
              </w:rPr>
            </w:pPr>
          </w:p>
        </w:tc>
        <w:tc>
          <w:tcPr>
            <w:tcW w:w="15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Annual Interest Rate</w:t>
            </w:r>
          </w:p>
        </w:tc>
        <w:tc>
          <w:tcPr>
            <w:tcW w:w="4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Maturity Date</w:t>
            </w:r>
          </w:p>
        </w:tc>
        <w:tc>
          <w:tcPr>
            <w:tcW w:w="3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Conversion Price</w:t>
            </w:r>
          </w:p>
        </w:tc>
      </w:tr>
      <w:tr>
        <w:trPr>
          <w:trHeight w:val="205"/>
        </w:trPr>
        <w:tc>
          <w:tcPr>
            <w:tcW w:w="278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Senior convertible notes</w:t>
            </w:r>
          </w:p>
        </w:tc>
        <w:tc>
          <w:tcPr>
            <w:tcW w:w="154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$230.0 million</w:t>
            </w:r>
          </w:p>
        </w:tc>
        <w:tc>
          <w:tcPr>
            <w:tcW w:w="160" w:type="dxa"/>
            <w:vAlign w:val="bottom"/>
            <w:tcBorders>
              <w:top w:val="single" w:sz="8" w:color="CFF0FC"/>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$230.0 million</w:t>
            </w:r>
          </w:p>
        </w:tc>
        <w:tc>
          <w:tcPr>
            <w:tcW w:w="160" w:type="dxa"/>
            <w:vAlign w:val="bottom"/>
            <w:tcBorders>
              <w:top w:val="single" w:sz="8" w:color="CFF0FC"/>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2.50%</w:t>
            </w:r>
          </w:p>
        </w:tc>
        <w:tc>
          <w:tcPr>
            <w:tcW w:w="46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rPr>
              <w:t>March 2026</w:t>
            </w:r>
          </w:p>
        </w:tc>
        <w:tc>
          <w:tcPr>
            <w:tcW w:w="360" w:type="dxa"/>
            <w:vAlign w:val="bottom"/>
            <w:tcBorders>
              <w:top w:val="single" w:sz="8" w:color="CFF0FC"/>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rPr>
              <w:t>$5.21</w:t>
            </w:r>
          </w:p>
        </w:tc>
      </w:tr>
      <w:tr>
        <w:trPr>
          <w:trHeight w:val="234"/>
        </w:trPr>
        <w:tc>
          <w:tcPr>
            <w:tcW w:w="278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per share</w:t>
            </w:r>
          </w:p>
        </w:tc>
      </w:tr>
      <w:tr>
        <w:trPr>
          <w:trHeight w:val="21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MidCap credit facility</w:t>
            </w:r>
            <w:r>
              <w:rPr>
                <w:rFonts w:ascii="Times New Roman" w:cs="Times New Roman" w:eastAsia="Times New Roman" w:hAnsi="Times New Roman"/>
                <w:sz w:val="15"/>
                <w:szCs w:val="15"/>
                <w:color w:val="auto"/>
              </w:rPr>
              <w:t>(1)</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$40.0 million</w:t>
            </w: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$40.0 million</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one-month</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2025</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2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SOFR (1% floor)</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plus 6.25%;</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cap of 8.25%</w:t>
            </w: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1"/>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Mann Group convertible note</w:t>
            </w:r>
          </w:p>
        </w:tc>
        <w:tc>
          <w:tcPr>
            <w:tcW w:w="170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$8.8 million</w:t>
            </w:r>
          </w:p>
        </w:tc>
        <w:tc>
          <w:tcPr>
            <w:tcW w:w="16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$18.4 million (plus</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27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$0.4 million accrued</w:t>
            </w:r>
          </w:p>
        </w:tc>
        <w:tc>
          <w:tcPr>
            <w:tcW w:w="1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per share</w:t>
            </w:r>
          </w:p>
        </w:tc>
      </w:tr>
      <w:tr>
        <w:trPr>
          <w:trHeight w:val="216"/>
        </w:trPr>
        <w:tc>
          <w:tcPr>
            <w:tcW w:w="27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interest paid-in-</w:t>
            </w:r>
          </w:p>
        </w:tc>
        <w:tc>
          <w:tcPr>
            <w:tcW w:w="1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4"/>
        </w:trPr>
        <w:tc>
          <w:tcPr>
            <w:tcW w:w="278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kind)</w:t>
            </w:r>
          </w:p>
        </w:tc>
        <w:tc>
          <w:tcPr>
            <w:tcW w:w="15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49" w:lineRule="exact"/>
        <w:rPr>
          <w:sz w:val="20"/>
          <w:szCs w:val="20"/>
          <w:color w:val="auto"/>
        </w:rPr>
      </w:pPr>
    </w:p>
    <w:p>
      <w:pPr>
        <w:ind w:left="380" w:right="120" w:hanging="372"/>
        <w:spacing w:after="0" w:line="210" w:lineRule="auto"/>
        <w:tabs>
          <w:tab w:leader="none" w:pos="38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 April 2021, the Company prepaid $10.0 million principal balance and amended the MidCap credit facility. The interest rate prior to the amendment was one-month LIBOR (2% floor) plus 6.75% and the maturity date was in August 2024.</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2" w:name="page23"/>
    <w:bookmarkEnd w:id="22"/>
    <w:p>
      <w:pPr>
        <w:ind w:left="380" w:right="100"/>
        <w:spacing w:after="0" w:line="298" w:lineRule="auto"/>
        <w:rPr>
          <w:sz w:val="20"/>
          <w:szCs w:val="20"/>
          <w:color w:val="auto"/>
        </w:rPr>
      </w:pPr>
      <w:r>
        <w:rPr>
          <w:rFonts w:ascii="Times New Roman" w:cs="Times New Roman" w:eastAsia="Times New Roman" w:hAnsi="Times New Roman"/>
          <w:sz w:val="16"/>
          <w:szCs w:val="16"/>
          <w:color w:val="auto"/>
        </w:rPr>
        <w:t>In August 2022, the Company amended the MidCap credit facility and transitioned the benchmark interest rate from LIBOR to the Secured Overnight Financing Rate (“SOFR”). The interest rate prior to the amendment was one-month LIBOR (1% floor) plus 6.25% (cap of 8.25%).</w:t>
      </w:r>
    </w:p>
    <w:p>
      <w:pPr>
        <w:spacing w:after="0" w:line="151" w:lineRule="exact"/>
        <w:rPr>
          <w:sz w:val="20"/>
          <w:szCs w:val="20"/>
          <w:color w:val="auto"/>
        </w:rPr>
      </w:pPr>
    </w:p>
    <w:p>
      <w:pPr>
        <w:ind w:left="380" w:right="180" w:hanging="372"/>
        <w:spacing w:after="0" w:line="210" w:lineRule="auto"/>
        <w:tabs>
          <w:tab w:leader="none" w:pos="38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 April 2021, the Mann Group convertible note was amended. The interest rate prior to and after the amendment was 7.00% and the maturity date was in November 2024.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the Company’s borrowings as of September 30, 2022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3"/>
        </w:trPr>
        <w:tc>
          <w:tcPr>
            <w:tcW w:w="5960" w:type="dxa"/>
            <w:vAlign w:val="bottom"/>
            <w:tcBorders>
              <w:bottom w:val="single" w:sz="8" w:color="CFF0FC"/>
            </w:tcBorders>
          </w:tcPr>
          <w:p>
            <w:pPr>
              <w:spacing w:after="0"/>
              <w:rPr>
                <w:sz w:val="2"/>
                <w:szCs w:val="2"/>
                <w:color w:val="auto"/>
              </w:rPr>
            </w:pPr>
          </w:p>
        </w:tc>
        <w:tc>
          <w:tcPr>
            <w:tcW w:w="32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3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FF0FC"/>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22,163</w:t>
            </w:r>
          </w:p>
        </w:tc>
        <w:tc>
          <w:tcPr>
            <w:tcW w:w="120" w:type="dxa"/>
            <w:vAlign w:val="bottom"/>
          </w:tcPr>
          <w:p>
            <w:pPr>
              <w:spacing w:after="0"/>
              <w:rPr>
                <w:sz w:val="19"/>
                <w:szCs w:val="19"/>
                <w:color w:val="auto"/>
              </w:rPr>
            </w:pPr>
          </w:p>
        </w:tc>
      </w:tr>
      <w:tr>
        <w:trPr>
          <w:trHeight w:val="22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20" w:type="dxa"/>
            <w:vAlign w:val="bottom"/>
            <w:shd w:val="clear" w:color="auto" w:fill="CFF0FC"/>
          </w:tcPr>
          <w:p>
            <w:pPr>
              <w:spacing w:after="0"/>
              <w:rPr>
                <w:sz w:val="19"/>
                <w:szCs w:val="19"/>
                <w:color w:val="auto"/>
              </w:rPr>
            </w:pPr>
          </w:p>
        </w:tc>
      </w:tr>
      <w:tr>
        <w:trPr>
          <w:trHeight w:val="223"/>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principal payments</w:t>
            </w:r>
          </w:p>
        </w:tc>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278,830</w:t>
            </w:r>
          </w:p>
        </w:tc>
        <w:tc>
          <w:tcPr>
            <w:tcW w:w="120" w:type="dxa"/>
            <w:vAlign w:val="bottom"/>
          </w:tcPr>
          <w:p>
            <w:pPr>
              <w:spacing w:after="0"/>
              <w:rPr>
                <w:sz w:val="19"/>
                <w:szCs w:val="19"/>
                <w:color w:val="auto"/>
              </w:rPr>
            </w:pPr>
          </w:p>
        </w:tc>
      </w:tr>
      <w:tr>
        <w:trPr>
          <w:trHeight w:val="22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3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(5,543)</w:t>
            </w:r>
          </w:p>
        </w:tc>
      </w:tr>
      <w:tr>
        <w:trPr>
          <w:trHeight w:val="223"/>
        </w:trPr>
        <w:tc>
          <w:tcPr>
            <w:tcW w:w="59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debt — net carrying amount</w:t>
            </w:r>
          </w:p>
        </w:tc>
        <w:tc>
          <w:tcPr>
            <w:tcW w:w="3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Senior convertible notes </w:t>
      </w:r>
      <w:r>
        <w:rPr>
          <w:rFonts w:ascii="Times New Roman" w:cs="Times New Roman" w:eastAsia="Times New Roman" w:hAnsi="Times New Roman"/>
          <w:sz w:val="18"/>
          <w:szCs w:val="18"/>
          <w:color w:val="auto"/>
        </w:rPr>
        <w:t>– On March 4, 2021, the Company issued $200.0 million aggregate principal amount of Senior convertible notes in a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Pursuant to an option to purchase additional senior convertible notes in the purchase agreement between the Company and the initial purchasers of the Senior convertible notes, the Company issued an additional $30.0 million aggregate principal amount of Senior convertible notes on March 15, 2021. The Senior convertible notes were issued pursuant to an indenture, dated March 4, 2021 (the “Indenture”), between the Company and U.S. Bank National Association, as trustee.</w:t>
      </w:r>
    </w:p>
    <w:p>
      <w:pPr>
        <w:spacing w:after="0" w:line="18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Senior convertible notes are general unsecured obligations of the Company and will mature on March 1, 2026, unless earlier converted, redeemed or repurchased. The Senior convertible notes will bear cash interest from March 4, 2021 at an annual rate of 2.50% payable semi-annually in arrears on March 1 and September 1 of each year, beginning on September 1, 2021. 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 trading days (whether or not consecutive) during a period of 30 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 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w:t>
      </w:r>
    </w:p>
    <w:p>
      <w:pPr>
        <w:spacing w:after="0" w:line="19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initial conversion rate is 191.8281 shares of common stock per $1,000 principal amount of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Senior convertible notes in connection with such a corporate event or convert its Notes called for redemption during the related redemption period (as defined in the Indenture), as the case may be.</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may not redeem the Senior convertible notes prior to March 6, 2024. 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 w:name="page24"/>
    <w:bookmarkEnd w:id="23"/>
    <w:p>
      <w:pPr>
        <w:ind w:right="180"/>
        <w:spacing w:after="0" w:line="261" w:lineRule="auto"/>
        <w:rPr>
          <w:sz w:val="20"/>
          <w:szCs w:val="20"/>
          <w:color w:val="auto"/>
        </w:rPr>
      </w:pPr>
      <w:r>
        <w:rPr>
          <w:rFonts w:ascii="Times New Roman" w:cs="Times New Roman" w:eastAsia="Times New Roman" w:hAnsi="Times New Roman"/>
          <w:sz w:val="18"/>
          <w:szCs w:val="18"/>
          <w:color w:val="auto"/>
        </w:rPr>
        <w:t>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 million aggregate principal amount of Senior convertible notes must be outstanding and not subject to redemption as of the relevant redemption notice date. No sinking fund is provided for the Senior convertible notes.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Senior convertible notes to be repurchased, plus accrued and unpaid interest to, but excluding, the fundamental change repurchase date.</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Indenture includes customary covenants and sets forth certain events of default after which the Senior convertible notes may be declared immediately due and payable.</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net proceeds from the offering were approximately $222.7 million, after deducting the initial purchasers’ discounts and commissions and the estimated offering expenses payable by the Company. As of September 30, 2022, the unamortized debt issuance cost was $5.0 million.</w:t>
      </w:r>
    </w:p>
    <w:p>
      <w:pPr>
        <w:spacing w:after="0" w:line="160"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MidCap credit facility </w:t>
      </w:r>
      <w:r>
        <w:rPr>
          <w:rFonts w:ascii="Times New Roman" w:cs="Times New Roman" w:eastAsia="Times New Roman" w:hAnsi="Times New Roman"/>
          <w:sz w:val="17"/>
          <w:szCs w:val="17"/>
          <w:color w:val="auto"/>
        </w:rPr>
        <w:t>— In August 2019, the Company entered into the MidCap credit facility and borrowed the first advance of $40.0 million (“Tranche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1”) in August 2019 and the second advance of $10.0 million (“Tranche 2”) in December 2020. In April 2021, $10.0 million was prepaid. Under the terms of the MidCap credit facility, a third advance of $60.0 million (“Tranche 3”) became available to the Company after the Tyvaso DPI approval by the FDA through June 30, 2022 (see Note 10 – </w:t>
      </w:r>
      <w:r>
        <w:rPr>
          <w:rFonts w:ascii="Times New Roman" w:cs="Times New Roman" w:eastAsia="Times New Roman" w:hAnsi="Times New Roman"/>
          <w:sz w:val="17"/>
          <w:szCs w:val="17"/>
          <w:i w:val="1"/>
          <w:iCs w:val="1"/>
          <w:color w:val="auto"/>
        </w:rPr>
        <w:t>Collaboration, Licensing and Other Arrangements</w:t>
      </w:r>
      <w:r>
        <w:rPr>
          <w:rFonts w:ascii="Times New Roman" w:cs="Times New Roman" w:eastAsia="Times New Roman" w:hAnsi="Times New Roman"/>
          <w:sz w:val="17"/>
          <w:szCs w:val="17"/>
          <w:color w:val="auto"/>
        </w:rPr>
        <w:t>). The Company did not exercise its right to borrow Tranche 3.</w:t>
      </w:r>
    </w:p>
    <w:p>
      <w:pPr>
        <w:spacing w:after="0" w:line="16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MidCap credit facility has been amended several times, including in April 2021 when the parties agreed to, among other things, (i) increase the amount available under the third advance from $25.0 million to $60.0 million and extend the date through which the third advance is available to June 30, 2022, (ii) amend the conditions to the third advance of $60.0 million being available to draw, including certain milestone conditions associated with Tyvaso DPI, (iii) remove the Company’s obligation to issue a warrant to purchase shares of the Company’s common stock upon drawing down the third advance, (iv) extend the interest-only period until September 1, 2023 and extend the maturity date until August 1, 2025, (v) amend the financial covenant relating to trailing 12 month minimum Afrezza net revenue, (vi) decrease the minimum cash covenant, (vii) decrease the interest rate on any amounts outstanding, now or in the future, under the MidCap credit facility, (viii) permit the Company to make certain acquisitions, subject to requirements, and (ix) permit the Company to make investments of up to an additional $9.0 million so long as the Company has $90.0 million or more of unrestricted cash and short-term investments following such investment. Concurrent with entering into this amendment, the Company made a $10.0 million principal prepayment against outstanding term loans under the MidCap credit facility and paid a related $1.0 million exit fee in lieu of the unaccrued portion of the original exit fee and prepayment penalties that would otherwise have been due with respect to the partial prepayment.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prepayment penalty of $1.0 million related to the payment of $10.0 million was capitalized and will be amortized over the remaining life of the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the unamortized debt discount was $0.3 million and the unamortized prepayment penalty was $0.6 million.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right="340"/>
        <w:spacing w:after="0" w:line="282" w:lineRule="auto"/>
        <w:rPr>
          <w:sz w:val="20"/>
          <w:szCs w:val="20"/>
          <w:color w:val="auto"/>
        </w:rPr>
      </w:pPr>
      <w:r>
        <w:rPr>
          <w:rFonts w:ascii="Times New Roman" w:cs="Times New Roman" w:eastAsia="Times New Roman" w:hAnsi="Times New Roman"/>
          <w:sz w:val="18"/>
          <w:szCs w:val="18"/>
          <w:color w:val="auto"/>
        </w:rPr>
        <w:t>In August 2022, the Company entered into the tenth amendment to the MidCap credit facility to change the benchmark interest rate from LIBOR to the Secured Overnight Financing Rate (“SOFR”).</w:t>
      </w:r>
    </w:p>
    <w:p>
      <w:pPr>
        <w:spacing w:after="0" w:line="162"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Tranche 1 and Tranche 2 accrue interest at an annual rate equal to the lesser of (i) 8.25% and (ii) the one-month SOFR (subject to a one-month SOFR floor of 1.00%) plus 6.25%. Interest on each term loan advance is due and payable monthly in arrears. Principal on each term loan advance under Tranche 1 and Tranche 2 are payable in 24 equal monthly installments beginning September 1, 2023, until paid in full on August 1, 2025. The Company has the option to prepay its existing term loans, in whole or in part, subject to early termination fees in an amount equal to 3.00% of principal prepaid if prepayment occurs on or prior to April 22, 2022; 2.00% of principal prepaid if prepayment occurs on or after April 23, 2022 through and including April 22, 2023; and 1.00% of principal prepaid if prepayment occurs on or after April 23, 2023 through the maturity date.</w:t>
      </w:r>
    </w:p>
    <w:p>
      <w:pPr>
        <w:spacing w:after="0" w:line="18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MidCap credit facility are secured by a security interest on substantially all of its assets, including intellectual property.</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MidCap credit facility, as amended,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unless the Company has $90.0 million or more of unrestricted cash and short-term investments. As of September 30, 2022, the Company was in compliance with the financial covenants.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Mann Group promissory notes </w:t>
      </w:r>
      <w:r>
        <w:rPr>
          <w:rFonts w:ascii="Times New Roman" w:cs="Times New Roman" w:eastAsia="Times New Roman" w:hAnsi="Times New Roman"/>
          <w:sz w:val="18"/>
          <w:szCs w:val="18"/>
          <w:color w:val="auto"/>
        </w:rPr>
        <w:t>— In August 2019, the Company issued a $35.0 million note that is convertible into shares of the Company’s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$2.50 per share (the “Mann Group convertible note”) and issued a non-convertible note to Mann Group in an aggregate principal amount of $35.1 million (the “Mann Group non-convertible note” and, together with the Mann Group convertible note, the “Mann Group promissory notes”) as part of a restructuring of its then existing indebtedness to Mann Group.</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Mann Group promissory notes originally accrued interest at the rate of 7.00% per year on the principal amount, payable quarterly in arrears on the first day of each calendar quarter beginning October 1, 2019. In April 2021, the Company repaid the entire principal amount of $35.1 million outstanding under the Mann Group non-convertible note, together with all accrued and unpaid interest thereon. On the same date, the Company and Mann Group amended the Mann Group convertible note, pursuant to which the parties agreed to (i) reduce the interest rate from 7.0% to 2.5% effective on April 22, 2021, and (ii) extend the maturity date from November 3, 2024 to December 31, 2025.</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The amendment to the Mann Group convertible note resulted in a debt extinguishment with a substantial premium based on the fair value post extinguishment. The fair value in excess of the face amount of $18.4 million contributed to a loss on extinguishment of $22.1 million in the consolidated statement of operations for the year ended December 31, 2021 and resulted in a corresponding debt premium of $22.1 million which was recognized as additional paid-in capital in the consolidated balance sheet as of December 31, 2021. The accounting for the $22.1 million loss on extinguishment did not result in a change in the financial position of the Company. The Company wrote off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debt issuance cost.</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principal and any accrued and unpaid interest under the Mann Group convertible note may be converted, at the option of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convertible note will be payable in kind by adding the amount thereof to the principal amount; provided that with respect to interest accruing from and after January 1, 2021, the Company may, at its option, elect to pay any such interest on any interest payment date, if certain conditions are met, in shares of the Company’s common stock at a price per shall equal to the last reported sale price on the trading day immediately prior to the payment date.</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Mann Group converted $10.0 million of principal and capitalized interest into 4,000,000 shares of common stock. In addition, the Company paid $0.2 million of interest by issuing the Mann Group 57,491 shares of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2021, Mann Group converted $0.4 million of interest and $9.6 million of principal into 4,000,000 shares of common stock.</w:t>
      </w:r>
    </w:p>
    <w:p>
      <w:pPr>
        <w:spacing w:after="0" w:line="157"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 xml:space="preserve">Amortization of debt </w:t>
      </w:r>
      <w:r>
        <w:rPr>
          <w:rFonts w:ascii="Times New Roman" w:cs="Times New Roman" w:eastAsia="Times New Roman" w:hAnsi="Times New Roman"/>
          <w:sz w:val="17"/>
          <w:szCs w:val="17"/>
          <w:color w:val="auto"/>
        </w:rPr>
        <w:t>discount and debt issuance cost related to all borrowings for the three and nine months ended September 30, 2022 and 2021 were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60" w:type="dxa"/>
            <w:vAlign w:val="bottom"/>
            <w:gridSpan w:val="4"/>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3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right="4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3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ind w:right="43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20"/>
                <w:szCs w:val="20"/>
                <w:color w:val="auto"/>
              </w:rPr>
            </w:pPr>
          </w:p>
        </w:tc>
      </w:tr>
    </w:tbl>
    <w:p>
      <w:pPr>
        <w:spacing w:after="0" w:line="23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Milestone Rights </w:t>
      </w:r>
      <w:r>
        <w:rPr>
          <w:rFonts w:ascii="Times New Roman" w:cs="Times New Roman" w:eastAsia="Times New Roman" w:hAnsi="Times New Roman"/>
          <w:sz w:val="18"/>
          <w:szCs w:val="18"/>
          <w:color w:val="auto"/>
        </w:rPr>
        <w:t>— As of September 30, 2022 and December 31, 2021, the remaining Milestone Rights liability balance was $4.8 million and $5.9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which was based on initial fair value estimates calculated using the income approach and reduced by milestone achievement payments made. As of December 31, 2021, the $5.9 million liability consisted of a $1.1 million current liability which was presented as accrued expenses and other current liabilities and a $4.8 million long-term liability which was presented in milestone liabilities in our condensed consolidated balance sheets. As of September 30, 2022, the $4.8 million liability consisted of a $0.9 million current liability which was presented as accrued expenses and other current liabilities and a $3.9 million long-term liability which was presented in milestone liabilities in our condensed consolidated balance sheets.</w:t>
      </w:r>
    </w:p>
    <w:p>
      <w:pPr>
        <w:spacing w:after="0" w:line="25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2022, the Company achieved an Afrezza net sales milestone specified by the Milestone Rights. The carrying value of the Milestone Rights liability related to the $5.0 million payment, which was made in the third quarter of 2022, was approximately $1.1 million and represented the fair value as determined in 2013 (the most recent measurement date).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Collaboration, Licensing and Other Arrangements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collaborations and services for the three and nine months ended September 30, 2022 and 2021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9"/>
                <w:szCs w:val="19"/>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UT CSA Agreement</w:t>
            </w:r>
            <w:r>
              <w:rPr>
                <w:rFonts w:ascii="Times New Roman" w:cs="Times New Roman" w:eastAsia="Times New Roman" w:hAnsi="Times New Roman"/>
                <w:sz w:val="15"/>
                <w:szCs w:val="15"/>
                <w:color w:val="auto"/>
              </w:rPr>
              <w:t>(1)</w:t>
            </w: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9,916</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15,795</w:t>
            </w:r>
          </w:p>
        </w:tc>
        <w:tc>
          <w:tcPr>
            <w:tcW w:w="2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UT License Agreement</w:t>
            </w:r>
            <w:r>
              <w:rPr>
                <w:rFonts w:ascii="Times New Roman" w:cs="Times New Roman" w:eastAsia="Times New Roman" w:hAnsi="Times New Roman"/>
                <w:sz w:val="15"/>
                <w:szCs w:val="15"/>
                <w:color w:val="auto"/>
              </w:rPr>
              <w:t>(2)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33,475</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Vertice Pharma Co-Promotion Agreement</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Cipla License and Distribution Agreement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Receptor CLA</w:t>
            </w:r>
          </w:p>
        </w:tc>
        <w:tc>
          <w:tcPr>
            <w:tcW w:w="2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r>
      <w:tr>
        <w:trPr>
          <w:trHeight w:val="223"/>
        </w:trPr>
        <w:tc>
          <w:tcPr>
            <w:tcW w:w="5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 from collaborations and services</w:t>
            </w: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18,380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-79375</wp:posOffset>
            </wp:positionV>
            <wp:extent cx="3669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ind w:left="380" w:hanging="372"/>
        <w:spacing w:after="0" w:line="186" w:lineRule="auto"/>
        <w:tabs>
          <w:tab w:leader="none" w:pos="38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Amount consists of revenue recognized for Manufacturing Services and sales of product to UT for the periods presented.</w:t>
      </w:r>
    </w:p>
    <w:p>
      <w:pPr>
        <w:spacing w:after="0" w:line="10" w:lineRule="exact"/>
        <w:rPr>
          <w:rFonts w:ascii="Times New Roman" w:cs="Times New Roman" w:eastAsia="Times New Roman" w:hAnsi="Times New Roman"/>
          <w:sz w:val="23"/>
          <w:szCs w:val="23"/>
          <w:color w:val="auto"/>
          <w:vertAlign w:val="superscript"/>
        </w:rPr>
      </w:pPr>
    </w:p>
    <w:p>
      <w:pPr>
        <w:ind w:left="380" w:hanging="372"/>
        <w:spacing w:after="0" w:line="182" w:lineRule="auto"/>
        <w:tabs>
          <w:tab w:leader="none" w:pos="3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Amounts consist of revenue recognized for Next-Gen R&amp;D Services and R&amp;D Services and License for the periods presented.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United Therapeutics License Agreement </w:t>
      </w:r>
      <w:r>
        <w:rPr>
          <w:rFonts w:ascii="Times New Roman" w:cs="Times New Roman" w:eastAsia="Times New Roman" w:hAnsi="Times New Roman"/>
          <w:sz w:val="18"/>
          <w:szCs w:val="18"/>
          <w:color w:val="auto"/>
        </w:rPr>
        <w:t>— In September 2018, the Company and UT entered into an exclusive global license and collaboration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“UT License Agreement”), pursuant to which UT is responsible for global development, regulatory and commercial activities with respect to Tyvaso DPI. The Company is responsible for the manufacturing of Tyvaso DPI.</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5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386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r>
      <w:tr>
        <w:trPr>
          <w:trHeight w:val="22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UT Revenue (in thousands)</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UT CSA Agreement</w:t>
            </w:r>
          </w:p>
        </w:tc>
        <w:tc>
          <w:tcPr>
            <w:tcW w:w="18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9,916</w:t>
            </w:r>
          </w:p>
        </w:tc>
        <w:tc>
          <w:tcPr>
            <w:tcW w:w="6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15,795</w:t>
            </w:r>
          </w:p>
        </w:tc>
        <w:tc>
          <w:tcPr>
            <w:tcW w:w="6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UT License Agreement</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33,475</w:t>
            </w:r>
          </w:p>
        </w:tc>
        <w:tc>
          <w:tcPr>
            <w:tcW w:w="120" w:type="dxa"/>
            <w:vAlign w:val="bottom"/>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Royalties — Collaborations </w:t>
            </w:r>
            <w:r>
              <w:rPr>
                <w:rFonts w:ascii="Times New Roman" w:cs="Times New Roman" w:eastAsia="Times New Roman" w:hAnsi="Times New Roman"/>
                <w:sz w:val="15"/>
                <w:szCs w:val="15"/>
                <w:color w:val="auto"/>
              </w:rPr>
              <w:t>(1)</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 from UT</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-79375</wp:posOffset>
            </wp:positionV>
            <wp:extent cx="35833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380" w:right="240" w:hanging="372"/>
        <w:spacing w:after="0" w:line="210" w:lineRule="auto"/>
        <w:tabs>
          <w:tab w:leader="none" w:pos="38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Amount consists of royalties associated with the UT license Agreement. The current portion of contract assets related to the royalties is included in prepaid expense and other current assets in the condensed consolidated balance sheets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Under the terms of the UT License Agreement, the Company received an upfront payment of $45.0 million in October 2018 and four $12.5 million milestone payments between April 2019 and November 2020. The Company is also entitled to receive low double-digit royalties on net sales of Tyvaso DPI as well as a manufacturing margin on commercial supplies of the product. UT, at its option, may expand the scope of the products covered by the UT License Agreement to include products with certain other active ingredients for the treatment of pulmonary arterial hypertension. Each such optioned product would be subject to UT’s payment to the Company of up to $40.0 million in additional option exercise and development milestone payments, as well as a low double-digit royalty on net sales of any such product.</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August 2021, the Company and UT entered into a CSA, pursuant to which the Company is responsible for manufacturing and supplying to United Therapeutics, and United Therapeutics is responsible for purchasing from the Company on a cost-plus basis, Tyvaso DPI and BluHale inhalation profiling devices, as required for commercial distribution and sale by UT. In addition, UT is responsible for supplying treprostinil at its expense in quantities necessary to enable the Company to manufacture Tyvaso DPI as required by the CSA. Pursuant to the CSA, UT is obligated to reimburse certain pre-production costs incurred by the Company to support the manufacturing and supply of Tyvaso DPI.</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activities and deliverables under the CSA and the current development plan resulted in three distinct performance obligations which include: (1) the license, supply of product to be used in clinical development, and continued development and approval support for Tyvaso DPI (“R&amp;D Services and License”); (2) development activities for the next generation of Next-Gen R&amp;D Services; and (3) a material right associated with future commercial manufacturing and supply of product (“Manufacturing Services”). Following the FDA’s approval of Tyvaso DPI, UT began issuing the Company purchase orders for the supply of product, which represents distinct contracts and performance obligations under ASC 606. Revenue is recognized for the supply of product at a point in time, once control is transferred to UT.</w:t>
      </w:r>
    </w:p>
    <w:p>
      <w:pPr>
        <w:spacing w:after="0" w:line="187"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term of the CSA continues until December 31, 2031 (unless earlier terminated) and is thereafter renewed automatically for additional, successive two-year terms unless (i) UT provides notice to the Company at least 24 months in advance of such renewal that UT does not wish to renew the CSA or (ii) the Company provides notice to UT at least 48 months in advance of such renewal that the Company does not wish to renew the CSA. The Company and UT each have normal and customary termination rights, including termination for material breach that is not cured within a specific timeframe or in the event of liquidation, bankruptcy or insolvency of the other party.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7" w:name="page28"/>
    <w:bookmarkEnd w:id="27"/>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accounted for the contract modification as if it were part of the existing contract since the amendment modified the scope and price of the CSA by extending the term and increasing the occupancy rate. The effect of the modification on the transaction price and on the measure of progress is recognized as an adjustment to revenue as of the date of the modification. The modification did not result in a change to the activities and deliverables under the CSA.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Progress</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vMerge w:val="restart"/>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900" w:type="dxa"/>
            <w:vAlign w:val="bottom"/>
            <w:tcBorders>
              <w:top w:val="single" w:sz="8" w:color="auto"/>
            </w:tcBorders>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Revenue</w:t>
            </w:r>
          </w:p>
        </w:tc>
        <w:tc>
          <w:tcPr>
            <w:tcW w:w="36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Recognition Method</w:t>
            </w:r>
          </w:p>
        </w:tc>
        <w:tc>
          <w:tcPr>
            <w:tcW w:w="160" w:type="dxa"/>
            <w:vAlign w:val="bottom"/>
            <w:vMerge w:val="restart"/>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Allocation</w:t>
            </w:r>
            <w:r>
              <w:rPr>
                <w:rFonts w:ascii="Times New Roman" w:cs="Times New Roman" w:eastAsia="Times New Roman" w:hAnsi="Times New Roman"/>
                <w:sz w:val="12"/>
                <w:szCs w:val="12"/>
                <w:b w:val="1"/>
                <w:bCs w:val="1"/>
                <w:color w:val="auto"/>
              </w:rPr>
              <w:t>(1)</w:t>
            </w:r>
          </w:p>
        </w:tc>
        <w:tc>
          <w:tcPr>
            <w:tcW w:w="36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6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Recognition</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anticipated cash flow</w:t>
            </w:r>
            <w:r>
              <w:rPr>
                <w:rFonts w:ascii="Times New Roman" w:cs="Times New Roman" w:eastAsia="Times New Roman" w:hAnsi="Times New Roman"/>
                <w:sz w:val="15"/>
                <w:szCs w:val="15"/>
                <w:b w:val="1"/>
                <w:bCs w:val="1"/>
                <w:color w:val="auto"/>
              </w:rPr>
              <w:t>(2)</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38"/>
              <w:spacing w:after="0"/>
              <w:rPr>
                <w:sz w:val="20"/>
                <w:szCs w:val="20"/>
                <w:color w:val="auto"/>
              </w:rPr>
            </w:pPr>
            <w:r>
              <w:rPr>
                <w:rFonts w:ascii="Times New Roman" w:cs="Times New Roman" w:eastAsia="Times New Roman" w:hAnsi="Times New Roman"/>
                <w:sz w:val="18"/>
                <w:szCs w:val="18"/>
                <w:color w:val="auto"/>
              </w:rPr>
              <w:t>463.5</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Distinct Performance Obligation</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Services and License</w:t>
            </w:r>
            <w:r>
              <w:rPr>
                <w:rFonts w:ascii="Times New Roman" w:cs="Times New Roman" w:eastAsia="Times New Roman" w:hAnsi="Times New Roman"/>
                <w:sz w:val="15"/>
                <w:szCs w:val="15"/>
                <w:color w:val="auto"/>
              </w:rPr>
              <w:t>(3)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Over time</w:t>
            </w:r>
          </w:p>
        </w:tc>
        <w:tc>
          <w:tcPr>
            <w:tcW w:w="11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Ratably</w:t>
            </w: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Aug 2021 - Oct 2021</w:t>
            </w:r>
          </w:p>
        </w:tc>
        <w:tc>
          <w:tcPr>
            <w:tcW w:w="46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Next-Gen R&amp;D Services</w:t>
            </w:r>
            <w:r>
              <w:rPr>
                <w:rFonts w:ascii="Times New Roman" w:cs="Times New Roman" w:eastAsia="Times New Roman" w:hAnsi="Times New Roman"/>
                <w:sz w:val="15"/>
                <w:szCs w:val="15"/>
                <w:color w:val="auto"/>
              </w:rPr>
              <w:t>(5)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tcPr>
          <w:p>
            <w:pPr>
              <w:spacing w:after="0"/>
              <w:rPr>
                <w:sz w:val="19"/>
                <w:szCs w:val="19"/>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Over time</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Input</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completion of costs</w:t>
            </w:r>
          </w:p>
        </w:tc>
        <w:tc>
          <w:tcPr>
            <w:tcW w:w="4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91"/>
              </w:rPr>
              <w:t>(6)</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Services</w:t>
            </w:r>
            <w:r>
              <w:rPr>
                <w:rFonts w:ascii="Times New Roman" w:cs="Times New Roman" w:eastAsia="Times New Roman" w:hAnsi="Times New Roman"/>
                <w:sz w:val="15"/>
                <w:szCs w:val="15"/>
                <w:color w:val="auto"/>
              </w:rPr>
              <w:t>(7)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8"/>
              </w:rPr>
              <w:t>Point in time</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Transfer of control</w:t>
            </w:r>
          </w:p>
        </w:tc>
        <w:tc>
          <w:tcPr>
            <w:tcW w:w="46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w w:val="91"/>
              </w:rPr>
              <w:t>(8)</w:t>
            </w:r>
          </w:p>
        </w:tc>
        <w:tc>
          <w:tcPr>
            <w:tcW w:w="0" w:type="dxa"/>
            <w:vAlign w:val="bottom"/>
          </w:tcPr>
          <w:p>
            <w:pPr>
              <w:spacing w:after="0"/>
              <w:rPr>
                <w:sz w:val="1"/>
                <w:szCs w:val="1"/>
                <w:color w:val="auto"/>
              </w:rPr>
            </w:pPr>
          </w:p>
        </w:tc>
      </w:tr>
      <w:tr>
        <w:trPr>
          <w:trHeight w:val="117"/>
        </w:trPr>
        <w:tc>
          <w:tcPr>
            <w:tcW w:w="316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_________________________</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80" w:hanging="372"/>
        <w:spacing w:after="0" w:line="182" w:lineRule="auto"/>
        <w:tabs>
          <w:tab w:leader="none" w:pos="38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Allocation is based on management’s assessment of the stand-alone selling price of each performance obligation.</w:t>
      </w:r>
    </w:p>
    <w:p>
      <w:pPr>
        <w:spacing w:after="0" w:line="10" w:lineRule="exact"/>
        <w:rPr>
          <w:rFonts w:ascii="Times New Roman" w:cs="Times New Roman" w:eastAsia="Times New Roman" w:hAnsi="Times New Roman"/>
          <w:sz w:val="23"/>
          <w:szCs w:val="23"/>
          <w:color w:val="auto"/>
          <w:vertAlign w:val="superscript"/>
        </w:rPr>
      </w:pPr>
    </w:p>
    <w:p>
      <w:pPr>
        <w:ind w:left="380" w:right="400" w:hanging="372"/>
        <w:spacing w:after="0" w:line="205" w:lineRule="auto"/>
        <w:tabs>
          <w:tab w:leader="none" w:pos="38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 xml:space="preserve">The total anticipated cash flow includes a transaction price of $64.3 million for the contractual obligations under the CSA for the Manufacturing Services and the Next-Gen R&amp;D Services performance obligations and $399.2 million for future supply of Tyvaso DPI over the remaining </w:t>
      </w:r>
      <w:r>
        <w:rPr>
          <w:rFonts w:ascii="Times New Roman" w:cs="Times New Roman" w:eastAsia="Times New Roman" w:hAnsi="Times New Roman"/>
          <w:sz w:val="17"/>
          <w:szCs w:val="17"/>
          <w:color w:val="auto"/>
        </w:rPr>
        <w:t>term of the CSA.</w:t>
      </w:r>
    </w:p>
    <w:p>
      <w:pPr>
        <w:spacing w:after="0" w:line="82" w:lineRule="exact"/>
        <w:rPr>
          <w:rFonts w:ascii="Times New Roman" w:cs="Times New Roman" w:eastAsia="Times New Roman" w:hAnsi="Times New Roman"/>
          <w:sz w:val="25"/>
          <w:szCs w:val="25"/>
          <w:color w:val="auto"/>
          <w:vertAlign w:val="superscript"/>
        </w:rPr>
      </w:pPr>
    </w:p>
    <w:p>
      <w:pPr>
        <w:ind w:left="380" w:right="320" w:hanging="372"/>
        <w:spacing w:after="0" w:line="225" w:lineRule="auto"/>
        <w:tabs>
          <w:tab w:leader="none" w:pos="38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license for the Company’s IP was considered to be interdependent with the development activities to support approval of Tyvaso DPI. A sales-based royalty is promised in exchange for the IP license; therefore, the royalties associated with the license are excluded from the determination of the transaction price and the Company will recognize revenue as the sale of Tyvaso DPI to a patient occurs.</w:t>
      </w:r>
    </w:p>
    <w:p>
      <w:pPr>
        <w:spacing w:after="0" w:line="91" w:lineRule="exact"/>
        <w:rPr>
          <w:rFonts w:ascii="Times New Roman" w:cs="Times New Roman" w:eastAsia="Times New Roman" w:hAnsi="Times New Roman"/>
          <w:sz w:val="25"/>
          <w:szCs w:val="25"/>
          <w:color w:val="auto"/>
          <w:vertAlign w:val="superscript"/>
        </w:rPr>
      </w:pPr>
    </w:p>
    <w:p>
      <w:pPr>
        <w:ind w:left="380" w:hanging="372"/>
        <w:spacing w:after="0"/>
        <w:tabs>
          <w:tab w:leader="none" w:pos="38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Represents the period when the revenue for the R&amp;D Services performance obligation was recognized.</w:t>
      </w:r>
    </w:p>
    <w:p>
      <w:pPr>
        <w:spacing w:after="0" w:line="91" w:lineRule="exact"/>
        <w:rPr>
          <w:rFonts w:ascii="Times New Roman" w:cs="Times New Roman" w:eastAsia="Times New Roman" w:hAnsi="Times New Roman"/>
          <w:sz w:val="25"/>
          <w:szCs w:val="25"/>
          <w:color w:val="auto"/>
          <w:vertAlign w:val="superscript"/>
        </w:rPr>
      </w:pPr>
    </w:p>
    <w:p>
      <w:pPr>
        <w:ind w:left="380" w:right="20" w:hanging="372"/>
        <w:spacing w:after="0" w:line="218" w:lineRule="auto"/>
        <w:tabs>
          <w:tab w:leader="none" w:pos="38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standalone selling price (“SSP”) for the Next-Gen R&amp;D Services performance obligation was based on industry ratios as well as the Company’s historical R&amp;D projects. The transaction price for the Next-Gen R&amp;D Services was based on fixed consideration which was allocated between performance obligations as discussed in note (2) above.</w:t>
      </w:r>
    </w:p>
    <w:p>
      <w:pPr>
        <w:spacing w:after="0" w:line="88" w:lineRule="exact"/>
        <w:rPr>
          <w:rFonts w:ascii="Times New Roman" w:cs="Times New Roman" w:eastAsia="Times New Roman" w:hAnsi="Times New Roman"/>
          <w:sz w:val="25"/>
          <w:szCs w:val="25"/>
          <w:color w:val="auto"/>
          <w:vertAlign w:val="superscript"/>
        </w:rPr>
      </w:pPr>
    </w:p>
    <w:p>
      <w:pPr>
        <w:ind w:left="380" w:right="100" w:hanging="372"/>
        <w:spacing w:after="0" w:line="225" w:lineRule="auto"/>
        <w:tabs>
          <w:tab w:leader="none" w:pos="38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Next-Gen R&amp;D Services performance obligation will be satisfied over time using the input method based on the costs incurred to date as a percentage of the total estimated costs to fulfill the contract. Incurred cost represents work performed, which corresponds with, and thereby best depicts, the transfer of control to the customer.</w:t>
      </w:r>
    </w:p>
    <w:p>
      <w:pPr>
        <w:spacing w:after="0" w:line="168" w:lineRule="exact"/>
        <w:rPr>
          <w:rFonts w:ascii="Times New Roman" w:cs="Times New Roman" w:eastAsia="Times New Roman" w:hAnsi="Times New Roman"/>
          <w:sz w:val="25"/>
          <w:szCs w:val="25"/>
          <w:color w:val="auto"/>
          <w:vertAlign w:val="superscript"/>
        </w:rPr>
      </w:pPr>
    </w:p>
    <w:p>
      <w:pPr>
        <w:ind w:left="380" w:right="40" w:hanging="372"/>
        <w:spacing w:after="0" w:line="210" w:lineRule="auto"/>
        <w:tabs>
          <w:tab w:leader="none" w:pos="38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Pre-production activities under the CSA, such as facility expansion services and certain other administrative services, were considered bundled services that are part of the Company’s Manufacturing Services performance obligation, given the nature of the Company’s contractual responsibilities and ASC 606 requirements.</w:t>
      </w:r>
    </w:p>
    <w:p>
      <w:pPr>
        <w:spacing w:after="0" w:line="73" w:lineRule="exact"/>
        <w:rPr>
          <w:rFonts w:ascii="Times New Roman" w:cs="Times New Roman" w:eastAsia="Times New Roman" w:hAnsi="Times New Roman"/>
          <w:sz w:val="25"/>
          <w:szCs w:val="25"/>
          <w:color w:val="auto"/>
          <w:vertAlign w:val="superscript"/>
        </w:rPr>
      </w:pPr>
    </w:p>
    <w:p>
      <w:pPr>
        <w:ind w:left="380" w:right="140" w:hanging="372"/>
        <w:spacing w:after="0" w:line="242" w:lineRule="auto"/>
        <w:tabs>
          <w:tab w:leader="none" w:pos="38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Manufacturing Services performance obligation will be recognized as control of manufactured products is transferred to UT. The modification did not result in a cumulative catch-up adjustment as a result of the revenue being deferred for the performance obligations that were affected by the modification. The allocation of the transaction price for the Manufacturing Services includes a material right related to the Company’s estimated production of product in the amount of $144.5 million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The Company will sell product to UT under individual purchase orders, which represent distinct performance obligations. The ultimate cash flows may vary as manufacturing purchase orders are received.</w:t>
      </w:r>
    </w:p>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April 2022, the Company and UT agreed to fund $2.3 million in capital improvements to support commercialization and continuous improvement activities and $0.7 million in the development of alternative manufacturing processes. The Company determined that the capital improvements and continuous improvements should be combined with the manufacturing services performance obligation and the alternative manufacturing processes should be combined with the Next-Gen R&amp;D Services.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8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Progress</w:t>
            </w:r>
          </w:p>
        </w:tc>
        <w:tc>
          <w:tcPr>
            <w:tcW w:w="25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31"/>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vMerge w:val="restart"/>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840" w:type="dxa"/>
            <w:vAlign w:val="bottom"/>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Revenue</w:t>
            </w:r>
          </w:p>
        </w:tc>
        <w:tc>
          <w:tcPr>
            <w:tcW w:w="360" w:type="dxa"/>
            <w:vAlign w:val="bottom"/>
          </w:tcPr>
          <w:p>
            <w:pPr>
              <w:spacing w:after="0"/>
              <w:rPr>
                <w:sz w:val="11"/>
                <w:szCs w:val="11"/>
                <w:color w:val="auto"/>
              </w:rPr>
            </w:pPr>
          </w:p>
        </w:tc>
        <w:tc>
          <w:tcPr>
            <w:tcW w:w="14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Recognition Method</w:t>
            </w:r>
          </w:p>
        </w:tc>
        <w:tc>
          <w:tcPr>
            <w:tcW w:w="1100" w:type="dxa"/>
            <w:vAlign w:val="bottom"/>
            <w:gridSpan w:val="2"/>
            <w:vMerge w:val="continue"/>
          </w:tcPr>
          <w:p>
            <w:pPr>
              <w:spacing w:after="0"/>
              <w:rPr>
                <w:sz w:val="11"/>
                <w:szCs w:val="11"/>
                <w:color w:val="auto"/>
              </w:rPr>
            </w:pPr>
          </w:p>
        </w:tc>
        <w:tc>
          <w:tcPr>
            <w:tcW w:w="2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2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460" w:type="dxa"/>
            <w:vAlign w:val="bottom"/>
            <w:gridSpan w:val="2"/>
            <w:vMerge w:val="continue"/>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Measure</w:t>
            </w:r>
          </w:p>
        </w:tc>
        <w:tc>
          <w:tcPr>
            <w:tcW w:w="25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Recognition</w:t>
            </w:r>
          </w:p>
        </w:tc>
        <w:tc>
          <w:tcPr>
            <w:tcW w:w="0" w:type="dxa"/>
            <w:vAlign w:val="bottom"/>
          </w:tcPr>
          <w:p>
            <w:pPr>
              <w:spacing w:after="0"/>
              <w:rPr>
                <w:sz w:val="1"/>
                <w:szCs w:val="1"/>
                <w:color w:val="auto"/>
              </w:rPr>
            </w:pPr>
          </w:p>
        </w:tc>
      </w:tr>
      <w:tr>
        <w:trPr>
          <w:trHeight w:val="223"/>
        </w:trPr>
        <w:tc>
          <w:tcPr>
            <w:tcW w:w="31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anticipated cash flow</w:t>
            </w:r>
            <w:r>
              <w:rPr>
                <w:rFonts w:ascii="Times New Roman" w:cs="Times New Roman" w:eastAsia="Times New Roman" w:hAnsi="Times New Roman"/>
                <w:sz w:val="15"/>
                <w:szCs w:val="15"/>
                <w:b w:val="1"/>
                <w:bCs w:val="1"/>
                <w:color w:val="auto"/>
              </w:rPr>
              <w:t>(1)</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458"/>
              <w:spacing w:after="0"/>
              <w:rPr>
                <w:sz w:val="20"/>
                <w:szCs w:val="20"/>
                <w:color w:val="auto"/>
              </w:rPr>
            </w:pPr>
            <w:r>
              <w:rPr>
                <w:rFonts w:ascii="Times New Roman" w:cs="Times New Roman" w:eastAsia="Times New Roman" w:hAnsi="Times New Roman"/>
                <w:sz w:val="18"/>
                <w:szCs w:val="18"/>
                <w:color w:val="auto"/>
              </w:rPr>
              <w:t>483.2</w:t>
            </w: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Distinct Performance Obligation</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Services and License</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Over time</w:t>
            </w:r>
          </w:p>
        </w:tc>
        <w:tc>
          <w:tcPr>
            <w:tcW w:w="110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Ratably</w:t>
            </w:r>
          </w:p>
        </w:tc>
        <w:tc>
          <w:tcPr>
            <w:tcW w:w="2540" w:type="dxa"/>
            <w:vAlign w:val="bottom"/>
            <w:gridSpan w:val="2"/>
            <w:shd w:val="clear" w:color="auto" w:fill="CFF0FC"/>
          </w:tcPr>
          <w:p>
            <w:pPr>
              <w:jc w:val="center"/>
              <w:ind w:right="460"/>
              <w:spacing w:after="0"/>
              <w:rPr>
                <w:sz w:val="20"/>
                <w:szCs w:val="20"/>
                <w:color w:val="auto"/>
              </w:rPr>
            </w:pPr>
            <w:r>
              <w:rPr>
                <w:rFonts w:ascii="Times New Roman" w:cs="Times New Roman" w:eastAsia="Times New Roman" w:hAnsi="Times New Roman"/>
                <w:sz w:val="18"/>
                <w:szCs w:val="18"/>
                <w:color w:val="auto"/>
                <w:w w:val="99"/>
              </w:rPr>
              <w:t>Aug 2021 - Oct 2021</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Next-Gen R&amp;D Services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Pr>
          <w:p>
            <w:pPr>
              <w:spacing w:after="0"/>
              <w:rPr>
                <w:sz w:val="19"/>
                <w:szCs w:val="19"/>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Over time</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Input</w:t>
            </w:r>
          </w:p>
        </w:tc>
        <w:tc>
          <w:tcPr>
            <w:tcW w:w="2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 of completion of costs</w:t>
            </w:r>
          </w:p>
        </w:tc>
        <w:tc>
          <w:tcPr>
            <w:tcW w:w="0" w:type="dxa"/>
            <w:vAlign w:val="bottom"/>
          </w:tcPr>
          <w:p>
            <w:pPr>
              <w:spacing w:after="0"/>
              <w:rPr>
                <w:sz w:val="1"/>
                <w:szCs w:val="1"/>
                <w:color w:val="auto"/>
              </w:rPr>
            </w:pPr>
          </w:p>
        </w:tc>
      </w:tr>
      <w:tr>
        <w:trPr>
          <w:trHeight w:val="211"/>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Services and</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8"/>
              </w:rPr>
              <w:t>Point in time</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540" w:type="dxa"/>
            <w:vAlign w:val="bottom"/>
            <w:gridSpan w:val="2"/>
            <w:shd w:val="clear" w:color="auto" w:fill="CFF0FC"/>
          </w:tcPr>
          <w:p>
            <w:pPr>
              <w:jc w:val="center"/>
              <w:ind w:right="460"/>
              <w:spacing w:after="0"/>
              <w:rPr>
                <w:sz w:val="20"/>
                <w:szCs w:val="20"/>
                <w:color w:val="auto"/>
              </w:rPr>
            </w:pPr>
            <w:r>
              <w:rPr>
                <w:rFonts w:ascii="Times New Roman" w:cs="Times New Roman" w:eastAsia="Times New Roman" w:hAnsi="Times New Roman"/>
                <w:sz w:val="18"/>
                <w:szCs w:val="18"/>
                <w:color w:val="auto"/>
                <w:w w:val="99"/>
              </w:rPr>
              <w:t>Transfer of control</w:t>
            </w:r>
          </w:p>
        </w:tc>
        <w:tc>
          <w:tcPr>
            <w:tcW w:w="0" w:type="dxa"/>
            <w:vAlign w:val="bottom"/>
          </w:tcPr>
          <w:p>
            <w:pPr>
              <w:spacing w:after="0"/>
              <w:rPr>
                <w:sz w:val="1"/>
                <w:szCs w:val="1"/>
                <w:color w:val="auto"/>
              </w:rPr>
            </w:pPr>
          </w:p>
        </w:tc>
      </w:tr>
      <w:tr>
        <w:trPr>
          <w:trHeight w:val="234"/>
        </w:trPr>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Product Sales</w:t>
            </w:r>
            <w:r>
              <w:rPr>
                <w:rFonts w:ascii="Times New Roman" w:cs="Times New Roman" w:eastAsia="Times New Roman" w:hAnsi="Times New Roman"/>
                <w:sz w:val="15"/>
                <w:szCs w:val="15"/>
                <w:color w:val="auto"/>
              </w:rPr>
              <w:t>(2)</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presented in the previous modification table above also apply to this modification table unless noted otherwise.</w:t>
      </w:r>
    </w:p>
    <w:p>
      <w:pPr>
        <w:spacing w:after="0" w:line="26" w:lineRule="exact"/>
        <w:rPr>
          <w:sz w:val="20"/>
          <w:szCs w:val="20"/>
          <w:color w:val="auto"/>
        </w:rPr>
      </w:pPr>
    </w:p>
    <w:p>
      <w:pPr>
        <w:ind w:left="380" w:right="60" w:hanging="372"/>
        <w:spacing w:after="0" w:line="217" w:lineRule="auto"/>
        <w:tabs>
          <w:tab w:leader="none" w:pos="38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 xml:space="preserve">The total anticipated cash flow includes a transaction price of $71.5 million </w:t>
      </w:r>
      <w:r>
        <w:rPr>
          <w:rFonts w:ascii="Times New Roman" w:cs="Times New Roman" w:eastAsia="Times New Roman" w:hAnsi="Times New Roman"/>
          <w:sz w:val="17"/>
          <w:szCs w:val="17"/>
          <w:color w:val="auto"/>
        </w:rPr>
        <w:t>for the contractual obligations under the CSA for the Manufacturing Services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the Next-Gen R&amp;D Services performance obligations and $411.7 million for future supply of Tyvaso DPI over the remaining term of the CSA.</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left="380" w:right="80" w:hanging="372"/>
        <w:spacing w:after="0" w:line="242" w:lineRule="auto"/>
        <w:tabs>
          <w:tab w:leader="none" w:pos="38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Manufacturing Services performance obligation will be recognized as control of manufactured products is transferred to UT. The modification did not result in a cumulative catch-up adjustment as a result of the revenue being deferred for the performance obligations that were affected by the modification. The allocation of the transaction price for the Manufacturing Services includes a material right related to the Company’s estimated production of product in the amount of $150.2 million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The Company will sell product to UT under individual purchase orders, which represent distinct performance obligations. The ultimate cash flows may vary as manufacturing purchase orders are received.</w:t>
      </w:r>
    </w:p>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September 30, 2022, deferred revenue consisted of $32.2 million, of which $1.6 million was classified as current and $30.6 million was classified as long-term on the condensed consolidated balance sheet.</w:t>
      </w:r>
    </w:p>
    <w:p>
      <w:pPr>
        <w:spacing w:after="0" w:line="16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Vertice Pharma Co-Promotion Agreement </w:t>
      </w:r>
      <w:r>
        <w:rPr>
          <w:rFonts w:ascii="Times New Roman" w:cs="Times New Roman" w:eastAsia="Times New Roman" w:hAnsi="Times New Roman"/>
          <w:sz w:val="18"/>
          <w:szCs w:val="18"/>
          <w:color w:val="auto"/>
        </w:rPr>
        <w:t>— In December 2020, the Company entered into a co-promotion agreement with Vertice Pharma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Company’s sales force promoted Thyquidity to adult endocrinologists, pediatric endocrinologists and other healthcare providers who treat hypothyroidism. Following the commercial launch of Thyquidity in February 2021, Vertice Pharma became obligated to pay fixed quarterly payments to the Company, as well as variable consideration based on gross profits resulting from all sales of Thyquidity.</w:t>
      </w:r>
    </w:p>
    <w:p>
      <w:pPr>
        <w:spacing w:after="0" w:line="18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September 2021, the Company and Vertice Pharma mutually agreed that the Company would cease promotional activities under the co-promotion agreement effective September 30, 2021, other than certain transitional activities that continued until October 15, 2021.</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fully reserved $0.8 million of revenue from the co-promotion of Thyquidity, which was recognized as allowance for credit losses and was included in accounts receivable, net in the condensed consolidated balance sheet.</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June 2022, the Company and Vertice Pharma reached a final settlement of all obligations related to the termination of the co-promotion agreement of $0.3 million, which was recognized as revenue from collaboration and services in the Company’s condensed consolidated statement of operations and the balance was written off against the reserve.</w:t>
      </w:r>
    </w:p>
    <w:p>
      <w:pPr>
        <w:spacing w:after="0" w:line="17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Thirona Collaboration Agreement </w:t>
      </w:r>
      <w:r>
        <w:rPr>
          <w:rFonts w:ascii="Times New Roman" w:cs="Times New Roman" w:eastAsia="Times New Roman" w:hAnsi="Times New Roman"/>
          <w:sz w:val="18"/>
          <w:szCs w:val="18"/>
          <w:color w:val="auto"/>
        </w:rPr>
        <w:t>— In June 2021, the Company and Thirona entered into a collaboration agreement to evaluate the therapeutic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Thirona’s compound for the treatment of pulmonary fibrosis. If initial studies are promising, the Company can exercise certain rights to seek a full license to the compound for clinical development and commercialization. The parties will perform their respective obligations and provide reasonable support for research, clinical development and regulatory strategy. The collaboration agreement will be accounted for under ASC 808, Collaborative Agreements; however, no consideration will be exchanged between the parties. The Company will expense the costs incurred as research and development in the condensed consolidated statements of operations.</w:t>
      </w:r>
    </w:p>
    <w:p>
      <w:pPr>
        <w:spacing w:after="0" w:line="18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Biomm Supply and Distribution Agreement </w:t>
      </w:r>
      <w:r>
        <w:rPr>
          <w:rFonts w:ascii="Times New Roman" w:cs="Times New Roman" w:eastAsia="Times New Roman" w:hAnsi="Times New Roman"/>
          <w:sz w:val="18"/>
          <w:szCs w:val="18"/>
          <w:color w:val="auto"/>
        </w:rPr>
        <w:t>— In May 2017, the Company and Biomm entered into a supply and distribution agreement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were received. Biomm commenced product sales in January 2020. There were no shipments of product to Biomm in 2021 or the first nine months of 2022.</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Cipla License and Distribution Agreement </w:t>
      </w:r>
      <w:r>
        <w:rPr>
          <w:rFonts w:ascii="Times New Roman" w:cs="Times New Roman" w:eastAsia="Times New Roman" w:hAnsi="Times New Roman"/>
          <w:sz w:val="18"/>
          <w:szCs w:val="18"/>
          <w:color w:val="auto"/>
        </w:rPr>
        <w:t>— In May 2018, the Company and Cipla Ltd. (“Cipla”) entered into an exclusive agreement for the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distribution of Afrezza in India and the Company received a $2.2 million nonrefundable license fee. Under the terms of the agreement, Cipla is responsible for obtaining regulatory approvals to distribute Afrezza in India and for all marketing and sales activities of Afrezza in India. The Company is responsible for supplying Afrezza to Cipla. The Company has the potential to receive an additional regulatory milestone payment, minimum purchase commitment revenue and royalties on Afrezza sales in India once cumulative gross sales have reached a specified threshold.</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marketing approval. As of September 30, 2022, the deferred revenue balance was $1.6 million, of which $0.2 million is classified as current and $1.4 million is classified as long term in the condensed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9" w:name="page30"/>
    <w:bookmarkEnd w:id="29"/>
    <w:p>
      <w:pPr>
        <w:ind w:right="100"/>
        <w:spacing w:after="0" w:line="282" w:lineRule="auto"/>
        <w:rPr>
          <w:sz w:val="20"/>
          <w:szCs w:val="20"/>
          <w:color w:val="auto"/>
        </w:rPr>
      </w:pPr>
      <w:r>
        <w:rPr>
          <w:rFonts w:ascii="Times New Roman" w:cs="Times New Roman" w:eastAsia="Times New Roman" w:hAnsi="Times New Roman"/>
          <w:sz w:val="18"/>
          <w:szCs w:val="18"/>
          <w:color w:val="auto"/>
        </w:rPr>
        <w:t>price method for estimating the fair value of loans for disclosure purposes. Inputs used in the valuation techniques to derive fair values are classified based on a three-level hierarchy, as follows: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1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financial statements for cash, accounts receivable, accounts payable, and accrued expenses and other current liabilities (excluding the Milestone Rights liability) approximate their fair value due to their relatively short maturities. The fair value of the cash equivalents, long- and short-term investments, MidCap credit facility, Mann Group promissory note, 2024 convertible notes, Senior convertible notes, Milestone Rights liabilities and Financing liability are disclosed below.</w:t>
      </w:r>
    </w:p>
    <w:p>
      <w:pPr>
        <w:spacing w:after="0" w:line="17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Cash equivalents consist of highly liquid investments with original or remaining maturities of 90 days or less at the time of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readily convertible into cash. As of September 30, 2022 and December 31, 2021, the Company held $54.3 million and $124.2 million, respectively, of cash and cash equivalents.</w:t>
      </w:r>
    </w:p>
    <w:p>
      <w:pPr>
        <w:spacing w:after="0" w:line="17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Financial Liabilities </w:t>
      </w:r>
      <w:r>
        <w:rPr>
          <w:rFonts w:ascii="Times New Roman" w:cs="Times New Roman" w:eastAsia="Times New Roman" w:hAnsi="Times New Roman"/>
          <w:sz w:val="18"/>
          <w:szCs w:val="18"/>
          <w:color w:val="auto"/>
        </w:rPr>
        <w:t>— The following tables set forth the fair value of the Company’s financial instruments (Level 3 in the fair value hierarchy)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2"/>
                <w:szCs w:val="12"/>
                <w:color w:val="auto"/>
              </w:rPr>
            </w:pPr>
          </w:p>
        </w:tc>
        <w:tc>
          <w:tcPr>
            <w:tcW w:w="17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80" w:type="dxa"/>
            <w:vAlign w:val="bottom"/>
          </w:tcPr>
          <w:p>
            <w:pPr>
              <w:spacing w:after="0"/>
              <w:rPr>
                <w:sz w:val="12"/>
                <w:szCs w:val="12"/>
                <w:color w:val="auto"/>
              </w:rPr>
            </w:pPr>
          </w:p>
        </w:tc>
        <w:tc>
          <w:tcPr>
            <w:tcW w:w="14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2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15"/>
                <w:szCs w:val="15"/>
                <w:color w:val="auto"/>
              </w:rPr>
              <w:t>(1)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30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MidCap credit facility</w:t>
            </w:r>
            <w:r>
              <w:rPr>
                <w:rFonts w:ascii="Times New Roman" w:cs="Times New Roman" w:eastAsia="Times New Roman" w:hAnsi="Times New Roman"/>
                <w:sz w:val="15"/>
                <w:szCs w:val="15"/>
                <w:color w:val="auto"/>
              </w:rPr>
              <w:t>(2)</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Mann Group convertible note</w:t>
            </w:r>
            <w:r>
              <w:rPr>
                <w:rFonts w:ascii="Times New Roman" w:cs="Times New Roman" w:eastAsia="Times New Roman" w:hAnsi="Times New Roman"/>
                <w:sz w:val="15"/>
                <w:szCs w:val="15"/>
                <w:color w:val="auto"/>
              </w:rPr>
              <w:t>(3)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15"/>
                <w:szCs w:val="15"/>
                <w:color w:val="auto"/>
              </w:rPr>
              <w:t>(4)</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Contingent milestone liability</w:t>
            </w:r>
            <w:r>
              <w:rPr>
                <w:rFonts w:ascii="Times New Roman" w:cs="Times New Roman" w:eastAsia="Times New Roman" w:hAnsi="Times New Roman"/>
                <w:sz w:val="15"/>
                <w:szCs w:val="15"/>
                <w:color w:val="auto"/>
              </w:rPr>
              <w:t>(4)</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574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80" w:right="460" w:hanging="372"/>
        <w:spacing w:after="0" w:line="205" w:lineRule="auto"/>
        <w:tabs>
          <w:tab w:leader="none" w:pos="38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Fair value determined by applying a discounted cash flow analysis to the straight note with a hypothetical yield of 13%, volatility of 74.7% and a Monte Carlo simulation for the value of the conversion feature. A change in yield of + or – 2% would result in a fair value of $196.8 million and $216.2 million, respectively.</w:t>
      </w:r>
    </w:p>
    <w:p>
      <w:pPr>
        <w:ind w:left="380" w:right="340" w:hanging="372"/>
        <w:spacing w:after="0" w:line="206" w:lineRule="auto"/>
        <w:tabs>
          <w:tab w:leader="none" w:pos="38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Fair value determined by applying a discounted cash flow analysis with a hypothetical yield of 12%. A change in yield of + or – 2% would result in a fair value of $39.5 million and $42.1 million, respectively.</w:t>
      </w:r>
    </w:p>
    <w:p>
      <w:pPr>
        <w:ind w:left="380" w:right="20" w:hanging="372"/>
        <w:spacing w:after="0" w:line="222" w:lineRule="auto"/>
        <w:tabs>
          <w:tab w:leader="none" w:pos="38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fair value assessed as of September 30, 2022 was determined by applying a discounted cash flow analysis with a hypothetical yield of 13% and volatility of 75.8% to the straight note and a binomial option pricing model for the value of the conversion feature. A change in yield of + or – 2% would result in a fair value of $12.9 million and $13.7 million, respectively.</w:t>
      </w:r>
    </w:p>
    <w:p>
      <w:pPr>
        <w:spacing w:after="0" w:line="1" w:lineRule="exact"/>
        <w:rPr>
          <w:rFonts w:ascii="Times New Roman" w:cs="Times New Roman" w:eastAsia="Times New Roman" w:hAnsi="Times New Roman"/>
          <w:sz w:val="25"/>
          <w:szCs w:val="25"/>
          <w:color w:val="auto"/>
          <w:vertAlign w:val="superscript"/>
        </w:rPr>
      </w:pPr>
    </w:p>
    <w:p>
      <w:pPr>
        <w:ind w:left="380" w:hanging="372"/>
        <w:spacing w:after="0" w:line="183" w:lineRule="auto"/>
        <w:tabs>
          <w:tab w:leader="none" w:pos="38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Fair value determined by applying a Monte Carlo simulation.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2"/>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2"/>
                <w:szCs w:val="12"/>
                <w:color w:val="auto"/>
              </w:rPr>
            </w:pPr>
          </w:p>
        </w:tc>
        <w:tc>
          <w:tcPr>
            <w:tcW w:w="17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80" w:type="dxa"/>
            <w:vAlign w:val="bottom"/>
          </w:tcPr>
          <w:p>
            <w:pPr>
              <w:spacing w:after="0"/>
              <w:rPr>
                <w:sz w:val="12"/>
                <w:szCs w:val="12"/>
                <w:color w:val="auto"/>
              </w:rPr>
            </w:pPr>
          </w:p>
        </w:tc>
        <w:tc>
          <w:tcPr>
            <w:tcW w:w="14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2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15"/>
                <w:szCs w:val="15"/>
                <w:color w:val="auto"/>
              </w:rPr>
              <w:t>(1)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30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MidCap credit facility</w:t>
            </w:r>
            <w:r>
              <w:rPr>
                <w:rFonts w:ascii="Times New Roman" w:cs="Times New Roman" w:eastAsia="Times New Roman" w:hAnsi="Times New Roman"/>
                <w:sz w:val="15"/>
                <w:szCs w:val="15"/>
                <w:color w:val="auto"/>
              </w:rPr>
              <w:t>(2)</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Mann Group convertible note</w:t>
            </w:r>
            <w:r>
              <w:rPr>
                <w:rFonts w:ascii="Times New Roman" w:cs="Times New Roman" w:eastAsia="Times New Roman" w:hAnsi="Times New Roman"/>
                <w:sz w:val="15"/>
                <w:szCs w:val="15"/>
                <w:color w:val="auto"/>
              </w:rPr>
              <w:t>(3)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15"/>
                <w:szCs w:val="15"/>
                <w:color w:val="auto"/>
              </w:rPr>
              <w:t>(4)</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57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_________________________</w:t>
            </w: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80" w:right="460" w:hanging="372"/>
        <w:spacing w:after="0" w:line="210" w:lineRule="auto"/>
        <w:tabs>
          <w:tab w:leader="none" w:pos="38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Fair value determined by applying a discounted cash flow analysis to the straight note with a hypothetical yield of 12%, volatility of 90% and a Monte Carlo simulation for the value of the conversion feature. A change in yield of + or – 2% would result in a fair value of $226.6 million and $249.4 million, respectively</w:t>
      </w:r>
      <w:r>
        <w:rPr>
          <w:rFonts w:ascii="Times New Roman" w:cs="Times New Roman" w:eastAsia="Times New Roman" w:hAnsi="Times New Roman"/>
          <w:sz w:val="17"/>
          <w:szCs w:val="17"/>
          <w:color w:val="auto"/>
        </w:rPr>
        <w:t>.</w:t>
      </w:r>
    </w:p>
    <w:p>
      <w:pPr>
        <w:ind w:left="380" w:right="340" w:hanging="372"/>
        <w:spacing w:after="0" w:line="203" w:lineRule="auto"/>
        <w:tabs>
          <w:tab w:leader="none" w:pos="38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Fair value determined by applying a discounted cash flow analysis with a hypothetical yield of 10%. A change in yield of + or – 2% would result in a fair value of $39.1 million and $42.7 million, respectively.</w:t>
      </w:r>
    </w:p>
    <w:p>
      <w:pPr>
        <w:ind w:left="380" w:hanging="372"/>
        <w:spacing w:after="0" w:line="231" w:lineRule="auto"/>
        <w:tabs>
          <w:tab w:leader="none" w:pos="38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April 2021 amendment to the Mann Group convertible note resulted in a substantial premium of $22.1 million based on the fair value post modification which was recognized as additional paid-in capital in the condensed consolidated balance sheet as of December 31, 2021. The accounting for the $22.1 million loss on extinguishment did not result in a change in the financial position of the Company. The fair value assessed as of December 31, 2021 was determined by applying a discounted cash flow analysis with a hypothetical yield of 12% and volatility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ind w:left="380" w:right="180"/>
        <w:spacing w:after="0" w:line="269" w:lineRule="auto"/>
        <w:rPr>
          <w:sz w:val="20"/>
          <w:szCs w:val="20"/>
          <w:color w:val="auto"/>
        </w:rPr>
      </w:pPr>
      <w:r>
        <w:rPr>
          <w:rFonts w:ascii="Times New Roman" w:cs="Times New Roman" w:eastAsia="Times New Roman" w:hAnsi="Times New Roman"/>
          <w:sz w:val="16"/>
          <w:szCs w:val="16"/>
          <w:color w:val="auto"/>
        </w:rPr>
        <w:t>of 85% to the straight note and a binomial option pricing model for the value of the conversion feature. A change in yield of + or – 2% would result in a fair value of $36.9 million and $38.8 million, respectively.</w:t>
      </w:r>
    </w:p>
    <w:p>
      <w:pPr>
        <w:ind w:left="380" w:hanging="372"/>
        <w:spacing w:after="0" w:line="184" w:lineRule="auto"/>
        <w:tabs>
          <w:tab w:leader="none" w:pos="38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Fair value determined by applying a Monte Carlo simulation.</w:t>
      </w:r>
    </w:p>
    <w:p>
      <w:pPr>
        <w:spacing w:after="0" w:line="18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The fair value measurement of the Milestone Rights liability is sensitive to the discount rate and the timing of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The Company utilized Monte-Carlo Simulation Method to simulate the Afrezza net sales under a neutral framework to estimate the payment. The Company then discounted the future expected payments at cost of debt with a term equal to the simulated time to payout based on cumulative sales.</w:t>
      </w:r>
    </w:p>
    <w:p>
      <w:pPr>
        <w:spacing w:after="0" w:line="65"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Contingent milestone liability — </w:t>
      </w:r>
      <w:r>
        <w:rPr>
          <w:rFonts w:ascii="Times New Roman" w:cs="Times New Roman" w:eastAsia="Times New Roman" w:hAnsi="Times New Roman"/>
          <w:sz w:val="18"/>
          <w:szCs w:val="18"/>
          <w:color w:val="auto"/>
        </w:rPr>
        <w:t>The acquisition of V-Go on May 31, 2022 resulted in a contingent milestone liability which could result in obligations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seller if certain revenue thresholds are met. The initial fair value of the contingent milestone liability was recorded as an adjustment to the purchase price. Subsequent changes in the fair value are reported in selling, general and administrative expenses.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Financing Liability </w:t>
      </w:r>
      <w:r>
        <w:rPr>
          <w:rFonts w:ascii="Times New Roman" w:cs="Times New Roman" w:eastAsia="Times New Roman" w:hAnsi="Times New Roman"/>
          <w:sz w:val="18"/>
          <w:szCs w:val="18"/>
          <w:color w:val="auto"/>
        </w:rPr>
        <w:t>— The Sale-Leaseback Transaction in November 2021 resulted in a financing liability which is included in our condensed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as a current financing liability of $9.5 million and a long-term financing liability of $94.5 million. The fair value of $103.2 million was determined using level 3 inputs. As of September 30, 2022, the fair value was determined using a discounted cash flow analysis with a hypothetical yield of 10%. As of December 31, 2021, the Company evaluated the fair value of its financing liability and determined that the fair value approximated the carrying value</w:t>
      </w:r>
      <w:r>
        <w:rPr>
          <w:rFonts w:ascii="Times New Roman" w:cs="Times New Roman" w:eastAsia="Times New Roman" w:hAnsi="Times New Roman"/>
          <w:sz w:val="18"/>
          <w:szCs w:val="18"/>
          <w:i w:val="1"/>
          <w:iCs w:val="1"/>
          <w:color w:val="auto"/>
        </w:rPr>
        <w: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Common and Preferred Stock</w:t>
      </w:r>
    </w:p>
    <w:p>
      <w:pPr>
        <w:spacing w:after="0" w:line="116"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400,000,000 shares of common stock, par value $0.01 per share, and 10,000,000 shares of undesignated preferred stock, par value $0.01 per share, issuable in one or more series as designated by the Company’s board of directors. No other class of capital stock is authorized. As of September 30, 2022 and December 31, 2021, 263,156,165 and 251,477,562 shares of common stock, respectively, were issued and outstanding and no shares of preferred stock were outstanding.</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February 2018, the Company entered into a controlled equity offering sales agreement (the “CF Sales Agreement”) with Cantor Fitzgerald &amp; Co. (“Cantor Fitzgerald”), as sales agent, pursuant to which the Company may offer and sell, from time to time, through Cantor Fitzgerald, shares of the Company’s common stock having an aggregate offering price of up to $50.0 million or such other amount as may be permitted by the Sales Agreement. Under the Sales Agreement, Cantor Fitzgerald may sell shares by any method deemed to be an “at-the-market offering” as defined in Rule 415 under the Securities Act of 1933, as amended. For the nine months ended September 30, 2022, the Company sold 5,059,856 shares of common stock at a weighted average purchase price of $3.91 per share for gross proceeds of approximately $19.8 million pursuant to the CF Sales Agreement. For the nine months ended September 30, 2021, the Company sold 578,063 shares of the Company’s common stock at a weighted average purchase price of $3.26 per share for gross proceeds of approximately $1.9 million pursuant to the CF Sales Agreement.</w:t>
      </w:r>
    </w:p>
    <w:p>
      <w:pPr>
        <w:spacing w:after="0" w:line="19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the second quarter of 2022, Mann Group converted $10.0 million of principal and capitalized interest into 4,000,000 shares of common stock. In addition, the Company paid quarterly interest by issuing Mann Group 31,541 shares of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of 2022, the Company paid quarterly interest by issuing Mann Group 25,950 shares of common stock.</w:t>
      </w:r>
    </w:p>
    <w:p>
      <w:pPr>
        <w:spacing w:after="0" w:line="225" w:lineRule="exact"/>
        <w:rPr>
          <w:sz w:val="20"/>
          <w:szCs w:val="20"/>
          <w:color w:val="auto"/>
        </w:rPr>
      </w:pPr>
    </w:p>
    <w:p>
      <w:pPr>
        <w:ind w:right="340"/>
        <w:spacing w:after="0" w:line="313" w:lineRule="auto"/>
        <w:rPr>
          <w:sz w:val="20"/>
          <w:szCs w:val="20"/>
          <w:color w:val="auto"/>
        </w:rPr>
      </w:pPr>
      <w:r>
        <w:rPr>
          <w:rFonts w:ascii="Times New Roman" w:cs="Times New Roman" w:eastAsia="Times New Roman" w:hAnsi="Times New Roman"/>
          <w:sz w:val="18"/>
          <w:szCs w:val="18"/>
          <w:color w:val="auto"/>
        </w:rPr>
        <w:t>For the nine months ended September 30, 2022, the Company received $0.7 million from the market price stock purchase plan (“MPSPP”) for 252,176 shares. The Company received $0.1 million from the MPSPP for 25,000 shares during the three and nine months ended September 30,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shares of common stock issued pursuant to the ESPP, see Note 14 – </w:t>
      </w:r>
      <w:r>
        <w:rPr>
          <w:rFonts w:ascii="Times New Roman" w:cs="Times New Roman" w:eastAsia="Times New Roman" w:hAnsi="Times New Roman"/>
          <w:sz w:val="18"/>
          <w:szCs w:val="18"/>
          <w:i w:val="1"/>
          <w:iCs w:val="1"/>
          <w:color w:val="auto"/>
        </w:rPr>
        <w:t>Stock-Based Compensation Expense.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Common Share (“EPS”)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Basic EPS excludes dilution for potentially dilutive securities and is computed by dividing net income (loss) by the weighted average number of common shares outstanding during the period. Diluted EPS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EPS as they would be antidilutive.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The following tables summarize the components of the basic and diluted EPS computations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8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80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EPS — basic and diluted:</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(numerator)</w:t>
            </w: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(14,432)</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(4,426)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(69,453)</w:t>
            </w: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(52,865)</w:t>
            </w:r>
          </w:p>
        </w:tc>
      </w:tr>
      <w:tr>
        <w:trPr>
          <w:trHeight w:val="229"/>
        </w:trPr>
        <w:tc>
          <w:tcPr>
            <w:tcW w:w="4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Weighted average common shares (denominator)</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249,910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254,974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248,624</w:t>
            </w:r>
          </w:p>
        </w:tc>
        <w:tc>
          <w:tcPr>
            <w:tcW w:w="120" w:type="dxa"/>
            <w:vAlign w:val="bottom"/>
            <w:shd w:val="clear" w:color="auto" w:fill="CFF0FC"/>
          </w:tcPr>
          <w:p>
            <w:pPr>
              <w:spacing w:after="0"/>
              <w:rPr>
                <w:sz w:val="19"/>
                <w:szCs w:val="19"/>
                <w:color w:val="auto"/>
              </w:rPr>
            </w:pPr>
          </w:p>
        </w:tc>
      </w:tr>
      <w:tr>
        <w:trPr>
          <w:trHeight w:val="223"/>
        </w:trPr>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per share</w:t>
            </w:r>
          </w:p>
        </w:tc>
        <w:tc>
          <w:tcPr>
            <w:tcW w:w="10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Common shares issuable represents incremental shares of common stock which consist of stock options, restricted stock units, warrants, and shares that could be issued upon conversion of the Senior convertible notes and the Mann Group convertible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Potentially dilutive securities outstanding that are considered antidilutive are summarized as follows (in shares):</w:t>
      </w:r>
    </w:p>
    <w:p>
      <w:pPr>
        <w:spacing w:after="0" w:line="232"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44,120,463</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44,120,463</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Mann Group convertible notes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3,370,000</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7,370,000</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 and PNQs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9,516,375</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10,910,655</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RSUs and Market RSUs </w:t>
            </w:r>
            <w:r>
              <w:rPr>
                <w:rFonts w:ascii="Times New Roman" w:cs="Times New Roman" w:eastAsia="Times New Roman" w:hAnsi="Times New Roman"/>
                <w:sz w:val="17"/>
                <w:szCs w:val="17"/>
                <w:color w:val="auto"/>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14,784,399</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7,564,632</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124,904</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84,544</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Warrants associated with MidCap credit facility</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1,283,467</w:t>
            </w:r>
          </w:p>
        </w:tc>
        <w:tc>
          <w:tcPr>
            <w:tcW w:w="10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shares</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71,916,141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71,333,761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-79375</wp:posOffset>
            </wp:positionV>
            <wp:extent cx="2168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ind w:left="380" w:right="220" w:hanging="372"/>
        <w:spacing w:after="0" w:line="216" w:lineRule="auto"/>
        <w:tabs>
          <w:tab w:leader="none" w:pos="38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 xml:space="preserve">Market RSUs issued in 2020, 2021 and 2022 are included at the share delivery of 300%, 0% and 100%, respectively, in </w:t>
      </w:r>
      <w:r>
        <w:rPr>
          <w:rFonts w:ascii="Times New Roman" w:cs="Times New Roman" w:eastAsia="Times New Roman" w:hAnsi="Times New Roman"/>
          <w:sz w:val="17"/>
          <w:szCs w:val="17"/>
          <w:color w:val="auto"/>
        </w:rPr>
        <w:t>accordance with a valuation assessment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obtained as of September 30, 2022.</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2022, the Company granted the following awards (in shares):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40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62"/>
        </w:trPr>
        <w:tc>
          <w:tcPr>
            <w:tcW w:w="56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56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60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2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5"/>
                <w:szCs w:val="15"/>
                <w:color w:val="auto"/>
              </w:rPr>
            </w:pPr>
          </w:p>
        </w:tc>
      </w:tr>
      <w:tr>
        <w:trPr>
          <w:trHeight w:val="223"/>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awards: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RSUs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88,415</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2,169,317</w:t>
            </w:r>
          </w:p>
        </w:tc>
        <w:tc>
          <w:tcPr>
            <w:tcW w:w="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904,435</w:t>
            </w:r>
          </w:p>
        </w:tc>
        <w:tc>
          <w:tcPr>
            <w:tcW w:w="4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3,162,167</w:t>
            </w:r>
          </w:p>
        </w:tc>
        <w:tc>
          <w:tcPr>
            <w:tcW w:w="120" w:type="dxa"/>
            <w:vAlign w:val="bottom"/>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Market RSUs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1,359,500</w:t>
            </w:r>
          </w:p>
        </w:tc>
        <w:tc>
          <w:tcPr>
            <w:tcW w:w="3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1,359,500</w:t>
            </w:r>
          </w:p>
        </w:tc>
        <w:tc>
          <w:tcPr>
            <w:tcW w:w="120" w:type="dxa"/>
            <w:vAlign w:val="bottom"/>
            <w:shd w:val="clear" w:color="auto" w:fill="CFF0FC"/>
          </w:tcPr>
          <w:p>
            <w:pPr>
              <w:spacing w:after="0"/>
              <w:rPr>
                <w:sz w:val="19"/>
                <w:szCs w:val="19"/>
                <w:color w:val="auto"/>
              </w:rPr>
            </w:pPr>
          </w:p>
        </w:tc>
      </w:tr>
      <w:tr>
        <w:trPr>
          <w:trHeight w:val="230"/>
        </w:trPr>
        <w:tc>
          <w:tcPr>
            <w:tcW w:w="5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Non-employee director RSUs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360,360</w:t>
            </w:r>
          </w:p>
        </w:tc>
        <w:tc>
          <w:tcPr>
            <w:tcW w:w="360" w:type="dxa"/>
            <w:vAlign w:val="bottom"/>
            <w:tcBorders>
              <w:bottom w:val="single" w:sz="8" w:color="CFF0FC"/>
            </w:tcBorders>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360,360</w:t>
            </w:r>
          </w:p>
        </w:tc>
        <w:tc>
          <w:tcPr>
            <w:tcW w:w="120" w:type="dxa"/>
            <w:vAlign w:val="bottom"/>
            <w:tcBorders>
              <w:bottom w:val="single" w:sz="8" w:color="CFF0FC"/>
            </w:tcBorders>
          </w:tcPr>
          <w:p>
            <w:pPr>
              <w:spacing w:after="0"/>
              <w:rPr>
                <w:sz w:val="19"/>
                <w:szCs w:val="19"/>
                <w:color w:val="auto"/>
              </w:rPr>
            </w:pPr>
          </w:p>
        </w:tc>
      </w:tr>
      <w:tr>
        <w:trPr>
          <w:trHeight w:val="223"/>
        </w:trPr>
        <w:tc>
          <w:tcPr>
            <w:tcW w:w="560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awards</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88,415</w:t>
            </w:r>
          </w:p>
        </w:tc>
        <w:tc>
          <w:tcPr>
            <w:tcW w:w="3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3,889,177</w:t>
            </w:r>
          </w:p>
        </w:tc>
        <w:tc>
          <w:tcPr>
            <w:tcW w:w="3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904,435</w:t>
            </w:r>
          </w:p>
        </w:tc>
        <w:tc>
          <w:tcPr>
            <w:tcW w:w="4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4,882,027</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-79375</wp:posOffset>
            </wp:positionV>
            <wp:extent cx="3505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5" w:lineRule="exact"/>
        <w:rPr>
          <w:sz w:val="20"/>
          <w:szCs w:val="20"/>
          <w:color w:val="auto"/>
        </w:rPr>
      </w:pPr>
    </w:p>
    <w:p>
      <w:pPr>
        <w:ind w:left="380" w:right="160" w:hanging="372"/>
        <w:spacing w:after="0" w:line="210" w:lineRule="auto"/>
        <w:tabs>
          <w:tab w:leader="none" w:pos="38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RSUs had a weighted average grant date fair value of $2.72 per share, of which 12,800 RSUs had a cliff vesting period of three years and 75,615 RSUs had a vesting period of four years.</w:t>
      </w:r>
    </w:p>
    <w:p>
      <w:pPr>
        <w:ind w:left="380" w:right="380" w:hanging="372"/>
        <w:spacing w:after="0" w:line="206" w:lineRule="auto"/>
        <w:tabs>
          <w:tab w:leader="none" w:pos="38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RSUs had a weighted average grant date fair value of $2.95 per share, of which 66,000 had a cliff vesting period of three years and 2,102,717 RSUs had a vesting period of four years.</w:t>
      </w:r>
    </w:p>
    <w:p>
      <w:pPr>
        <w:ind w:left="380" w:right="40" w:hanging="372"/>
        <w:spacing w:after="0" w:line="237" w:lineRule="auto"/>
        <w:tabs>
          <w:tab w:leader="none" w:pos="38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Market RSUs had a grant date fair value of $6.10 per share and will vest on May 10, 2025 provided the closing price of the Company’s common stock on such vesting date is not less than the closing price on May 10, 2022. The number of shares delivered on the vesting date is determined by the percentile ranking of MannKind total shareholder return (TSR) over the period from May 10, 2022 until May 10, 2025 relative to the TSR of the Russell 3000 Pharmaceutical &amp; Biotechnology Index over the same three-year period, as follows: less than 25th percentile=0% of target, 25th percentile=50% of target, 50th percentile=100% of target, 75th percentile=200% of target, 90th percentile or higher=300% maximum. Payout values will be interpolated between the percentile rankings above.</w:t>
      </w:r>
    </w:p>
    <w:p>
      <w:pPr>
        <w:spacing w:after="0" w:line="1" w:lineRule="exact"/>
        <w:rPr>
          <w:rFonts w:ascii="Times New Roman" w:cs="Times New Roman" w:eastAsia="Times New Roman" w:hAnsi="Times New Roman"/>
          <w:sz w:val="25"/>
          <w:szCs w:val="25"/>
          <w:color w:val="auto"/>
          <w:vertAlign w:val="superscript"/>
        </w:rPr>
      </w:pPr>
    </w:p>
    <w:p>
      <w:pPr>
        <w:ind w:left="380" w:right="440" w:hanging="372"/>
        <w:spacing w:after="0" w:line="206" w:lineRule="auto"/>
        <w:tabs>
          <w:tab w:leader="none" w:pos="38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RSUs had a weighted average grant date fair value of $2.95 per share and vested immediately upon grant, but the underlying shares of common stock will not be delivered until there is a separation of service, such as resignation, retirement or death.</w:t>
      </w:r>
    </w:p>
    <w:p>
      <w:pPr>
        <w:ind w:left="380" w:hanging="372"/>
        <w:spacing w:after="0" w:line="206" w:lineRule="auto"/>
        <w:tabs>
          <w:tab w:leader="none" w:pos="38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RSUs had a weighted average grant date fair value of $3.78 per share, of which 357,000 RSUs had a cliff vesting period of two years, 320,400 RSUs had a cliff vesting period of three years, and 227,035 RSUs had a vesting period of four years.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30, 2022, there was $0.9 million of unrecognized stock-based compensation expense related to options and PNQs, which is expected to be recognized over a weighted average period of approximately 2.07 years, and $16.2 million and $13.2 million of unrecognized stock-based compensation expense related to RSUs and Market RSUs, respectively, which is expected to be recognized over a weighted average period of approximately 2.71 and 1.56 years, respectively.</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operations as cost of goods sold, cost of revenue – collaborations and services, research and development and selling, general and administrative expense for the three and nine months ended September 30, 2022 and 2021 was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1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24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options</w:t>
            </w:r>
          </w:p>
        </w:tc>
        <w:tc>
          <w:tcPr>
            <w:tcW w:w="15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3,475</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2,983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20" w:type="dxa"/>
            <w:vAlign w:val="bottom"/>
            <w:shd w:val="clear" w:color="auto" w:fill="CFF0FC"/>
          </w:tcPr>
          <w:p>
            <w:pPr>
              <w:spacing w:after="0"/>
              <w:rPr>
                <w:sz w:val="19"/>
                <w:szCs w:val="19"/>
                <w:color w:val="auto"/>
              </w:rPr>
            </w:pPr>
          </w:p>
        </w:tc>
      </w:tr>
      <w:tr>
        <w:trPr>
          <w:trHeight w:val="230"/>
        </w:trPr>
        <w:tc>
          <w:tcPr>
            <w:tcW w:w="4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bottom w:val="single" w:sz="8" w:color="CFF0FC"/>
            </w:tcBorders>
          </w:tcPr>
          <w:p>
            <w:pPr>
              <w:spacing w:after="0"/>
              <w:rPr>
                <w:sz w:val="19"/>
                <w:szCs w:val="19"/>
                <w:color w:val="auto"/>
              </w:rPr>
            </w:pPr>
          </w:p>
        </w:tc>
      </w:tr>
      <w:tr>
        <w:trPr>
          <w:trHeight w:val="223"/>
        </w:trPr>
        <w:tc>
          <w:tcPr>
            <w:tcW w:w="4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15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3,622</w:t>
            </w:r>
          </w:p>
        </w:tc>
        <w:tc>
          <w:tcPr>
            <w:tcW w:w="2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3,179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provides all employees, including executive officers, the ability to purchase common stock at a discount under the Company’s 2004 employee stock purchase plan (the “ESPP”). The ESPP is designed to comply with Section 423 of the Internal Revenue Code and provides all employees with the opportunity to purchase up to $25,000 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identical to those of all other employees.</w:t>
      </w:r>
    </w:p>
    <w:p>
      <w:pPr>
        <w:spacing w:after="0" w:line="18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issued 531,419 and 527,049 shares of common stock pursuant to the ESPP for the nine months ended September 30, 2022 and 2021, respectively. There were approximately 0.6 million shares of common stock available for issuance under the ESPP as of September 30,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Guarantees and Indemnifications </w:t>
      </w:r>
      <w:r>
        <w:rPr>
          <w:rFonts w:ascii="Times New Roman" w:cs="Times New Roman" w:eastAsia="Times New Roman" w:hAnsi="Times New Roman"/>
          <w:sz w:val="18"/>
          <w:szCs w:val="18"/>
          <w:color w:val="auto"/>
        </w:rPr>
        <w:t>— In the ordinary course of its business, the Company makes certain indemnities, commitments and guarantees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Company is subject to legal proceedings and claims which arise in the ordinary course of its business. As of September 30, 2022,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In July 2013, the Company entered into the Milestone Rights Agreement with the Original Milestone Purchasers, pursuant to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granted the Milestone Rights to receive payments up to $90.0 million upon the occurrence of specified strategic and sales milestones, $60.0 million of which remains payable to the Milestone Purchasers upon achievement of such milestones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As of September 30, 2022, the fair value of the Milestone Rights is recorded in the condensed consolidated balance sheet, including $0.9 million in accrued expenses and other current liabilities and $3.9 million in milestone liabilities.</w:t>
      </w:r>
    </w:p>
    <w:p>
      <w:pPr>
        <w:spacing w:after="0" w:line="18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Sale-Leaseback Transaction</w:t>
      </w:r>
      <w:r>
        <w:rPr>
          <w:rFonts w:ascii="Times New Roman" w:cs="Times New Roman" w:eastAsia="Times New Roman" w:hAnsi="Times New Roman"/>
          <w:sz w:val="18"/>
          <w:szCs w:val="18"/>
          <w:color w:val="auto"/>
        </w:rPr>
        <w:t>— In November 2021, the Company sold the Property to the Purchaser for a sales price of $102.3 million, subject to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conditions contained in a purchase and sale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3" w:name="page34"/>
    <w:bookmarkEnd w:id="33"/>
    <w:p>
      <w:pPr>
        <w:ind w:right="120"/>
        <w:spacing w:after="0" w:line="255"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 2.5% in the second through fifth year of the Lease and (ii) 3% in the sixth and each subsequent year of the Lease, including any renewal term. The Company is responsible for payment of operating expenses, property taxes and insurance for the Property. The Purchaser will hold a security deposit of $2.0 million during the Lease term. Pursuant to the terms of the Lease, the Company has four options to repurchase the Property, in 2026, 2031, 2036 and 2041, for the greater of (i) $102.3 million and (ii) the fair market value of the Property.</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As of September 30, 2022, the related financing liability was $104.0 million, which was recognized in our condensed consolidated balance sheet as $94.5 million of financing liability — long-term and $9.5 million of financing liability — short-term. As of December 31, 2021, the related financing liability was $100.5 million, which was recognized in our condensed consolidated balance sheet as $93.5 million of financing liability — long-term and $7.0 million of financing liability — short-term.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liability information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9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19.1</w:t>
            </w:r>
          </w:p>
        </w:tc>
        <w:tc>
          <w:tcPr>
            <w:tcW w:w="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321"/>
        </w:trPr>
        <w:tc>
          <w:tcPr>
            <w:tcW w:w="4820" w:type="dxa"/>
            <w:vAlign w:val="bottom"/>
          </w:tcPr>
          <w:p>
            <w:pPr>
              <w:spacing w:after="0"/>
              <w:rPr>
                <w:sz w:val="24"/>
                <w:szCs w:val="24"/>
                <w:color w:val="auto"/>
              </w:rPr>
            </w:pPr>
          </w:p>
        </w:tc>
        <w:tc>
          <w:tcPr>
            <w:tcW w:w="248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9"/>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48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48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920" w:type="dxa"/>
            <w:vAlign w:val="bottom"/>
            <w:shd w:val="clear" w:color="auto" w:fill="CFF0FC"/>
          </w:tcPr>
          <w:p>
            <w:pPr>
              <w:jc w:val="right"/>
              <w:ind w:right="76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45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Financing liability payments were as follows (in thousands):</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gridSpan w:val="2"/>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9,778</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10,023</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10,274</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10,539</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92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199,302</w:t>
            </w: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199,091</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242,306</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246,078</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(135,361)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(142,485)</w:t>
            </w: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(3,091)</w:t>
            </w: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financing liability</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104,009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100,502</w:t>
            </w:r>
          </w:p>
        </w:tc>
        <w:tc>
          <w:tcPr>
            <w:tcW w:w="10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 In July 2014, the Company entered into the Insulin Supply Agreement with Amphastar pursuant to which Amphastar manufactures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May 2021, the Company and Amphastar amended the Insulin Supply Agreement to extend the term and restructure the annual purchase commitments. In connection with the amendment, the Company agreed to pay $2.0 million of amendment fees, which were recognized in cost of goods sold for the nine months ended September 30, 2021. The remaining purchase commitments as of September 30, 2022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Borders>
              <w:bottom w:val="single" w:sz="8" w:color="CFF0FC"/>
            </w:tcBorders>
          </w:tcPr>
          <w:p>
            <w:pPr>
              <w:spacing w:after="0"/>
              <w:rPr>
                <w:sz w:val="15"/>
                <w:szCs w:val="15"/>
                <w:color w:val="auto"/>
              </w:rPr>
            </w:pPr>
          </w:p>
        </w:tc>
        <w:tc>
          <w:tcPr>
            <w:tcW w:w="43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3"/>
        </w:trPr>
        <w:tc>
          <w:tcPr>
            <w:tcW w:w="4660" w:type="dxa"/>
            <w:vAlign w:val="bottom"/>
            <w:shd w:val="clear" w:color="auto" w:fill="CFF0FC"/>
          </w:tcPr>
          <w:p>
            <w:pPr>
              <w:jc w:val="right"/>
              <w:ind w:right="4210"/>
              <w:spacing w:after="0"/>
              <w:rPr>
                <w:sz w:val="20"/>
                <w:szCs w:val="20"/>
                <w:color w:val="auto"/>
              </w:rPr>
            </w:pPr>
            <w:r>
              <w:rPr>
                <w:rFonts w:ascii="Times New Roman" w:cs="Times New Roman" w:eastAsia="Times New Roman" w:hAnsi="Times New Roman"/>
                <w:sz w:val="18"/>
                <w:szCs w:val="18"/>
                <w:color w:val="auto"/>
                <w:w w:val="94"/>
              </w:rPr>
              <w:t>2022</w:t>
            </w:r>
          </w:p>
        </w:tc>
        <w:tc>
          <w:tcPr>
            <w:tcW w:w="4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million</w:t>
            </w:r>
          </w:p>
        </w:tc>
      </w:tr>
      <w:tr>
        <w:trPr>
          <w:trHeight w:val="229"/>
        </w:trPr>
        <w:tc>
          <w:tcPr>
            <w:tcW w:w="4660" w:type="dxa"/>
            <w:vAlign w:val="bottom"/>
          </w:tcPr>
          <w:p>
            <w:pPr>
              <w:jc w:val="right"/>
              <w:ind w:right="4210"/>
              <w:spacing w:after="0"/>
              <w:rPr>
                <w:sz w:val="20"/>
                <w:szCs w:val="20"/>
                <w:color w:val="auto"/>
              </w:rPr>
            </w:pPr>
            <w:r>
              <w:rPr>
                <w:rFonts w:ascii="Times New Roman" w:cs="Times New Roman" w:eastAsia="Times New Roman" w:hAnsi="Times New Roman"/>
                <w:sz w:val="18"/>
                <w:szCs w:val="18"/>
                <w:color w:val="auto"/>
                <w:w w:val="94"/>
              </w:rPr>
              <w:t>2023</w:t>
            </w:r>
          </w:p>
        </w:tc>
        <w:tc>
          <w:tcPr>
            <w:tcW w:w="4620" w:type="dxa"/>
            <w:vAlign w:val="bottom"/>
            <w:gridSpan w:val="2"/>
          </w:tcPr>
          <w:p>
            <w:pPr>
              <w:ind w:left="43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million</w:t>
            </w:r>
          </w:p>
        </w:tc>
      </w:tr>
      <w:tr>
        <w:trPr>
          <w:trHeight w:val="229"/>
        </w:trPr>
        <w:tc>
          <w:tcPr>
            <w:tcW w:w="4660" w:type="dxa"/>
            <w:vAlign w:val="bottom"/>
            <w:shd w:val="clear" w:color="auto" w:fill="CFF0FC"/>
          </w:tcPr>
          <w:p>
            <w:pPr>
              <w:jc w:val="right"/>
              <w:ind w:right="4210"/>
              <w:spacing w:after="0"/>
              <w:rPr>
                <w:sz w:val="20"/>
                <w:szCs w:val="20"/>
                <w:color w:val="auto"/>
              </w:rPr>
            </w:pPr>
            <w:r>
              <w:rPr>
                <w:rFonts w:ascii="Times New Roman" w:cs="Times New Roman" w:eastAsia="Times New Roman" w:hAnsi="Times New Roman"/>
                <w:sz w:val="18"/>
                <w:szCs w:val="18"/>
                <w:color w:val="auto"/>
                <w:w w:val="94"/>
              </w:rPr>
              <w:t>2024</w:t>
            </w:r>
          </w:p>
        </w:tc>
        <w:tc>
          <w:tcPr>
            <w:tcW w:w="4620" w:type="dxa"/>
            <w:vAlign w:val="bottom"/>
            <w:gridSpan w:val="2"/>
            <w:shd w:val="clear" w:color="auto" w:fill="CFF0FC"/>
          </w:tcPr>
          <w:p>
            <w:pPr>
              <w:ind w:left="43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 million</w:t>
            </w:r>
          </w:p>
        </w:tc>
      </w:tr>
      <w:tr>
        <w:trPr>
          <w:trHeight w:val="230"/>
        </w:trPr>
        <w:tc>
          <w:tcPr>
            <w:tcW w:w="4660" w:type="dxa"/>
            <w:vAlign w:val="bottom"/>
          </w:tcPr>
          <w:p>
            <w:pPr>
              <w:jc w:val="right"/>
              <w:ind w:right="4210"/>
              <w:spacing w:after="0"/>
              <w:rPr>
                <w:sz w:val="20"/>
                <w:szCs w:val="20"/>
                <w:color w:val="auto"/>
              </w:rPr>
            </w:pPr>
            <w:r>
              <w:rPr>
                <w:rFonts w:ascii="Times New Roman" w:cs="Times New Roman" w:eastAsia="Times New Roman" w:hAnsi="Times New Roman"/>
                <w:sz w:val="18"/>
                <w:szCs w:val="18"/>
                <w:color w:val="auto"/>
                <w:w w:val="94"/>
              </w:rPr>
              <w:t>2025</w:t>
            </w:r>
          </w:p>
        </w:tc>
        <w:tc>
          <w:tcPr>
            <w:tcW w:w="4620" w:type="dxa"/>
            <w:vAlign w:val="bottom"/>
            <w:gridSpan w:val="2"/>
          </w:tcPr>
          <w:p>
            <w:pPr>
              <w:ind w:left="43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million</w:t>
            </w:r>
          </w:p>
        </w:tc>
      </w:tr>
      <w:tr>
        <w:trPr>
          <w:trHeight w:val="229"/>
        </w:trPr>
        <w:tc>
          <w:tcPr>
            <w:tcW w:w="4660" w:type="dxa"/>
            <w:vAlign w:val="bottom"/>
            <w:shd w:val="clear" w:color="auto" w:fill="CFF0FC"/>
          </w:tcPr>
          <w:p>
            <w:pPr>
              <w:jc w:val="right"/>
              <w:ind w:right="4210"/>
              <w:spacing w:after="0"/>
              <w:rPr>
                <w:sz w:val="20"/>
                <w:szCs w:val="20"/>
                <w:color w:val="auto"/>
              </w:rPr>
            </w:pPr>
            <w:r>
              <w:rPr>
                <w:rFonts w:ascii="Times New Roman" w:cs="Times New Roman" w:eastAsia="Times New Roman" w:hAnsi="Times New Roman"/>
                <w:sz w:val="18"/>
                <w:szCs w:val="18"/>
                <w:color w:val="auto"/>
                <w:w w:val="94"/>
              </w:rPr>
              <w:t>2026</w:t>
            </w:r>
          </w:p>
        </w:tc>
        <w:tc>
          <w:tcPr>
            <w:tcW w:w="4620" w:type="dxa"/>
            <w:vAlign w:val="bottom"/>
            <w:gridSpan w:val="2"/>
            <w:shd w:val="clear" w:color="auto" w:fill="CFF0FC"/>
          </w:tcPr>
          <w:p>
            <w:pPr>
              <w:ind w:left="43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 million</w:t>
            </w:r>
          </w:p>
        </w:tc>
      </w:tr>
      <w:tr>
        <w:trPr>
          <w:trHeight w:val="234"/>
        </w:trPr>
        <w:tc>
          <w:tcPr>
            <w:tcW w:w="4660" w:type="dxa"/>
            <w:vAlign w:val="bottom"/>
          </w:tcPr>
          <w:p>
            <w:pPr>
              <w:jc w:val="right"/>
              <w:ind w:right="4210"/>
              <w:spacing w:after="0"/>
              <w:rPr>
                <w:sz w:val="20"/>
                <w:szCs w:val="20"/>
                <w:color w:val="auto"/>
              </w:rPr>
            </w:pPr>
            <w:r>
              <w:rPr>
                <w:rFonts w:ascii="Times New Roman" w:cs="Times New Roman" w:eastAsia="Times New Roman" w:hAnsi="Times New Roman"/>
                <w:sz w:val="18"/>
                <w:szCs w:val="18"/>
                <w:color w:val="auto"/>
                <w:w w:val="94"/>
              </w:rPr>
              <w:t>2027</w:t>
            </w:r>
          </w:p>
        </w:tc>
        <w:tc>
          <w:tcPr>
            <w:tcW w:w="4620" w:type="dxa"/>
            <w:vAlign w:val="bottom"/>
            <w:gridSpan w:val="2"/>
          </w:tcPr>
          <w:p>
            <w:pPr>
              <w:ind w:left="43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million</w:t>
            </w:r>
          </w:p>
        </w:tc>
      </w:tr>
    </w:tbl>
    <w:p>
      <w:pPr>
        <w:spacing w:after="0" w:line="20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the amendment, the term of the Insulin Supply Agreement expires on December 31, 2027,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9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Vehicle Leases – </w:t>
      </w:r>
      <w:r>
        <w:rPr>
          <w:rFonts w:ascii="Times New Roman" w:cs="Times New Roman" w:eastAsia="Times New Roman" w:hAnsi="Times New Roman"/>
          <w:sz w:val="18"/>
          <w:szCs w:val="18"/>
          <w:color w:val="auto"/>
        </w:rPr>
        <w:t>During the second quarter of 2018, the Company entered into a master lease agreement with Enterprise Fleet Management Inc.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85 vehicles were retired and replaced, resulting in a fleet size of 89 vehicles. The Company received proceeds for the gain on the retired vehicles residual value in the amount of $0.5 million, which is included as a reduction to our lease expense. The revised monthly payment inclusive of maintenance fees, insurance and taxes is approximately $0.1 million. The lease expense is included in selling, general and administrative expenses in the condensed consolidated statements of operations.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Office Leases </w:t>
      </w:r>
      <w:r>
        <w:rPr>
          <w:rFonts w:ascii="Times New Roman" w:cs="Times New Roman" w:eastAsia="Times New Roman" w:hAnsi="Times New Roman"/>
          <w:sz w:val="18"/>
          <w:szCs w:val="18"/>
          <w:color w:val="auto"/>
        </w:rPr>
        <w:t>— In May 2017, the Company executed an office lease with Russell Ranch Road II LLC for the Company’s corporate offices in Westlake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Village, California. The office lease commenced in August 2017. The Company agreed to pay initial monthly lease payments of $40,951, subject to 3% annual increases, plus the estimated cost of maintaining the property and common areas by the landlord, with a five-month concession from October 2017 through February 2018. The lease also provides for allowances for tenant alterations and maintenance. The lease expense is included in selling, general and administrative expenses in the condensed consolidated statements of operations.</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November 2017, the Company executed an office lease with Russell Ranch Road II LLC to expand the office space for the Company’s corporate offices in Westlake Village, California which was renewed in April 2022. Pursuant to the renewal, the Company will pay initial monthly payments of $79,543, beginning in February 2023, subject to 3% annual increases, plus the estimated cost of maintaining the property and common areas by the landlord. The Company will receive a six-month concession at the start of the lease extension period on July 31, 2023. The Company has no further right to extend the lease term beyond the Extension Period.</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assumed certain leased real property (the “Marlborough Lease”) pursuant to the APA entered into in May 2022. The Marlborough Lease pertains to certain premises in a building located in Marlborough, Massachusetts. The Company will pay initial monthly payments of $28,895, beginning in June 2022, subject to approximately 3% annual increases through February 28, 2026.</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also acquired rights to a manufacturing service agreement where V-Go are manufactured using Company-owned equipment located at the manufacturing facility. The Company determined that this arrangement results in an embedded lease which grants the Company exclusive use of space within the manufacturing facility. The Company assessed the embedded lease cost to be $14,370 per month through February 28,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information is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60" w:type="dxa"/>
            <w:vAlign w:val="bottom"/>
            <w:gridSpan w:val="4"/>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3540" w:type="dxa"/>
            <w:vAlign w:val="bottom"/>
          </w:tcPr>
          <w:p>
            <w:pPr>
              <w:spacing w:after="0"/>
              <w:rPr>
                <w:sz w:val="19"/>
                <w:szCs w:val="19"/>
                <w:color w:val="auto"/>
              </w:rPr>
            </w:pPr>
          </w:p>
        </w:tc>
        <w:tc>
          <w:tcPr>
            <w:tcW w:w="31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9"/>
                <w:szCs w:val="19"/>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9"/>
                <w:szCs w:val="19"/>
                <w:color w:val="auto"/>
              </w:rPr>
            </w:pPr>
          </w:p>
        </w:tc>
      </w:tr>
      <w:tr>
        <w:trPr>
          <w:trHeight w:val="22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w:t>
            </w:r>
          </w:p>
        </w:tc>
        <w:tc>
          <w:tcPr>
            <w:tcW w:w="2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shd w:val="clear" w:color="auto" w:fill="CFF0FC"/>
          </w:tcPr>
          <w:p>
            <w:pPr>
              <w:spacing w:after="0"/>
              <w:rPr>
                <w:sz w:val="19"/>
                <w:szCs w:val="19"/>
                <w:color w:val="auto"/>
              </w:rPr>
            </w:pPr>
          </w:p>
        </w:tc>
      </w:tr>
      <w:tr>
        <w:trPr>
          <w:trHeight w:val="432"/>
        </w:trPr>
        <w:tc>
          <w:tcPr>
            <w:tcW w:w="35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5"/>
                <w:szCs w:val="15"/>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7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r>
              <w:rPr>
                <w:rFonts w:ascii="Times New Roman" w:cs="Times New Roman" w:eastAsia="Times New Roman" w:hAnsi="Times New Roman"/>
                <w:sz w:val="15"/>
                <w:szCs w:val="15"/>
                <w:color w:val="auto"/>
              </w:rPr>
              <w:t>(1)</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3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80" w:type="dxa"/>
            <w:vAlign w:val="bottom"/>
            <w:tcBorders>
              <w:top w:val="single" w:sz="8" w:color="CFF0FC"/>
            </w:tcBorders>
            <w:shd w:val="clear" w:color="auto" w:fill="CFF0FC"/>
          </w:tcPr>
          <w:p>
            <w:pPr>
              <w:spacing w:after="0"/>
              <w:rPr>
                <w:sz w:val="19"/>
                <w:szCs w:val="19"/>
                <w:color w:val="auto"/>
              </w:rPr>
            </w:pPr>
          </w:p>
        </w:tc>
      </w:tr>
      <w:tr>
        <w:trPr>
          <w:trHeight w:val="162"/>
        </w:trPr>
        <w:tc>
          <w:tcPr>
            <w:tcW w:w="7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2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9"/>
                <w:szCs w:val="19"/>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r>
        <w:trPr>
          <w:trHeight w:val="122"/>
        </w:trPr>
        <w:tc>
          <w:tcPr>
            <w:tcW w:w="73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__________________________________________________</w:t>
            </w:r>
          </w:p>
        </w:tc>
        <w:tc>
          <w:tcPr>
            <w:tcW w:w="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31"/>
        </w:trPr>
        <w:tc>
          <w:tcPr>
            <w:tcW w:w="730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r>
    </w:tbl>
    <w:p>
      <w:pPr>
        <w:ind w:left="380" w:hanging="372"/>
        <w:spacing w:after="0" w:line="182" w:lineRule="auto"/>
        <w:tabs>
          <w:tab w:leader="none" w:pos="38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Operating right-of-use assets related to vehicles, offices and the manufacturing facility are included in other assets in the condensed consolidated balance sheets.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office and vehicle lease payments as of September 30, 2022 and December 31, 2021,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19"/>
                <w:szCs w:val="19"/>
                <w:color w:val="auto"/>
              </w:rPr>
            </w:pPr>
          </w:p>
        </w:tc>
      </w:tr>
      <w:tr>
        <w:trPr>
          <w:trHeight w:val="22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r>
      <w:tr>
        <w:trPr>
          <w:trHeight w:val="22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assessed its position with regards to uncertainty in tax positions and has not recognized a liability for unrecognized tax benefits. The Company does not expect its unrecognized tax benefits to change significantly over the next 12 months. The Company recognizes interest and penalties accrued related to unrecognized tax benefits in income tax expense. During the nine months ended September 30, 2022 the Company did not recognize any interest or penalties. The Company’s tax years since 2017 remain subject to examination by tax authorities.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2021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MannKind focuses on the development and commercialization of therapeutic products for patients with endocrine and orphan lung diseases. We are currently commercializing Afrezza (insulin human) Inhalation Powder, an ultra rapid-acting inhaled insulin indicated to improve glycemic control in adults with diabetes, and the V-Go wearable insulin delivery device, which provides continuous subcutaneous infusion of insulin in adults that require insulin. We also collaborate with third parties to formulate their drugs on our Technosphere drug delivery platform. In May 2022, our partner, United Therapeutics, received approval from the FDA for Tyvaso DPI (treprostinil) inhalation powder, which is indicated for the treatment of pulmonary arterial hypertension and for the treatment of pulmonary hypertension associated with interstitial lung disease. UT began commercializing Tyvaso DPI in June 2022 and is obligated to pay us a royalty on net sales of the product. We also receive a margin on supplies of Tyvaso DPI that we manufacture for UT.</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is subject to significant risks, including but not limited to our ability to commercialize our products successfully as well as our ability to manufacture sufficient quantities of our products and Tyvaso DPI. Other significant risks also include the risks inherent in drug development, clinical trials and the regulatory approval process for our product candidates, which in some cases depends upon the efforts of our partners.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continue to manage the risk to our business posed by the global COVID-19 pandemic. We do not yet know the full extent of potential delays or impacts on our business, our collaboration arrangements, commercialization efforts, healthcare systems or to the global economy as a whole. The COVID-19 pandemic has the potential to have additional adverse impacts on our operations. We will continue to monitor the COVID-19 situation closely.</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September 30, 2022, we had an accumulated deficit of $3.2 billion and a stockholders’ deficit of $237.7 million. Our net loss was $14.4 million and $69.5 million for the three and nine months ended September 30, 2022. To date, we have funded our operations through the sale of convertible debt securities and equity, from the receipt of upfront and milestone payments from certain collaborations, from borrowings, from sales of Afrezza and V-Go, and royalties from UT from the sale of Tyvaso DPI and proceeds of the Sale-Leaseback Transaction.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can be found in Item 7. Management’s Discussion and Analysis of Financial Condition and Results of Operations in our Annual Report. See Note 1 – </w:t>
      </w:r>
      <w:r>
        <w:rPr>
          <w:rFonts w:ascii="Times New Roman" w:cs="Times New Roman" w:eastAsia="Times New Roman" w:hAnsi="Times New Roman"/>
          <w:sz w:val="18"/>
          <w:szCs w:val="18"/>
          <w:i w:val="1"/>
          <w:iCs w:val="1"/>
          <w:color w:val="auto"/>
        </w:rPr>
        <w:t>Description of Business and Significant Accounting Policies</w:t>
      </w:r>
      <w:r>
        <w:rPr>
          <w:rFonts w:ascii="Times New Roman" w:cs="Times New Roman" w:eastAsia="Times New Roman" w:hAnsi="Times New Roman"/>
          <w:sz w:val="18"/>
          <w:szCs w:val="18"/>
          <w:color w:val="auto"/>
        </w:rPr>
        <w:t xml:space="preserve"> in the condensed consolidated financial statements included in Part I – Financial Statements (Unaudited) for descriptions of the new accounting policies and impact of adoption.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continue to experience the impact of the COVID-19 pandemic on our sales activities and Biomm’s ability to market Afrezza in Brazil. In addition, we have increased the safety stock of certain raw materials due to concerns that COVID-19 may impact the supply chain for manufacturing Afrezza, V-Go and Tyvaso DPI.</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manufacturing of Tyvaso DPI may not meet the required demand of our partner, UT. If we fail as an effective manufacturing organization, we may be unable to support commercialization of Tyvaso DPI.</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following tables provide a comparison of the revenue categories for the three and nine months ended September 30, 2022 and 2021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5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20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68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5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revenue from commercial product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28,548</w:t>
            </w:r>
          </w:p>
        </w:tc>
        <w:tc>
          <w:tcPr>
            <w:tcW w:w="320" w:type="dxa"/>
            <w:vAlign w:val="bottom"/>
          </w:tcPr>
          <w:p>
            <w:pPr>
              <w:spacing w:after="0"/>
              <w:rPr>
                <w:sz w:val="19"/>
                <w:szCs w:val="19"/>
                <w:color w:val="auto"/>
              </w:rPr>
            </w:pP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16,335</w:t>
            </w:r>
          </w:p>
        </w:tc>
        <w:tc>
          <w:tcPr>
            <w:tcW w:w="24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1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r>
      <w:tr>
        <w:trPr>
          <w:trHeight w:val="211"/>
        </w:trPr>
        <w:tc>
          <w:tcPr>
            <w:tcW w:w="5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Wholesaler distribution fees, rebates and chargebacks,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4"/>
        </w:trPr>
        <w:tc>
          <w:tcPr>
            <w:tcW w:w="54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product returns and other discounts</w:t>
            </w:r>
          </w:p>
        </w:tc>
        <w:tc>
          <w:tcPr>
            <w:tcW w:w="26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(12,289)</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(6,582)</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16,259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9,753</w:t>
            </w:r>
          </w:p>
        </w:tc>
        <w:tc>
          <w:tcPr>
            <w:tcW w:w="24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5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Gross-to-net revenue adjustment percentage</w:t>
            </w:r>
          </w:p>
        </w:tc>
        <w:tc>
          <w:tcPr>
            <w:tcW w:w="2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Revenue — collaborations and services</w:t>
            </w:r>
          </w:p>
        </w:tc>
        <w:tc>
          <w:tcPr>
            <w:tcW w:w="2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10,346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24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(2,112)</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Royalties — collaborations</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6,220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r>
      <w:tr>
        <w:trPr>
          <w:trHeight w:val="223"/>
        </w:trPr>
        <w:tc>
          <w:tcPr>
            <w:tcW w:w="5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32,825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22,211</w:t>
            </w:r>
          </w:p>
        </w:tc>
        <w:tc>
          <w:tcPr>
            <w:tcW w:w="24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1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2"/>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73"/>
        </w:trPr>
        <w:tc>
          <w:tcPr>
            <w:tcW w:w="5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20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68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revenue from commercial product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46,520</w:t>
            </w:r>
          </w:p>
        </w:tc>
        <w:tc>
          <w:tcPr>
            <w:tcW w:w="24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19,448</w:t>
            </w:r>
          </w:p>
        </w:tc>
        <w:tc>
          <w:tcPr>
            <w:tcW w:w="1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r>
      <w:tr>
        <w:trPr>
          <w:trHeight w:val="211"/>
        </w:trPr>
        <w:tc>
          <w:tcPr>
            <w:tcW w:w="5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Wholesaler distribution fees, rebates and chargebacks,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4"/>
        </w:trPr>
        <w:tc>
          <w:tcPr>
            <w:tcW w:w="54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product returns and other discounts</w:t>
            </w:r>
          </w:p>
        </w:tc>
        <w:tc>
          <w:tcPr>
            <w:tcW w:w="26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(27,161)</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(18,692)</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24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1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Gross-to-net revenue adjustment percentage</w:t>
            </w:r>
          </w:p>
        </w:tc>
        <w:tc>
          <w:tcPr>
            <w:tcW w:w="2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Revenue — collaborations and services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35,099</w:t>
            </w:r>
          </w:p>
        </w:tc>
        <w:tc>
          <w:tcPr>
            <w:tcW w:w="24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(16,719)</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Royalties — collaborations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r>
      <w:tr>
        <w:trPr>
          <w:trHeight w:val="228"/>
        </w:trPr>
        <w:tc>
          <w:tcPr>
            <w:tcW w:w="5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62,927</w:t>
            </w:r>
          </w:p>
        </w:tc>
        <w:tc>
          <w:tcPr>
            <w:tcW w:w="24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-2540</wp:posOffset>
            </wp:positionV>
            <wp:extent cx="1671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-79375</wp:posOffset>
            </wp:positionV>
            <wp:extent cx="1671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Afrezza </w:t>
      </w:r>
      <w:r>
        <w:rPr>
          <w:rFonts w:ascii="Times New Roman" w:cs="Times New Roman" w:eastAsia="Times New Roman" w:hAnsi="Times New Roman"/>
          <w:sz w:val="18"/>
          <w:szCs w:val="18"/>
          <w:color w:val="auto"/>
        </w:rPr>
        <w:t>— Gross revenue from sales of Afrezza increased by $1.5 million, or 9%, for the three months ended September 30, 2022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the prior year. The increase was mainly attributable to increased price (including a more favorable gross-to-net adjustment) and patient demand, partially offset by wholesaler inventory ordering patterns resulting in lower inventory levels for the third quarter of 2022. The gross-to-net adjustment was 39.2% of gross revenue for the three months ended September 30, 2022, compared to 40.3% of gross revenue for the same period in the prior year. The decrease in the gross-to-net percentage was primarily driven by a decrease in co-pay assistance and a decrease in wholesaler distribution fees (as a percentage of gross sales) due to an increased mix of specialty and retail pharmacy sales, partially offset by an increase in anticipated product returns. As a result, net revenue from sales of Afrezza increased by $1.1 million, or 11%, for the three months ended September 30, 2022 compared to the same period in the prior year.</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Gross revenue from sales of Afrezza increased by $4.6 million, or 10%, for the nine months ended September 30, 2022 compared to the same period in the prior year. The increase reflects price (including a more favorable gross-to-net adjustment), higher product demand and a favorable cartridge mix. The gross-to-net adjustment was 38.8% of gross revenue for the nine months ended September 30, 2022, compared to 40.2% of gross revenue for the same period in the prior year. The decrease in the gross-to-net percentage was primarily driven by a decrease in co-pay assistance and a decrease in wholesaler distribution fees (as a percentage of gross sales) due to an increased mix of specialty and retail pharmacy sales, partially offset by an increase in anticipated product returns. As a result, net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8" w:name="page39"/>
    <w:bookmarkEnd w:id="38"/>
    <w:p>
      <w:pPr>
        <w:ind w:right="160"/>
        <w:spacing w:after="0" w:line="282" w:lineRule="auto"/>
        <w:rPr>
          <w:sz w:val="20"/>
          <w:szCs w:val="20"/>
          <w:color w:val="auto"/>
        </w:rPr>
      </w:pPr>
      <w:r>
        <w:rPr>
          <w:rFonts w:ascii="Times New Roman" w:cs="Times New Roman" w:eastAsia="Times New Roman" w:hAnsi="Times New Roman"/>
          <w:sz w:val="18"/>
          <w:szCs w:val="18"/>
          <w:color w:val="auto"/>
        </w:rPr>
        <w:t>revenue from sales of Afrezza increased by $3.5 million, or 13%, for the nine months ended September 30, 2022 compared to the same period in the prior year.</w:t>
      </w:r>
    </w:p>
    <w:p>
      <w:pPr>
        <w:spacing w:after="0" w:line="16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V-Go </w:t>
      </w:r>
      <w:r>
        <w:rPr>
          <w:rFonts w:ascii="Times New Roman" w:cs="Times New Roman" w:eastAsia="Times New Roman" w:hAnsi="Times New Roman"/>
          <w:sz w:val="18"/>
          <w:szCs w:val="18"/>
          <w:color w:val="auto"/>
        </w:rPr>
        <w:t>— The acquisition of V-Go on May 31, 2022 resulted in an increase in gross revenue from commercial product sales of $10.7 million and net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$5.4 million for the three months ended September 30, 2022. The gross-to-net adjustment of 49.4% of gross revenue was mainly attributable to commercial and government rebates and product distribution fees.</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V-Go gross revenue for the nine months ended September 30, 2022 was $14.8 million and net revenue was $7.5 million for the nine months ended September 30, 2022. The gross-to-net adjustment of 49.4% of gross revenue was mainly attributable to commercial and government rebates and product distribution fees.</w:t>
      </w:r>
    </w:p>
    <w:p>
      <w:pPr>
        <w:spacing w:after="0" w:line="1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Collaborations and Services </w:t>
      </w:r>
      <w:r>
        <w:rPr>
          <w:rFonts w:ascii="Times New Roman" w:cs="Times New Roman" w:eastAsia="Times New Roman" w:hAnsi="Times New Roman"/>
          <w:sz w:val="18"/>
          <w:szCs w:val="18"/>
          <w:color w:val="auto"/>
        </w:rPr>
        <w:t>— Net revenue from collaborations and services decreased by $2.1 million, or 17%,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2022 and $16.7 million, or 48%, for the nine months ended September 30, 2022 compared to the same periods in the prior year. The decrease in collaborations and services revenue was primarily attributable to the completion of the R&amp;D Services associated with our collaboration with UT. In August 2021, we entered into a commercial supply agreement with UT (the “CSA”). Revenue associated with the CSA was deferred until we began manufacturing and subsequently selling Tyvaso DPI in June 2022. During the three and nine months ended September 30, 2022, we recognized $9.9 million and $15.8 million, respectively, of revenue under the CSA. We also recognized royalty revenue of $6.2 million and $6.5 million during the three and nine months ended September 30, 2022, respectively. See Note 10 – </w:t>
      </w:r>
      <w:r>
        <w:rPr>
          <w:rFonts w:ascii="Times New Roman" w:cs="Times New Roman" w:eastAsia="Times New Roman" w:hAnsi="Times New Roman"/>
          <w:sz w:val="18"/>
          <w:szCs w:val="18"/>
          <w:i w:val="1"/>
          <w:iCs w:val="1"/>
          <w:color w:val="auto"/>
        </w:rPr>
        <w:t>Collaboration, Licensing and Other Arrangements</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product gross profit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 comparison of the commercial product gross profit categories for the three and nine months ended September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80" w:type="dxa"/>
            <w:vAlign w:val="bottom"/>
            <w:gridSpan w:val="10"/>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4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4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29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4"/>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gridSpan w:val="2"/>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1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140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16,259</w:t>
            </w:r>
          </w:p>
        </w:tc>
        <w:tc>
          <w:tcPr>
            <w:tcW w:w="260" w:type="dxa"/>
            <w:vAlign w:val="bottom"/>
          </w:tcPr>
          <w:p>
            <w:pPr>
              <w:spacing w:after="0"/>
              <w:rPr>
                <w:sz w:val="19"/>
                <w:szCs w:val="19"/>
                <w:color w:val="auto"/>
              </w:rPr>
            </w:pPr>
          </w:p>
        </w:tc>
        <w:tc>
          <w:tcPr>
            <w:tcW w:w="36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9,753</w:t>
            </w:r>
          </w:p>
        </w:tc>
        <w:tc>
          <w:tcPr>
            <w:tcW w:w="240" w:type="dxa"/>
            <w:vAlign w:val="bottom"/>
          </w:tcPr>
          <w:p>
            <w:pPr>
              <w:spacing w:after="0"/>
              <w:rPr>
                <w:sz w:val="19"/>
                <w:szCs w:val="19"/>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cost of goods sold</w:t>
            </w: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3,812</w:t>
            </w:r>
          </w:p>
        </w:tc>
        <w:tc>
          <w:tcPr>
            <w:tcW w:w="24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1,209</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63"/>
        </w:trPr>
        <w:tc>
          <w:tcPr>
            <w:tcW w:w="43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11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2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5,941</w:t>
            </w:r>
          </w:p>
        </w:tc>
        <w:tc>
          <w:tcPr>
            <w:tcW w:w="240" w:type="dxa"/>
            <w:vAlign w:val="bottom"/>
            <w:tcBorders>
              <w:bottom w:val="single" w:sz="8" w:color="CFF0FC"/>
            </w:tcBorders>
          </w:tcPr>
          <w:p>
            <w:pPr>
              <w:spacing w:after="0"/>
              <w:rPr>
                <w:sz w:val="22"/>
                <w:szCs w:val="22"/>
                <w:color w:val="auto"/>
              </w:rPr>
            </w:pPr>
          </w:p>
        </w:tc>
        <w:tc>
          <w:tcPr>
            <w:tcW w:w="340" w:type="dxa"/>
            <w:vAlign w:val="bottom"/>
            <w:tcBorders>
              <w:bottom w:val="single" w:sz="8" w:color="CFF0FC"/>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5,297</w:t>
            </w:r>
          </w:p>
        </w:tc>
        <w:tc>
          <w:tcPr>
            <w:tcW w:w="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500" w:type="dxa"/>
            <w:vAlign w:val="bottom"/>
            <w:tcBorders>
              <w:bottom w:val="single" w:sz="8" w:color="CFF0FC"/>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10"/>
        </w:trPr>
        <w:tc>
          <w:tcPr>
            <w:tcW w:w="43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Gross margin</w:t>
            </w: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353"/>
        </w:trPr>
        <w:tc>
          <w:tcPr>
            <w:tcW w:w="4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10"/>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3"/>
        </w:trPr>
        <w:tc>
          <w:tcPr>
            <w:tcW w:w="4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4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3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28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gridSpan w:val="2"/>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1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140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cost of goods sold</w:t>
            </w:r>
          </w:p>
        </w:tc>
        <w:tc>
          <w:tcPr>
            <w:tcW w:w="11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(616)</w:t>
            </w:r>
          </w:p>
        </w:tc>
        <w:tc>
          <w:tcPr>
            <w:tcW w:w="4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43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1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26,885</w:t>
            </w: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4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340" w:type="dxa"/>
            <w:vAlign w:val="bottom"/>
            <w:tcBorders>
              <w:bottom w:val="single" w:sz="8" w:color="CFF0FC"/>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500" w:type="dxa"/>
            <w:vAlign w:val="bottom"/>
            <w:tcBorders>
              <w:bottom w:val="single" w:sz="8" w:color="CFF0FC"/>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43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Gross margin</w:t>
            </w: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19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Afrezza </w:t>
      </w:r>
      <w:r>
        <w:rPr>
          <w:rFonts w:ascii="Times New Roman" w:cs="Times New Roman" w:eastAsia="Times New Roman" w:hAnsi="Times New Roman"/>
          <w:sz w:val="18"/>
          <w:szCs w:val="18"/>
          <w:color w:val="auto"/>
        </w:rPr>
        <w:t>— Commercial product gross profit for Afrezza increased by $2.8 million, or 47%, for the three months ended September 30,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the prior year. Gross margin for the three months ended September 30, 2022 was 81% compared to 61% for the same period in the prior year. The increase in gross profit and gross margin was attributable to an increase in Afrezza sales as well as a decrease in cost of goods sold. Cost of goods sold decreased by $1.7 million, or 45%, for the three months ended September 30, 2022 compared to the same period in the prior year. The decrease in cost of goods sold was primarily attributable to a $2.0 million decrease in excess capacity costs for Afrezza.</w:t>
      </w:r>
    </w:p>
    <w:p>
      <w:pPr>
        <w:spacing w:after="0" w:line="29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Commercial product gross profit for Afrezza increased by $8.3 million, or 54%, for the nine months ended September 30, 2022, compared to the same period in the prior year. Gross margin for the nine months ended September 30, 2022 was 75% compared to 55% for the same period in the prior year. The increase in gross profit and gross margin was attributable to an increase in Afrezza sales as well as a decrease in cost of goods sold. Cost of goods sold decreased by $4.8 million, or 38%, for the nine months ended September 30, 2022 compared to the same period in the prior year. The decrease in cost of goods sold was primarily attributable to a $3.8 million decrease in excess capacity costs in the current period and a $2.0 million fee incurred for the amendment of the Insulin Supply Agreement in the prior year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V-Go </w:t>
      </w:r>
      <w:r>
        <w:rPr>
          <w:rFonts w:ascii="Times New Roman" w:cs="Times New Roman" w:eastAsia="Times New Roman" w:hAnsi="Times New Roman"/>
          <w:sz w:val="18"/>
          <w:szCs w:val="18"/>
          <w:color w:val="auto"/>
        </w:rPr>
        <w:t>— The acquisition of V-Go on May 31, 2022 resulted in an increase in commercial product gross profit of $2.5 million and gross margin of 46%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2022. Gross profit for V-Go was $3.3 million and gross margin was 44% for the nine months ended September 30, 2022.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tables provide a comparison of the expense categories for the three and nine months ended September 30, 2022 and 2021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5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60" w:type="dxa"/>
            <w:vAlign w:val="bottom"/>
          </w:tcPr>
          <w:p>
            <w:pPr>
              <w:spacing w:after="0"/>
              <w:rPr>
                <w:sz w:val="19"/>
                <w:szCs w:val="19"/>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2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 impairment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r>
      <w:tr>
        <w:trPr>
          <w:trHeight w:val="229"/>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foreign currency translation</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(269)</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7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34"/>
        </w:trPr>
        <w:tc>
          <w:tcPr>
            <w:tcW w:w="5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3"/>
        </w:trPr>
        <w:tc>
          <w:tcPr>
            <w:tcW w:w="5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160" w:type="dxa"/>
            <w:vAlign w:val="bottom"/>
          </w:tcPr>
          <w:p>
            <w:pPr>
              <w:spacing w:after="0"/>
              <w:rPr>
                <w:sz w:val="19"/>
                <w:szCs w:val="19"/>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(616)</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14,566</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2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22,698</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2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 impairment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foreign currency translation</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2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(339)</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r>
      <w:tr>
        <w:trPr>
          <w:trHeight w:val="228"/>
        </w:trPr>
        <w:tc>
          <w:tcPr>
            <w:tcW w:w="5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85,981</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29,050</w:t>
            </w:r>
          </w:p>
        </w:tc>
        <w:tc>
          <w:tcPr>
            <w:tcW w:w="2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-2540</wp:posOffset>
            </wp:positionV>
            <wp:extent cx="16027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-79375</wp:posOffset>
            </wp:positionV>
            <wp:extent cx="16027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21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Cost of revenue — collaborations and services increased by $6.4 million, or 105%, for the three months ended September 30, 2022 and $14.6 million, or 98%, for the nine months ended September 30, 2022 compared to the respective periods in the prior year. The increase was attributable to an increase in manufacturing activities for commercial product.</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$0.5 million, or 13%, for the three months ended September 30, 2022 compared to the same period in the prior year. The increase was primarily attributable to personnel costs for headcount hired in the second half of 2021, partially offset by a decrease in the Afrezza pediatrics clinical study (INHALE-1) due to study startup costs incurred in the third quarter of 2021.</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$4.1 million, or 49%, for the nine months ended September 30, 2022 compared to the same period in the prior year. The increase was primarily attributable to personnel costs for headcount hired in the second half of 2021, development activities on our product pipeline, and the Afrezza pediatrics clinical study (INHALE-1).</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Selling expenses increased by $2.7 million, or 25%, for the three months ended September 30, 2022, compared to the same period in the prior year. The increase was primarily attributable to V-Go promotional efforts, elimination of the Thyquidity co-promotion (which permitted some expenses associated with the sales force to be recognized as cost of revenue — collaborations and services in the third quarter of 2021), and net impact of personnel-related costs due to Afrezza sales force restructuring.</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Selling expenses increased by $10.1 million, or 32%, for the nine months ended September 30, 2022, compared to the same period in the prior year. The increase was primarily attributable to a pilot promotional effort aimed at primary care physicians that began in the fourth quarter of 2021, elimination of the Thyquidity co-promotion (which permitted some expenses associated with the sales force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0" w:name="page41"/>
    <w:bookmarkEnd w:id="40"/>
    <w:p>
      <w:pPr>
        <w:ind w:right="80"/>
        <w:spacing w:after="0" w:line="282" w:lineRule="auto"/>
        <w:rPr>
          <w:sz w:val="20"/>
          <w:szCs w:val="20"/>
          <w:color w:val="auto"/>
        </w:rPr>
      </w:pPr>
      <w:r>
        <w:rPr>
          <w:rFonts w:ascii="Times New Roman" w:cs="Times New Roman" w:eastAsia="Times New Roman" w:hAnsi="Times New Roman"/>
          <w:sz w:val="18"/>
          <w:szCs w:val="18"/>
          <w:color w:val="auto"/>
        </w:rPr>
        <w:t>be recognized as cost of revenue — collaborations and services in the same period of 2021), V-Go promotional efforts, and net impact of personnel-related costs due to Afrezza sales force restructuring.</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$2.7 million, or 43%, for the three months ended September 30, 2022, compared to the same period in the prior year. This increase was primarily attributable to higher stock-based compensation, increased headcount and higher professional fees.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$4.5 million, or 20%, for the nine months ended September 30, 2022, compared to the same period in the prior year. This increase was primarily attributable to higher stock-based compensation, increased headcount, and higher professional and consulting fees.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 impairment of $0.1 million was recognized for the three and nine months ended September 30, 2021 for the contract asset associated with variable consideration for gross profits for sales of Thyquidity under Vertice Pharma’s co-promotion agreement. See Note 10 – Collaboration, Licensing and Other Arrangements.</w:t>
      </w:r>
    </w:p>
    <w:p>
      <w:pPr>
        <w:spacing w:after="0" w:line="2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Insulin Supply Agreement with Amphastar, payment obligations are denominated in Euros. We are required to record the foreign currency translation impact of the U.S. dollar to Euro exchange rate associated with the recognized gain or loss on purchase commitments. The foreign currency translation gain was $1.8 million for the three months ended September 30, 2022 compared to $2.1 million for the same period in the prior year. The foreign currency translation gain was $8.3 million for the nine months ended September 30, 2022 compared to $5.0 million for the same period in the prior year.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tables provide a comparison of the other income (expense) categories for the three and nine months ended September 30, 2022 and 2021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5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on notes</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(2,803)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(4,930)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2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r>
      <w:tr>
        <w:trPr>
          <w:trHeight w:val="223"/>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2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7"/>
        </w:trPr>
        <w:tc>
          <w:tcPr>
            <w:tcW w:w="5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3"/>
        </w:trPr>
        <w:tc>
          <w:tcPr>
            <w:tcW w:w="5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2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on notes</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(12,202)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(12,435)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(233)</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28"/>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(29,811)</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(11,678)</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-2540</wp:posOffset>
            </wp:positionV>
            <wp:extent cx="16027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-79375</wp:posOffset>
            </wp:positionV>
            <wp:extent cx="16027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21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Interest income, consisting of interest on investments net of amortization, increased $0.6 million for the three months ended September 30, 2022 and $1.5 million for the nine months ended September 30, 2022 compared to the same periods in the prior year primarily due to higher yields on our marketable securities and money market funds.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Interest expense on financing liability was $2.5 million for the three months ended September 30, 2022 and $7.3 million for the nine months ended September 30, 2022 and represented interest incurred on the Sale-Leaseback Transaction for our manufacturing facility in Danbury, CT, which closed in the fourth quarter of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 xml:space="preserve">Interest expense on notes for the three months ended September 30, 2022 was comparable to the same period in the prior year.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notes decreased $0.2 million, or 2%, for the nine months ended September 30, 2022.</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Gain on extinguishment of debt of $4.9 million for the three months ended September 30, 2021 consisted of the principal amount and related accrued and unpaid interest for our Paycheck Protection Program (“PPP”) loan, which was forgiven by the SBA in July 2021. Loss on extinguishment of debt, net of $17.2 million for the nine months ended September 30, 2021 consisted of $22.1 million loss on extinguishment of debt for the amendment to the Mann Group convertible note, which did not result in a change in our financial position, partially offset by a $4.9 million gain on extinguishment of debt as a result of the SBA’s forgiveness of the PPP loan.</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Other expense or income for the nine months ended September 30, 2022 and 2021 consisted primarily of the loss associated with a foreign currency hedging transaction which was entered into to mitigate our exposure to foreign currency exchange risks associated with our insulin purchase obligation in 2021 under the Insulin Supply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cash equivalents, and investments. Our primary uses of cash include the development of our product pipeline, the manufacturing and marketing of Afrezza, the funding of general and administrative expenses, and interest expense on our financing liability and debt.</w:t>
      </w:r>
    </w:p>
    <w:p>
      <w:pPr>
        <w:spacing w:after="0" w:line="6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To date, we have funded our operations through the sale of equity and convertible debt securities, from the receipt of upfront and milestone payments from certain collaborations, from borrowings, from sales of Afrezza and V-Go, royalties and manufacturing revenue from UT as well as proceeds from the Sale-Leaseback transaction.</w:t>
      </w:r>
    </w:p>
    <w:p>
      <w:pPr>
        <w:spacing w:after="0" w:line="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believe we will be able to meet our liquidity needs over the next twelve months based on the balance of cash, cash equivalents and investments on hand. We believe we will meet longer-term expected future cash requirements and obligations, through a combination of cash and investments on hand, operating activities including manufacturing revenue and royalties from the production and sale of Tyvaso DPI.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we had $278.8 million principal amount of outstanding debt, consisting of:</w:t>
      </w:r>
    </w:p>
    <w:p>
      <w:pPr>
        <w:spacing w:after="0" w:line="117" w:lineRule="exact"/>
        <w:rPr>
          <w:sz w:val="20"/>
          <w:szCs w:val="20"/>
          <w:color w:val="auto"/>
        </w:rPr>
      </w:pPr>
    </w:p>
    <w:p>
      <w:pPr>
        <w:ind w:left="1000" w:right="60" w:hanging="493"/>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$230.0 million aggregate principal amount of Senior convertible notes bearing interest at 2.50% payable semi-annually in arrears on March 1 and September 1 of each year, beginning on September 1, 2021 and maturing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71" w:lineRule="exact"/>
        <w:rPr>
          <w:rFonts w:ascii="Times New Roman" w:cs="Times New Roman" w:eastAsia="Times New Roman" w:hAnsi="Times New Roman"/>
          <w:sz w:val="18"/>
          <w:szCs w:val="18"/>
          <w:color w:val="auto"/>
        </w:rPr>
      </w:pPr>
    </w:p>
    <w:p>
      <w:pPr>
        <w:ind w:left="1000" w:right="200" w:hanging="493"/>
        <w:spacing w:after="0" w:line="25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million principal amount under the MidCap credit facility, bearing interest at an annual rate equal to one-month Secured Overnight Financing Rate (“SOFR”) plus 6.25% (cap of 8.25%), subject to a one-month SOFR floor of 1.00%, payable in equal monthly installments beginning in September 2023 through maturity in August 2025. In August 2022, the Company amended the MidCap credit facility and transitioned the benchmark interest rate from LIBOR to SOFR. The interest rate prior to the amendment was one-month LIBOR (1% floor) plus 6.25% (cap of 8.25%).</w:t>
      </w:r>
    </w:p>
    <w:p>
      <w:pPr>
        <w:spacing w:after="0" w:line="75" w:lineRule="exact"/>
        <w:rPr>
          <w:rFonts w:ascii="Times New Roman" w:cs="Times New Roman" w:eastAsia="Times New Roman" w:hAnsi="Times New Roman"/>
          <w:sz w:val="18"/>
          <w:szCs w:val="18"/>
          <w:color w:val="auto"/>
        </w:rPr>
      </w:pPr>
    </w:p>
    <w:p>
      <w:pPr>
        <w:ind w:left="1000" w:hanging="493"/>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million principal amount of indebtedness under the Mann Group convertible note bearing interest at a fixed rate of 2.50% per annum compounded quarterly and maturing in December 2025, which is convertible into shares of our common stock at the option of Mann Group at a conversion price of $2.50 per share. Interest was paid-in-kind from August 2019 until the end of 2020, after which we have the option to pay interest in-kind or in shares.</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There can be no assurance that we will have sufficient resources to make any required repayments of principal under the Senior convertible notes, the MidCap credit facility or the Mann Group convertible note. The Senior convertible notes and Mann Group convertible note are fully convertible prior to maturity as further disclosed in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date, we have been able to timely make our required interest payments, but we cannot guarantee that we will be able to do so in the future. If we fail to repurchase the Mann Group promissory note,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8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In July 2013, we issued Milestone Rights to the Original Milestone Purchasers. The Milestone Rights were subsequently assigned the Milestone Purchasers. The Milestone Rights provide the Milestone Purchasers certain rights to receive payments of up to $90.0 million upon the occurrence of specified strategic and sales milestones, $60.0 million of which remains payable upon achievement of such milestones as of September 30, 2022. A $5.0 million milestone payment was made in the third quarter of 2022. See Note 15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further information related to the Milestone Rights.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2" w:name="page43"/>
    <w:bookmarkEnd w:id="42"/>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we used $78.3 million of cash for our operating activities, which primarily consisted of $59.1 million of selling, general and administrative expenses, $5.0 million of cost of goods sold, $16.0 million of costs for research and development and $12.0 million of cash paid for interest, partially offset by $63.0 million of revenue.</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2021, we used $49.4 million of cash for our operating activities, which primarily consists of $47.7 million of selling, general and administrative expenses, $25.5 million of cost of goods sold, $7.7 million for research and development and $5.6 million of cash paid for interest, partially offset by $37.6 million of revenue.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of $10.1 million for the nine months ended September 30, 2022 was primarily due to the purchase of $70.1 million of debt securities, the up-front consideration of $15.1 million for certain assets and assumed liabilities related to V-Go and $5.0 million purchase of available-for-sale securities, and $2.5 million purchase of property and equipment, partially offset by the maturity of $82.6 million of debt securities.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of $139.0 million for the nine months ended September 30, 2021 was primarily due to the purchase of $238.4 million of debt securities and $6.3 million purchase of property and equipment, partially offset by the sale of $105.7 million of debt securities.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of $18.6 million for the nine months ended September 30, 2022 was primarily due to net proceeds from at-the-market offering of $19.4 million, partially offset by the milestone payment of $1.1 million.</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of $172.9 million for the nine months ended September 30, 2021 was primarily due to net proceeds from the offering of Senior convertible notes of $222.7 million, partially offset by the repayment of $35.1 million of Mann Group non-convertible notes and related unpaid accrued interest and the repayment of $10.0 million of principal and $1.0 million prepayment penalty for the MidCap credit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Liquidity Needs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not currently profitable and have rarely generated positive net cash flow from operations. In addition, we expect to continue to incur significant expenditures for the foreseeable future in support of our manufacturing operations, sales and marketing costs for our products, and development costs for other product candidates in our pipeline. As of September 30, 2022, we had capital resources of $54.3 million in cash and cash equivalents, $110.7 million in short-term investments, $12.7 million in long-term investments, and total principal amount of outstanding borrowings of $278.8 million.</w:t>
      </w:r>
    </w:p>
    <w:p>
      <w:pPr>
        <w:spacing w:after="0" w:line="18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believe our resources will be sufficient to fund our operations for beyond the next twelve months from the date of issuance of our condensed consolidated financial statements included in Part I – Financial Statements (Unaudited).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and Note 15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 discussion of material changes outside of the ordinary course of business in our contractual obligations from those disclosed within “Management’s Discussion and Analysis of Financial Condition and Results of Operations,” as contained in the Annual Report.</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3" w:name="page44"/>
    <w:bookmarkEnd w:id="43"/>
    <w:p>
      <w:pPr>
        <w:ind w:right="4080"/>
        <w:spacing w:after="0" w:line="377"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Interest Rate Risk</w:t>
      </w:r>
    </w:p>
    <w:p>
      <w:pPr>
        <w:spacing w:after="0" w:line="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Interest on borrowings under the MidCap credit facility accrues interest at an annual rate equal to the lesser of (i) 8.25% and (ii) the one-month SOFR (subject to a one-month SOFR floor of 1.00%) plus 6.25%. Accordingly, our interest expense under the MidCap credit facility is subject to changes in the one-month SOFR rate.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All other debt has fixed interest rates, so the interest expense associated with such debt is not exposed to changes in market interest rates. Specifically, the interest rate on amounts borrowed under the Mann Group promissory note is fixed at 2.50% and the interest rate under the Senior convertible notes is fixed at 2.50%.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information about the principal amount of outstanding debt.</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 10% change in the one-month SOFR interest rates on September 30, 2022 were to have occurred, this change would not have had a material effect on our interest payment obligation.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July 2022, we entered into a 90-day foreign currency hedging transaction to mitigate our exposure to foreign currency exchange risks associated with our insulin purchase obligation under the Insulin Supply Agreement. The hedging transaction hedges against short-term currency fluctuations for the remaining current year purchase obligation under the Insulin Supply Agreement of €2.0 million. We realized a $0.2 million loss during the three months ended September 30, 2022. This amount is recorded in other income and expense.</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three months ended September 30, 2022, we realized a $1.8 million currency gain, which was included in gain on foreign currency translation in the accompanying condensed consolidated statements of operations.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Exchange rate fluctuations may adversely affect our expenses, results of operations, financial position and cash flows. If a change in the U.S. dollar to Euro exchange rate equal to 10% of the U.S. dollar to Euro exchange rate on September 30, 2022 were to have occurred, this change would have resulted in a foreign currency impact to our pre-tax loss of approximately $7.0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(the “Exchange Act”), as of September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September 30, 2022, our Chief Executive Officer and our Chief Financial Officer have concluded, as of such date, that our disclosure controls and procedures were effective.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before making investment decisions regarding our common stock.</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face risks and uncertainties related to our business, many of which are beyond our control. In particular, risks associated with our business include: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1000" w:right="2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that we are commercializing may only achieve a limited degree of commercial success. In addition, the required post-marketing studies of Afrezza will require substantial capital that we may not be able to obtain.</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risks may adversely affect our ability to manufacture our products and could reduce our gross margin and our profitability.</w:t>
      </w:r>
    </w:p>
    <w:p>
      <w:pPr>
        <w:spacing w:after="0" w:line="144" w:lineRule="exact"/>
        <w:rPr>
          <w:rFonts w:ascii="Times New Roman" w:cs="Times New Roman" w:eastAsia="Times New Roman" w:hAnsi="Times New Roman"/>
          <w:sz w:val="18"/>
          <w:szCs w:val="18"/>
          <w:color w:val="auto"/>
        </w:rPr>
      </w:pPr>
    </w:p>
    <w:p>
      <w:pPr>
        <w:ind w:left="1000" w:hanging="493"/>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6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become widely accepted by physicians, patients, third-party payers and the healthcare community, we may be unable to generate significant revenue, if any.</w:t>
      </w:r>
    </w:p>
    <w:p>
      <w:pPr>
        <w:spacing w:after="0" w:line="53"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do not cover our approved products, such products might not be prescribed, used or purchased, which would adversely affect our revenues.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operations.</w:t>
      </w:r>
    </w:p>
    <w:p>
      <w:pPr>
        <w:spacing w:after="0" w:line="144" w:lineRule="exact"/>
        <w:rPr>
          <w:rFonts w:ascii="Times New Roman" w:cs="Times New Roman" w:eastAsia="Times New Roman" w:hAnsi="Times New Roman"/>
          <w:sz w:val="18"/>
          <w:szCs w:val="18"/>
          <w:color w:val="auto"/>
        </w:rPr>
      </w:pPr>
    </w:p>
    <w:p>
      <w:pPr>
        <w:ind w:left="1000" w:right="92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results of operations will fluctuate for the foreseeable future, which may make it difficult to predict our future performance from period to period.</w:t>
      </w:r>
    </w:p>
    <w:p>
      <w:pPr>
        <w:spacing w:after="0" w:line="53" w:lineRule="exact"/>
        <w:rPr>
          <w:rFonts w:ascii="Times New Roman" w:cs="Times New Roman" w:eastAsia="Times New Roman" w:hAnsi="Times New Roman"/>
          <w:sz w:val="18"/>
          <w:szCs w:val="18"/>
          <w:color w:val="auto"/>
        </w:rPr>
      </w:pPr>
    </w:p>
    <w:p>
      <w:pPr>
        <w:jc w:val="both"/>
        <w:ind w:left="1000" w:right="160" w:hanging="493"/>
        <w:spacing w:after="0" w:line="289" w:lineRule="auto"/>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product sales, results of operations and ability to access capital could be adversely affected by the effects of health pandemics or epidemics, including the ongoing COVID-19 pandemic, in regions where we or third parties distribute our products or where we or third parties on which we rely have significant manufacturing facilities, concentrations of clinical trial sites or other business operations.</w:t>
      </w:r>
    </w:p>
    <w:p>
      <w:pPr>
        <w:spacing w:after="0" w:line="49" w:lineRule="exact"/>
        <w:rPr>
          <w:rFonts w:ascii="Times New Roman" w:cs="Times New Roman" w:eastAsia="Times New Roman" w:hAnsi="Times New Roman"/>
          <w:sz w:val="17"/>
          <w:szCs w:val="17"/>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develop and commercialize our product candidates.</w:t>
      </w:r>
    </w:p>
    <w:p>
      <w:pPr>
        <w:spacing w:after="0" w:line="144"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We expect to incur losses in the future and we may not generate positive cash flow from operations in the future.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and we may be unable to make required payments of interest and principal as they become due.</w:t>
      </w:r>
    </w:p>
    <w:p>
      <w:pPr>
        <w:spacing w:after="0" w:line="144"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candidates may be rendered obsolete by rapid technological change.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ind w:left="1000" w:right="48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testing of our products and product candidates may not yield successful results, and even if it does, we may still be unable to successfully commercialize our product candidates.</w:t>
      </w:r>
    </w:p>
    <w:p>
      <w:pPr>
        <w:spacing w:after="0" w:line="53" w:lineRule="exact"/>
        <w:rPr>
          <w:rFonts w:ascii="Times New Roman" w:cs="Times New Roman" w:eastAsia="Times New Roman" w:hAnsi="Times New Roman"/>
          <w:sz w:val="18"/>
          <w:szCs w:val="18"/>
          <w:color w:val="auto"/>
        </w:rPr>
      </w:pPr>
    </w:p>
    <w:p>
      <w:pPr>
        <w:ind w:left="1000" w:right="30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V-Go is not supported by long-term clinical data, which could limit sales and could lead to unforeseen negative effects.</w:t>
      </w:r>
    </w:p>
    <w:p>
      <w:pPr>
        <w:spacing w:after="0" w:line="53" w:lineRule="exact"/>
        <w:rPr>
          <w:rFonts w:ascii="Times New Roman" w:cs="Times New Roman" w:eastAsia="Times New Roman" w:hAnsi="Times New Roman"/>
          <w:sz w:val="18"/>
          <w:szCs w:val="18"/>
          <w:color w:val="auto"/>
        </w:rPr>
      </w:pPr>
    </w:p>
    <w:p>
      <w:pPr>
        <w:ind w:left="1000" w:right="22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undertake internal restructuring activities in the future that could result in disruptions to our business or otherwise materially harm our results of operations or financial condition.</w:t>
      </w:r>
    </w:p>
    <w:p>
      <w:pPr>
        <w:spacing w:after="0" w:line="53" w:lineRule="exact"/>
        <w:rPr>
          <w:rFonts w:ascii="Times New Roman" w:cs="Times New Roman" w:eastAsia="Times New Roman" w:hAnsi="Times New Roman"/>
          <w:sz w:val="18"/>
          <w:szCs w:val="18"/>
          <w:color w:val="auto"/>
        </w:rPr>
      </w:pPr>
    </w:p>
    <w:p>
      <w:pPr>
        <w:ind w:left="1000" w:right="140" w:hanging="493"/>
        <w:spacing w:after="0" w:line="261"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2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21" w:lineRule="exact"/>
        <w:rPr>
          <w:sz w:val="20"/>
          <w:szCs w:val="20"/>
          <w:color w:val="auto"/>
        </w:rPr>
      </w:pPr>
    </w:p>
    <w:p>
      <w:pPr>
        <w:ind w:left="1000" w:right="40" w:hanging="493"/>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7" w:lineRule="exact"/>
        <w:rPr>
          <w:rFonts w:ascii="Times New Roman" w:cs="Times New Roman" w:eastAsia="Times New Roman" w:hAnsi="Times New Roman"/>
          <w:sz w:val="18"/>
          <w:szCs w:val="18"/>
          <w:color w:val="auto"/>
        </w:rPr>
      </w:pPr>
    </w:p>
    <w:p>
      <w:pPr>
        <w:ind w:left="1000" w:right="40" w:hanging="493"/>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ongoing government regulation.</w:t>
      </w:r>
    </w:p>
    <w:p>
      <w:pPr>
        <w:spacing w:after="0" w:line="144" w:lineRule="exact"/>
        <w:rPr>
          <w:rFonts w:ascii="Times New Roman" w:cs="Times New Roman" w:eastAsia="Times New Roman" w:hAnsi="Times New Roman"/>
          <w:sz w:val="18"/>
          <w:szCs w:val="18"/>
          <w:color w:val="auto"/>
        </w:rPr>
      </w:pPr>
    </w:p>
    <w:p>
      <w:pPr>
        <w:ind w:left="1000" w:right="14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53" w:lineRule="exact"/>
        <w:rPr>
          <w:rFonts w:ascii="Times New Roman" w:cs="Times New Roman" w:eastAsia="Times New Roman" w:hAnsi="Times New Roman"/>
          <w:sz w:val="18"/>
          <w:szCs w:val="18"/>
          <w:color w:val="auto"/>
        </w:rPr>
      </w:pPr>
    </w:p>
    <w:p>
      <w:pPr>
        <w:ind w:left="1000" w:right="80" w:hanging="493"/>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2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21" w:lineRule="exact"/>
        <w:rPr>
          <w:sz w:val="20"/>
          <w:szCs w:val="20"/>
          <w:color w:val="auto"/>
        </w:rPr>
      </w:pPr>
    </w:p>
    <w:p>
      <w:pPr>
        <w:ind w:left="1000" w:right="60" w:hanging="493"/>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 and commitments. We may be forced to take other actions to satisfy our obligations or we may experience a financial failure.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and may affect the market price of our common stock and other securities.</w:t>
      </w:r>
    </w:p>
    <w:p>
      <w:pPr>
        <w:spacing w:after="0" w:line="144" w:lineRule="exact"/>
        <w:rPr>
          <w:rFonts w:ascii="Times New Roman" w:cs="Times New Roman" w:eastAsia="Times New Roman" w:hAnsi="Times New Roman"/>
          <w:sz w:val="18"/>
          <w:szCs w:val="18"/>
          <w:color w:val="auto"/>
        </w:rPr>
      </w:pPr>
    </w:p>
    <w:p>
      <w:pPr>
        <w:ind w:left="1000" w:right="300" w:hanging="493"/>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sale of our common stock or the exchange or conversion of our convertible debt into common stock could negatively affect the market price of our common stock and other securities.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ind w:left="1000" w:right="20" w:hanging="493"/>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our common stock in the public market, or the perception that such sales may occur, may depress our stock price and adversely impact the market price of our common stock and other securities.</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economic and geopolitical conditions may have serious adverse consequences on our business, financial condition and stock price.</w:t>
      </w:r>
    </w:p>
    <w:p>
      <w:pPr>
        <w:spacing w:after="0" w:line="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products that we are commercializing may only achieve a limited degree of commercial success. In addition, the required post-marketing studies of Afrezza will require substantial capital that we may not be able to obtain.*</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Successful commercialization of therapeutic products is subject to many risks, including some that are outside our control. There are numerous examples of failures to fully exploit the market potential of therapeutic products, including by pharmaceutical and device companies with more experience and resources than us. We ultimately may be unable to gain widespread market acceptance of our products for a variety of reasons, including the treatment and dosage regimen, potential adverse effects, pricing and availability relative to alternative products and failure by patients to use them as directed, which could limit their effectiveness and could have an adverse impact on repeat use. If we are unable to maintain payer coverage of, and adequate reimbursement for, our products, physicians may limit how much or under what circumstances they will prescribe or administer them. As a result, patients may decline to purchase our products, which would have an adverse effect on our ability to generate revenues. We may need to enhance our commercialization capabilities in order to successfully commercialize our products in the United States, and we may not have sufficient resources to do so. The market for skilled commercial personnel is highly competitive, and we may not be able to hire all of the personnel we need on a timely basis or retain them for a sufficient period.</w:t>
      </w:r>
    </w:p>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are unable to effectively train our sales force and equip them with effective medical and sales materials to help them inform and educate potential customers about the benefits of our products and their proper administration, our efforts to successfully commercialize our products could be put in jeopardy, which would negatively impact our ability to generate product revenues.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to physicians and to ensure that a consistent and appropriate message about Afrezza is being delivered to our potential customers.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responsible for the NDA for Afrezza and its maintenance. We may fail to comply with maintenance requirements, including timely submitting required reports. Further, as part of the approval of Afrezza, the FDA required us to conduct certain additional clinical studies of Afrezza. These studies will require significant capital resources, some of which may not be available to us. We have initiated one of these studies, a Phase 3 clinical trial to evaluate the safety and efficacy of Afrezza in 4-17 year-old children and adolescents. We have engaged a clinical research organization to assist us with conducting this study and have budgeted the projected costs of the study in our operating plans. The other required study is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to address any concerns. To date, we have not commenced a long-term safety study or budgeted any amount for it, but such a study in its original design would be anticipated to require substantial capital resources that we may not be able to obtain.</w:t>
      </w:r>
    </w:p>
    <w:p>
      <w:pPr>
        <w:spacing w:after="0" w:line="18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Any factor that negatively impact sales of our products, or that result in sales of our products increasing at a lower rate than expected, would also negatively impact our prospects for generating significant revenues.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risks may adversely affect our ability to manufacture our products and could reduce our gross margin and our profitability.*</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use our Danbury, Connecticut facility to formulate both the Afrezza and Tyvaso DPI inhalation powders, fill plastic cartridges with the powders, and package the cartridges into secondary packaging. We also assemble the inhalers from their individual molded parts. These semi-finished goods are then assembled into the final kits for commercial sale by a contract packager.</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capacity utilization and yields. We may experience shortages of qualified personnel, which could impact our ability to meet manufacturing requirements. There is also a need to comply with strictly enforced federal, state and foreign regulations, including inspections. Our facility is inspected on a regular basis by the FDA, most recently in July 2021 when the FDA conducted a pre-approval inspection related to Tyvaso DPI and a GMP inspection related to Afrezza. The FDA made one observation during its most recent inspection, which we corrected and addressed with the FDA following the site visit. If the FDA makes any major observations during future inspections, the corrective actions required could be onerous and time-consuming.</w:t>
      </w:r>
    </w:p>
    <w:p>
      <w:pPr>
        <w:spacing w:after="0" w:line="19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Any of these factors could cause us to delay or suspend production, could entail higher costs and may result in our being unable to obtain sufficient quantities for the commercialization of drug products at the costs that we currently anticipate. Furthermore, if we or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8" w:name="page49"/>
    <w:bookmarkEnd w:id="48"/>
    <w:p>
      <w:pPr>
        <w:ind w:right="120"/>
        <w:spacing w:after="0" w:line="261" w:lineRule="auto"/>
        <w:rPr>
          <w:sz w:val="20"/>
          <w:szCs w:val="20"/>
          <w:color w:val="auto"/>
        </w:rPr>
      </w:pPr>
      <w:r>
        <w:rPr>
          <w:rFonts w:ascii="Times New Roman" w:cs="Times New Roman" w:eastAsia="Times New Roman" w:hAnsi="Times New Roman"/>
          <w:sz w:val="18"/>
          <w:szCs w:val="18"/>
          <w:color w:val="auto"/>
        </w:rPr>
        <w:t>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such drug products and we would lose potential revenues.</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addition, we rely on our contract manufacturers in Southern China to manufacture V-Go. Our contract manufacturer uses MannKind-owned custom-designed, semi-automated manufacturing equipment and production lines to meet our quality requirements. Separate contract manufacturers in China perform release testing, sterilization, inspection and packaging functions.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our business is subject to risks associated with doing business in China, including:</w:t>
      </w:r>
    </w:p>
    <w:p>
      <w:pPr>
        <w:spacing w:after="0" w:line="117" w:lineRule="exact"/>
        <w:rPr>
          <w:sz w:val="20"/>
          <w:szCs w:val="20"/>
          <w:color w:val="auto"/>
        </w:rPr>
      </w:pPr>
    </w:p>
    <w:p>
      <w:pPr>
        <w:ind w:left="1000" w:right="60" w:hanging="493"/>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particularly those potentially negatively affecting the trade relationship between the United States and China;</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 increases, and import and export licensing and control requirements;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tax laws;</w:t>
      </w:r>
    </w:p>
    <w:p>
      <w:pPr>
        <w:spacing w:after="0" w:line="117"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the Chinese legal system, including increased costs and uncertainties associated with enforcing contractual obligations in China;</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lower protection of intellectual property rights;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unfavorable changes in regulatory requirements;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volatility in currency exchange rates;</w:t>
      </w:r>
    </w:p>
    <w:p>
      <w:pPr>
        <w:spacing w:after="0" w:line="117"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patient or physician preferences for more established pharmaceutical products and medical devices manufactured in the United States;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relationships and operations generally.</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risks are likely to be exacerbated by our limited experience with V-Go and its manufacturing processes. As demand increases, we will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we may be unable to support commercialization of Tyvaso DPI.</w:t>
      </w:r>
    </w:p>
    <w:p>
      <w:pPr>
        <w:spacing w:after="0" w:line="68"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commercial manufacture of inhaled drug products, we need access to sufficient, reliable and affordable supplies of FDKP, the inhaler, the related cartridges and other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current good manufacturing practices (“cGMP”) for drug products, and the molding of the inhaler and cartridges components in accordance with quality system regulations (“QSRs”).</w:t>
      </w:r>
    </w:p>
    <w:p>
      <w:pPr>
        <w:spacing w:after="0" w:line="18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For V-Go, we obtain parts from a small number of suppliers, including some parts and components that are purchased from single-source vendors. Depending on a limited number of suppliers exposes us to risks, including limited control over pricing, availability, quality and delivery schedules. In addition, we do not have long-term supply agreements with most of our suppliers and, in many cases, we make our purchases on a purchase order basis. Under many of our supply agreements, we have no obligation to buy any given quantity of components, and our suppliers have no obligation to manufacture for us or sell to us any given quantity of components.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Because we do not have long-standing relationships with our suppliers, we may not be able to convince them to continue to make components available to us unless there is demand for such components from their other customers. If any one or more of our suppliers cease to provide us with sufficient quantities of components in a timely manner or on terms acceptable to us, we would have to seek alternative sources of supply. Because of factors such as the proprietary nature of our product, our quality control standards and regulatory requirements, we cannot quickly engage additional or replacement suppliers for some of our critical components.</w:t>
      </w:r>
    </w:p>
    <w:p>
      <w:pPr>
        <w:spacing w:after="0" w:line="183"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We may also have difficulty obtaining similar components from other suppliers that meet the requirements of the FDA or other regulatory agencies. Although we conduct our own inspections and review and/or approve investigations of each supplier, there can be no assurance that the FDA, upon inspection, would find that the supplier substantially complies with the QSR or cGMP requirements,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9" w:name="page50"/>
    <w:bookmarkEnd w:id="49"/>
    <w:p>
      <w:pPr>
        <w:spacing w:after="0" w:line="261" w:lineRule="auto"/>
        <w:rPr>
          <w:sz w:val="20"/>
          <w:szCs w:val="20"/>
          <w:color w:val="auto"/>
        </w:rPr>
      </w:pPr>
      <w:r>
        <w:rPr>
          <w:rFonts w:ascii="Times New Roman" w:cs="Times New Roman" w:eastAsia="Times New Roman" w:hAnsi="Times New Roman"/>
          <w:sz w:val="18"/>
          <w:szCs w:val="18"/>
          <w:color w:val="auto"/>
        </w:rPr>
        <w:t>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production.</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a result, our ability to purchase adequate quantities of the components for our products may be limited. Additionally, our suppliers may encounter problems that limit their ability to manufacture components for us, including financial difficulties or damage to their manufacturing equipment or facilities.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become widely accepted by physicians, patients, third-party payers and the healthcare community, we may be unable to generate significant revenue, if any.*</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products, including products that we may develop in the future, may not gain market acceptance among physicians, patients, third-party payers and the healthcare community. Failure to achieve market acceptance would limit our ability to generate revenue and would adversely affect our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market acceptance of our products depends on many factors, including the following:</w:t>
      </w:r>
    </w:p>
    <w:p>
      <w:pPr>
        <w:spacing w:after="0" w:line="117" w:lineRule="exact"/>
        <w:rPr>
          <w:sz w:val="20"/>
          <w:szCs w:val="20"/>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labeling claims;</w:t>
      </w:r>
    </w:p>
    <w:p>
      <w:pPr>
        <w:spacing w:after="0" w:line="144" w:lineRule="exact"/>
        <w:rPr>
          <w:rFonts w:ascii="Times New Roman" w:cs="Times New Roman" w:eastAsia="Times New Roman" w:hAnsi="Times New Roman"/>
          <w:sz w:val="18"/>
          <w:szCs w:val="18"/>
          <w:color w:val="auto"/>
        </w:rPr>
      </w:pPr>
    </w:p>
    <w:p>
      <w:pPr>
        <w:ind w:left="1000" w:right="400" w:hanging="493"/>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efforts by us or any future marketing partner to support and educate physicians about the benefits and advantages of our products, and the perceived advantages and disadvantages of competitive products;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the healthcare community and patients to adopt new technologies;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manufacture the product in sufficient quantities with acceptable quality and cost;</w:t>
      </w:r>
    </w:p>
    <w:p>
      <w:pPr>
        <w:spacing w:after="0" w:line="144" w:lineRule="exact"/>
        <w:rPr>
          <w:rFonts w:ascii="Times New Roman" w:cs="Times New Roman" w:eastAsia="Times New Roman" w:hAnsi="Times New Roman"/>
          <w:sz w:val="18"/>
          <w:szCs w:val="18"/>
          <w:color w:val="auto"/>
        </w:rPr>
      </w:pPr>
    </w:p>
    <w:p>
      <w:pPr>
        <w:ind w:left="1000" w:right="320" w:hanging="493"/>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of patients and the healthcare community, including third-party payers, regarding the safety, efficacy and benefits compared to competing products or therapies;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relative to existing treatment methods;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as well as pricing relative to other treatment therapeutics and methods;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14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Because of these and other factors, our products may not gain market acceptance, which would materially harm our business, financial condition and results of operations.</w:t>
      </w:r>
    </w:p>
    <w:p>
      <w:pPr>
        <w:spacing w:after="0" w:line="5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payers do not cover our approved products, such products might not be prescribed, used or purchased, which would adversely affect our revenues.*</w:t>
      </w:r>
    </w:p>
    <w:p>
      <w:pPr>
        <w:spacing w:after="0" w:line="5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the United States and elsewhere, sales of prescription pharmaceuticals still depend in large part on the availability of coverage and adequate reimbursement to the consumer from third-party payers, such as government health administration authorities and private insurance plans. Third-party payers are increasingly challenging the prices charged for medical products and services. The market for our approved products will depend significantly on access to third-party payers’ formularies, which are the lists of medications and devices for which third-party payers provide coverage and reimbursement. The industry competition to be included in such formularies often leads to downward pricing pressures on pharmaceutical and device companies. Also, third-party payers may refuse to include a particular branded product in their formularies or otherwise restrict patient access to a branded product when a less costly generic equivalent or other alternative is available. Even if favorable coverage and reimbursement status is attained for our products, less favorable coverage policies and reimbursement rates may be implemented in the future. In addition,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requirements governing drug pricing vary widely from country to country. In some non-U.S. jurisdictions, the proposed pricing for a drug must be approved before it may be lawfully marketed.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line="261" w:lineRule="auto"/>
        <w:rPr>
          <w:sz w:val="20"/>
          <w:szCs w:val="20"/>
          <w:color w:val="auto"/>
        </w:rPr>
      </w:pPr>
      <w:r>
        <w:rPr>
          <w:rFonts w:ascii="Times New Roman" w:cs="Times New Roman" w:eastAsia="Times New Roman" w:hAnsi="Times New Roman"/>
          <w:sz w:val="18"/>
          <w:szCs w:val="18"/>
          <w:color w:val="auto"/>
        </w:rPr>
        <w:t>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or any marketing partner is unable to obtain and maintain coverage of, and adequate third-party reimbursement for, our approved products, physicians may limit how much or under what circumstances they will prescribe or administer them and patients may decline to purchase them. This in turn could affect our or any marketing partner’s ability to successfully commercialize such products and would impact our profitability, results of operations, financial condition, and prospects.</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payers to contain or reduce the costs of healthcare through various means. In certain foreign markets the pricing of prescription pharmaceuticals is subject to direct governmental control.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operations.*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our products and the development of our product candidates. It may be difficult for us to raise additional funds on favorable terms, or at all. The extent of our additional funding requirements will depend on a number of factors, including:</w:t>
      </w:r>
    </w:p>
    <w:p>
      <w:pPr>
        <w:spacing w:after="0" w:line="72" w:lineRule="exact"/>
        <w:rPr>
          <w:sz w:val="20"/>
          <w:szCs w:val="20"/>
          <w:color w:val="auto"/>
        </w:rPr>
      </w:pPr>
    </w:p>
    <w:p>
      <w:pPr>
        <w:ind w:left="1000" w:right="260" w:hanging="493"/>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revenue from Afrezza exceeds or does not exceed the minimum revenue covenants under the MidCap credit facility, if applicable;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we are able to generate revenue from our Technosphere drug delivery platform, including through our collaborations;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Afrezza and of commercializing Afrezza and V-Go on our own in the United States;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by any or all of the holders of our debt instruments to require us to repay or repurchase such debt securities if and when required;</w:t>
      </w:r>
    </w:p>
    <w:p>
      <w:pPr>
        <w:spacing w:after="0" w:line="144" w:lineRule="exact"/>
        <w:rPr>
          <w:rFonts w:ascii="Times New Roman" w:cs="Times New Roman" w:eastAsia="Times New Roman" w:hAnsi="Times New Roman"/>
          <w:sz w:val="18"/>
          <w:szCs w:val="18"/>
          <w:color w:val="auto"/>
        </w:rPr>
      </w:pPr>
    </w:p>
    <w:p>
      <w:pPr>
        <w:ind w:left="1000" w:right="340" w:hanging="493"/>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of our clinical studies and research and development activities;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procuring raw materials and operating our manufacturing facility;</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make lease payments and milestone payments;</w:t>
      </w:r>
    </w:p>
    <w:p>
      <w:pPr>
        <w:spacing w:after="0" w:line="144"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53" w:lineRule="exact"/>
        <w:rPr>
          <w:rFonts w:ascii="Times New Roman" w:cs="Times New Roman" w:eastAsia="Times New Roman" w:hAnsi="Times New Roman"/>
          <w:sz w:val="18"/>
          <w:szCs w:val="18"/>
          <w:color w:val="auto"/>
        </w:rPr>
      </w:pPr>
    </w:p>
    <w:p>
      <w:pPr>
        <w:ind w:left="1000" w:right="540" w:hanging="493"/>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FDA and other regulatory authorities affecting Afrezza, V-Go, Tyvaso DPI, our product candidates or competitive products;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market developments;</w:t>
      </w:r>
    </w:p>
    <w:p>
      <w:pPr>
        <w:spacing w:after="0" w:line="144"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maintaining and enforcing patent claims and other intellectual property rights or defending against claims of infringement by others;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legal and litigation expenses;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discontinuing projects and technologies, and/or decommissioning existing facilities, if we undertake any such activities.</w:t>
      </w:r>
    </w:p>
    <w:p>
      <w:pPr>
        <w:spacing w:after="0" w:line="25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In addition, the ongoing COVID-19 pandemic continues to have the potential for disruption of global financial markets. Similarly, the current Russia-Ukraine conflict has created extreme volatility in the global capital markets as well as other global economic consequences, including disruptions of the global supply chain and energy markets. Any such volatility or disruption, if sustained or recurrent, could prevent us or make it more difficult for us to access capital.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ind w:right="60"/>
        <w:spacing w:after="0" w:line="254" w:lineRule="auto"/>
        <w:rPr>
          <w:sz w:val="20"/>
          <w:szCs w:val="20"/>
          <w:color w:val="auto"/>
        </w:rPr>
      </w:pPr>
      <w:r>
        <w:rPr>
          <w:rFonts w:ascii="Times New Roman" w:cs="Times New Roman" w:eastAsia="Times New Roman" w:hAnsi="Times New Roman"/>
          <w:sz w:val="18"/>
          <w:szCs w:val="18"/>
          <w:color w:val="auto"/>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9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In addition, the current inflationary environment related to increased aggregate demand and supply chain constraints has the potential to adversely affect our operating expenses.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believe that comparisons from period to period of our financial results are not necessarily meaningful and should not be relied upon as indications of our future performance.</w:t>
      </w:r>
    </w:p>
    <w:p>
      <w:pPr>
        <w:spacing w:after="0" w:line="26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benefit of our recent acquisition of V-Go or any future acquisition or strategic transaction; we be unable to successfully integrate new products or businesses we may acquire.*</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periodically evaluate and pursue acquisition of therapeutic products. We completed the acquisition of V-Go on May 31, 2022 and it is possible that we will encounter challenges with integrating the product into our business. Moreover, the integration of any acquired business, product or other assets into our company may be complex and time-consuming and, if such businesses, products or assets are not successfully integrated, we may not achieve the anticipated benefits, cost-savings or growth opportunities. Potential difficulties that may be encountered in the integration process include the following:</w:t>
      </w:r>
    </w:p>
    <w:p>
      <w:pPr>
        <w:spacing w:after="0" w:line="72" w:lineRule="exact"/>
        <w:rPr>
          <w:sz w:val="20"/>
          <w:szCs w:val="20"/>
          <w:color w:val="auto"/>
        </w:rPr>
      </w:pPr>
    </w:p>
    <w:p>
      <w:pPr>
        <w:ind w:left="740" w:hanging="368"/>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assets, companies or joint ventures;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operations and systems, while maintaining focus on producing and delivering consistent, high quality products;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w:t>
      </w:r>
    </w:p>
    <w:p>
      <w:pPr>
        <w:spacing w:after="0" w:line="117" w:lineRule="exact"/>
        <w:rPr>
          <w:rFonts w:ascii="Times New Roman" w:cs="Times New Roman" w:eastAsia="Times New Roman" w:hAnsi="Times New Roman"/>
          <w:sz w:val="18"/>
          <w:szCs w:val="18"/>
          <w:color w:val="auto"/>
        </w:rPr>
      </w:pPr>
    </w:p>
    <w:p>
      <w:pPr>
        <w:ind w:left="740" w:right="560" w:hanging="368"/>
        <w:spacing w:after="0" w:line="282"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customers and attracting new customers;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inefficiencies associated with integrating the operations of our company;</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assets, businesses or joint ventures.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2" w:name="page53"/>
    <w:bookmarkEnd w:id="52"/>
    <w:p>
      <w:pPr>
        <w:ind w:right="140"/>
        <w:spacing w:after="0" w:line="261" w:lineRule="auto"/>
        <w:rPr>
          <w:sz w:val="20"/>
          <w:szCs w:val="20"/>
          <w:color w:val="auto"/>
        </w:rPr>
      </w:pPr>
      <w:r>
        <w:rPr>
          <w:rFonts w:ascii="Times New Roman" w:cs="Times New Roman" w:eastAsia="Times New Roman" w:hAnsi="Times New Roman"/>
          <w:sz w:val="18"/>
          <w:szCs w:val="18"/>
          <w:color w:val="auto"/>
        </w:rPr>
        <w:t>Furthermore, these acquisitions and other arrangements, even if successfully integrated, may fail to further our business strategy as anticipated, expose us to increased competition or challenges with respect to our products or geographic markets, and expose us to additional liabilities associated with an acquired business, product, technology or other asset or arrangement. Any one of these challenges or risks could impair our ability to realize any benefit from our acquisitions or arrangements after we have expended resources on them.</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Future acquisitions or dispositions could also result in potentially dilutive issuances of our equity securities, the incurrence of debt, contingent liabilities or amortization expenses or write-offs of goodwill, any of which could harm our financial condition.</w:t>
      </w:r>
    </w:p>
    <w:p>
      <w:pPr>
        <w:spacing w:after="0" w:line="266"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product sales, results of operations and ability to access capital could be adversely affected by the effects of health pandemics or epidemics, including the ongoing COVID-19 pandemic, in regions where we or third parties distribute our products or where we or third parties on which we rely have significant manufacturing facilities, concentrations of clinical trial sites or other business operations.*</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in regions where we have business operations, and we could experience significant disruptions in the operations of third-party manufacturers and distributors upon whom we rely. In particular, the ongoing COVID-19 pandemic could materially affect our operations, including at our manufacturing facilities in Connecticut and Southern China and with respect to our sales force and their ability to interact with health care professionals, as well as the business or operations of our suppliers, distributors or other third parties with whom we conduct business.</w:t>
      </w:r>
    </w:p>
    <w:p>
      <w:pPr>
        <w:spacing w:after="0" w:line="1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ongoing COVID-19 pandemic has resulted in a number of restrictions to reduce the spread of the disease, many of which have been eased or lifted. The emergence of new variants of the SARS-CoV-2 virus raises the possibility that recurring cycles of infection and corresponding restrictions will be imposed in the future, notwithstanding vaccination and other public health efforts. The effects of the restrictions related to the COVID-19 pandemic and our related policies addressing the pandemic, including the evolving nature of such policies, may negatively impact productivity, disrupt our business and delay our development programs, regulatory and commercialization timelines. We may also face challenges or distractions as we navigate the balance between a productive workplace and the need to accommodate a certain amount of remote work by some employees at least some of the time. These and similar, and perhaps more severe, disruptions in our operations due to the COVID-19 pandemic could negatively impact our business, operating results and financial condition.</w:t>
      </w:r>
    </w:p>
    <w:p>
      <w:pPr>
        <w:spacing w:after="0" w:line="11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In particular, our contract manufacturers in China could be impacted by that country’s zero-tolerance coronavirus policy, which has led to strict lockdowns in some parts of China. Although we believe we have sufficient quantities of raw materials for planned manufacturing operations into 2023, a prolonged supply interruption of certain components could adversely affect our ability to conduct commercialization activities and planned clinical trials. In addition, we believe that the COVID-19 pandemic will continue to negatively impact the distribution of Afrezza by our partner in Brazil.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 and demand for our products have been adversely affected at times during the COVID-19 pandemic, and we expect this risk to continue for at least the near term. Although our sales representatives are conducting in-person sales calls to the extent permitted by state and local public health authorities and by the policies of individual healthcare providers that they interact with, they have not fully returned to conducting in-person office visits with healthcare providers, which impacts their productivity. Disruptions in the prescription volume of our products could also occur:</w:t>
      </w:r>
    </w:p>
    <w:p>
      <w:pPr>
        <w:spacing w:after="0" w:line="72" w:lineRule="exact"/>
        <w:rPr>
          <w:sz w:val="20"/>
          <w:szCs w:val="20"/>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are physically quarantined or are unable or unwilling to visit healthcare providers,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physicians restrict access to their facilities for a material period of time,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healthcare providers prioritize treatment of acute or communicable illnesses over diabetes management,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pharmacies are closed or suffering supply chain disruptions,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lose access to employer-sponsored health insurance due to periods of high unemployment, or</w:t>
      </w:r>
    </w:p>
    <w:p>
      <w:pPr>
        <w:spacing w:after="0" w:line="117"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general disruptions in the operations of payers, distributors, logistics providers and other third parties that are necessary for Afrezza to be prescribed and reimbursed.</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our ongoing or planned clinical trials of our products may be affected by the COVID-19 pandemic. Clinical site initiation and patient enrollment may be delayed due to prioritization of hospital resources toward the COVID-19 pandemic. Some patients may not be able or willing to comply with clinical trial protocols if quarantines impede patient movement or interrupt healthcare services. Similarly, our ability to recruit and retain patients and principal investigators and site staff who, as healthcare providers, may have heightened exposure to COVID-19 would adversely impact our clinical trial operations.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53" w:name="page54"/>
    <w:bookmarkEnd w:id="53"/>
    <w:p>
      <w:pPr>
        <w:spacing w:after="0" w:line="261"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the COVID-19 pandemic may be difficult to assess or predict, the pandemic continues to have the potential for disruption of global financial markets. This disruption, if sustained or recurrent, could make it more difficult for us to access capital, which could negatively affect our liquidity. In addition, a recession or market correction resulting from the spread of COVID-19 could materially affect our business and the value of our common stock.</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ultimate impact of the COVID-19 pandemic or a similar health pandemic or epidemic is highly uncertain and subject to change. We do not yet know the full extent of potential delays or impacts on our business, our clinical trials, commercialization efforts, healthcare systems or to the global economy as a whole. These effects could have a material impact on our operations. We will continue to monitor the COVID-19 situation closely.</w:t>
      </w:r>
    </w:p>
    <w:p>
      <w:pPr>
        <w:spacing w:after="0" w:line="28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regulatory approval of our products in foreign jurisdictions, we will not be able to market in such jurisdictions, which could limit our commercial revenues. We may not be able to establish additional regional partnerships or other arrangements with third parties for the commercialization of our products outside of the United States.*</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Afrezza has been approved in the United States by the FDA and in Brazil by ANVISA, we have not yet obtained approval in any other jurisdiction. Similarly, V-Go has received 510(k) clearance from the FDA, but has not received a comparable approval in any other country. In order to market our products in a foreign jurisdiction, we must obtain regulatory approval in each such foreign jurisdiction, and we may never be able to obtain such approvals. The research, testing, manufacturing, labeling, sale, import, export, marketing, and distribution of therapeutic products outside the United States are subject to extensive regulation by foreign regulatory authorities, whose regulations differ from country to country. We will be required to comply with the different regulations and policies of the jurisdictions where we seek approval for our products, and we have not yet identified all of the requirements that we will need to satisfy to submit our products for approval for other jurisdictions. This will require additional time, expertise and expense, including the potential need to conduct additional studies or development work for other jurisdictions beyond the work that we have conducted to support the approval of our products in the United States.</w:t>
      </w:r>
    </w:p>
    <w:p>
      <w:pPr>
        <w:spacing w:after="0" w:line="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current strategy for the future commercialization of our products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our products.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our products in foreign jurisdictions and could have a material and adverse impact on our business, financial condition and results of operations and the market price of our common stock and other securities could decline.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develop and commercialize our product candidates.*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have generally sought to develop inhaled therapeutic product candidates through our internal research programs. All such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we may not be able to advance these programs into clinical development unless we are able to obtain specific funding for these programs or enter into collaborations with third parties.</w:t>
      </w:r>
    </w:p>
    <w:p>
      <w:pPr>
        <w:spacing w:after="0" w:line="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Even if our research programs identify product candidates that initially show promise, these candidates may fail to progress through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w:t>
      </w:r>
    </w:p>
    <w:p>
      <w:pPr>
        <w:spacing w:after="0" w:line="28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We expect to incur losses in the future and we may not generate positive cash flow from operations in the future.*</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not currently profitable and have rarely generated positive net cash flow from operations. As of September 30, 2022, we had an accumulated deficit of $3.2 billion. The accumulated deficit has resulted principally from costs incurred in our research and development programs, the write-off of assets (including goodwill, inventory and property, plant and equipment) and general operating expenses. We expect to make substantial expenditures and to incur increasing operating losses in the future in order to continue the commercialization of Afrezza and advance product candidates in our pipeline. In addition, under our Insulin Supply Agreement with Amphastar, we agreed to purchase certain annual minimum quantities of insulin through 2027. As of September 30, 2022, there was approximately $70.2 million remaining in aggregate purchase commitments under this agreement. We may not have the necessary capital resources to service this contractual commitment.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our products, and we cannot be sure when, if ever, we will generate positive cash flow from operations or become profitable.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and we may be unable to make required payments of interest and principal as they become due.*</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notes to our condensed consolidated financial statements in this Quarterly Report on Form 10-Q provide details about our various debt obligations. As of September 30, 2022, we had $278.8 million principal amount of outstanding debt, consisting of:</w:t>
      </w:r>
    </w:p>
    <w:p>
      <w:pPr>
        <w:spacing w:after="0" w:line="54" w:lineRule="exact"/>
        <w:rPr>
          <w:sz w:val="20"/>
          <w:szCs w:val="20"/>
          <w:color w:val="auto"/>
        </w:rPr>
      </w:pPr>
    </w:p>
    <w:p>
      <w:pPr>
        <w:ind w:left="1000" w:right="60" w:hanging="493"/>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$230.0 million aggregate principal amount of Senior convertible notes bearing interest at 2.50% payable semi-annually in arrears on March 1 and September 1 of each year, beginning on September 1, 2021 and will mature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71" w:lineRule="exact"/>
        <w:rPr>
          <w:rFonts w:ascii="Times New Roman" w:cs="Times New Roman" w:eastAsia="Times New Roman" w:hAnsi="Times New Roman"/>
          <w:sz w:val="18"/>
          <w:szCs w:val="18"/>
          <w:color w:val="auto"/>
        </w:rPr>
      </w:pPr>
    </w:p>
    <w:p>
      <w:pPr>
        <w:ind w:left="1000" w:hanging="493"/>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million principal amount under the MidCap credit facility, bearing interest at an annual rate equal to one-month SOFR plus 6.25% (cap of 8.25%), subject to a one-month SOFR floor of 1.00%, payable in equal monthly installments beginning in September 2023 through maturity in August 2025. In August 2022, the Company amended the MidCap credit facility and transitioned the benchmark interest rate from LIBOR to the SOFR. The interest rate prior to the amendment was one-month LIBOR (1% floor) plus 6.25% (cap of 8.25%).</w:t>
      </w:r>
    </w:p>
    <w:p>
      <w:pPr>
        <w:spacing w:after="0" w:line="71" w:lineRule="exact"/>
        <w:rPr>
          <w:rFonts w:ascii="Times New Roman" w:cs="Times New Roman" w:eastAsia="Times New Roman" w:hAnsi="Times New Roman"/>
          <w:sz w:val="18"/>
          <w:szCs w:val="18"/>
          <w:color w:val="auto"/>
        </w:rPr>
      </w:pPr>
    </w:p>
    <w:p>
      <w:pPr>
        <w:ind w:left="1000" w:hanging="493"/>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million principal amount of indebtedness under the Mann Group convertible note bearing interest at a fixed rate of 2.50% per annum compounded quarterly and maturing in December 2025, which is convertible into shares of our common stock at the option of Mann Group at a conversion price of $2.50 per share. Interest is paid-in-kind from August 2019 until the end of 2020, after which we have the option to pay interest in-kind or in shares.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MidCap credit facility requires us, and any debt arrangements we may enter into in the future may require us, to comply with various covenants that limit our ability to, among other things:</w:t>
      </w:r>
    </w:p>
    <w:p>
      <w:pPr>
        <w:spacing w:after="0" w:line="54" w:lineRule="exact"/>
        <w:rPr>
          <w:sz w:val="20"/>
          <w:szCs w:val="20"/>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mergers or acquisitions;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or modify existing debt agreements;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certain material agreements;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additional lines of business;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assets;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to holders of our capital stock;</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investments;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certain key management personnel or organizational documents;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our affiliates.</w:t>
      </w:r>
    </w:p>
    <w:p>
      <w:pPr>
        <w:spacing w:after="0" w:line="21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may be required to comply with additional covenants in the future under certain circumstances. The restrictive covenants in the MidCap credit facility could prevent us from pursuing business opportunities that we or our stockholders may consider beneficial.</w:t>
      </w:r>
    </w:p>
    <w:p>
      <w:pPr>
        <w:spacing w:after="0" w:line="13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If our unrestricted cash and short-term investments balance falls below $90.0 million, we will be subject to a covenant relating to trailing twelve-month minimum Afrezza net revenue, tested on a monthly basis, which is set forth in the MidCap credit facility Agreement, as amended. If we fail to meet this covenant, any outstanding borrowings, together with accrued interest, under the MidCap credit facility could be declared immediately due and payable.</w:t>
      </w:r>
    </w:p>
    <w:p>
      <w:pPr>
        <w:spacing w:after="0" w:line="13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MidCap credit facility.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ind w:right="40"/>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will have sufficient resources to make any required repayments of principal under the terms of our indebtedness when required. While we have been able to timely make our required interest payments to date, we cannot guarantee that we will be able to do so in the future. If we fail to pay interest on, or repay, our outstanding term loan under the MidCap credit facility or borrowings under the Mann Group promissory note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anticipate that revenues from our existing or future licensing arrangements for our Technosphere platform technology that involve license, milestone, royalty or other payments to us will depend on our ability to achieve the performance obligations specified in such arrangements. 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1" w:lineRule="exact"/>
        <w:rPr>
          <w:sz w:val="20"/>
          <w:szCs w:val="20"/>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studies and preclinical research and development activities;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study eligibility criteria;</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components used in the manufacture of our product candidates;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and maintaining manufacturing operations, as necessary;</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clinical studies compete for clinical sites and eligible subjects with clinical studies sponsored by other companies;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regulators; and</w:t>
      </w:r>
    </w:p>
    <w:p>
      <w:pPr>
        <w:spacing w:after="0" w:line="144"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geopolitical conflicts (such as the Russia-Ukraine conflict), man-made or natural disasters or public health pandemics or epidemics or other business interruptions, including, for example, the COVID-19 pandemic.</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be rendered obsolete by rapid technological change.*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rapid rate of scientific discoveries and technological changes could result in our approved products or one or more of our product candidates becoming obsolete or noncompetitive. Our competitors may develop or introduce new products that render our technology or products less competitive, uneconomical or obsolete. Our future success may depend not only on our ability to develop our product candidates, but also our ability to improve them in order to keep pace with emerging industry developments. We cannot assure you that we will be able to do so.</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testing of our products and product candidates may not yield successful results, and even if it does, we may still be unable to successfully commercialize our product candidates.*</w:t>
      </w:r>
    </w:p>
    <w:p>
      <w:pPr>
        <w:spacing w:after="0" w:line="5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Forecasts about the effects of the use of drugs, including Afrezza, over terms longer than the clinical studies or in much larger populations may not be consistent with the earlier clinical results. If long-term use of a drug results in adverse health effects or reduced efficacy or both, the FDA or other regulatory agencies may terminate our or any future marketing partner’s ability to market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6" w:name="page57"/>
    <w:bookmarkEnd w:id="56"/>
    <w:p>
      <w:pPr>
        <w:spacing w:after="0" w:line="282" w:lineRule="auto"/>
        <w:rPr>
          <w:sz w:val="20"/>
          <w:szCs w:val="20"/>
          <w:color w:val="auto"/>
        </w:rPr>
      </w:pPr>
      <w:r>
        <w:rPr>
          <w:rFonts w:ascii="Times New Roman" w:cs="Times New Roman" w:eastAsia="Times New Roman" w:hAnsi="Times New Roman"/>
          <w:sz w:val="18"/>
          <w:szCs w:val="18"/>
          <w:color w:val="auto"/>
        </w:rPr>
        <w:t>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68" w:lineRule="exact"/>
        <w:rPr>
          <w:sz w:val="20"/>
          <w:szCs w:val="20"/>
          <w:color w:val="auto"/>
        </w:rPr>
      </w:pPr>
    </w:p>
    <w:p>
      <w:pPr>
        <w:ind w:left="1000" w:right="200" w:hanging="493"/>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67"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clinical data, we or any collaborators may abandon projects that we previously believed were promising;</w:t>
      </w:r>
    </w:p>
    <w:p>
      <w:pPr>
        <w:spacing w:after="0" w:line="144" w:lineRule="exact"/>
        <w:rPr>
          <w:rFonts w:ascii="Times New Roman" w:cs="Times New Roman" w:eastAsia="Times New Roman" w:hAnsi="Times New Roman"/>
          <w:sz w:val="18"/>
          <w:szCs w:val="18"/>
          <w:color w:val="auto"/>
        </w:rPr>
      </w:pPr>
    </w:p>
    <w:p>
      <w:pPr>
        <w:ind w:left="1000" w:right="52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53"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man-made or natural disasters or public health pandemics or epidemics or other business interruptions, including, for example, the COVID-19 pandemic.</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safety and efficacy of V-Go is not supported by long-term clinical data, which could limit sales and could lead to unforeseen negative effects.*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V-Go has received pre-market clearance under Section 510(k) of the U.S. Federal Food, Drug, and Cosmetic Act, or FDCA. This process typically requires the submission of less supporting documentation than other FDA approval processes and does not always require long-term clinical studies. As a result, we currently lack significant published long-term clinical data supporting the safety and efficacy of V-Go and the benefits it offers that might have been generated in connection with other approval processes. For these reasons, adults who require insulin and their healthcare providers may be slower to adopt or recommend V-Go, we may not have comparative data that our competitors have or are generating, and third-party payors may not be willing to provide coverage or reimbursement for V-Go. Further, future studies or clinical experience may indicate that treatment with V-Go is not superior to treatment with competitive products. Such results could slow the adoption of V-Go and significantly reduce our sales, which could prevent us from achieving our forecasted sales targets or achieving or sustaining profitability. Moreover, if future results and experience indicate that V-Go causes unexpected or serious complications or other unforeseen negative effects, we could be subject to mandatory product recalls, suspension or withdrawal of FDA clearance or approval, significant legal liability or harm to our business reputation.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sales of our products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an errors and omissions policy in the amount of $1.0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any key employees or scientific advisors, our operations and our ability to execute our business strategy could be materially harmed.</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7" w:name="page58"/>
    <w:bookmarkEnd w:id="57"/>
    <w:p>
      <w:pPr>
        <w:ind w:right="260"/>
        <w:spacing w:after="0" w:line="282" w:lineRule="auto"/>
        <w:rPr>
          <w:sz w:val="20"/>
          <w:szCs w:val="20"/>
          <w:color w:val="auto"/>
        </w:rPr>
      </w:pPr>
      <w:r>
        <w:rPr>
          <w:rFonts w:ascii="Times New Roman" w:cs="Times New Roman" w:eastAsia="Times New Roman" w:hAnsi="Times New Roman"/>
          <w:sz w:val="18"/>
          <w:szCs w:val="18"/>
          <w:color w:val="auto"/>
        </w:rPr>
        <w:t>addition of new personnel, including management, and the development of additional expertise by existing personnel, and we cannot assure you that we will be able to attract or retain any such new personnel on acceptable terms, if at all.</w:t>
      </w:r>
    </w:p>
    <w:p>
      <w:pPr>
        <w:spacing w:after="0" w:line="162"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Replacing key employees may be difficult and time-consuming because of the limited number of individuals in our industry with the skills and experience required to develop, gain regulatory approval of and commercialize products successfully.</w:t>
      </w:r>
    </w:p>
    <w:p>
      <w:pPr>
        <w:spacing w:after="0" w:line="18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5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or modifications in financial accounting standards may harm our results of operations.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9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legislation enacted in 2017 informally titled the Tax Cuts and Jobs Act, the Coronavirus Aid, Relief, and Economic Security Act and the Inflation Reduction Act enacted many significant changes to the U.S. tax laws. Further guidance from the Internal Revenue Service and other tax authorities with respect to such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legislation may affect us, and certain aspects of such legislation could be repealed or modified in future legislation. In addition, it is uncertain if and to what extent various states will conform to federal tax laws. Future tax reform legislation could have a material impact on the value of our deferred tax assets and could increase our future U.S. tax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limitations.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December 31, 2021, we had federal and state net operating loss carryforwards of $2.2 billion and $1.3 billion, respectively, which we assess annually. A portion of our federal and state net operating loss carryforwards have begun to expire. Net operating loss carryforwards that expire unused will be unavailable to offset future income tax liabilities. Under current law, federal net operating losses incurred in tax years beginning after December 31, 2017, may be carried forward indefinitely, but the deductibility of such federal net operating losses in tax years beginning after December 31, 2020, is limited to 80% of taxable income. In addition,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2021, to determine whether additional limitations may be placed on our net operating loss carryforwards and other tax attributes, and no additional changes in ownership that met the Section 382 ownership change threshold were identified through December 31, 2021. There is a risk that changes in ownership may occur in tax years after December 31, 2021. If a change in ownership were to occur, our net operating loss carryforwards and other tax attributes could be further limited or restricted. If an ownership change were to occur and our ability to use our net operating loss carryforwards is materially limited, it would harm our future operating results by effectively increasing our future tax obligations. In addition, at the state level, there may be periods during which the use of net operating loss carryforwards is suspended or otherwise limited, which could accelerate or permanently increase state taxes owed. As a result, if we earn net taxable income, we may be unable to use all or a material portion of our net operating loss carryforwards and other tax attributes, which could potentially result in increased future tax liability to us and adversely affect our future cash flows.</w:t>
      </w:r>
    </w:p>
    <w:p>
      <w:pPr>
        <w:spacing w:after="0" w:line="29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9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interrupted by the occurrence of a natural disaster or other catastrophic event.*</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At least for the foreseeable future, we expect that our manufacturing facility in Connecticut will be the sole location for the manufacturing of Afrezza and Tyvaso DPI. Similarly, our contract manufacturer in Southern China is the only location for the assembly of V-Go. Additional contract manufacturers in China perform release testing, sterilization, inspection and packaging functions. These facilities and the specialized manufacturing equipment we use at them would be costly to replace and could require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9" w:name="page60"/>
    <w:bookmarkEnd w:id="59"/>
    <w:p>
      <w:pPr>
        <w:spacing w:after="0" w:line="272" w:lineRule="auto"/>
        <w:rPr>
          <w:sz w:val="20"/>
          <w:szCs w:val="20"/>
          <w:color w:val="auto"/>
        </w:rPr>
      </w:pPr>
      <w:r>
        <w:rPr>
          <w:rFonts w:ascii="Times New Roman" w:cs="Times New Roman" w:eastAsia="Times New Roman" w:hAnsi="Times New Roman"/>
          <w:sz w:val="17"/>
          <w:szCs w:val="17"/>
          <w:color w:val="auto"/>
        </w:rPr>
        <w:t>substantial lead-time to repair or replace. We depend on our facilities and on collaborators, contractors and vendors for the continued operation of our business. Natural disasters or other catastrophic events, including interruptions in the supply of natural resources, political and governmental changes, severe weather conditions, public health pandemics or epidemics (including, for example, the ongoing COVID-19 pandemic), wars, conflicts (including the current Russia-Ukraine conflict),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our products.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deal with hazardous materials and must comply with environmental laws and regulations, which can be expensive and restrict how we do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work involves the controlled storage and use of hazardous materials, including chemical and biological materials.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also produce hazardous waste products. We are subject to federal, state and local laws and regulations (i) governing how we use, manufacture,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 handle and dispose of these materials (ii) imposing liability for costs of cleaning up, and damages to natural resources from past spills, waste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disposals on and off-site, or other releases of hazardous materials or regulated substances, and (iii) regulating workplace safety. Moreover, the risk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accidental contamination or injury from hazardous materials cannot be completely eliminated, and in the event of an accident, we could be held liable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damages that may result, and any liability could fall outside the coverage or exceed the limits of our insurance. Currently, our general liability policy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coverage up to $1.0 million per occurrence and $2.0 million in the aggregate and is supplemented by an umbrella policy that provides a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 million of coverage; however, our insurance policy excludes pollution liability coverage and we do not carry a separate hazardous materials policy.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we could be required to incur significant costs to comply with environmental laws and regulations in the future. Finally, current or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laws and regulations may impair our research, development or production efforts or have an adverse impact on our business,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financial condition.</w:t>
      </w:r>
    </w:p>
    <w:p>
      <w:pPr>
        <w:spacing w:after="0" w:line="20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may be required as a result of our activities since 2001. To date, we have not identified any material environmental investigation or remediation activities that we are required to perform.</w:t>
      </w:r>
    </w:p>
    <w:p>
      <w:pPr>
        <w:spacing w:after="0" w:line="184" w:lineRule="exact"/>
        <w:rPr>
          <w:sz w:val="20"/>
          <w:szCs w:val="20"/>
          <w:color w:val="auto"/>
        </w:rPr>
      </w:pPr>
    </w:p>
    <w:p>
      <w:pPr>
        <w:ind w:right="3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57"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We, and third parties acting on our behalf, employ and are increasingly dependent upon information technology systems, infrastructure, applications, websites and other resources. Our business requires collecting, receiving, manipulating, analyzing, storing, processing, generating, using, disclosing, protecting, securing, transmitting, sharing, disposing of, and making accessible (collectively processing), large amounts of data, including proprietary, confidential and, sensitive data, including personal data (such as health-related data), intellectual property, and trade secrets (collectively, sensitive information).</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increase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credentials harvesting, personnel misconduct or error, ransomware attacks, supply-chain attacks, software bugs, server malfunctions,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line="253" w:lineRule="auto"/>
        <w:rPr>
          <w:sz w:val="20"/>
          <w:szCs w:val="20"/>
          <w:color w:val="auto"/>
        </w:rPr>
      </w:pPr>
      <w:r>
        <w:rPr>
          <w:rFonts w:ascii="Times New Roman" w:cs="Times New Roman" w:eastAsia="Times New Roman" w:hAnsi="Times New Roman"/>
          <w:sz w:val="18"/>
          <w:szCs w:val="18"/>
          <w:color w:val="auto"/>
        </w:rPr>
        <w:t>software or hardware failures, loss of data or other information technology assets, adware, telecommunications failures, earthquakes, fires, floods,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Some of our workforce works remotely which also poses increased risks to our information technology systems and data, as employees working from home, in transit or in public locations, utilize network connections, computers and devices outside our premises or network.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may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and other functions. We may also rely on third-party service providers to provide other products or services, or otherwise to operate our business. For example, we rely on an enterprise software system to operate and manage our business. Our business, including our ability to manufacture drug products and conduct clinical trials, therefore depends on the continuous, effective, reliable and secure operation of our information technology resources and those of third parties acting on our behalf, including computer hardware, software, networks, Internet servers and related infrastructure.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In particular,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While we may be entitled to damages if our third-party service providers fail to satisfy their privacy or security-related obligations to us, any award may be insufficient to cover our damages, or we may be unable to recover such award.</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products.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industry-standards or reasonable security measures to protect our information technology systems and sensitive information. While we have implemented security measures designed to protect against security incidents, there can be no assurance that these measures will be effective. We have not always been able in the past and may be unable in the future to detect vulnerabilities in our information technology systems because such threats and techniques change frequently, are often sophisticated in nature, and may not be detected until after a security incident has occurred. For example, like many companies, we use SolarWinds to help manage our information technology systems. A cyberattack on SolarWinds was discovered in December 2020 and widely exploited by threat actors. Upon learning of this vulnerability, we applied the software patch provided by SolarWinds and remediated the incident. The incident did not appear to have any negative impact on our operations or the sensitive information we may process. In addition, a ransomware attack on Ultimate Kronos Group’s (“UKG”) Kronos Private Cloud service was discovered in December 2021. We use UKG Pro, a product offered through UKG that is not in the Kronos Private Cloud, for human capital management. UKG is not aware of an impact on UKG Pro and the incident did not appear to have any negative impact on our operations or the sensitive information we may process. Thus, despite our efforts to identify and remediate vulnerabilities, if any, in our information technology systems, our efforts may not be successful. Further, we may experience delays in developing and deploying remedial measures designed to address any such identified vulnerabilities.</w:t>
      </w:r>
    </w:p>
    <w:p>
      <w:pPr>
        <w:spacing w:after="0" w:line="19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are sufficient to protect us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line="266" w:lineRule="auto"/>
        <w:rPr>
          <w:sz w:val="20"/>
          <w:szCs w:val="20"/>
          <w:color w:val="auto"/>
        </w:rPr>
      </w:pPr>
      <w:r>
        <w:rPr>
          <w:rFonts w:ascii="Times New Roman" w:cs="Times New Roman" w:eastAsia="Times New Roman" w:hAnsi="Times New Roman"/>
          <w:sz w:val="18"/>
          <w:szCs w:val="18"/>
          <w:color w:val="auto"/>
        </w:rPr>
        <w:t>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80"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68" w:lineRule="exact"/>
        <w:rPr>
          <w:sz w:val="20"/>
          <w:szCs w:val="20"/>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testing;</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 and shipping;</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25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ind w:right="280"/>
        <w:spacing w:after="0" w:line="282" w:lineRule="auto"/>
        <w:rPr>
          <w:sz w:val="20"/>
          <w:szCs w:val="20"/>
          <w:color w:val="auto"/>
        </w:rPr>
      </w:pPr>
      <w:r>
        <w:rPr>
          <w:rFonts w:ascii="Times New Roman" w:cs="Times New Roman" w:eastAsia="Times New Roman" w:hAnsi="Times New Roman"/>
          <w:sz w:val="18"/>
          <w:szCs w:val="18"/>
          <w:color w:val="auto"/>
        </w:rPr>
        <w:t>demonstrate the safety and efficacy of any of our product candidates would delay or prevent regulatory approval of our product candidates, which could prevent us from achieving profitability.</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84"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Even if we comply with regulatory requirements, we may not be able to obtain the labeling claims necessary or desirable for product promotion. We may also be required to undertake post-marketing studies.</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ongoing government regulation.*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manufacture, marketing and sale of drug product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are required to register our establishments and list our products with the FDA and certain state agencies. We and any third-party manufacturers or suppliers must continually adhere to federal regulations setting forth cGMP (for drugs) and QSR (for medical devices), and their foreign equivalents, which are enforced by the FDA and other national regulatory bodies through their facilities inspection programs. In complying with cGMP and foreign regulatory requirements, we and any of our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FDA and comparable foreign regulatory authorities subject any approved therapeutic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79" w:lineRule="exact"/>
        <w:rPr>
          <w:sz w:val="20"/>
          <w:szCs w:val="20"/>
          <w:color w:val="auto"/>
        </w:rPr>
      </w:pPr>
    </w:p>
    <w:p>
      <w:pPr>
        <w:ind w:left="1000" w:right="68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approved labeling to add new safety information;</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44" w:lineRule="exact"/>
        <w:rPr>
          <w:rFonts w:ascii="Times New Roman" w:cs="Times New Roman" w:eastAsia="Times New Roman" w:hAnsi="Times New Roman"/>
          <w:sz w:val="18"/>
          <w:szCs w:val="18"/>
          <w:color w:val="auto"/>
        </w:rPr>
      </w:pPr>
    </w:p>
    <w:p>
      <w:pPr>
        <w:ind w:left="1000" w:right="52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and other regulatory authorities impose significant restrictions on approved products through regulations on advertising, promotional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activities. This oversight encompasses, but is not limited to, direct-to-consumer advertising, healthcare provider-directed advertising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promotion, sales representative communications to healthcare professionals, promotional programming and promotional activities involving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Internet. Regulatory authorities may also review industry-sponsored scientific and educational activities that make representations regarding product safety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efficacy in a promotional context. Prescription drugs may be promoted only for the approved indications in accordance with the approved label.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FDA and other regulatory authorities may take enforcement action against a company for promoting unapproved uses of a product or for other violations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advertising and labeling laws and regulations. However, physicians may, in their independent medical judgment, prescribe legally available products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off-label uses. The FDA does not regulate the behavior of physicians in their choice of treatments, but the FDA does restrict manufacturer’s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on the subject of off-label use of their products. Enforcement action may include product seizures, injunctions, significant civil or criminal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penalties or regulatory letters, which may require corrective advertising or other corrective communications to healthcare professionals. Failure to comply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such regulations also can result in adverse publicity or increased scrutiny of company activities by the U.S. Congress or other legislators.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 have also adopted regulations and reporting requirements surrounding the promotion of pharmaceuticals. Failure to comply with state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affect our ability to promote or sell our products in certain states.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required to comply with FDA regulations concerning the advertising and promotion of Afrezza. Failure to comply with these regulations can result in the receipt of warning letters and further liability if off-label promotion is involved. For example, in October 2018, we received a warning letter from the FDA’s Office of Prescription Drug Promotion (“OPDP”) related to a particular post on our Afrezza Facebook page. The warning letter stated that the post in question failed to adequately disclose the risks associated with the use of Afrezza. As a result, we temporarily inactivated all Afrezza social media accounts (including Facebook, Instagram and Twitter) then, after consultation with OPDP, placed a corrective post on Facebook and Instagram.</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an NDA. For example, in July 2021, a third party submitted a citizen petition to the FDA requesting that the FDA refuse to approve Tyvaso DPI, and/or impose additional requirements in order to approve the product. This prompted the FDA to request additional information concerning Tyvaso DPI prior to granting approval in May 2022. If successful, a citizen petition can significantly delay, or even prevent, the approval of a drug product.</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legislation may make it more difficult to receive revenues.*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the Patient Protection and Affordable Care Act, as amended by the Health Care Education and Reconciliation Act (collectively, the “PPACA”) substantially changed the way healthcare is financed by both governmental and private insurers and continues to significantly affect the healthcare industry. Among the provisions of PPACA of importance to us are the following:</w:t>
      </w:r>
    </w:p>
    <w:p>
      <w:pPr>
        <w:spacing w:after="0" w:line="75" w:lineRule="exact"/>
        <w:rPr>
          <w:sz w:val="20"/>
          <w:szCs w:val="20"/>
          <w:color w:val="auto"/>
        </w:rPr>
      </w:pPr>
    </w:p>
    <w:p>
      <w:pPr>
        <w:ind w:left="1000" w:right="100" w:hanging="493"/>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1000" w:right="220" w:hanging="493"/>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 of the average manufacturer price (“AMP”) for most branded and generic drugs, respectively;</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licensure framework for follow-on biological products;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1000" w:right="520" w:hanging="493"/>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federal Anti-Kickback Statute, new government investigative powers, and enhanced penalties for noncompliance;</w:t>
      </w:r>
    </w:p>
    <w:p>
      <w:pPr>
        <w:spacing w:after="0" w:line="53" w:lineRule="exact"/>
        <w:rPr>
          <w:rFonts w:ascii="Times New Roman" w:cs="Times New Roman" w:eastAsia="Times New Roman" w:hAnsi="Times New Roman"/>
          <w:sz w:val="18"/>
          <w:szCs w:val="18"/>
          <w:color w:val="auto"/>
        </w:rPr>
      </w:pPr>
    </w:p>
    <w:p>
      <w:pPr>
        <w:ind w:left="1000" w:right="240" w:hanging="493"/>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agree to now offer 75% point-of-sale discounts off negotiated prices of applicable brand drugs to eligible beneficiaries during their coverage gap period, as a condition for the manufacturer’s outpatient drugs to be covered under Medicare Part D;</w:t>
      </w:r>
    </w:p>
    <w:p>
      <w:pPr>
        <w:spacing w:after="0" w:line="67"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53" w:lineRule="exact"/>
        <w:rPr>
          <w:rFonts w:ascii="Times New Roman" w:cs="Times New Roman" w:eastAsia="Times New Roman" w:hAnsi="Times New Roman"/>
          <w:sz w:val="18"/>
          <w:szCs w:val="18"/>
          <w:color w:val="auto"/>
        </w:rPr>
      </w:pPr>
    </w:p>
    <w:p>
      <w:pPr>
        <w:jc w:val="both"/>
        <w:ind w:left="1000" w:right="460" w:hanging="493"/>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44" w:lineRule="exact"/>
        <w:rPr>
          <w:rFonts w:ascii="Times New Roman" w:cs="Times New Roman" w:eastAsia="Times New Roman" w:hAnsi="Times New Roman"/>
          <w:sz w:val="18"/>
          <w:szCs w:val="18"/>
          <w:color w:val="auto"/>
        </w:rPr>
      </w:pPr>
    </w:p>
    <w:p>
      <w:pPr>
        <w:ind w:left="1000" w:hanging="493"/>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annually to CMS certain financial arrangements with physicians, certain other healthcare professionals, and teaching hospitals, and reporting any ownership and investment interests held by physicians and their immediate family members and applicable group purchasing organizations during the preceding calendar year, as described in more detail below;</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drug samples that certain manufacturers and authorized distributors provide to physicians; and</w:t>
      </w:r>
    </w:p>
    <w:p>
      <w:pPr>
        <w:spacing w:after="0" w:line="144" w:lineRule="exact"/>
        <w:rPr>
          <w:rFonts w:ascii="Times New Roman" w:cs="Times New Roman" w:eastAsia="Times New Roman" w:hAnsi="Times New Roman"/>
          <w:sz w:val="18"/>
          <w:szCs w:val="18"/>
          <w:color w:val="auto"/>
        </w:rPr>
      </w:pPr>
    </w:p>
    <w:p>
      <w:pPr>
        <w:ind w:left="1000" w:right="260" w:hanging="493"/>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provisions of the PPACA, although the constitutionality of the PPACA appears to now be settled. In addition, there have been proposed and enacted health reform initiatives affecting the PPACA. For example, on August 16, 2022, President Biden signed the Inflation Reduction Act of 2022 (“IRA”) into law, which among other things, extends enhanced subsidies for individuals purchasing health insurance coverage in PPACA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PPACA will be subject to judicial or Congressional challenges in the future. It is unclear how any such challenges, other litigation, and the healthcare reform measures of the current administration will impact the PPACA.</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w:t>
      </w:r>
    </w:p>
    <w:p>
      <w:pPr>
        <w:spacing w:after="0" w:line="1" w:lineRule="exact"/>
        <w:rPr>
          <w:sz w:val="20"/>
          <w:szCs w:val="20"/>
          <w:color w:val="auto"/>
        </w:rPr>
      </w:pPr>
    </w:p>
    <w:p>
      <w:pPr>
        <w:ind w:right="40" w:firstLine="8"/>
        <w:spacing w:after="0" w:line="251"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within ninety (90) days on how the Center for Medicare and Medicaid Innovation can be further leveraged to test new models for lowering drug costs for Medicare and Medicaid beneficiaries.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5" w:name="page66"/>
    <w:bookmarkEnd w:id="65"/>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proposals will be adopted or what actions federal, state or private third-party payers may take in response to any drug pricing and reimbursement reform proposals or legislation. Further, to the extent that such reforms have a material adverse effect on our ability to commercialize our products and product candidates under development, our business, financial condition and profitability may be adversely affected.</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expect that PPACA, the IRA,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spacing w:after="0" w:line="28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spacing w:after="0" w:line="75" w:lineRule="exact"/>
        <w:rPr>
          <w:sz w:val="20"/>
          <w:szCs w:val="20"/>
          <w:color w:val="auto"/>
        </w:rPr>
      </w:pPr>
    </w:p>
    <w:p>
      <w:pPr>
        <w:ind w:left="1000" w:right="180" w:hanging="493"/>
        <w:spacing w:after="0" w:line="25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9" w:lineRule="exact"/>
        <w:rPr>
          <w:rFonts w:ascii="Times New Roman" w:cs="Times New Roman" w:eastAsia="Times New Roman" w:hAnsi="Times New Roman"/>
          <w:sz w:val="18"/>
          <w:szCs w:val="18"/>
          <w:color w:val="auto"/>
        </w:rPr>
      </w:pPr>
    </w:p>
    <w:p>
      <w:pPr>
        <w:ind w:left="1000" w:hanging="493"/>
        <w:spacing w:after="0" w:line="25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79" w:lineRule="exact"/>
        <w:rPr>
          <w:rFonts w:ascii="Times New Roman" w:cs="Times New Roman" w:eastAsia="Times New Roman" w:hAnsi="Times New Roman"/>
          <w:sz w:val="18"/>
          <w:szCs w:val="18"/>
          <w:color w:val="auto"/>
        </w:rPr>
      </w:pPr>
    </w:p>
    <w:p>
      <w:pPr>
        <w:ind w:left="1000" w:right="80" w:hanging="493"/>
        <w:spacing w:after="0" w:line="261"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under PPACA, which requires certain manufacturers of drugs, devices, biologics, and medical supplies to report annually to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spacing w:after="0" w:line="71" w:lineRule="exact"/>
        <w:rPr>
          <w:rFonts w:ascii="Times New Roman" w:cs="Times New Roman" w:eastAsia="Times New Roman" w:hAnsi="Times New Roman"/>
          <w:sz w:val="18"/>
          <w:szCs w:val="18"/>
          <w:color w:val="auto"/>
        </w:rPr>
      </w:pPr>
    </w:p>
    <w:p>
      <w:pPr>
        <w:ind w:left="1000" w:right="620" w:hanging="493"/>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67" w:lineRule="exact"/>
        <w:rPr>
          <w:rFonts w:ascii="Times New Roman" w:cs="Times New Roman" w:eastAsia="Times New Roman" w:hAnsi="Times New Roman"/>
          <w:sz w:val="18"/>
          <w:szCs w:val="18"/>
          <w:color w:val="auto"/>
        </w:rPr>
      </w:pPr>
    </w:p>
    <w:p>
      <w:pPr>
        <w:ind w:left="1000" w:right="100" w:hanging="493"/>
        <w:spacing w:after="0" w:line="25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which impose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as well as their covered subcontractors.</w:t>
      </w:r>
    </w:p>
    <w:p>
      <w:pPr>
        <w:spacing w:after="0" w:line="75" w:lineRule="exact"/>
        <w:rPr>
          <w:rFonts w:ascii="Times New Roman" w:cs="Times New Roman" w:eastAsia="Times New Roman" w:hAnsi="Times New Roman"/>
          <w:sz w:val="18"/>
          <w:szCs w:val="18"/>
          <w:color w:val="auto"/>
        </w:rPr>
      </w:pPr>
    </w:p>
    <w:p>
      <w:pPr>
        <w:ind w:left="1000" w:hanging="493"/>
        <w:spacing w:after="0" w:line="274" w:lineRule="auto"/>
        <w:tabs>
          <w:tab w:leader="none" w:pos="10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both"/>
        <w:ind w:left="1000" w:right="520"/>
        <w:spacing w:after="0" w:line="282" w:lineRule="auto"/>
        <w:rPr>
          <w:sz w:val="20"/>
          <w:szCs w:val="20"/>
          <w:color w:val="auto"/>
        </w:rPr>
      </w:pPr>
      <w:r>
        <w:rPr>
          <w:rFonts w:ascii="Times New Roman" w:cs="Times New Roman" w:eastAsia="Times New Roman" w:hAnsi="Times New Roman"/>
          <w:sz w:val="18"/>
          <w:szCs w:val="18"/>
          <w:color w:val="auto"/>
        </w:rPr>
        <w:t>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6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exceptions and regulatory safe harbors, it is possible that some of our business activities could be subject to challenge under one or more of such laws. With Afrezza now available in Brazil and as we pursue additional international approvals, we will be subject to similar foreign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spacing w:after="0" w:line="19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process sensitive information (as those terms are defined above).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In addition, the CCPA imposes obligations on covered businesses. These obligations include, but are not limited to, providing specific disclosures in privacy notices and affording California residents certain rights related to their personal data. The CCPA provides for civil penalties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maintain about California residents. In addition, the California Privacy Rights Act of 2020 (“CPRA”), which became operative January 1, 2023, will expand the CCPA’s requirements, including by applying to personal information of business representatives and employees. Additionally, the CPRA establishes a new California Privacy Protection Agency to implement and enforce the CPRA, which could increase the risk of enforcement. Other states also have enacted comprehensive data privacy laws. For example, Virginia passed the Consumer Data Protection Act, and Colorado passed the Colorado Privacy Act, both of which become effective in 2023. In addition, data privacy and security laws have been proposed at the federal, state, and local levels in recent years, which could further complicate compliance efforts.</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General Data Protection Regulation (“GDPR’) and, the United Kingdom’s GDPR (“UK GDPR”), Brazil’s General Data Protection Law (Lei Geral de Proteção de Dados Pessoais, or “LGPD”) (Law No. 13,709/2018), and Australia’s Privacy Act 1988 impose strict requirements for processing personal data. For example, under the EU GDPR, companies may face temporary or definitive bans on data processing and other corrective actions; fines of up to 20 million euros or 4% of annual global revenue, whichever is greater; or private litigation related to the processing of personal data brought by classes of data subjects or consumer protection organizations authorized at law to represent their interests.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7" w:name="page68"/>
    <w:bookmarkEnd w:id="67"/>
    <w:p>
      <w:pPr>
        <w:ind w:right="140"/>
        <w:spacing w:after="0" w:line="254" w:lineRule="auto"/>
        <w:rPr>
          <w:sz w:val="20"/>
          <w:szCs w:val="20"/>
          <w:color w:val="auto"/>
        </w:rPr>
      </w:pPr>
      <w:r>
        <w:rPr>
          <w:rFonts w:ascii="Times New Roman" w:cs="Times New Roman" w:eastAsia="Times New Roman" w:hAnsi="Times New Roman"/>
          <w:sz w:val="18"/>
          <w:szCs w:val="18"/>
          <w:color w:val="auto"/>
        </w:rPr>
        <w:t>such as the EEA and UK’s standard contractual clauses, these mechanisms are subject to legal challenges, and there is no assurance that we can satisfy or rely on these reasons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w:t>
      </w:r>
    </w:p>
    <w:p>
      <w:pPr>
        <w:spacing w:after="0" w:line="19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may also be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In addition, privacy advocates and industry groups have proposed, and may propose, standards with which we are legally or contractually bound to comply.</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If we or the third parties on which we rely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30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For example, on March 11, 2021, President Biden signed the American Rescue Plan Act of 2021 into law, which eliminates the statutory Medicaid drug rebate cap, currently set at 100% of a drug’s AMP, for single source and innovator multiple source drugs, beginning January 1, 2024.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9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right="60"/>
        <w:spacing w:after="0" w:line="258" w:lineRule="auto"/>
        <w:rPr>
          <w:sz w:val="20"/>
          <w:szCs w:val="20"/>
          <w:color w:val="auto"/>
        </w:rPr>
      </w:pPr>
      <w:r>
        <w:rPr>
          <w:rFonts w:ascii="Times New Roman" w:cs="Times New Roman" w:eastAsia="Times New Roman" w:hAnsi="Times New Roman"/>
          <w:sz w:val="18"/>
          <w:szCs w:val="18"/>
          <w:color w:val="auto"/>
        </w:rPr>
        <w:t>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8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our approved products.*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are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may subject our products to class warnings in their labels or negatively impact public perception of our product candidates, which could harm our business, financial condition and results of operations and cause the market price of our common stock and other securities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environmental, social and corporate governance (ESG) matters or our reporting of such matters.*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partners, and other stakeholders concerning ESG matters. We may be, or be perceived to be, not acting responsibly in connection with these matters, which could negatively impact us. Moreover, the SEC has recently proposed, and may continue to propose, certain mandated ESG reporting requirements, such as the SEC’s proposed rules designed to enhance and standardize climate-related disclosures, which, if finally approved, would significantly increase our compliance and reporting costs and may also result in disclosures that certain investors or other stakeholders deem to negatively impact our reputation and/or that harm our stock price. We currently do not report our environmental emissions and absent a legal requirement to do so we currently do not plan to report our environmental emissions, and lack of reporting could result in certain investors declining to invest in our common stock.</w:t>
      </w:r>
    </w:p>
    <w:p>
      <w:pPr>
        <w:spacing w:after="0" w:line="29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of investment securities may require us to register with the SEC as an “investment company” in accordance with the Investment Company Act of 1940 (“‘40 Act”).*</w:t>
      </w:r>
    </w:p>
    <w:p>
      <w:pPr>
        <w:spacing w:after="0" w:line="5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rules and interpretations of the SEC and the courts relating to the definition of "investment company" are very complex. Although we are a biopharmaceutical company and we do not hold ourselves out as an investment company, based on our investment securities as of the most recent balance sheet date set forth in this report and as of the most recent balance sheet date in prior quarters, the value of our investment securities relative to our total assets (exclusive of government securities and cash items) exceeded safe harbor limits prescribed in the ’40 Act. It is possible that the SEC would take the position that we would be required to register under the ‘40 Act and comply with the ‘40 Act’s registration and reporting requirements, capital structure requirements, affiliate transaction restrictions, conflict of interest rules, requirements for disinterested directors, and other substantive provisions. If we were required to register as an “investment company” and be subject to the restrictions of the ‘40 Act, those restrictions likely would require significant changes in the way we do business and add significant administrative costs and burdens to our operations. We therefore intend to modify our mixture of assets so that the amount of our investment securities relative to our total assets (exclusive of government securities and cash items) comes within safe harbor limits prescribed in the ‘40 Act.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ind w:right="20"/>
        <w:spacing w:after="0" w:line="266" w:lineRule="auto"/>
        <w:rPr>
          <w:sz w:val="20"/>
          <w:szCs w:val="20"/>
          <w:color w:val="auto"/>
        </w:rPr>
      </w:pPr>
      <w:r>
        <w:rPr>
          <w:rFonts w:ascii="Times New Roman" w:cs="Times New Roman" w:eastAsia="Times New Roman" w:hAnsi="Times New Roman"/>
          <w:sz w:val="18"/>
          <w:szCs w:val="18"/>
          <w:color w:val="auto"/>
        </w:rPr>
        <w:t>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Moreover, the term of a patent is limited and, as a result, the patents protecting our products expire at various dates. As and when these different patents expire, our products could become subject to increased competition. As a consequence, we may not be able to recover our development costs.</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9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0" w:name="page71"/>
    <w:bookmarkEnd w:id="70"/>
    <w:p>
      <w:pPr>
        <w:ind w:right="20"/>
        <w:spacing w:after="0" w:line="253" w:lineRule="auto"/>
        <w:rPr>
          <w:sz w:val="20"/>
          <w:szCs w:val="20"/>
          <w:color w:val="auto"/>
        </w:rPr>
      </w:pPr>
      <w:r>
        <w:rPr>
          <w:rFonts w:ascii="Times New Roman" w:cs="Times New Roman" w:eastAsia="Times New Roman" w:hAnsi="Times New Roman"/>
          <w:sz w:val="18"/>
          <w:szCs w:val="18"/>
          <w:color w:val="auto"/>
        </w:rPr>
        <w:t>Interference proceedings brought by the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8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Moreover, certain components of Afrezza or our product candidates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9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Although we do not believe that Afrezza or our product candidates infringe any third-party patents, if a plaintiff was to allege infringement of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ind w:right="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trademark registrations for our potential trade names.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commitments. We may be forced to take other actions to satisfy our obligations or we may experience a financial failure.*</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ability to make scheduled payments on our lease and debt obligations will depend on our financial and operating performance, which is subject to the commercial success of our products,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obligations, we may be forced to reduce or delay capital expenditures, sell assets or operations, seek additional capital or restructure or refinance our indebtedness and lease obligations. We cannot assure you that we would be able to take any of these actions, that these actions would be successful and permit us to meet our scheduled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296" w:lineRule="exact"/>
        <w:rPr>
          <w:sz w:val="20"/>
          <w:szCs w:val="20"/>
          <w:color w:val="auto"/>
        </w:rPr>
      </w:pPr>
    </w:p>
    <w:p>
      <w:pPr>
        <w:ind w:right="3700"/>
        <w:spacing w:after="0" w:line="41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stock price is volatile and may affect the market price of our common stock and other securities.* </w:t>
      </w:r>
      <w:r>
        <w:rPr>
          <w:rFonts w:ascii="Times New Roman" w:cs="Times New Roman" w:eastAsia="Times New Roman" w:hAnsi="Times New Roman"/>
          <w:sz w:val="18"/>
          <w:szCs w:val="18"/>
          <w:color w:val="auto"/>
        </w:rPr>
        <w:t>The trading price of our common stock has been and is likely to continue to be volatile.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volatility of pharmaceutical and biotechnology stocks often does not relate to the operating performance of the companies represented by the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and the market price of our common stock may be influenced by a large variety of factors, including:</w:t>
      </w:r>
    </w:p>
    <w:p>
      <w:pPr>
        <w:spacing w:after="0" w:line="99" w:lineRule="exact"/>
        <w:rPr>
          <w:sz w:val="20"/>
          <w:szCs w:val="20"/>
          <w:color w:val="auto"/>
        </w:rPr>
      </w:pPr>
    </w:p>
    <w:p>
      <w:pPr>
        <w:ind w:left="1000" w:right="116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products outside of the United States and to find collaboration partners for the commercialization of our products in foreign jurisdictions;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estimates of product sales, Tyvaso DPI royalties, prescriptions or other operating metrics;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other products based on our Technosphere drug delivery platform;</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preclinical and clinical studies of our product candidates and of post-approval studies of approved products that are required by the FDA;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stock market conditions, especially for emerging growth and pharmaceutical market sectors;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such as the current Russia-Ukraine conflict;</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w:t>
      </w:r>
    </w:p>
    <w:p>
      <w:pPr>
        <w:spacing w:after="0" w:line="144"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man-made or natural disasters or public health pandemics or epidemics or other business interruptions, including, for example, the COVID-19 pandemic;</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144"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critical materials used in developing and manufacturing our products and product candidates;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relationship with any of our current or future collaborators or third party manufacturers;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patents or proprietary rights;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time associated with, and the extent of our ultimate success in, securing regulatory approvals;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concerning our financial condition or operating performance;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condition or operating performance;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trades of short sellers;</w:t>
      </w:r>
    </w:p>
    <w:p>
      <w:pPr>
        <w:spacing w:after="0" w:line="144"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perception of investors of our ability, to continue to meet all applicable requirements for continued listing of our common stock on The Nasdaq Global Market, and the possible delisting of our common stock if we are unable to do so;</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any legal proceedings or regulatory matters against or involving us or any of our executive officers and directors; and</w:t>
      </w:r>
    </w:p>
    <w:p>
      <w:pPr>
        <w:spacing w:after="0" w:line="144" w:lineRule="exact"/>
        <w:rPr>
          <w:rFonts w:ascii="Times New Roman" w:cs="Times New Roman" w:eastAsia="Times New Roman" w:hAnsi="Times New Roman"/>
          <w:sz w:val="18"/>
          <w:szCs w:val="18"/>
          <w:color w:val="auto"/>
        </w:rPr>
      </w:pPr>
    </w:p>
    <w:p>
      <w:pPr>
        <w:ind w:left="1000" w:right="200" w:hanging="493"/>
        <w:spacing w:after="0" w:line="26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our products, competitors’ products, or our stock price by the financial and scientific press, the healthcare community and online investor communities such as chat rooms. In particular, it may be difficult to verify statements about us that appear on interactive websites that permit users to generate content anonymously or under a pseudonym. Statements attributed to company officials may, in fact, have originated elsewhere.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as well as other factors, could cause the market value of our common stock and other securities to decline.</w:t>
      </w:r>
    </w:p>
    <w:p>
      <w:pPr>
        <w:spacing w:after="0" w:line="32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29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sale of our common stock or the exchange or conversion of our convertible debt into common stock could negatively affect the market price of our common stock and other securities.*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October 28, 2022, we had 263,195,593 shares of common stock outstanding.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the Mann Group</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ind w:right="380"/>
        <w:spacing w:after="0" w:line="266" w:lineRule="auto"/>
        <w:rPr>
          <w:sz w:val="20"/>
          <w:szCs w:val="20"/>
          <w:color w:val="auto"/>
        </w:rPr>
      </w:pPr>
      <w:r>
        <w:rPr>
          <w:rFonts w:ascii="Times New Roman" w:cs="Times New Roman" w:eastAsia="Times New Roman" w:hAnsi="Times New Roman"/>
          <w:sz w:val="18"/>
          <w:szCs w:val="18"/>
          <w:color w:val="auto"/>
        </w:rPr>
        <w:t>promissory note, or the Senior convertible notes,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we may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66"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9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68" w:lineRule="exact"/>
        <w:rPr>
          <w:sz w:val="20"/>
          <w:szCs w:val="20"/>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breach of fiduciary duty owed by any of our current or former directors, officers or other employees to us or our stockholders;</w:t>
      </w:r>
    </w:p>
    <w:p>
      <w:pPr>
        <w:spacing w:after="0" w:line="53" w:lineRule="exact"/>
        <w:rPr>
          <w:rFonts w:ascii="Times New Roman" w:cs="Times New Roman" w:eastAsia="Times New Roman" w:hAnsi="Times New Roman"/>
          <w:sz w:val="18"/>
          <w:szCs w:val="18"/>
          <w:color w:val="auto"/>
        </w:rPr>
      </w:pPr>
    </w:p>
    <w:p>
      <w:pPr>
        <w:jc w:val="both"/>
        <w:ind w:left="1000" w:right="220" w:hanging="493"/>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spacing w:after="0" w:line="67" w:lineRule="exact"/>
        <w:rPr>
          <w:rFonts w:ascii="Times New Roman" w:cs="Times New Roman" w:eastAsia="Times New Roman" w:hAnsi="Times New Roman"/>
          <w:sz w:val="18"/>
          <w:szCs w:val="18"/>
          <w:color w:val="auto"/>
        </w:rPr>
      </w:pPr>
    </w:p>
    <w:p>
      <w:pPr>
        <w:ind w:left="1000" w:right="140" w:hanging="493"/>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amended and restated certificate of incorporation or our amended and restated bylaws;</w:t>
      </w:r>
    </w:p>
    <w:p>
      <w:pPr>
        <w:spacing w:after="0" w:line="53" w:lineRule="exact"/>
        <w:rPr>
          <w:rFonts w:ascii="Times New Roman" w:cs="Times New Roman" w:eastAsia="Times New Roman" w:hAnsi="Times New Roman"/>
          <w:sz w:val="18"/>
          <w:szCs w:val="18"/>
          <w:color w:val="auto"/>
        </w:rPr>
      </w:pPr>
    </w:p>
    <w:p>
      <w:pPr>
        <w:ind w:left="1000" w:right="360" w:hanging="493"/>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Delaware General Corporation Law confers jurisdiction to the Court of Chancery of the State of Delaware;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officers or other employees that is governed by the internal affairs doctrine.</w:t>
      </w:r>
    </w:p>
    <w:p>
      <w:pPr>
        <w:spacing w:after="0" w:line="2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provision does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ind w:right="120"/>
        <w:spacing w:after="0" w:line="282" w:lineRule="auto"/>
        <w:rPr>
          <w:sz w:val="20"/>
          <w:szCs w:val="20"/>
          <w:color w:val="auto"/>
        </w:rPr>
      </w:pPr>
      <w:r>
        <w:rPr>
          <w:rFonts w:ascii="Times New Roman" w:cs="Times New Roman" w:eastAsia="Times New Roman" w:hAnsi="Times New Roman"/>
          <w:sz w:val="18"/>
          <w:szCs w:val="18"/>
          <w:color w:val="auto"/>
        </w:rPr>
        <w:t>unenforceable in an action, we may incur further significant additional costs associated with resolving the dispute in other jurisdictions, all of which could seriously harm our business.</w:t>
      </w:r>
    </w:p>
    <w:p>
      <w:pPr>
        <w:spacing w:after="0" w:line="26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In addition,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future, we may sell additional shares of our common stock to raise capital. In addition, a substantial number of shares of our common stock is reserved for issuance upon the exercise of stock options, the vesting of restricted stock unit awards and purchases under our employee stock purchase program.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28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economic and geopolitical conditions may have serious adverse consequences on our business, financial condition and stock price.*</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global credit and financial markets have experienced extreme volatility and disruptions in the past. These disruptions can result in severely diminished liquidity and credit availability, increase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ind w:right="280"/>
        <w:spacing w:after="0" w:line="256" w:lineRule="auto"/>
        <w:rPr>
          <w:sz w:val="20"/>
          <w:szCs w:val="20"/>
          <w:color w:val="auto"/>
        </w:rPr>
      </w:pPr>
      <w:r>
        <w:rPr>
          <w:rFonts w:ascii="Times New Roman" w:cs="Times New Roman" w:eastAsia="Times New Roman" w:hAnsi="Times New Roman"/>
          <w:sz w:val="18"/>
          <w:szCs w:val="18"/>
          <w:color w:val="auto"/>
        </w:rPr>
        <w:t>Other international and geopolitical events could also have a serious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During the quarter ended September 30, 2022, we elected to pay quarterly interest under the Mann Group convertible note of approximately $0.1 million by issuing the Mann Group 25,950 shares of common stock. See Note 9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relied on an exemption from registration provided by Section 3(a)(9) or 4(a)(2) of the Securities Act of 1933, as amended, for the issuance of the shares described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disclosed in our definitive proxy statement for our 2022 annual meeting of stockholders filed with the SEC on March 30, 2022, to be considered for inclusion in our proxy material for next year’s annual meeting, stockholder proposals must be submitted in writing by December 1, 2022 to Attn: Corporate Secretary, MannKind Corporation, 1 Casper Street, Danbury, Connecticut 06810. Stockholders who wish to submit a proposal (including a director nomination) that is not to be included in our proxy materials must do so by notifying our Corporate Secretary at the foregoing address not later than February 9, 2023 and not earlier than January 10, 2023. Stockholders are also advised to review our Amended and Restated Bylaws, which contain additional requirements about advance notice of stockholder proposals and director nominations.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Amended and Restated Bylaws, to comply with the universal proxy rules for our 2023 annual meeting of stockholders and future annual stockholder meetings, stockholders who intend to solicit proxies in support of director nominees other than our Board of Directors’ nominees must provide notice that sets forth any additional information required by Rule 14a-19 promulgated under the Exchange Act. This written notice must be received by our Corporate Secretary at our principal executive offices not less than 90 days nor more than 120 days prior to the first anniversary of the preceding year’s annual meeting (which, in the case of our 2023 annual meeting of stockholders, is not later than February 9, 2023 and not earlier than January 10, 2023).</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160" w:type="dxa"/>
            <w:vAlign w:val="bottom"/>
            <w:gridSpan w:val="2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60" w:type="dxa"/>
            <w:vAlign w:val="bottom"/>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0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10020" w:type="dxa"/>
            <w:vAlign w:val="bottom"/>
            <w:tcBorders>
              <w:top w:val="single" w:sz="8" w:color="auto"/>
              <w:bottom w:val="single" w:sz="8" w:color="0000EE"/>
            </w:tcBorders>
            <w:gridSpan w:val="36"/>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Amended and Restated Certificate of Incorporation (incorporated by reference to Exhibit 3.1 to MannKind’s Quarterly Report on Form 10-</w:t>
              </w:r>
            </w:hyperlink>
          </w:p>
        </w:tc>
        <w:tc>
          <w:tcPr>
            <w:tcW w:w="8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Q (File No. 000-50865), filed with the SEC on August 9, 2016).</w:t>
              </w:r>
            </w:hyperlink>
          </w:p>
        </w:tc>
        <w:tc>
          <w:tcPr>
            <w:tcW w:w="54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990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Certificate of Amendment of Amended and Restated Certificate of Incorporation of MannKind Corporation (incorporated by reference to</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Exhibit 3.1 to MannKind’s Current Report on Form 8-K (File No. 000-50865), filed with the SEC on March 2, 2017).</w:t>
              </w:r>
            </w:hyperlink>
          </w:p>
        </w:tc>
        <w:tc>
          <w:tcPr>
            <w:tcW w:w="16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990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Certificate of Amendment of Amended and Restated Certificate of Incorporation of MannKind Corporation (incorporated by reference to</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Exhibit 3.1 to MannKind’s Current Report on Form 8-K (File No. 000-50865), filed with the SEC on December 13, 2017).</w:t>
              </w:r>
            </w:hyperlink>
          </w:p>
        </w:tc>
        <w:tc>
          <w:tcPr>
            <w:tcW w:w="12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4"/>
                <w:szCs w:val="24"/>
                <w:color w:val="auto"/>
              </w:rPr>
            </w:pPr>
          </w:p>
        </w:tc>
        <w:tc>
          <w:tcPr>
            <w:tcW w:w="990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Certificate of Amendment of Amended and Restated Certificate of Incorporation of MannKind Corporation (incorporated by reference to</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9"/>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Exhibit 3.1 to MannKind’s Current Report on Form 8-K (File No. 000-50865), filed with the SEC on May 27, 2020).</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4"/>
                <w:szCs w:val="24"/>
                <w:color w:val="auto"/>
              </w:rPr>
            </w:pPr>
          </w:p>
        </w:tc>
        <w:tc>
          <w:tcPr>
            <w:tcW w:w="96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Amended and Restated Bylaws (incorporated by reference to Exhibit 3.2 to MannKind’s Current Report on Form 8-K (File No. 000-</w:t>
              </w:r>
            </w:hyperlink>
          </w:p>
        </w:tc>
        <w:tc>
          <w:tcPr>
            <w:tcW w:w="4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10">
              <w:r>
                <w:rPr>
                  <w:rFonts w:ascii="Times New Roman" w:cs="Times New Roman" w:eastAsia="Times New Roman" w:hAnsi="Times New Roman"/>
                  <w:sz w:val="18"/>
                  <w:szCs w:val="18"/>
                  <w:color w:val="0000EE"/>
                  <w:w w:val="98"/>
                </w:rPr>
                <w:t>50865)</w:t>
              </w:r>
              <w:r>
                <w:rPr>
                  <w:rFonts w:ascii="Times New Roman" w:cs="Times New Roman" w:eastAsia="Times New Roman" w:hAnsi="Times New Roman"/>
                  <w:sz w:val="18"/>
                  <w:szCs w:val="18"/>
                  <w:u w:val="single" w:color="auto"/>
                  <w:color w:val="0000EE"/>
                  <w:w w:val="98"/>
                </w:rPr>
                <w:t>,</w:t>
              </w:r>
              <w:r>
                <w:rPr>
                  <w:rFonts w:ascii="Times New Roman" w:cs="Times New Roman" w:eastAsia="Times New Roman" w:hAnsi="Times New Roman"/>
                  <w:sz w:val="18"/>
                  <w:szCs w:val="18"/>
                  <w:color w:val="0000EE"/>
                  <w:w w:val="98"/>
                </w:rPr>
                <w:t xml:space="preserve"> filed with the SEC on May 27, 2020).</w:t>
              </w:r>
            </w:hyperlink>
          </w:p>
        </w:tc>
        <w:tc>
          <w:tcPr>
            <w:tcW w:w="67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100" w:type="dxa"/>
            <w:vAlign w:val="bottom"/>
            <w:gridSpan w:val="3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106">
              <w:r>
                <w:rPr>
                  <w:rFonts w:ascii="Times New Roman" w:cs="Times New Roman" w:eastAsia="Times New Roman" w:hAnsi="Times New Roman"/>
                  <w:sz w:val="18"/>
                  <w:szCs w:val="18"/>
                  <w:color w:val="0000EE"/>
                </w:rPr>
                <w:t>3.1</w:t>
              </w:r>
            </w:hyperlink>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color w:val="0000EE"/>
                </w:rPr>
                <w:t>3.2</w:t>
              </w:r>
            </w:hyperlink>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color w:val="0000EE"/>
                </w:rPr>
                <w:t>3.3</w:t>
              </w:r>
            </w:hyperlink>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color w:val="0000EE"/>
                </w:rPr>
                <w:t>3.4</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110">
              <w:r>
                <w:rPr>
                  <w:rFonts w:ascii="Times New Roman" w:cs="Times New Roman" w:eastAsia="Times New Roman" w:hAnsi="Times New Roman"/>
                  <w:sz w:val="18"/>
                  <w:szCs w:val="18"/>
                  <w:color w:val="0000EE"/>
                </w:rPr>
                <w:t>3.5</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98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Form of common stock certificate (incorporated by reference to Exhibit 4.2 to MannKind’s Annual Report on Form 10-K (File No. 000-</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50865)</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 xml:space="preserve"> filed with the SEC on March 16, 2017).</w:t>
              </w:r>
            </w:hyperlink>
          </w:p>
        </w:tc>
        <w:tc>
          <w:tcPr>
            <w:tcW w:w="66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10100" w:type="dxa"/>
            <w:vAlign w:val="bottom"/>
            <w:gridSpan w:val="39"/>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Milestone Rights Purchase Agreement, dated as of July 1, 2013, by and among MannKind, Deerfield Private Design Fund II, L.P. and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9"/>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Horizon Santé FLML SÁRL (incorporated by reference to Exhibit 99.3 to MannKind’s Current Report on Form 8-K (File No. 000-50865),</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filed with the SEC on July 1, 2013).</w:t>
              </w:r>
            </w:hyperlink>
          </w:p>
        </w:tc>
        <w:tc>
          <w:tcPr>
            <w:tcW w:w="7400" w:type="dxa"/>
            <w:vAlign w:val="bottom"/>
            <w:tcBorders>
              <w:top w:val="single" w:sz="8" w:color="0000EE"/>
            </w:tcBorders>
            <w:gridSpan w:val="28"/>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95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Form of Warrant to Purchase Stock issued to MidCap Financial Trust on August 6, 2019 (incorporated by reference to Exhibit 4.1 to</w:t>
              </w:r>
            </w:hyperlink>
          </w:p>
        </w:tc>
        <w:tc>
          <w:tcPr>
            <w:tcW w:w="5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9"/>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MannKind’s Current Report on Form 8-K (File No. 000-50865), filed with the SEC on August 7, 2019).</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160" w:type="dxa"/>
            <w:vAlign w:val="bottom"/>
            <w:gridSpan w:val="9"/>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10100" w:type="dxa"/>
            <w:vAlign w:val="bottom"/>
            <w:gridSpan w:val="39"/>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Convertible Promissory Note made by MannKind Corporation in favor of The Mann Group LLC, dated August 6, 2019 (incorporated by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reference to Exhibit 4.6 to MannKind’s Current Report on Form 8-K (File No. 000-50865), filed with the SEC on August 7, 2019).</w:t>
              </w:r>
            </w:hyperlink>
          </w:p>
        </w:tc>
        <w:tc>
          <w:tcPr>
            <w:tcW w:w="380" w:type="dxa"/>
            <w:vAlign w:val="bottom"/>
            <w:tcBorders>
              <w:top w:val="single" w:sz="8" w:color="0000EE"/>
            </w:tcBorders>
            <w:gridSpan w:val="6"/>
          </w:tcPr>
          <w:p>
            <w:pPr>
              <w:spacing w:after="0"/>
              <w:rPr>
                <w:sz w:val="17"/>
                <w:szCs w:val="17"/>
                <w:color w:val="auto"/>
              </w:rPr>
            </w:pPr>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98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Amendment No. 1 to Convertible Promissory Note, dated April 22, 2021, by and between MannKind Corporation and The Mann Group</w:t>
              </w:r>
            </w:hyperlink>
          </w:p>
        </w:tc>
        <w:tc>
          <w:tcPr>
            <w:tcW w:w="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9"/>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LLC (incorporated by reference to Exhibit 99.2 to MannKind’s Current Report on Form 8-K (File No. 000-50865), filed with the SEC on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April 26, 2021).</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4"/>
                <w:szCs w:val="24"/>
                <w:color w:val="auto"/>
              </w:rPr>
            </w:pPr>
          </w:p>
        </w:tc>
        <w:tc>
          <w:tcPr>
            <w:tcW w:w="10100" w:type="dxa"/>
            <w:vAlign w:val="bottom"/>
            <w:gridSpan w:val="39"/>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Promissory Note made by MannKind Corporation in favor of The Mann Group LLC, dated August 6, 2019 (incorporated by reference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8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Exhibit 4.7 to MannKind’s Current Report on Form 8-K (File No. 000-50865), filed with the SEC on August 7, 2019).</w:t>
              </w:r>
            </w:hyperlink>
          </w:p>
        </w:tc>
        <w:tc>
          <w:tcPr>
            <w:tcW w:w="1280" w:type="dxa"/>
            <w:vAlign w:val="bottom"/>
            <w:tcBorders>
              <w:top w:val="single" w:sz="8" w:color="0000EE"/>
            </w:tcBorders>
            <w:gridSpan w:val="10"/>
          </w:tcPr>
          <w:p>
            <w:pPr>
              <w:spacing w:after="0"/>
              <w:rPr>
                <w:sz w:val="17"/>
                <w:szCs w:val="17"/>
                <w:color w:val="auto"/>
              </w:rPr>
            </w:pPr>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4"/>
                <w:szCs w:val="24"/>
                <w:color w:val="auto"/>
              </w:rPr>
            </w:pPr>
          </w:p>
        </w:tc>
        <w:tc>
          <w:tcPr>
            <w:tcW w:w="91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Indenture, dated as of March 4, 2021, by and between MannKind Corporation and U.S. Bank National Association, as Trustee</w:t>
              </w:r>
            </w:hyperlink>
          </w:p>
        </w:tc>
        <w:tc>
          <w:tcPr>
            <w:tcW w:w="10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9"/>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(incorporated by reference to Exhibit 4.1 to MannKind’s Current Report on Form 8-K (File No. 000-50865), filed with the SEC on March</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17">
              <w:r>
                <w:rPr>
                  <w:rFonts w:ascii="Times New Roman" w:cs="Times New Roman" w:eastAsia="Times New Roman" w:hAnsi="Times New Roman"/>
                  <w:sz w:val="18"/>
                  <w:szCs w:val="18"/>
                  <w:color w:val="0000EE"/>
                  <w:w w:val="96"/>
                </w:rPr>
                <w:t>5, 2021).</w:t>
              </w:r>
            </w:hyperlink>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4"/>
                <w:szCs w:val="24"/>
                <w:color w:val="auto"/>
              </w:rPr>
            </w:pPr>
          </w:p>
        </w:tc>
        <w:tc>
          <w:tcPr>
            <w:tcW w:w="96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Global Note, representing MannKind Corporation’s 2.50% Convertible Senior Notes due 2026 (included as Exhibit A to the</w:t>
              </w:r>
            </w:hyperlink>
          </w:p>
        </w:tc>
        <w:tc>
          <w:tcPr>
            <w:tcW w:w="4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Indenture filed as Exhibit 4.15) (incorporated by reference to Exhibit 4.2 to MannKind’s Current Report on Form 8-K (File No. 000-</w:t>
              </w:r>
            </w:hyperlink>
          </w:p>
        </w:tc>
        <w:tc>
          <w:tcPr>
            <w:tcW w:w="5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9"/>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50865)</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filed with the SEC on March 5, 2021)</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620" w:type="dxa"/>
            <w:vAlign w:val="bottom"/>
            <w:gridSpan w:val="10"/>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60" w:type="dxa"/>
            <w:vAlign w:val="bottom"/>
            <w:gridSpan w:val="10"/>
          </w:tcPr>
          <w:p>
            <w:pPr>
              <w:spacing w:after="0" w:line="20" w:lineRule="exact"/>
              <w:rPr>
                <w:sz w:val="1"/>
                <w:szCs w:val="1"/>
                <w:color w:val="auto"/>
              </w:rPr>
            </w:pPr>
          </w:p>
        </w:tc>
        <w:tc>
          <w:tcPr>
            <w:tcW w:w="6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040" w:type="dxa"/>
            <w:vAlign w:val="bottom"/>
            <w:tcBorders>
              <w:bottom w:val="single" w:sz="8" w:color="0000EE"/>
            </w:tcBorders>
            <w:gridSpan w:val="37"/>
          </w:tcPr>
          <w:p>
            <w:pPr>
              <w:spacing w:after="0"/>
              <w:rPr>
                <w:sz w:val="20"/>
                <w:szCs w:val="20"/>
                <w:color w:val="auto"/>
              </w:rPr>
            </w:pPr>
            <w:r>
              <w:rPr>
                <w:rFonts w:ascii="Times New Roman" w:cs="Times New Roman" w:eastAsia="Times New Roman" w:hAnsi="Times New Roman"/>
                <w:sz w:val="18"/>
                <w:szCs w:val="18"/>
                <w:color w:val="0000EE"/>
                <w:w w:val="99"/>
              </w:rPr>
              <w:t>Amendment No. 10 to the Credit and Security Agreement, dated August 29, 2022, by and among MannKind Corporation, MannKind LLC,</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QrumPharma, Inc., and MidCap Financial Trust.</w:t>
            </w:r>
          </w:p>
        </w:tc>
        <w:tc>
          <w:tcPr>
            <w:tcW w:w="66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1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Certification of the Chief Executive Officer pursuant to Rules 13a-14(a) and 15d-14(a) of the Securities Exchange Act of 1934, as</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amended.</w:t>
            </w:r>
          </w:p>
        </w:tc>
        <w:tc>
          <w:tcPr>
            <w:tcW w:w="8660" w:type="dxa"/>
            <w:vAlign w:val="bottom"/>
            <w:tcBorders>
              <w:top w:val="single" w:sz="8" w:color="0000EE"/>
            </w:tcBorders>
            <w:gridSpan w:val="22"/>
          </w:tcPr>
          <w:p>
            <w:pPr>
              <w:spacing w:after="0"/>
              <w:rPr>
                <w:sz w:val="17"/>
                <w:szCs w:val="17"/>
                <w:color w:val="auto"/>
              </w:rPr>
            </w:pPr>
          </w:p>
        </w:tc>
        <w:tc>
          <w:tcPr>
            <w:tcW w:w="7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10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Certification of the Chief Financial Officer pursuant to Rules 13a-14(a) and 15d-14(a) of the Securities Exchange Act of 1934, as amended.</w:t>
            </w:r>
          </w:p>
        </w:tc>
        <w:tc>
          <w:tcPr>
            <w:tcW w:w="0" w:type="dxa"/>
            <w:vAlign w:val="bottom"/>
          </w:tcPr>
          <w:p>
            <w:pPr>
              <w:spacing w:after="0"/>
              <w:rPr>
                <w:sz w:val="1"/>
                <w:szCs w:val="1"/>
                <w:color w:val="auto"/>
              </w:rPr>
            </w:pPr>
          </w:p>
        </w:tc>
      </w:tr>
      <w:tr>
        <w:trPr>
          <w:trHeight w:val="453"/>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20" w:type="dxa"/>
            <w:vAlign w:val="bottom"/>
            <w:tcBorders>
              <w:top w:val="single" w:sz="8" w:color="0000EE"/>
            </w:tcBorders>
            <w:gridSpan w:val="17"/>
          </w:tcPr>
          <w:p>
            <w:pPr>
              <w:ind w:left="4400"/>
              <w:spacing w:after="0"/>
              <w:rPr>
                <w:sz w:val="20"/>
                <w:szCs w:val="20"/>
                <w:color w:val="auto"/>
              </w:rPr>
            </w:pPr>
            <w:r>
              <w:rPr>
                <w:rFonts w:ascii="Times New Roman" w:cs="Times New Roman" w:eastAsia="Times New Roman" w:hAnsi="Times New Roman"/>
                <w:sz w:val="18"/>
                <w:szCs w:val="18"/>
                <w:color w:val="auto"/>
              </w:rPr>
              <w:t>76</w:t>
            </w:r>
          </w:p>
        </w:tc>
        <w:tc>
          <w:tcPr>
            <w:tcW w:w="292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00" w:type="dxa"/>
            <w:vAlign w:val="bottom"/>
            <w:gridSpan w:val="5"/>
            <w:vMerge w:val="restart"/>
          </w:tcPr>
          <w:p>
            <w:pPr>
              <w:ind w:left="42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080" w:type="dxa"/>
            <w:vAlign w:val="bottom"/>
            <w:tcBorders>
              <w:top w:val="single" w:sz="8" w:color="auto"/>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the Chief Executive Officer pursuant to Rules 13a-14(b) and 15d-14(b) of the Securities Exchange Act of 1934, as amended</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and Section 1350 of Chapter 63 of Title 18 of the United States Code (18 U.S.C. §1350).</w:t>
            </w:r>
          </w:p>
        </w:tc>
        <w:tc>
          <w:tcPr>
            <w:tcW w:w="36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the Chief Financial Officer pursuant to Rules 13a-14(b) and 15d-14(b) of the Securities Exchange Act of 1934, as amended</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and Section 1350 of Chapter 63 of Title 18 of the United States Code (18 U.S.C. §1350).</w:t>
            </w:r>
          </w:p>
        </w:tc>
        <w:tc>
          <w:tcPr>
            <w:tcW w:w="3620" w:type="dxa"/>
            <w:vAlign w:val="bottom"/>
            <w:tcBorders>
              <w:top w:val="single" w:sz="8" w:color="0000EE"/>
            </w:tcBorders>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Interactive Data Files pursuant to Rule 405 of Regulation S-T.</w:t>
            </w:r>
          </w:p>
        </w:tc>
        <w:tc>
          <w:tcPr>
            <w:tcW w:w="0" w:type="dxa"/>
            <w:vAlign w:val="bottom"/>
          </w:tcPr>
          <w:p>
            <w:pPr>
              <w:spacing w:after="0"/>
              <w:rPr>
                <w:sz w:val="1"/>
                <w:szCs w:val="1"/>
                <w:color w:val="auto"/>
              </w:rPr>
            </w:pPr>
          </w:p>
        </w:tc>
      </w:tr>
      <w:tr>
        <w:trPr>
          <w:trHeight w:val="338"/>
        </w:trPr>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cover page has been formatted in Inline XBRL.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78" w:name="page79"/>
    <w:bookmarkEnd w:id="7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Dated: November 8, 2022</w:t>
      </w:r>
      <w:r>
        <w:rPr>
          <w:sz w:val="20"/>
          <w:szCs w:val="20"/>
          <w:color w:val="auto"/>
        </w:rPr>
        <w:tab/>
      </w:r>
      <w:r>
        <w:rPr>
          <w:rFonts w:ascii="Times New Roman" w:cs="Times New Roman" w:eastAsia="Times New Roman" w:hAnsi="Times New Roman"/>
          <w:sz w:val="17"/>
          <w:szCs w:val="17"/>
          <w:color w:val="auto"/>
        </w:rPr>
        <w:t>MANNKIND CORPORATION</w:t>
      </w:r>
    </w:p>
    <w:p>
      <w:pPr>
        <w:spacing w:after="0" w:line="252" w:lineRule="exact"/>
        <w:rPr>
          <w:sz w:val="20"/>
          <w:szCs w:val="20"/>
          <w:color w:val="auto"/>
        </w:rPr>
      </w:pPr>
    </w:p>
    <w:p>
      <w:pPr>
        <w:ind w:left="5840"/>
        <w:spacing w:after="0"/>
        <w:tabs>
          <w:tab w:leader="none" w:pos="6260" w:val="left"/>
        </w:tabs>
        <w:rPr>
          <w:sz w:val="20"/>
          <w:szCs w:val="20"/>
          <w:color w:val="auto"/>
        </w:rPr>
      </w:pPr>
      <w:r>
        <w:rPr>
          <w:rFonts w:ascii="Times New Roman" w:cs="Times New Roman" w:eastAsia="Times New Roman" w:hAnsi="Times New Roman"/>
          <w:sz w:val="18"/>
          <w:szCs w:val="18"/>
          <w:color w:val="auto"/>
        </w:rPr>
        <w:t>By:</w:t>
        <w:tab/>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34" w:lineRule="exact"/>
        <w:rPr>
          <w:sz w:val="20"/>
          <w:szCs w:val="20"/>
          <w:color w:val="auto"/>
        </w:rPr>
      </w:pPr>
    </w:p>
    <w:p>
      <w:pPr>
        <w:ind w:left="5840"/>
        <w:spacing w:after="0"/>
        <w:tabs>
          <w:tab w:leader="none" w:pos="6260" w:val="left"/>
        </w:tabs>
        <w:rPr>
          <w:sz w:val="20"/>
          <w:szCs w:val="20"/>
          <w:color w:val="auto"/>
        </w:rPr>
      </w:pPr>
      <w:r>
        <w:rPr>
          <w:rFonts w:ascii="Times New Roman" w:cs="Times New Roman" w:eastAsia="Times New Roman" w:hAnsi="Times New Roman"/>
          <w:sz w:val="18"/>
          <w:szCs w:val="18"/>
          <w:color w:val="auto"/>
        </w:rPr>
        <w:t>By:</w:t>
        <w:tab/>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Steven B. Binder</w:t>
      </w:r>
    </w:p>
    <w:p>
      <w:pPr>
        <w:spacing w:after="0" w:line="2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20"/>
          </w:cols>
          <w:pgMar w:left="320" w:top="333" w:right="35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NO. 10 TO CREDIT AND SECURITY AGREEMENT</w:t>
      </w:r>
    </w:p>
    <w:p>
      <w:pPr>
        <w:spacing w:after="0" w:line="216"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This AMENDMENT NO. 10 TO CREDIT AND SECURITY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xml:space="preserve">”) is made as of this 29th day of August, 2022, by and among </w:t>
      </w:r>
      <w:r>
        <w:rPr>
          <w:rFonts w:ascii="Times New Roman" w:cs="Times New Roman" w:eastAsia="Times New Roman" w:hAnsi="Times New Roman"/>
          <w:sz w:val="20"/>
          <w:szCs w:val="20"/>
          <w:b w:val="1"/>
          <w:bCs w:val="1"/>
          <w:color w:val="auto"/>
        </w:rPr>
        <w:t>MANNKIND CORPORATION</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color w:val="auto"/>
        </w:rPr>
        <w:t>MannKind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MANNKIND LLC</w:t>
      </w:r>
      <w:r>
        <w:rPr>
          <w:rFonts w:ascii="Times New Roman" w:cs="Times New Roman" w:eastAsia="Times New Roman" w:hAnsi="Times New Roman"/>
          <w:sz w:val="20"/>
          <w:szCs w:val="20"/>
          <w:color w:val="auto"/>
        </w:rPr>
        <w:t>, a Delaware limited liability company (“</w:t>
      </w:r>
      <w:r>
        <w:rPr>
          <w:rFonts w:ascii="Times New Roman" w:cs="Times New Roman" w:eastAsia="Times New Roman" w:hAnsi="Times New Roman"/>
          <w:sz w:val="20"/>
          <w:szCs w:val="20"/>
          <w:b w:val="1"/>
          <w:bCs w:val="1"/>
          <w:color w:val="auto"/>
        </w:rPr>
        <w:t>MannKind LLC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QRUMPHARMA,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color w:val="auto"/>
        </w:rPr>
        <w:t>QP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TECHNOSPHERE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INTERNATIONAL,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color w:val="auto"/>
        </w:rPr>
        <w:t>Technosphere</w:t>
      </w:r>
      <w:r>
        <w:rPr>
          <w:rFonts w:ascii="Times New Roman" w:cs="Times New Roman" w:eastAsia="Times New Roman" w:hAnsi="Times New Roman"/>
          <w:sz w:val="20"/>
          <w:szCs w:val="20"/>
          <w:color w:val="auto"/>
        </w:rPr>
        <w:t>”, Technosphere, together with MannKind, MannKind LLC and QP,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a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MIDCAP FINANCIAL TRUST</w:t>
      </w:r>
      <w:r>
        <w:rPr>
          <w:rFonts w:ascii="Times New Roman" w:cs="Times New Roman" w:eastAsia="Times New Roman" w:hAnsi="Times New Roman"/>
          <w:sz w:val="20"/>
          <w:szCs w:val="20"/>
          <w:color w:val="auto"/>
        </w:rPr>
        <w:t>, as Agent (in such capacity, together with its successors and assigns,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and the financial institutions or other entities from time to time parties to the Credit Agreement referenced below, each as a Lender.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872"/>
        <w:spacing w:after="0" w:line="241" w:lineRule="auto"/>
        <w:tabs>
          <w:tab w:leader="none" w:pos="170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Lenders and Borrowers have entered into that certain Credit and Security Agreement, dated as of August 6, 2019 (as amended by that certain Amendment No. 1 to Credit and Security Agreement, dated as of December 18, 2019, that certain Amendment No. 2 to Credit and Security Agreement, dated as of August 21, 2020, that certain Amendment No. 3 to Credit and Security Agreement, dated as of November 30, 2020, that certain Amendment No. 4 to Credit and Security Agreement, dated as of December 7, 2020, that certain Omnibus Joinder and Amendment No. 5 to Credit and Security Agreement and Amendment No. 1 to Pledge Agreement, dated as of December 29, 2020, that certain Amendment No. 6 to Credit and Security Agreement, dated as of March 1, 2021, that certain Amendment No. 7 to Credit and Security Agreement, dated as of April 22, 2021, as supplemented by that certain Omnibus Joinder to Credit and Security Agreement and Amendment No. 2 to Pledge Agreement, dated as of August 6, 2021, that certain Amendment No. 8 to Credit and Security Agreement, dated as of November 3, 2021, that certain Amendment No. 9 and Limited Consent to Credit and Security Agreement, dated as of November 8, 2021, and that certain Limited Consent to Credit and Security Agreement, dated as of May 27, 2022 and as further amended, supplemented or otherwise modified from time to time prior to the date hereof, the “</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and, as the same is amended hereby and as it may be further amended, modified, supplemented and restated from time to time, the “</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pursuant to which the Lenders have agreed to make certain advances of money and to extend certain financial accommodations to the Borrowers in the amounts and manner set forth in the Credit Agreement.</w:t>
      </w:r>
    </w:p>
    <w:p>
      <w:pPr>
        <w:spacing w:after="0" w:line="223" w:lineRule="exact"/>
        <w:rPr>
          <w:sz w:val="20"/>
          <w:szCs w:val="20"/>
          <w:color w:val="auto"/>
        </w:rPr>
      </w:pPr>
    </w:p>
    <w:p>
      <w:pPr>
        <w:ind w:right="540" w:firstLine="872"/>
        <w:spacing w:after="0" w:line="269" w:lineRule="auto"/>
        <w:tabs>
          <w:tab w:leader="none" w:pos="164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have requested, and Agent and Lenders have agreed, to amend certain provisions of the Existing Credit Agreement, all in accordance with the terms and subject to the conditions set forth 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firstLine="864"/>
        <w:spacing w:after="0" w:line="295" w:lineRule="auto"/>
        <w:rPr>
          <w:sz w:val="20"/>
          <w:szCs w:val="20"/>
          <w:color w:val="auto"/>
        </w:rPr>
      </w:pPr>
      <w:r>
        <w:rPr>
          <w:rFonts w:ascii="Times New Roman" w:cs="Times New Roman" w:eastAsia="Times New Roman" w:hAnsi="Times New Roman"/>
          <w:sz w:val="19"/>
          <w:szCs w:val="19"/>
          <w:color w:val="auto"/>
        </w:rPr>
        <w:t>NOW, THEREFORE, in consideration of the foregoing, the terms and conditions set forth in this Agreement, and other good and valuable consideration, the receipt and sufficiency of which are hereby acknowledged, Agent, Lenders and Borrower hereby agree as follows:</w:t>
      </w:r>
    </w:p>
    <w:p>
      <w:pPr>
        <w:spacing w:after="0" w:line="134" w:lineRule="exact"/>
        <w:rPr>
          <w:sz w:val="20"/>
          <w:szCs w:val="20"/>
          <w:color w:val="auto"/>
        </w:rPr>
      </w:pPr>
    </w:p>
    <w:p>
      <w:pPr>
        <w:jc w:val="both"/>
        <w:ind w:firstLine="872"/>
        <w:spacing w:after="0" w:line="250" w:lineRule="auto"/>
        <w:tabs>
          <w:tab w:leader="none" w:pos="1660"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Recitals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10000"/>
        </w:rPr>
        <w:t>This Agreement shall constitute a Financing Document and the Recitals and each reference to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10000"/>
        </w:rPr>
        <w:t>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r>
        <w:rPr>
          <w:rFonts w:ascii="Times New Roman" w:cs="Times New Roman" w:eastAsia="Times New Roman" w:hAnsi="Times New Roman"/>
          <w:sz w:val="20"/>
          <w:szCs w:val="20"/>
          <w:color w:val="000000"/>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MannKind / Amendment No.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jc w:val="both"/>
        <w:ind w:firstLine="872"/>
        <w:spacing w:after="0" w:line="247" w:lineRule="auto"/>
        <w:tabs>
          <w:tab w:leader="none" w:pos="1660"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010000"/>
        </w:rPr>
        <w:t>Amendments to Existing Credit Agreement</w:t>
      </w:r>
      <w:r>
        <w:rPr>
          <w:rFonts w:ascii="Times New Roman" w:cs="Times New Roman" w:eastAsia="Times New Roman" w:hAnsi="Times New Roman"/>
          <w:sz w:val="20"/>
          <w:szCs w:val="20"/>
          <w:color w:val="010000"/>
        </w:rPr>
        <w: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Subject to the terms and conditions of this Agreement, including,</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 xml:space="preserve">without limitation, the conditions to effectiveness set forth in </w:t>
      </w:r>
      <w:r>
        <w:rPr>
          <w:rFonts w:ascii="Times New Roman" w:cs="Times New Roman" w:eastAsia="Times New Roman" w:hAnsi="Times New Roman"/>
          <w:sz w:val="20"/>
          <w:szCs w:val="20"/>
          <w:u w:val="single" w:color="auto"/>
          <w:color w:val="000000"/>
        </w:rPr>
        <w:t>Section 3</w:t>
      </w:r>
      <w:r>
        <w:rPr>
          <w:rFonts w:ascii="Times New Roman" w:cs="Times New Roman" w:eastAsia="Times New Roman" w:hAnsi="Times New Roman"/>
          <w:sz w:val="20"/>
          <w:szCs w:val="20"/>
          <w:color w:val="000000"/>
        </w:rPr>
        <w:t xml:space="preserve"> below, the Existing Credit Agreement is hereby amended as follows, which amendments to the Credit Agreement are effective as of the first day after the end of the Applicable Interest Period during which Agent provides Borrower with written notice of the replacement of the Applicable Libor Rate with Term SOFR (as defined below), which notice may be delivered by electronic mail:</w:t>
      </w:r>
    </w:p>
    <w:p>
      <w:pPr>
        <w:spacing w:after="0" w:line="183" w:lineRule="exact"/>
        <w:rPr>
          <w:rFonts w:ascii="Times New Roman" w:cs="Times New Roman" w:eastAsia="Times New Roman" w:hAnsi="Times New Roman"/>
          <w:sz w:val="20"/>
          <w:szCs w:val="20"/>
          <w:color w:val="010000"/>
        </w:rPr>
      </w:pPr>
    </w:p>
    <w:p>
      <w:pPr>
        <w:ind w:left="2600" w:hanging="865"/>
        <w:spacing w:after="0"/>
        <w:tabs>
          <w:tab w:leader="none" w:pos="2600" w:val="left"/>
        </w:tabs>
        <w:numPr>
          <w:ilvl w:val="1"/>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2.6(a) of the Existing Credit Agreement is hereby amended by:</w:t>
      </w:r>
    </w:p>
    <w:p>
      <w:pPr>
        <w:spacing w:after="0" w:line="229" w:lineRule="exact"/>
        <w:rPr>
          <w:rFonts w:ascii="Times New Roman" w:cs="Times New Roman" w:eastAsia="Times New Roman" w:hAnsi="Times New Roman"/>
          <w:sz w:val="20"/>
          <w:szCs w:val="20"/>
          <w:color w:val="010000"/>
        </w:rPr>
      </w:pPr>
    </w:p>
    <w:p>
      <w:pPr>
        <w:ind w:left="3300" w:hanging="834"/>
        <w:spacing w:after="0"/>
        <w:tabs>
          <w:tab w:leader="none" w:pos="330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renumbering the existing Section 2.6(a) as Section 2.6(a)(i); and</w:t>
      </w:r>
    </w:p>
    <w:p>
      <w:pPr>
        <w:spacing w:after="0" w:line="242" w:lineRule="exact"/>
        <w:rPr>
          <w:rFonts w:ascii="Times New Roman" w:cs="Times New Roman" w:eastAsia="Times New Roman" w:hAnsi="Times New Roman"/>
          <w:sz w:val="20"/>
          <w:szCs w:val="20"/>
          <w:color w:val="auto"/>
        </w:rPr>
      </w:pPr>
    </w:p>
    <w:p>
      <w:pPr>
        <w:ind w:left="3360" w:hanging="894"/>
        <w:spacing w:after="0"/>
        <w:tabs>
          <w:tab w:leader="none" w:pos="336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adding the following new clauses (ii) and (iii) thereto:</w:t>
      </w:r>
    </w:p>
    <w:p>
      <w:pPr>
        <w:spacing w:after="0" w:line="216" w:lineRule="exact"/>
        <w:rPr>
          <w:sz w:val="20"/>
          <w:szCs w:val="20"/>
          <w:color w:val="auto"/>
        </w:rPr>
      </w:pPr>
    </w:p>
    <w:p>
      <w:pPr>
        <w:jc w:val="both"/>
        <w:ind w:left="1740"/>
        <w:spacing w:after="0" w:line="255" w:lineRule="auto"/>
        <w:rPr>
          <w:sz w:val="20"/>
          <w:szCs w:val="20"/>
          <w:color w:val="auto"/>
        </w:rPr>
      </w:pPr>
      <w:r>
        <w:rPr>
          <w:rFonts w:ascii="Times New Roman" w:cs="Times New Roman" w:eastAsia="Times New Roman" w:hAnsi="Times New Roman"/>
          <w:sz w:val="19"/>
          <w:szCs w:val="19"/>
          <w:color w:val="auto"/>
        </w:rPr>
        <w:t xml:space="preserve">“(ii) In the event one or more of the following events occurs with respect to Term SOFR: (a) a public statement or publication of information by or on behalf of the SOFR Administrator announcing that the SOFR Administrator has ceased or will cease to provide Term SOFR for a 1-month period, permanently or indefinitely,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Term SOFR for a 1-month period; (b) a public statement or publication of information by the regulatory supervisor for the SOFR Administrator, the Federal Reserve Board, the Federal Reserve Bank of New York, an insolvency official or resolution authority with jurisdiction over the SOFR Administrator, or a court or an entity with similar insolvency or resolution authority, which states that the SOFR Administrator has ceased or will cease to provide Term SOFR for a 1-month period permanently or indefinitely,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Term SOFR for a 1-month period; or (c) a public statement or publication of information by the regulatory supervisor for the SOFR Administrator announcing that Term SOFR for a 1-month period is no longer, or as of a specified future date will no longer be, representative and Agent has provided Borrower with notice of the same, any outstanding affected SOFR Loans will be deemed to have been converted to Credit Extensions that bear interest at a rate based on the Applicable Prime Rate at the end of the Applicable Interest Period.</w:t>
      </w:r>
    </w:p>
    <w:p>
      <w:pPr>
        <w:spacing w:after="0" w:line="179" w:lineRule="exact"/>
        <w:rPr>
          <w:sz w:val="20"/>
          <w:szCs w:val="20"/>
          <w:color w:val="auto"/>
        </w:rPr>
      </w:pPr>
    </w:p>
    <w:p>
      <w:pPr>
        <w:jc w:val="both"/>
        <w:ind w:left="1740" w:hanging="5"/>
        <w:spacing w:after="0" w:line="246" w:lineRule="auto"/>
        <w:tabs>
          <w:tab w:leader="none" w:pos="268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Term SOFR,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and the Lenders of the effectiveness of any Conforming Changes.”</w:t>
      </w:r>
    </w:p>
    <w:p>
      <w:pPr>
        <w:spacing w:after="0" w:line="185" w:lineRule="exact"/>
        <w:rPr>
          <w:sz w:val="20"/>
          <w:szCs w:val="20"/>
          <w:color w:val="auto"/>
        </w:rPr>
      </w:pPr>
    </w:p>
    <w:p>
      <w:pPr>
        <w:ind w:left="2620" w:hanging="885"/>
        <w:spacing w:after="0"/>
        <w:tabs>
          <w:tab w:leader="none" w:pos="2620" w:val="left"/>
        </w:tabs>
        <w:numPr>
          <w:ilvl w:val="0"/>
          <w:numId w:val="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2.6(h) of the Existing Credit Agreement is hereby amended by:</w:t>
      </w:r>
    </w:p>
    <w:p>
      <w:pPr>
        <w:spacing w:after="0" w:line="229" w:lineRule="exact"/>
        <w:rPr>
          <w:sz w:val="20"/>
          <w:szCs w:val="20"/>
          <w:color w:val="auto"/>
        </w:rPr>
      </w:pPr>
    </w:p>
    <w:p>
      <w:pPr>
        <w:ind w:left="3300" w:hanging="834"/>
        <w:spacing w:after="0"/>
        <w:tabs>
          <w:tab w:leader="none" w:pos="3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deleting the name of such subsection in its entirety and restating it as follows:</w:t>
      </w:r>
    </w:p>
    <w:p>
      <w:pPr>
        <w:spacing w:after="0" w:line="216" w:lineRule="exact"/>
        <w:rPr>
          <w:sz w:val="20"/>
          <w:szCs w:val="20"/>
          <w:color w:val="auto"/>
        </w:rPr>
      </w:pPr>
    </w:p>
    <w:p>
      <w:pPr>
        <w:ind w:left="2600"/>
        <w:spacing w:after="0"/>
        <w:tabs>
          <w:tab w:leader="none" w:pos="3540" w:val="left"/>
        </w:tabs>
        <w:rPr>
          <w:sz w:val="20"/>
          <w:szCs w:val="20"/>
          <w:color w:val="auto"/>
        </w:rPr>
      </w:pPr>
      <w:r>
        <w:rPr>
          <w:rFonts w:ascii="Times New Roman" w:cs="Times New Roman" w:eastAsia="Times New Roman" w:hAnsi="Times New Roman"/>
          <w:sz w:val="20"/>
          <w:szCs w:val="20"/>
          <w:color w:val="auto"/>
        </w:rPr>
        <w:t>“(h)</w:t>
      </w:r>
      <w:r>
        <w:rPr>
          <w:sz w:val="20"/>
          <w:szCs w:val="20"/>
          <w:color w:val="auto"/>
        </w:rPr>
        <w:tab/>
      </w:r>
      <w:r>
        <w:rPr>
          <w:rFonts w:ascii="Times New Roman" w:cs="Times New Roman" w:eastAsia="Times New Roman" w:hAnsi="Times New Roman"/>
          <w:sz w:val="20"/>
          <w:szCs w:val="20"/>
          <w:u w:val="single" w:color="auto"/>
          <w:color w:val="auto"/>
        </w:rPr>
        <w:t>Taxes; Additional Costs; Increased Costs; Inability to Determine Rates; Illegality.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580" w:right="1620" w:hanging="3114"/>
        <w:spacing w:after="0" w:line="360" w:lineRule="auto"/>
        <w:tabs>
          <w:tab w:leader="none" w:pos="336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adding the following new clause (x) in the appropriate numerical order therein: 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MannKind / Amendment No.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p>
      <w:pPr>
        <w:jc w:val="both"/>
        <w:ind w:left="2600"/>
        <w:spacing w:after="0" w:line="241" w:lineRule="auto"/>
        <w:rPr>
          <w:sz w:val="20"/>
          <w:szCs w:val="20"/>
          <w:color w:val="auto"/>
        </w:rPr>
      </w:pPr>
      <w:r>
        <w:rPr>
          <w:rFonts w:ascii="Times New Roman" w:cs="Times New Roman" w:eastAsia="Times New Roman" w:hAnsi="Times New Roman"/>
          <w:sz w:val="20"/>
          <w:szCs w:val="20"/>
          <w:color w:val="auto"/>
        </w:rPr>
        <w:t>“(x) If any Lender shall reasonably determine that the adoption or taking effect of, or any change in, any applicable Law shall (i) impose, modify or deem applicable any reserve, special deposit, compulsory loan, insurance charge or similar requirement against assets of, deposits with or for the account of, or credit extended or participated in by, any Lender, (ii) subject any Lender to any tax of any kind whatsoever with respect to this Agreement, or any SOFR Loan made by it, or change the basis of taxation of payments to such Lender in respect thereof (except for Taxes covered by Section 2.6); or (iii) impose on any Lender any other condition, cost or expense affecting this Agreement or SOFR Loans made by such Lender, and the result of any of the foregoing shall be to increase the cost to such Lender of making or maintaining any Credit Extension the interest on which is determined by reference to Term SOFR (or of maintaining its obligation to make any such Credit Extension), or to reduce the amount of any sum received or receivable by such Lender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197" w:lineRule="exact"/>
        <w:rPr>
          <w:sz w:val="20"/>
          <w:szCs w:val="20"/>
          <w:color w:val="auto"/>
        </w:rPr>
      </w:pPr>
    </w:p>
    <w:p>
      <w:pPr>
        <w:ind w:left="3420" w:hanging="954"/>
        <w:spacing w:after="0"/>
        <w:tabs>
          <w:tab w:leader="none" w:pos="342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renumbering the existing clause (x) as new clause (xi);</w:t>
      </w:r>
    </w:p>
    <w:p>
      <w:pPr>
        <w:spacing w:after="0" w:line="215" w:lineRule="exact"/>
        <w:rPr>
          <w:rFonts w:ascii="Times New Roman" w:cs="Times New Roman" w:eastAsia="Times New Roman" w:hAnsi="Times New Roman"/>
          <w:sz w:val="20"/>
          <w:szCs w:val="20"/>
          <w:color w:val="auto"/>
        </w:rPr>
      </w:pPr>
    </w:p>
    <w:p>
      <w:pPr>
        <w:ind w:left="3400" w:hanging="934"/>
        <w:spacing w:after="0"/>
        <w:tabs>
          <w:tab w:leader="none" w:pos="340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renumbering the existing clause (xi) as new clause (xii); and</w:t>
      </w:r>
    </w:p>
    <w:p>
      <w:pPr>
        <w:spacing w:after="0" w:line="215" w:lineRule="exact"/>
        <w:rPr>
          <w:rFonts w:ascii="Times New Roman" w:cs="Times New Roman" w:eastAsia="Times New Roman" w:hAnsi="Times New Roman"/>
          <w:sz w:val="20"/>
          <w:szCs w:val="20"/>
          <w:color w:val="auto"/>
        </w:rPr>
      </w:pPr>
    </w:p>
    <w:p>
      <w:pPr>
        <w:ind w:left="3340" w:hanging="874"/>
        <w:spacing w:after="0"/>
        <w:tabs>
          <w:tab w:leader="none" w:pos="334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renumbering the existing clause (xii) as new clause (xiii),</w:t>
      </w:r>
    </w:p>
    <w:p>
      <w:pPr>
        <w:spacing w:after="0" w:line="215" w:lineRule="exact"/>
        <w:rPr>
          <w:rFonts w:ascii="Times New Roman" w:cs="Times New Roman" w:eastAsia="Times New Roman" w:hAnsi="Times New Roman"/>
          <w:sz w:val="20"/>
          <w:szCs w:val="20"/>
          <w:color w:val="auto"/>
        </w:rPr>
      </w:pPr>
    </w:p>
    <w:p>
      <w:pPr>
        <w:ind w:left="2540" w:hanging="871"/>
        <w:spacing w:after="0"/>
        <w:tabs>
          <w:tab w:leader="none" w:pos="254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2.7 of the Existing Credit Agreement is hereby amended by renumbering such existing Section 2.7 as</w:t>
      </w:r>
    </w:p>
    <w:p>
      <w:pPr>
        <w:spacing w:after="0" w:line="33" w:lineRule="exact"/>
        <w:rPr>
          <w:rFonts w:ascii="Times New Roman" w:cs="Times New Roman" w:eastAsia="Times New Roman" w:hAnsi="Times New Roman"/>
          <w:sz w:val="19"/>
          <w:szCs w:val="19"/>
          <w:color w:val="auto"/>
        </w:rPr>
      </w:pPr>
    </w:p>
    <w:p>
      <w:pPr>
        <w:ind w:left="8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new Section 2.8.</w:t>
      </w:r>
    </w:p>
    <w:p>
      <w:pPr>
        <w:spacing w:after="0" w:line="193" w:lineRule="exact"/>
        <w:rPr>
          <w:rFonts w:ascii="Times New Roman" w:cs="Times New Roman" w:eastAsia="Times New Roman" w:hAnsi="Times New Roman"/>
          <w:sz w:val="19"/>
          <w:szCs w:val="19"/>
          <w:color w:val="auto"/>
        </w:rPr>
      </w:pPr>
    </w:p>
    <w:p>
      <w:pPr>
        <w:ind w:left="2540" w:hanging="871"/>
        <w:spacing w:after="0"/>
        <w:tabs>
          <w:tab w:leader="none" w:pos="25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Existing Credit Agreement is hereby amended by adding the following as a new Section 2.7:</w:t>
      </w:r>
    </w:p>
    <w:p>
      <w:pPr>
        <w:spacing w:after="0" w:line="216" w:lineRule="exact"/>
        <w:rPr>
          <w:sz w:val="20"/>
          <w:szCs w:val="20"/>
          <w:color w:val="auto"/>
        </w:rPr>
      </w:pPr>
    </w:p>
    <w:p>
      <w:pPr>
        <w:ind w:left="2460"/>
        <w:spacing w:after="0"/>
        <w:tabs>
          <w:tab w:leader="none" w:pos="342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20"/>
          <w:szCs w:val="20"/>
          <w:u w:val="single" w:color="auto"/>
          <w:color w:val="auto"/>
        </w:rPr>
        <w:t>Benchmark Replacement Setting; Conforming Changes.</w:t>
      </w:r>
    </w:p>
    <w:p>
      <w:pPr>
        <w:spacing w:after="0" w:line="216" w:lineRule="exact"/>
        <w:rPr>
          <w:sz w:val="20"/>
          <w:szCs w:val="20"/>
          <w:color w:val="auto"/>
        </w:rPr>
      </w:pPr>
    </w:p>
    <w:p>
      <w:pPr>
        <w:jc w:val="both"/>
        <w:ind w:left="1740" w:firstLine="726"/>
        <w:spacing w:after="0" w:line="242" w:lineRule="auto"/>
        <w:tabs>
          <w:tab w:leader="none" w:pos="333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 Benchmark Transition Event, Agent and Borrowers may amend this Agreement to replace the then-current Benchmark with a Benchmark Replacement. Any such amendment will become effective at 5:00 p.m. (New York City time) on the fifth (5th) Business Day after Agent has posted such proposed amendment to all Lenders and Borrower so long as Agent has not received, by such time, written notice of objection thereto from Lenders comprising the Required Lenders. No such replacement will occur prior to the applicable Benchmark Transition Start Date. In connection with the implementation of a Benchmark Replacement,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and the Lenders of the implementation of any Benchmark Replacement and the effectiveness of any Conforming Changes.</w:t>
      </w:r>
    </w:p>
    <w:p>
      <w:pPr>
        <w:spacing w:after="0" w:line="189" w:lineRule="exact"/>
        <w:rPr>
          <w:rFonts w:ascii="Times New Roman" w:cs="Times New Roman" w:eastAsia="Times New Roman" w:hAnsi="Times New Roman"/>
          <w:sz w:val="20"/>
          <w:szCs w:val="20"/>
          <w:color w:val="auto"/>
        </w:rPr>
      </w:pPr>
    </w:p>
    <w:p>
      <w:pPr>
        <w:jc w:val="both"/>
        <w:ind w:left="1740" w:firstLine="726"/>
        <w:spacing w:after="0" w:line="249" w:lineRule="auto"/>
        <w:tabs>
          <w:tab w:leader="none" w:pos="3349"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determination, decision or election that may be made by Agent or, if applicable, any Lender (or group of Lenders) pursuant to this Section will be conclusive and binding absent manifest error and may be made in its or their sole discretion and without consent from any other party to this Agreement or any other Financing Document, except, in each case, as expressly required pursuant to this Section. Notwithstanding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MannKind / Amendment No.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jc w:val="both"/>
        <w:ind w:left="1740"/>
        <w:spacing w:after="0" w:line="242" w:lineRule="auto"/>
        <w:rPr>
          <w:sz w:val="20"/>
          <w:szCs w:val="20"/>
          <w:color w:val="auto"/>
        </w:rPr>
      </w:pPr>
      <w:r>
        <w:rPr>
          <w:rFonts w:ascii="Times New Roman" w:cs="Times New Roman" w:eastAsia="Times New Roman" w:hAnsi="Times New Roman"/>
          <w:sz w:val="20"/>
          <w:szCs w:val="20"/>
          <w:color w:val="auto"/>
        </w:rPr>
        <w:t>anything to the contrary herein or in any other Financing Document, at any time, (a) if the then-current Benchmark is a term rate (including Term SOFR) and either (i) any tenor for such Benchmark is not displayed on a screen or other information service that publishes such rate from time to time as selected by Agent in its reasonable discretion or (ii) the regulatory supervisor for the administrator of such Benchmark has provided a public statement or publication of information announcing that any tenor for such Benchmark is or will be no longer representative, then Agent may modify the definition of “Applicable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or (ii) is not, or is no longer, subject to an announcement that it is or will no longer be representative for a Benchmark, then Agent may modify the definition of “Applicable Interest Period” (or any similar or analogous definition) for all Benchmark settings at or after such time to reinstate such previously removed tenor. Agent will promptly notify Borrower of the removal or reinstatement of any tenor of a Benchmark pursuant to this Section.</w:t>
      </w:r>
    </w:p>
    <w:p>
      <w:pPr>
        <w:spacing w:after="0" w:line="186" w:lineRule="exact"/>
        <w:rPr>
          <w:sz w:val="20"/>
          <w:szCs w:val="20"/>
          <w:color w:val="auto"/>
        </w:rPr>
      </w:pPr>
    </w:p>
    <w:p>
      <w:pPr>
        <w:jc w:val="both"/>
        <w:ind w:left="1740" w:firstLine="726"/>
        <w:spacing w:after="0" w:line="254" w:lineRule="auto"/>
        <w:tabs>
          <w:tab w:leader="none" w:pos="3338"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Borrower’s receipt of notice of the commencement of a Benchmark Unavailability Period, the Applicable Index Rate for any outstanding affected Credit Extensions will be deemed to be the Applicable Prime Rate at the end of the Applicable Interest Period.</w:t>
      </w:r>
    </w:p>
    <w:p>
      <w:pPr>
        <w:spacing w:after="0" w:line="174" w:lineRule="exact"/>
        <w:rPr>
          <w:rFonts w:ascii="Times New Roman" w:cs="Times New Roman" w:eastAsia="Times New Roman" w:hAnsi="Times New Roman"/>
          <w:sz w:val="20"/>
          <w:szCs w:val="20"/>
          <w:color w:val="auto"/>
        </w:rPr>
      </w:pPr>
    </w:p>
    <w:p>
      <w:pPr>
        <w:ind w:left="880" w:firstLine="789"/>
        <w:spacing w:after="0" w:line="269" w:lineRule="auto"/>
        <w:tabs>
          <w:tab w:leader="none" w:pos="254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Definitions</w:t>
      </w:r>
      <w:r>
        <w:rPr>
          <w:rFonts w:ascii="Times New Roman" w:cs="Times New Roman" w:eastAsia="Times New Roman" w:hAnsi="Times New Roman"/>
          <w:sz w:val="20"/>
          <w:szCs w:val="20"/>
          <w:color w:val="auto"/>
        </w:rPr>
        <w:t>. Section 15 of the Existing Credit Agreement is hereby amended by adding the following definitions in the appropriate alphabetical order therein:</w:t>
      </w:r>
    </w:p>
    <w:p>
      <w:pPr>
        <w:spacing w:after="0" w:line="155" w:lineRule="exact"/>
        <w:rPr>
          <w:sz w:val="20"/>
          <w:szCs w:val="20"/>
          <w:color w:val="auto"/>
        </w:rPr>
      </w:pPr>
    </w:p>
    <w:p>
      <w:pPr>
        <w:ind w:left="1740"/>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SOFR Rate</w:t>
      </w:r>
      <w:r>
        <w:rPr>
          <w:rFonts w:ascii="Times New Roman" w:cs="Times New Roman" w:eastAsia="Times New Roman" w:hAnsi="Times New Roman"/>
          <w:sz w:val="20"/>
          <w:szCs w:val="20"/>
          <w:color w:val="auto"/>
        </w:rPr>
        <w:t>” means, with respect to each day during which interest accrues on a Credit Extension, the rate per annum (expressed as a percentage) equal to (a) Term SOFR for the Applicable Interest Period for such day; or</w:t>
      </w:r>
    </w:p>
    <w:p>
      <w:pPr>
        <w:jc w:val="both"/>
        <w:ind w:left="1740" w:hanging="5"/>
        <w:spacing w:after="0" w:line="242" w:lineRule="auto"/>
        <w:tabs>
          <w:tab w:leader="none" w:pos="204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then-current Benchmark has been replaced with a Benchmark Replacement pursuant to Section 2.7, such Benchmark Replacement for such day. Notwithstanding the foregoing, the Applicable SOFR Rate shall not at any time be less the Applicable Floor.</w:t>
      </w:r>
    </w:p>
    <w:p>
      <w:pPr>
        <w:spacing w:after="0" w:line="183" w:lineRule="exact"/>
        <w:rPr>
          <w:sz w:val="20"/>
          <w:szCs w:val="20"/>
          <w:color w:val="auto"/>
        </w:rPr>
      </w:pPr>
    </w:p>
    <w:p>
      <w:pPr>
        <w:jc w:val="both"/>
        <w:ind w:left="174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Tenor</w:t>
      </w:r>
      <w:r>
        <w:rPr>
          <w:rFonts w:ascii="Times New Roman" w:cs="Times New Roman" w:eastAsia="Times New Roman" w:hAnsi="Times New Roman"/>
          <w:sz w:val="20"/>
          <w:szCs w:val="20"/>
          <w:color w:val="auto"/>
        </w:rPr>
        <w:t>” means, as of any date of determination with respect to the then-current Benchmark,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“Applicable Interest Period” or similar term pursuant to Section 2.7.</w:t>
      </w:r>
    </w:p>
    <w:p>
      <w:pPr>
        <w:spacing w:after="0" w:line="179" w:lineRule="exact"/>
        <w:rPr>
          <w:sz w:val="20"/>
          <w:szCs w:val="20"/>
          <w:color w:val="auto"/>
        </w:rPr>
      </w:pPr>
    </w:p>
    <w:p>
      <w:pPr>
        <w:jc w:val="both"/>
        <w:ind w:left="17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w:t>
      </w:r>
      <w:r>
        <w:rPr>
          <w:rFonts w:ascii="Times New Roman" w:cs="Times New Roman" w:eastAsia="Times New Roman" w:hAnsi="Times New Roman"/>
          <w:sz w:val="20"/>
          <w:szCs w:val="20"/>
          <w:color w:val="auto"/>
        </w:rPr>
        <w:t xml:space="preserve">” means, initially, Term SOFR;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 Benchmark Transition Event and its related Benchmark Replacement Date have occurred with respect to Term SOFR or the then-current Benchmark, then “Benchmark” means the applicable Benchmark Replacement to the extent that such Benchmark Replacement has replaced such prior benchmark rate pursuant to Section 2.7.</w:t>
      </w:r>
    </w:p>
    <w:p>
      <w:pPr>
        <w:spacing w:after="0" w:line="176" w:lineRule="exact"/>
        <w:rPr>
          <w:sz w:val="20"/>
          <w:szCs w:val="20"/>
          <w:color w:val="auto"/>
        </w:rPr>
      </w:pPr>
    </w:p>
    <w:p>
      <w:pPr>
        <w:jc w:val="both"/>
        <w:ind w:left="17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w:t>
      </w:r>
      <w:r>
        <w:rPr>
          <w:rFonts w:ascii="Times New Roman" w:cs="Times New Roman" w:eastAsia="Times New Roman" w:hAnsi="Times New Roman"/>
          <w:sz w:val="20"/>
          <w:szCs w:val="20"/>
          <w:color w:val="auto"/>
        </w:rPr>
        <w:t>” means, with respect to any Benchmark Transition Event, the sum of: (a) the alternate benchmark rate that has been selected by Agent giving due consideration to (i) any selection or recommendation of a replacement benchmark rate or the mechanism for determining such a rate by the Relevant Governmental Body or (ii) 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MannKind / Amendment No.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jc w:val="both"/>
        <w:ind w:left="1740"/>
        <w:spacing w:after="0" w:line="246" w:lineRule="auto"/>
        <w:rPr>
          <w:sz w:val="20"/>
          <w:szCs w:val="20"/>
          <w:color w:val="auto"/>
        </w:rPr>
      </w:pPr>
      <w:r>
        <w:rPr>
          <w:rFonts w:ascii="Times New Roman" w:cs="Times New Roman" w:eastAsia="Times New Roman" w:hAnsi="Times New Roman"/>
          <w:sz w:val="20"/>
          <w:szCs w:val="20"/>
          <w:color w:val="auto"/>
        </w:rPr>
        <w:t xml:space="preserve">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Benchmark Replacement as so determined would be less than the Applicable Floor, such Benchmark Replacement will be deemed to be the Applicable Floor for the purposes of this Agreement and the other Financing Documents.</w:t>
      </w:r>
    </w:p>
    <w:p>
      <w:pPr>
        <w:spacing w:after="0" w:line="180" w:lineRule="exact"/>
        <w:rPr>
          <w:sz w:val="20"/>
          <w:szCs w:val="20"/>
          <w:color w:val="auto"/>
        </w:rPr>
      </w:pPr>
    </w:p>
    <w:p>
      <w:pPr>
        <w:jc w:val="both"/>
        <w:ind w:left="174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Agent giving due consideration to any selection or recommendation by the Relevant Governmental Body, or any evolving or then-prevailing market convention at such time, for determining a spread adjustment, or method for calculating or determining such spread adjustment, for such type of replacement for U.S. dollar-denominated syndicated credit facilities at such time.</w:t>
      </w:r>
    </w:p>
    <w:p>
      <w:pPr>
        <w:spacing w:after="0" w:line="179" w:lineRule="exact"/>
        <w:rPr>
          <w:sz w:val="20"/>
          <w:szCs w:val="20"/>
          <w:color w:val="auto"/>
        </w:rPr>
      </w:pPr>
    </w:p>
    <w:p>
      <w:pPr>
        <w:jc w:val="both"/>
        <w:ind w:left="1740"/>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Replacement Date</w:t>
      </w:r>
      <w:r>
        <w:rPr>
          <w:rFonts w:ascii="Times New Roman" w:cs="Times New Roman" w:eastAsia="Times New Roman" w:hAnsi="Times New Roman"/>
          <w:sz w:val="19"/>
          <w:szCs w:val="19"/>
          <w:color w:val="auto"/>
        </w:rPr>
        <w:t>” means the earlier to occur of the following events with respect to the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even if any Available Tenor of such Benchmark (or such component thereof) continues to be provided on such date. For the avoidance of doubt, the “Benchmark Replacement Date” will be deemed to have occurred in the case of clause (a) or</w:t>
      </w:r>
    </w:p>
    <w:p>
      <w:pPr>
        <w:spacing w:after="0" w:line="7" w:lineRule="exact"/>
        <w:rPr>
          <w:sz w:val="20"/>
          <w:szCs w:val="20"/>
          <w:color w:val="auto"/>
        </w:rPr>
      </w:pPr>
    </w:p>
    <w:p>
      <w:pPr>
        <w:ind w:left="1740" w:hanging="5"/>
        <w:spacing w:after="0" w:line="246" w:lineRule="auto"/>
        <w:tabs>
          <w:tab w:leader="none" w:pos="2029"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Benchmark upon the occurrence of the applicable event or events set forth therein with respect to all then-current Available Tenors of such Benchmark (or the published component used in the calculation thereof).</w:t>
      </w:r>
    </w:p>
    <w:p>
      <w:pPr>
        <w:spacing w:after="0" w:line="178" w:lineRule="exact"/>
        <w:rPr>
          <w:sz w:val="20"/>
          <w:szCs w:val="20"/>
          <w:color w:val="auto"/>
        </w:rPr>
      </w:pPr>
    </w:p>
    <w:p>
      <w:pPr>
        <w:jc w:val="both"/>
        <w:ind w:left="1740"/>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Event</w:t>
      </w:r>
      <w:r>
        <w:rPr>
          <w:rFonts w:ascii="Times New Roman" w:cs="Times New Roman" w:eastAsia="Times New Roman" w:hAnsi="Times New Roman"/>
          <w:sz w:val="20"/>
          <w:szCs w:val="20"/>
          <w:color w:val="auto"/>
        </w:rPr>
        <w:t xml:space="preserve">” 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or resolution authority with jurisdiction over the administrator for such Benchmark (or such component), or a court or an entity with similar insolvency or resolution authority,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the time of such statement or publication, there is no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MannKind / Amendment No.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jc w:val="both"/>
        <w:ind w:left="1740"/>
        <w:spacing w:after="0" w:line="244" w:lineRule="auto"/>
        <w:rPr>
          <w:sz w:val="20"/>
          <w:szCs w:val="20"/>
          <w:color w:val="auto"/>
        </w:rPr>
      </w:pPr>
      <w:r>
        <w:rPr>
          <w:rFonts w:ascii="Times New Roman" w:cs="Times New Roman" w:eastAsia="Times New Roman" w:hAnsi="Times New Roman"/>
          <w:sz w:val="20"/>
          <w:szCs w:val="20"/>
          <w:color w:val="auto"/>
        </w:rPr>
        <w:t>successor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1" w:lineRule="exact"/>
        <w:rPr>
          <w:sz w:val="20"/>
          <w:szCs w:val="20"/>
          <w:color w:val="auto"/>
        </w:rPr>
      </w:pPr>
    </w:p>
    <w:p>
      <w:pPr>
        <w:jc w:val="both"/>
        <w:ind w:left="1740"/>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Start Date</w:t>
      </w:r>
      <w:r>
        <w:rPr>
          <w:rFonts w:ascii="Times New Roman" w:cs="Times New Roman" w:eastAsia="Times New Roman" w:hAnsi="Times New Roman"/>
          <w:sz w:val="20"/>
          <w:szCs w:val="20"/>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0" w:lineRule="exact"/>
        <w:rPr>
          <w:sz w:val="20"/>
          <w:szCs w:val="20"/>
          <w:color w:val="auto"/>
        </w:rPr>
      </w:pPr>
    </w:p>
    <w:p>
      <w:pPr>
        <w:jc w:val="both"/>
        <w:ind w:left="1740"/>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Unavailability Period</w:t>
      </w:r>
      <w:r>
        <w:rPr>
          <w:rFonts w:ascii="Times New Roman" w:cs="Times New Roman" w:eastAsia="Times New Roman" w:hAnsi="Times New Roman"/>
          <w:sz w:val="20"/>
          <w:szCs w:val="20"/>
          <w:color w:val="auto"/>
        </w:rPr>
        <w:t>” means the period (if any) (a) beginning at the time that a Benchmark Replacement Date pursuant to clauses (a) or (b) of that definition has occurred if, at such time, no Benchmark Replacement has replaced the then-current Benchmark for all purposes hereunder and under any Financing Document in accordance with Section 2.7 and (b) ending at the time that a Benchmark Replacement has replaced the then-current Benchmark for all purposes hereunder and under any Financing Document in accordance with Section 2.7.</w:t>
      </w:r>
    </w:p>
    <w:p>
      <w:pPr>
        <w:spacing w:after="0" w:line="180" w:lineRule="exact"/>
        <w:rPr>
          <w:sz w:val="20"/>
          <w:szCs w:val="20"/>
          <w:color w:val="auto"/>
        </w:rPr>
      </w:pPr>
    </w:p>
    <w:p>
      <w:pPr>
        <w:jc w:val="both"/>
        <w:ind w:left="1740"/>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Conforming Changes</w:t>
      </w:r>
      <w:r>
        <w:rPr>
          <w:rFonts w:ascii="Times New Roman" w:cs="Times New Roman" w:eastAsia="Times New Roman" w:hAnsi="Times New Roman"/>
          <w:sz w:val="20"/>
          <w:szCs w:val="20"/>
          <w:color w:val="auto"/>
        </w:rPr>
        <w:t>” means, with respect to either the use or administration of Term SOFR or the use, administration, adoption or implementation of any Benchmark Replacement, any technical, administrative or operational changes (including (a) changes to the definition of “Applicable Interest Period”, “Base Rate Index”, “Business Day”, “Reference Time” or other definitions, (b) the addition of concepts such as “interest period”, (c) changes to timing and/or frequency of determining rates, making interest payments, giving borrowing requests, prepayment, conversion or continuation notices, or length of lookback periods, (d) the applicability of Section 2.6(h), and (e) other technical, administrative or operational matters) that Agent decides may be appropriate to reflect the adoption and implementation of Term SOFR or such Benchmark Replacement and to permit the administration thereof by Agent in a manner substantially consistent with market practice (or, if Agent decides that adoption of any portion of such market practice is not administratively feasible or determines that no such market practice exists, in such other manner as Agent decides is reasonably necessary in connection with the administration of this Agreement and the other Financing Documents).</w:t>
      </w:r>
    </w:p>
    <w:p>
      <w:pPr>
        <w:spacing w:after="0" w:line="187" w:lineRule="exact"/>
        <w:rPr>
          <w:sz w:val="20"/>
          <w:szCs w:val="20"/>
          <w:color w:val="auto"/>
        </w:rPr>
      </w:pPr>
    </w:p>
    <w:p>
      <w:pPr>
        <w:jc w:val="both"/>
        <w:ind w:left="1740"/>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Reference Time</w:t>
      </w:r>
      <w:r>
        <w:rPr>
          <w:rFonts w:ascii="Times New Roman" w:cs="Times New Roman" w:eastAsia="Times New Roman" w:hAnsi="Times New Roman"/>
          <w:sz w:val="19"/>
          <w:szCs w:val="19"/>
          <w:color w:val="auto"/>
        </w:rPr>
        <w:t xml:space="preserve">” means approximately a time substantially consistent with market practice two (2) SOFR Business Days prior to the first day of each calendar month. If by 5:00 pm (New York City time) on any interest lookback day, Term SOFR in respect of such interest lookback day has not been published on the SOFR Administrator’s Website, then Term SOFR for such interest lookback day will be Term SOFR as published in respect of the first preceding SOFR Business Day for which Term SOFR was published on the SOFR Administrator’s Website;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first preceding SOFR Business Day is not more than three (3) SOFR Business Days prior to such interest lookback day.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MannKind / Amendment No.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jc w:val="both"/>
        <w:ind w:left="1740" w:right="20"/>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Governmental Body</w:t>
      </w:r>
      <w:r>
        <w:rPr>
          <w:rFonts w:ascii="Times New Roman" w:cs="Times New Roman" w:eastAsia="Times New Roman" w:hAnsi="Times New Roman"/>
          <w:sz w:val="20"/>
          <w:szCs w:val="20"/>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71" w:lineRule="exact"/>
        <w:rPr>
          <w:sz w:val="20"/>
          <w:szCs w:val="20"/>
          <w:color w:val="auto"/>
        </w:rPr>
      </w:pPr>
    </w:p>
    <w:p>
      <w:pPr>
        <w:jc w:val="both"/>
        <w:ind w:left="17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w:t>
      </w:r>
      <w:r>
        <w:rPr>
          <w:rFonts w:ascii="Times New Roman" w:cs="Times New Roman" w:eastAsia="Times New Roman" w:hAnsi="Times New Roman"/>
          <w:sz w:val="20"/>
          <w:szCs w:val="20"/>
          <w:color w:val="auto"/>
        </w:rPr>
        <w:t>” means, with respect to any SOFR Business Day, a rate per annum equal to the secured overnight financing rate for such SOFR Business Day.</w:t>
      </w:r>
    </w:p>
    <w:p>
      <w:pPr>
        <w:spacing w:after="0" w:line="152" w:lineRule="exact"/>
        <w:rPr>
          <w:sz w:val="20"/>
          <w:szCs w:val="20"/>
          <w:color w:val="auto"/>
        </w:rPr>
      </w:pPr>
    </w:p>
    <w:p>
      <w:pPr>
        <w:jc w:val="both"/>
        <w:ind w:left="17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w:t>
      </w:r>
      <w:r>
        <w:rPr>
          <w:rFonts w:ascii="Times New Roman" w:cs="Times New Roman" w:eastAsia="Times New Roman" w:hAnsi="Times New Roman"/>
          <w:sz w:val="20"/>
          <w:szCs w:val="20"/>
          <w:color w:val="auto"/>
        </w:rPr>
        <w:t>” means CME Group Benchmark Administration Limited (CBA) (or a successor administrator of Term SOFR selected by Agent in its reasonable discretion).</w:t>
      </w:r>
    </w:p>
    <w:p>
      <w:pPr>
        <w:spacing w:after="0" w:line="152" w:lineRule="exact"/>
        <w:rPr>
          <w:sz w:val="20"/>
          <w:szCs w:val="20"/>
          <w:color w:val="auto"/>
        </w:rPr>
      </w:pPr>
    </w:p>
    <w:p>
      <w:pPr>
        <w:jc w:val="both"/>
        <w:ind w:left="17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Administrator’s Website</w:t>
      </w:r>
      <w:r>
        <w:rPr>
          <w:rFonts w:ascii="Times New Roman" w:cs="Times New Roman" w:eastAsia="Times New Roman" w:hAnsi="Times New Roman"/>
          <w:sz w:val="20"/>
          <w:szCs w:val="20"/>
          <w:color w:val="auto"/>
        </w:rPr>
        <w:t>” means the website of the SOFR Administrator, currently at https://www.cmegroup.com/market-data/cme-group-benchmark-administration/term-sofr.html, or any successor source for Term SOFR identified by the SOFR Administrator from time to time.</w:t>
      </w:r>
    </w:p>
    <w:p>
      <w:pPr>
        <w:spacing w:after="0" w:line="169" w:lineRule="exact"/>
        <w:rPr>
          <w:sz w:val="20"/>
          <w:szCs w:val="20"/>
          <w:color w:val="auto"/>
        </w:rPr>
      </w:pPr>
    </w:p>
    <w:p>
      <w:pPr>
        <w:jc w:val="both"/>
        <w:ind w:left="17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Business Day</w:t>
      </w:r>
      <w:r>
        <w:rPr>
          <w:rFonts w:ascii="Times New Roman" w:cs="Times New Roman" w:eastAsia="Times New Roman" w:hAnsi="Times New Roman"/>
          <w:sz w:val="20"/>
          <w:szCs w:val="20"/>
          <w:color w:val="auto"/>
        </w:rPr>
        <w:t>” means any day other than a Saturday or Sunday or a day on which the Securities Industry and Financial Markets Association recommends that the fixed income departments of its members be closed for the entire day for purposes of trading in United States government securities.</w:t>
      </w:r>
    </w:p>
    <w:p>
      <w:pPr>
        <w:spacing w:after="0" w:line="169" w:lineRule="exact"/>
        <w:rPr>
          <w:sz w:val="20"/>
          <w:szCs w:val="20"/>
          <w:color w:val="auto"/>
        </w:rPr>
      </w:pPr>
    </w:p>
    <w:p>
      <w:pPr>
        <w:jc w:val="both"/>
        <w:ind w:left="17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Implementation Date</w:t>
      </w:r>
      <w:r>
        <w:rPr>
          <w:rFonts w:ascii="Times New Roman" w:cs="Times New Roman" w:eastAsia="Times New Roman" w:hAnsi="Times New Roman"/>
          <w:sz w:val="20"/>
          <w:szCs w:val="20"/>
          <w:color w:val="auto"/>
        </w:rPr>
        <w:t>” means the first day after the end of the Applicable Interest Period during which Agent provides Borrower with written notice that the Credit Extensions and other Obligations will bear interest by reference to Term SOFR, which notice may be delivered by electronic mail.</w:t>
      </w:r>
    </w:p>
    <w:p>
      <w:pPr>
        <w:spacing w:after="0" w:line="16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Loan</w:t>
      </w:r>
      <w:r>
        <w:rPr>
          <w:rFonts w:ascii="Times New Roman" w:cs="Times New Roman" w:eastAsia="Times New Roman" w:hAnsi="Times New Roman"/>
          <w:sz w:val="20"/>
          <w:szCs w:val="20"/>
          <w:color w:val="auto"/>
        </w:rPr>
        <w:t>” means a Credit Extension that bears interest at a rate based on Term SOFR.</w:t>
      </w:r>
    </w:p>
    <w:p>
      <w:pPr>
        <w:spacing w:after="0" w:line="216" w:lineRule="exact"/>
        <w:rPr>
          <w:sz w:val="20"/>
          <w:szCs w:val="20"/>
          <w:color w:val="auto"/>
        </w:rPr>
      </w:pPr>
    </w:p>
    <w:p>
      <w:pPr>
        <w:jc w:val="both"/>
        <w:ind w:left="174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w:t>
      </w:r>
      <w:r>
        <w:rPr>
          <w:rFonts w:ascii="Times New Roman" w:cs="Times New Roman" w:eastAsia="Times New Roman" w:hAnsi="Times New Roman"/>
          <w:sz w:val="20"/>
          <w:szCs w:val="20"/>
          <w:color w:val="auto"/>
        </w:rPr>
        <w:t>” means the greater of (a) the forward-looking term rate for a period comparable to such Applicable Interest Period based on SOFR that is published by the SOFR Administrator and is displayed on the SOFR Administrator’s Website at approximately the Reference Time for such Applicable Interest Period plus 0.10% and (b) the Applicable Floor. Unless otherwise specified in any amendment to this Agreement entered into in accordance with Section 2.7, in the event that a Benchmark Replacement with respect to Term SOFR is implemented, then all references herein to Term SOFR shall be deemed references to such Benchmark Replacement.</w:t>
      </w:r>
    </w:p>
    <w:p>
      <w:pPr>
        <w:spacing w:after="0" w:line="179" w:lineRule="exact"/>
        <w:rPr>
          <w:sz w:val="20"/>
          <w:szCs w:val="20"/>
          <w:color w:val="auto"/>
        </w:rPr>
      </w:pPr>
    </w:p>
    <w:p>
      <w:pPr>
        <w:jc w:val="both"/>
        <w:ind w:left="17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56" w:lineRule="exact"/>
        <w:rPr>
          <w:sz w:val="20"/>
          <w:szCs w:val="20"/>
          <w:color w:val="auto"/>
        </w:rPr>
      </w:pPr>
    </w:p>
    <w:p>
      <w:pPr>
        <w:jc w:val="both"/>
        <w:ind w:left="880" w:firstLine="789"/>
        <w:spacing w:after="0" w:line="254" w:lineRule="auto"/>
        <w:tabs>
          <w:tab w:leader="none" w:pos="252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Restated Definitions</w:t>
      </w:r>
      <w:r>
        <w:rPr>
          <w:rFonts w:ascii="Times New Roman" w:cs="Times New Roman" w:eastAsia="Times New Roman" w:hAnsi="Times New Roman"/>
          <w:sz w:val="20"/>
          <w:szCs w:val="20"/>
          <w:color w:val="auto"/>
        </w:rPr>
        <w:t>. The definitions of “Applicable Index Rate”, “Applicable Interest Period”, “Applicable Interest Rate Determination Date” and “Business Day”, set forth in Section 15 of the Existing Credit Agreement are hereby deleted in their entirety and restated to read as follows:</w:t>
      </w:r>
    </w:p>
    <w:p>
      <w:pPr>
        <w:spacing w:after="0" w:line="170" w:lineRule="exact"/>
        <w:rPr>
          <w:sz w:val="20"/>
          <w:szCs w:val="20"/>
          <w:color w:val="auto"/>
        </w:rPr>
      </w:pPr>
    </w:p>
    <w:p>
      <w:pPr>
        <w:jc w:val="both"/>
        <w:ind w:left="1740" w:right="86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Index Rate</w:t>
      </w:r>
      <w:r>
        <w:rPr>
          <w:rFonts w:ascii="Times New Roman" w:cs="Times New Roman" w:eastAsia="Times New Roman" w:hAnsi="Times New Roman"/>
          <w:sz w:val="20"/>
          <w:szCs w:val="20"/>
          <w:color w:val="auto"/>
        </w:rPr>
        <w:t xml:space="preserve">” means, from and after the SOFR Implementation Date, for any Applicable Interest Period, the rate per annum determined by Agent equal to the Applicable SOFR Rate;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the event that any change in market conditions or any law, regulation, treaty, or directive, or any change therein or in the interpretation of application thereof, shall at any time after the date hereof, in the reasonable opinion of Agent or any Lender, make it unlawful or impractical for Agent or such Lender to fund or maintain Obligations bearing interest based upon the Applicable SOFR Rate, Agent or such Lender shall give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MannKind / Amendment No.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jc w:val="both"/>
        <w:ind w:left="1740" w:right="860"/>
        <w:spacing w:after="0" w:line="243" w:lineRule="auto"/>
        <w:rPr>
          <w:sz w:val="20"/>
          <w:szCs w:val="20"/>
          <w:color w:val="auto"/>
        </w:rPr>
      </w:pPr>
      <w:r>
        <w:rPr>
          <w:rFonts w:ascii="Times New Roman" w:cs="Times New Roman" w:eastAsia="Times New Roman" w:hAnsi="Times New Roman"/>
          <w:sz w:val="20"/>
          <w:szCs w:val="20"/>
          <w:color w:val="auto"/>
        </w:rPr>
        <w:t>notice of such changed circumstances to Agent and Borrower and the Applicable Index Rate for Obligations outstanding or thereafter extended or made by Agent or such Lender shall thereafter be the Applicable Prime Rate until Agent or such Lender determines (as to the portion of the Credit Extensions or Obligations owed to it) that it would no longer be unlawful or impractical to fund or maintain such Obligations or Credit Extensions at the Applicable SOFR Rate. In the event that Agent shall have determined (which determination shall be final and conclusive and binding upon all parties hereto), as of any Applicable Interest Rate Determination Date, that adequate and fair means do not exist for ascertaining the interest rate applicable to any Credit Facility on the basis provided for herein, then Agent may select a comparable replacement index and corresponding margin.</w:t>
      </w:r>
    </w:p>
    <w:p>
      <w:pPr>
        <w:spacing w:after="0" w:line="181" w:lineRule="exact"/>
        <w:rPr>
          <w:sz w:val="20"/>
          <w:szCs w:val="20"/>
          <w:color w:val="auto"/>
        </w:rPr>
      </w:pPr>
    </w:p>
    <w:p>
      <w:pPr>
        <w:jc w:val="both"/>
        <w:ind w:left="1740" w:right="860"/>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Interest Period</w:t>
      </w:r>
      <w:r>
        <w:rPr>
          <w:rFonts w:ascii="Times New Roman" w:cs="Times New Roman" w:eastAsia="Times New Roman" w:hAnsi="Times New Roman"/>
          <w:sz w:val="20"/>
          <w:szCs w:val="20"/>
          <w:color w:val="auto"/>
        </w:rPr>
        <w:t xml:space="preserve">” for each Credit Facility has the meaning specified for that Credit Facility in the Credit Facility Schedule;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at any time that the Applicable Prime Rate is the Applicable Index Rate, Applicable Interest Period shall mean the period commencing as of the most recent Applicable Interest Rate Determination Date and continuing until the next Applicable Interest Rate Determination Date or such earlier date as the Applicable Prime Rate shall no longer be the Applicable Index Rate;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at any time Term SOFR is adjusted as set forth in this Agreement, or re-implemented following invocation of the Applicable Prime Rate as permitted herein, the Applicable Interest Period shall mean the period commencing as of such adjustment or re-implementation and continuing until the next Applicable Interest Rate Determination Date, if any.</w:t>
      </w:r>
    </w:p>
    <w:p>
      <w:pPr>
        <w:spacing w:after="0" w:line="186" w:lineRule="exact"/>
        <w:rPr>
          <w:sz w:val="20"/>
          <w:szCs w:val="20"/>
          <w:color w:val="auto"/>
        </w:rPr>
      </w:pPr>
    </w:p>
    <w:p>
      <w:pPr>
        <w:jc w:val="both"/>
        <w:ind w:left="1740" w:right="86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Interest Rate Determination Date</w:t>
      </w:r>
      <w:r>
        <w:rPr>
          <w:rFonts w:ascii="Times New Roman" w:cs="Times New Roman" w:eastAsia="Times New Roman" w:hAnsi="Times New Roman"/>
          <w:sz w:val="20"/>
          <w:szCs w:val="20"/>
          <w:color w:val="auto"/>
        </w:rPr>
        <w:t xml:space="preserve">” means the second (2nd) Business Day prior to the first (1st) day of the related Applicable Interest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at any time that the Applicable Prime Rate is the Applicable Index Rate, Applicable Interest Rate Determination Date means the date of any change in the Base Rate Index;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at any time Term SOFR is adjusted as set forth in this Agreement, the Applicable Interest Rate Determination Date shall mean the date of such adjustment or the second (2nd) Business Day prior to the first (1st) day of the related Applicable Interest Period, as elected by Agent.</w:t>
      </w:r>
    </w:p>
    <w:p>
      <w:pPr>
        <w:spacing w:after="0" w:line="179" w:lineRule="exact"/>
        <w:rPr>
          <w:sz w:val="20"/>
          <w:szCs w:val="20"/>
          <w:color w:val="auto"/>
        </w:rPr>
      </w:pPr>
    </w:p>
    <w:p>
      <w:pPr>
        <w:jc w:val="both"/>
        <w:ind w:left="1740" w:right="86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xml:space="preserve">” means any day except a Saturday, Sunday or other day on which either the New York Stock Exchange is closed, or on which commercial banks in Washington, DC and New York City are authorized by law to close;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when used in the context of a SOFR Loan, the term “Business Day” shall also exclude any day that is not also a SOFR Business Day.</w:t>
      </w:r>
    </w:p>
    <w:p>
      <w:pPr>
        <w:spacing w:after="0" w:line="180" w:lineRule="exact"/>
        <w:rPr>
          <w:sz w:val="20"/>
          <w:szCs w:val="20"/>
          <w:color w:val="auto"/>
        </w:rPr>
      </w:pPr>
    </w:p>
    <w:p>
      <w:pPr>
        <w:ind w:left="880" w:right="20" w:firstLine="789"/>
        <w:spacing w:after="0" w:line="269" w:lineRule="auto"/>
        <w:tabs>
          <w:tab w:leader="none" w:pos="255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Deleted Definitions</w:t>
      </w:r>
      <w:r>
        <w:rPr>
          <w:rFonts w:ascii="Times New Roman" w:cs="Times New Roman" w:eastAsia="Times New Roman" w:hAnsi="Times New Roman"/>
          <w:sz w:val="20"/>
          <w:szCs w:val="20"/>
          <w:color w:val="auto"/>
        </w:rPr>
        <w:t>. Section 15 of the Existing Credit Agreement is hereby amended by deleting in their entirety the definitions of “Applicable Libor Rate” and “Libor Rate Index” therein.</w:t>
      </w:r>
    </w:p>
    <w:p>
      <w:pPr>
        <w:spacing w:after="0" w:line="159" w:lineRule="exact"/>
        <w:rPr>
          <w:rFonts w:ascii="Times New Roman" w:cs="Times New Roman" w:eastAsia="Times New Roman" w:hAnsi="Times New Roman"/>
          <w:sz w:val="20"/>
          <w:szCs w:val="20"/>
          <w:color w:val="auto"/>
        </w:rPr>
      </w:pPr>
    </w:p>
    <w:p>
      <w:pPr>
        <w:ind w:left="880" w:firstLine="789"/>
        <w:spacing w:after="0" w:line="269" w:lineRule="auto"/>
        <w:tabs>
          <w:tab w:leader="none" w:pos="255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Facility Schedule for Credit Facility #1 attached to the Existing Credit Agreement is hereby amended by replacing the definition of “Applicable Floor” therein in its entirety with the following:</w:t>
      </w:r>
    </w:p>
    <w:p>
      <w:pPr>
        <w:spacing w:after="0" w:line="155" w:lineRule="exact"/>
        <w:rPr>
          <w:rFonts w:ascii="Times New Roman" w:cs="Times New Roman" w:eastAsia="Times New Roman" w:hAnsi="Times New Roman"/>
          <w:sz w:val="20"/>
          <w:szCs w:val="20"/>
          <w:color w:val="auto"/>
        </w:rPr>
      </w:pPr>
    </w:p>
    <w:p>
      <w:pPr>
        <w:ind w:left="3300" w:hanging="834"/>
        <w:spacing w:after="0"/>
        <w:tabs>
          <w:tab w:leader="none" w:pos="33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Applicable Floor</w:t>
      </w:r>
      <w:r>
        <w:rPr>
          <w:rFonts w:ascii="Times New Roman" w:cs="Times New Roman" w:eastAsia="Times New Roman" w:hAnsi="Times New Roman"/>
          <w:sz w:val="20"/>
          <w:szCs w:val="20"/>
          <w:color w:val="auto"/>
        </w:rPr>
        <w:t>: means one percent (1.00%) per annum.</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MannKind / Amendment No.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ind w:left="880" w:firstLine="789"/>
        <w:spacing w:after="0" w:line="268" w:lineRule="auto"/>
        <w:tabs>
          <w:tab w:leader="none" w:pos="2512"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Facility Schedule for Credit Facility #2 attached to the Existing Credit Agreement is hereby amended by replacing the definition of “Applicable Floor” therein in its entirety with the following:</w:t>
      </w:r>
    </w:p>
    <w:p>
      <w:pPr>
        <w:spacing w:after="0" w:line="156" w:lineRule="exact"/>
        <w:rPr>
          <w:rFonts w:ascii="Times New Roman" w:cs="Times New Roman" w:eastAsia="Times New Roman" w:hAnsi="Times New Roman"/>
          <w:sz w:val="20"/>
          <w:szCs w:val="20"/>
          <w:color w:val="auto"/>
        </w:rPr>
      </w:pPr>
    </w:p>
    <w:p>
      <w:pPr>
        <w:ind w:left="3300" w:hanging="834"/>
        <w:spacing w:after="0"/>
        <w:tabs>
          <w:tab w:leader="none" w:pos="3300" w:val="left"/>
        </w:tabs>
        <w:numPr>
          <w:ilvl w:val="3"/>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Applicable Floor</w:t>
      </w:r>
      <w:r>
        <w:rPr>
          <w:rFonts w:ascii="Times New Roman" w:cs="Times New Roman" w:eastAsia="Times New Roman" w:hAnsi="Times New Roman"/>
          <w:sz w:val="20"/>
          <w:szCs w:val="20"/>
          <w:color w:val="auto"/>
        </w:rPr>
        <w:t>: means one percent (1.00%) per annum.</w:t>
      </w:r>
    </w:p>
    <w:p>
      <w:pPr>
        <w:spacing w:after="0" w:line="219" w:lineRule="exact"/>
        <w:rPr>
          <w:rFonts w:ascii="Times New Roman" w:cs="Times New Roman" w:eastAsia="Times New Roman" w:hAnsi="Times New Roman"/>
          <w:sz w:val="20"/>
          <w:szCs w:val="20"/>
          <w:color w:val="auto"/>
        </w:rPr>
      </w:pPr>
    </w:p>
    <w:p>
      <w:pPr>
        <w:ind w:left="880" w:firstLine="789"/>
        <w:spacing w:after="0" w:line="269" w:lineRule="auto"/>
        <w:tabs>
          <w:tab w:leader="none" w:pos="2512"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Facility Schedule for Credit Facility #3 attached to the Existing Credit Agreement is hereby amended by replacing the definition of “Applicable Floor” therein in its entirety with the following:</w:t>
      </w:r>
    </w:p>
    <w:p>
      <w:pPr>
        <w:spacing w:after="0" w:line="155" w:lineRule="exact"/>
        <w:rPr>
          <w:rFonts w:ascii="Times New Roman" w:cs="Times New Roman" w:eastAsia="Times New Roman" w:hAnsi="Times New Roman"/>
          <w:sz w:val="20"/>
          <w:szCs w:val="20"/>
          <w:color w:val="auto"/>
        </w:rPr>
      </w:pPr>
    </w:p>
    <w:p>
      <w:pPr>
        <w:ind w:left="3300" w:hanging="834"/>
        <w:spacing w:after="0"/>
        <w:tabs>
          <w:tab w:leader="none" w:pos="3300" w:val="left"/>
        </w:tabs>
        <w:numPr>
          <w:ilvl w:val="3"/>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Applicable Floor</w:t>
      </w:r>
      <w:r>
        <w:rPr>
          <w:rFonts w:ascii="Times New Roman" w:cs="Times New Roman" w:eastAsia="Times New Roman" w:hAnsi="Times New Roman"/>
          <w:sz w:val="20"/>
          <w:szCs w:val="20"/>
          <w:color w:val="auto"/>
        </w:rPr>
        <w:t>: means one percent (1.00%) per annum.</w:t>
      </w:r>
    </w:p>
    <w:p>
      <w:pPr>
        <w:spacing w:after="0" w:line="215" w:lineRule="exact"/>
        <w:rPr>
          <w:rFonts w:ascii="Times New Roman" w:cs="Times New Roman" w:eastAsia="Times New Roman" w:hAnsi="Times New Roman"/>
          <w:sz w:val="20"/>
          <w:szCs w:val="20"/>
          <w:color w:val="auto"/>
        </w:rPr>
      </w:pPr>
    </w:p>
    <w:p>
      <w:pPr>
        <w:jc w:val="both"/>
        <w:ind w:firstLine="872"/>
        <w:spacing w:after="0" w:line="256" w:lineRule="auto"/>
        <w:tabs>
          <w:tab w:leader="none" w:pos="1660" w:val="left"/>
        </w:tabs>
        <w:numPr>
          <w:ilvl w:val="0"/>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Conditions to Effectiveness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become effective as of the date on which Agent shall have received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by way of facsimile or other electronic transmission) a duly authorized, executed and delivered counterpart of the signature page to this Agreement from each Borrower, Agent and the Lenders.</w:t>
      </w:r>
    </w:p>
    <w:p>
      <w:pPr>
        <w:spacing w:after="0" w:line="168" w:lineRule="exact"/>
        <w:rPr>
          <w:rFonts w:ascii="Times New Roman" w:cs="Times New Roman" w:eastAsia="Times New Roman" w:hAnsi="Times New Roman"/>
          <w:sz w:val="20"/>
          <w:szCs w:val="20"/>
          <w:color w:val="010000"/>
        </w:rPr>
      </w:pPr>
    </w:p>
    <w:p>
      <w:pPr>
        <w:jc w:val="both"/>
        <w:ind w:firstLine="872"/>
        <w:spacing w:after="0" w:line="243" w:lineRule="auto"/>
        <w:tabs>
          <w:tab w:leader="none" w:pos="1660" w:val="left"/>
        </w:tabs>
        <w:numPr>
          <w:ilvl w:val="0"/>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No Waiver or Novation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execution, delivery and effectiveness of this Agreement shall not, except as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Except as expressly provided herein, nothing in this Agreement shall be construed as an amendment to or waiver of any condition precedent to any funding of Credit Extensions by the Lenders under the Credit Agreement, including those conditions set forth in Section 3.2 of the Credit Agreement. This Agreement (together with any other document executed in connection herewith) is not intended to be, nor shall it be construed as, a novation of the Credit Agreement.</w:t>
      </w:r>
    </w:p>
    <w:p>
      <w:pPr>
        <w:spacing w:after="0" w:line="185" w:lineRule="exact"/>
        <w:rPr>
          <w:rFonts w:ascii="Times New Roman" w:cs="Times New Roman" w:eastAsia="Times New Roman" w:hAnsi="Times New Roman"/>
          <w:sz w:val="20"/>
          <w:szCs w:val="20"/>
          <w:color w:val="010000"/>
        </w:rPr>
      </w:pPr>
    </w:p>
    <w:p>
      <w:pPr>
        <w:ind w:left="1660" w:hanging="788"/>
        <w:spacing w:after="0"/>
        <w:tabs>
          <w:tab w:leader="none" w:pos="1660" w:val="left"/>
        </w:tabs>
        <w:numPr>
          <w:ilvl w:val="0"/>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010000"/>
        </w:rPr>
      </w:pPr>
    </w:p>
    <w:p>
      <w:pPr>
        <w:jc w:val="both"/>
        <w:ind w:firstLine="1735"/>
        <w:spacing w:after="0" w:line="246" w:lineRule="auto"/>
        <w:tabs>
          <w:tab w:leader="none" w:pos="2595" w:val="left"/>
        </w:tabs>
        <w:numPr>
          <w:ilvl w:val="2"/>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Reference to the Effect on the Credit Agreement</w:t>
      </w:r>
      <w:r>
        <w:rPr>
          <w:rFonts w:ascii="Times New Roman" w:cs="Times New Roman" w:eastAsia="Times New Roman" w:hAnsi="Times New Roman"/>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Borrower.</w:t>
      </w:r>
    </w:p>
    <w:p>
      <w:pPr>
        <w:spacing w:after="0" w:line="184" w:lineRule="exact"/>
        <w:rPr>
          <w:rFonts w:ascii="Times New Roman" w:cs="Times New Roman" w:eastAsia="Times New Roman" w:hAnsi="Times New Roman"/>
          <w:sz w:val="20"/>
          <w:szCs w:val="20"/>
          <w:color w:val="010000"/>
        </w:rPr>
      </w:pPr>
    </w:p>
    <w:p>
      <w:pPr>
        <w:jc w:val="both"/>
        <w:ind w:firstLine="1735"/>
        <w:spacing w:after="0" w:line="246" w:lineRule="auto"/>
        <w:tabs>
          <w:tab w:leader="none" w:pos="2606" w:val="left"/>
        </w:tabs>
        <w:numPr>
          <w:ilvl w:val="2"/>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ALL DISPUTES AND OTHER MATTERS RELATING HERETO OR THERETO OR ARISING THEREFROM (WHETHER SOUNDING IN CONTRACT LAW, TORT LAW OR OTHERWISE), SHALL BE GOVERNED BY, AND SHALL BE CONSTRUED AND ENFORCED IN ACCORDANCE WITH, THE LAWS OF THE STATE OF NEW YORK, WITHOUT REGARD TO CONFLICTS OF LAWS PRINCIPLES (OTHER THAN SECTION 5-1401 OF THE GENERAL OBLIGATIONS LAW).</w:t>
      </w:r>
    </w:p>
    <w:p>
      <w:pPr>
        <w:spacing w:after="0" w:line="184" w:lineRule="exact"/>
        <w:rPr>
          <w:rFonts w:ascii="Times New Roman" w:cs="Times New Roman" w:eastAsia="Times New Roman" w:hAnsi="Times New Roman"/>
          <w:sz w:val="20"/>
          <w:szCs w:val="20"/>
          <w:color w:val="010000"/>
        </w:rPr>
      </w:pPr>
    </w:p>
    <w:p>
      <w:pPr>
        <w:ind w:left="2600" w:hanging="865"/>
        <w:spacing w:after="0"/>
        <w:tabs>
          <w:tab w:leader="none" w:pos="2600" w:val="left"/>
        </w:tabs>
        <w:numPr>
          <w:ilvl w:val="2"/>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WAIVER OF JURY TRIAL</w:t>
      </w:r>
    </w:p>
    <w:p>
      <w:pPr>
        <w:spacing w:after="0" w:line="216" w:lineRule="exact"/>
        <w:rPr>
          <w:sz w:val="20"/>
          <w:szCs w:val="20"/>
          <w:color w:val="auto"/>
        </w:rPr>
      </w:pPr>
    </w:p>
    <w:p>
      <w:pPr>
        <w:jc w:val="both"/>
        <w:ind w:firstLine="8"/>
        <w:spacing w:after="0" w:line="246" w:lineRule="auto"/>
        <w:tabs>
          <w:tab w:leader="none" w:pos="20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AGENT AND THE LENDERS PARTY HERETO HEREBY IRREVOCABLY WAIVES ANY AND ALL RIGHT TO TRIAL BY JURY IN ANY LEGAL ACTION OR PROCEEDING ARISING OUT OF OR RELATING TO THIS AGREEMENT OR THE TRANSACTIONS CONTEMPLATED HEREBY AND AGREES THAT ANY SUCH ACTION OR PROCEEDING SHALL BE TRIED BEFORE A COURT AND NOT BEFORE A JURY. BORROWER, AGENT AND EACH LENDER ACKNOWLEDGES THAT THIS WAIVER IS A MATERIAL INDUCEMENT TO ENTER INTO A BUSINESS RELATIONSHIP, THAT EACH HAS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MannKind / Amendment No.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jc w:val="both"/>
        <w:spacing w:after="0" w:line="249" w:lineRule="auto"/>
        <w:rPr>
          <w:sz w:val="20"/>
          <w:szCs w:val="20"/>
          <w:color w:val="auto"/>
        </w:rPr>
      </w:pPr>
      <w:r>
        <w:rPr>
          <w:rFonts w:ascii="Times New Roman" w:cs="Times New Roman" w:eastAsia="Times New Roman" w:hAnsi="Times New Roman"/>
          <w:sz w:val="20"/>
          <w:szCs w:val="20"/>
          <w:color w:val="auto"/>
        </w:rPr>
        <w:t>RELIED ON THE WAIVER IN ENTERING INTO THIS AGREEMENT, AND THAT EACH WILL CONTINUE TO RELY ON THIS WAIVER IN THEIR RELATED FUTURE DEALINGS. BORROWER, AGENT AND EACH LENDER WARRANTS AND REPRESENTS THAT IT HAS HAD THE OPPORTUNITY OF REVIEWING THIS JURY WAIVER WITH LEGAL COUNSEL, AND THAT IT KNOWINGLY AND VOLUNTARILY WAIVES ITS JURY TRIAL RIGHTS.</w:t>
      </w:r>
    </w:p>
    <w:p>
      <w:pPr>
        <w:spacing w:after="0" w:line="175" w:lineRule="exact"/>
        <w:rPr>
          <w:sz w:val="20"/>
          <w:szCs w:val="20"/>
          <w:color w:val="auto"/>
        </w:rPr>
      </w:pPr>
    </w:p>
    <w:p>
      <w:pPr>
        <w:jc w:val="both"/>
        <w:ind w:firstLine="1735"/>
        <w:spacing w:after="0" w:line="256" w:lineRule="auto"/>
        <w:tabs>
          <w:tab w:leader="none" w:pos="2606"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Incorporation of Credit Agreement Provisions</w:t>
      </w:r>
      <w:r>
        <w:rPr>
          <w:rFonts w:ascii="Times New Roman" w:cs="Times New Roman" w:eastAsia="Times New Roman" w:hAnsi="Times New Roman"/>
          <w:sz w:val="20"/>
          <w:szCs w:val="20"/>
          <w:color w:val="auto"/>
        </w:rPr>
        <w:t xml:space="preserve">. The provisions contained in </w:t>
      </w:r>
      <w:r>
        <w:rPr>
          <w:rFonts w:ascii="Times New Roman" w:cs="Times New Roman" w:eastAsia="Times New Roman" w:hAnsi="Times New Roman"/>
          <w:sz w:val="20"/>
          <w:szCs w:val="20"/>
          <w:u w:val="single" w:color="auto"/>
          <w:color w:val="auto"/>
        </w:rPr>
        <w:t>Section 12.2(b)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California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Waivers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12.5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California Waiver</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Indemnification</w:t>
      </w:r>
      <w:r>
        <w:rPr>
          <w:rFonts w:ascii="Times New Roman" w:cs="Times New Roman" w:eastAsia="Times New Roman" w:hAnsi="Times New Roman"/>
          <w:sz w:val="20"/>
          <w:szCs w:val="20"/>
          <w:color w:val="auto"/>
        </w:rPr>
        <w:t>) of the Credit Agreement are incorporated herein by reference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same extent as if reproduced herein in their entirety.</w:t>
      </w:r>
    </w:p>
    <w:p>
      <w:pPr>
        <w:spacing w:after="0" w:line="172" w:lineRule="exact"/>
        <w:rPr>
          <w:rFonts w:ascii="Times New Roman" w:cs="Times New Roman" w:eastAsia="Times New Roman" w:hAnsi="Times New Roman"/>
          <w:sz w:val="20"/>
          <w:szCs w:val="20"/>
          <w:color w:val="010000"/>
        </w:rPr>
      </w:pPr>
    </w:p>
    <w:p>
      <w:pPr>
        <w:ind w:firstLine="1735"/>
        <w:spacing w:after="0" w:line="269" w:lineRule="auto"/>
        <w:tabs>
          <w:tab w:leader="none" w:pos="2595"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this Agreement are included for convenience of reference only and shall not constitute a part of this Agreement for any other purpose.</w:t>
      </w:r>
    </w:p>
    <w:p>
      <w:pPr>
        <w:spacing w:after="0" w:line="159" w:lineRule="exact"/>
        <w:rPr>
          <w:rFonts w:ascii="Times New Roman" w:cs="Times New Roman" w:eastAsia="Times New Roman" w:hAnsi="Times New Roman"/>
          <w:sz w:val="20"/>
          <w:szCs w:val="20"/>
          <w:color w:val="010000"/>
        </w:rPr>
      </w:pPr>
    </w:p>
    <w:p>
      <w:pPr>
        <w:jc w:val="both"/>
        <w:ind w:firstLine="1735"/>
        <w:spacing w:after="0" w:line="244" w:lineRule="auto"/>
        <w:tabs>
          <w:tab w:leader="none" w:pos="2573"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signed in any number of counterparts, each of which shall be deemed an original and all of which when taken together shall constitute one and the same instrument. The words “execution,” “signed,” “signature,” and words of like import in this Amendment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5" w:lineRule="exact"/>
        <w:rPr>
          <w:rFonts w:ascii="Times New Roman" w:cs="Times New Roman" w:eastAsia="Times New Roman" w:hAnsi="Times New Roman"/>
          <w:sz w:val="20"/>
          <w:szCs w:val="20"/>
          <w:color w:val="010000"/>
        </w:rPr>
      </w:pPr>
    </w:p>
    <w:p>
      <w:pPr>
        <w:ind w:firstLine="1735"/>
        <w:spacing w:after="0" w:line="269" w:lineRule="auto"/>
        <w:tabs>
          <w:tab w:leader="none" w:pos="2606"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and understanding among the parties hereto and supersedes any and all prior agreements and understandings, oral or written, relating to the subject matter hereof.</w:t>
      </w:r>
    </w:p>
    <w:p>
      <w:pPr>
        <w:spacing w:after="0" w:line="159" w:lineRule="exact"/>
        <w:rPr>
          <w:rFonts w:ascii="Times New Roman" w:cs="Times New Roman" w:eastAsia="Times New Roman" w:hAnsi="Times New Roman"/>
          <w:sz w:val="20"/>
          <w:szCs w:val="20"/>
          <w:color w:val="010000"/>
        </w:rPr>
      </w:pPr>
    </w:p>
    <w:p>
      <w:pPr>
        <w:jc w:val="both"/>
        <w:ind w:firstLine="1735"/>
        <w:spacing w:after="0" w:line="254" w:lineRule="auto"/>
        <w:tabs>
          <w:tab w:leader="none" w:pos="2606"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74" w:lineRule="exact"/>
        <w:rPr>
          <w:rFonts w:ascii="Times New Roman" w:cs="Times New Roman" w:eastAsia="Times New Roman" w:hAnsi="Times New Roman"/>
          <w:sz w:val="20"/>
          <w:szCs w:val="20"/>
          <w:color w:val="010000"/>
        </w:rPr>
      </w:pPr>
    </w:p>
    <w:p>
      <w:pPr>
        <w:ind w:right="20" w:firstLine="1735"/>
        <w:spacing w:after="0" w:line="269" w:lineRule="auto"/>
        <w:tabs>
          <w:tab w:leader="none" w:pos="2562"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Successors/Assigns</w:t>
      </w:r>
      <w:r>
        <w:rPr>
          <w:rFonts w:ascii="Times New Roman" w:cs="Times New Roman" w:eastAsia="Times New Roman" w:hAnsi="Times New Roman"/>
          <w:sz w:val="20"/>
          <w:szCs w:val="20"/>
          <w:color w:val="auto"/>
        </w:rPr>
        <w:t>. This Agreement shall bind, and the rights hereunder shall inure to, the respective successors and assigns of the parties hereto, subject to the provisions of the Credit Agreement and the other Financing Documents.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APPEAR ON FOLLOWING PAGES]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MannKind / Amendment No.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ind w:right="40" w:firstLine="864"/>
        <w:spacing w:after="0" w:line="269" w:lineRule="auto"/>
        <w:rPr>
          <w:sz w:val="20"/>
          <w:szCs w:val="20"/>
          <w:color w:val="auto"/>
        </w:rPr>
      </w:pPr>
      <w:r>
        <w:rPr>
          <w:rFonts w:ascii="Times New Roman" w:cs="Times New Roman" w:eastAsia="Times New Roman" w:hAnsi="Times New Roman"/>
          <w:sz w:val="20"/>
          <w:szCs w:val="20"/>
          <w:color w:val="auto"/>
        </w:rPr>
        <w:t>IN WITNESS WHEREOF, intending to be legally bound, the undersigned have executed this Agreement as of the day and year first hereinabove set forth.</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AGENT:</w:t>
            </w:r>
          </w:p>
        </w:tc>
        <w:tc>
          <w:tcPr>
            <w:tcW w:w="7240" w:type="dxa"/>
            <w:vAlign w:val="bottom"/>
            <w:gridSpan w:val="2"/>
          </w:tcPr>
          <w:p>
            <w:pPr>
              <w:ind w:left="1720"/>
              <w:spacing w:after="0"/>
              <w:rPr>
                <w:sz w:val="20"/>
                <w:szCs w:val="20"/>
                <w:color w:val="auto"/>
              </w:rPr>
            </w:pPr>
            <w:r>
              <w:rPr>
                <w:rFonts w:ascii="Times New Roman" w:cs="Times New Roman" w:eastAsia="Times New Roman" w:hAnsi="Times New Roman"/>
                <w:sz w:val="20"/>
                <w:szCs w:val="20"/>
                <w:b w:val="1"/>
                <w:bCs w:val="1"/>
                <w:color w:val="auto"/>
              </w:rPr>
              <w:t>MIDCAP FINANCIAL TRUST,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Apollo Capital Management, L.P.,</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240" w:type="dxa"/>
            <w:vAlign w:val="bottom"/>
            <w:gridSpan w:val="2"/>
          </w:tcPr>
          <w:p>
            <w:pPr>
              <w:ind w:left="1720"/>
              <w:spacing w:after="0"/>
              <w:rPr>
                <w:sz w:val="20"/>
                <w:szCs w:val="20"/>
                <w:color w:val="auto"/>
              </w:rPr>
            </w:pPr>
            <w:r>
              <w:rPr>
                <w:rFonts w:ascii="Times New Roman" w:cs="Times New Roman" w:eastAsia="Times New Roman" w:hAnsi="Times New Roman"/>
                <w:sz w:val="20"/>
                <w:szCs w:val="20"/>
                <w:color w:val="auto"/>
              </w:rPr>
              <w:t>its investment manager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Apollo Capital Management GP, LLC,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240" w:type="dxa"/>
            <w:vAlign w:val="bottom"/>
            <w:gridSpan w:val="2"/>
          </w:tcPr>
          <w:p>
            <w:pPr>
              <w:ind w:left="1720"/>
              <w:spacing w:after="0"/>
              <w:rPr>
                <w:sz w:val="20"/>
                <w:szCs w:val="20"/>
                <w:color w:val="auto"/>
              </w:rPr>
            </w:pPr>
            <w:r>
              <w:rPr>
                <w:rFonts w:ascii="Times New Roman" w:cs="Times New Roman" w:eastAsia="Times New Roman" w:hAnsi="Times New Roman"/>
                <w:sz w:val="20"/>
                <w:szCs w:val="20"/>
                <w:color w:val="auto"/>
              </w:rPr>
              <w:t>its general partner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Maurice Amsellem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520" w:type="dxa"/>
            <w:vAlign w:val="bottom"/>
          </w:tcPr>
          <w:p>
            <w:pPr>
              <w:ind w:left="172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Maurice Amsellem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Authorized Signatory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4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LENDERS:</w:t>
            </w:r>
          </w:p>
        </w:tc>
        <w:tc>
          <w:tcPr>
            <w:tcW w:w="7240" w:type="dxa"/>
            <w:vAlign w:val="bottom"/>
            <w:gridSpan w:val="2"/>
          </w:tcPr>
          <w:p>
            <w:pPr>
              <w:ind w:left="1720"/>
              <w:spacing w:after="0"/>
              <w:rPr>
                <w:sz w:val="20"/>
                <w:szCs w:val="20"/>
                <w:color w:val="auto"/>
              </w:rPr>
            </w:pPr>
            <w:r>
              <w:rPr>
                <w:rFonts w:ascii="Times New Roman" w:cs="Times New Roman" w:eastAsia="Times New Roman" w:hAnsi="Times New Roman"/>
                <w:sz w:val="20"/>
                <w:szCs w:val="20"/>
                <w:b w:val="1"/>
                <w:bCs w:val="1"/>
                <w:color w:val="auto"/>
              </w:rPr>
              <w:t>MIDCAP FUNDING XIII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Apollo Capital Management, L.P.,</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240" w:type="dxa"/>
            <w:vAlign w:val="bottom"/>
            <w:gridSpan w:val="2"/>
          </w:tcPr>
          <w:p>
            <w:pPr>
              <w:ind w:left="1720"/>
              <w:spacing w:after="0"/>
              <w:rPr>
                <w:sz w:val="20"/>
                <w:szCs w:val="20"/>
                <w:color w:val="auto"/>
              </w:rPr>
            </w:pPr>
            <w:r>
              <w:rPr>
                <w:rFonts w:ascii="Times New Roman" w:cs="Times New Roman" w:eastAsia="Times New Roman" w:hAnsi="Times New Roman"/>
                <w:sz w:val="20"/>
                <w:szCs w:val="20"/>
                <w:color w:val="auto"/>
              </w:rPr>
              <w:t>its investment manager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Apollo Capital Management GP, LLC,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240" w:type="dxa"/>
            <w:vAlign w:val="bottom"/>
            <w:gridSpan w:val="2"/>
          </w:tcPr>
          <w:p>
            <w:pPr>
              <w:ind w:left="1720"/>
              <w:spacing w:after="0"/>
              <w:rPr>
                <w:sz w:val="20"/>
                <w:szCs w:val="20"/>
                <w:color w:val="auto"/>
              </w:rPr>
            </w:pPr>
            <w:r>
              <w:rPr>
                <w:rFonts w:ascii="Times New Roman" w:cs="Times New Roman" w:eastAsia="Times New Roman" w:hAnsi="Times New Roman"/>
                <w:sz w:val="20"/>
                <w:szCs w:val="20"/>
                <w:color w:val="auto"/>
              </w:rPr>
              <w:t>its general partner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Maurice Amsellem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520" w:type="dxa"/>
            <w:vAlign w:val="bottom"/>
          </w:tcPr>
          <w:p>
            <w:pPr>
              <w:ind w:left="172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Maurice Amsellem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Authorized Signatory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4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LENDERS:</w:t>
            </w:r>
          </w:p>
        </w:tc>
        <w:tc>
          <w:tcPr>
            <w:tcW w:w="7240" w:type="dxa"/>
            <w:vAlign w:val="bottom"/>
            <w:gridSpan w:val="2"/>
          </w:tcPr>
          <w:p>
            <w:pPr>
              <w:ind w:left="1720"/>
              <w:spacing w:after="0"/>
              <w:rPr>
                <w:sz w:val="20"/>
                <w:szCs w:val="20"/>
                <w:color w:val="auto"/>
              </w:rPr>
            </w:pPr>
            <w:r>
              <w:rPr>
                <w:rFonts w:ascii="Times New Roman" w:cs="Times New Roman" w:eastAsia="Times New Roman" w:hAnsi="Times New Roman"/>
                <w:sz w:val="20"/>
                <w:szCs w:val="20"/>
                <w:b w:val="1"/>
                <w:bCs w:val="1"/>
                <w:color w:val="auto"/>
              </w:rPr>
              <w:t>MIDCAP FINANCIAL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Apollo Capital Management, L.P.,</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240" w:type="dxa"/>
            <w:vAlign w:val="bottom"/>
            <w:gridSpan w:val="2"/>
          </w:tcPr>
          <w:p>
            <w:pPr>
              <w:ind w:left="1720"/>
              <w:spacing w:after="0"/>
              <w:rPr>
                <w:sz w:val="20"/>
                <w:szCs w:val="20"/>
                <w:color w:val="auto"/>
              </w:rPr>
            </w:pPr>
            <w:r>
              <w:rPr>
                <w:rFonts w:ascii="Times New Roman" w:cs="Times New Roman" w:eastAsia="Times New Roman" w:hAnsi="Times New Roman"/>
                <w:sz w:val="20"/>
                <w:szCs w:val="20"/>
                <w:color w:val="auto"/>
              </w:rPr>
              <w:t>its investment manager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Apollo Capital Management GP, LLC,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240" w:type="dxa"/>
            <w:vAlign w:val="bottom"/>
            <w:gridSpan w:val="2"/>
          </w:tcPr>
          <w:p>
            <w:pPr>
              <w:ind w:left="1720"/>
              <w:spacing w:after="0"/>
              <w:rPr>
                <w:sz w:val="20"/>
                <w:szCs w:val="20"/>
                <w:color w:val="auto"/>
              </w:rPr>
            </w:pPr>
            <w:r>
              <w:rPr>
                <w:rFonts w:ascii="Times New Roman" w:cs="Times New Roman" w:eastAsia="Times New Roman" w:hAnsi="Times New Roman"/>
                <w:sz w:val="20"/>
                <w:szCs w:val="20"/>
                <w:color w:val="auto"/>
              </w:rPr>
              <w:t>its general partner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Maurice Amsellem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520" w:type="dxa"/>
            <w:vAlign w:val="bottom"/>
          </w:tcPr>
          <w:p>
            <w:pPr>
              <w:ind w:left="172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Maurice Amsellem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Authorized Signatory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4"/>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MidCap / MannKind / Amendment No. 10</w:t>
            </w:r>
          </w:p>
        </w:tc>
        <w:tc>
          <w:tcPr>
            <w:tcW w:w="252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11</w:t>
            </w: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00" w:type="dxa"/>
            <w:vAlign w:val="bottom"/>
            <w:vMerge w:val="continue"/>
          </w:tcPr>
          <w:p>
            <w:pPr>
              <w:spacing w:after="0"/>
              <w:rPr>
                <w:sz w:val="13"/>
                <w:szCs w:val="13"/>
                <w:color w:val="auto"/>
              </w:rPr>
            </w:pPr>
          </w:p>
        </w:tc>
        <w:tc>
          <w:tcPr>
            <w:tcW w:w="25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1"/>
        </w:trPr>
        <w:tc>
          <w:tcPr>
            <w:tcW w:w="40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62"/>
        </w:trPr>
        <w:tc>
          <w:tcPr>
            <w:tcW w:w="4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LENDERS:</w:t>
            </w:r>
          </w:p>
        </w:tc>
        <w:tc>
          <w:tcPr>
            <w:tcW w:w="7240" w:type="dxa"/>
            <w:vAlign w:val="bottom"/>
            <w:gridSpan w:val="2"/>
          </w:tcPr>
          <w:p>
            <w:pPr>
              <w:ind w:left="1720"/>
              <w:spacing w:after="0"/>
              <w:rPr>
                <w:sz w:val="20"/>
                <w:szCs w:val="20"/>
                <w:color w:val="auto"/>
              </w:rPr>
            </w:pPr>
            <w:r>
              <w:rPr>
                <w:rFonts w:ascii="Times New Roman" w:cs="Times New Roman" w:eastAsia="Times New Roman" w:hAnsi="Times New Roman"/>
                <w:sz w:val="20"/>
                <w:szCs w:val="20"/>
                <w:b w:val="1"/>
                <w:bCs w:val="1"/>
                <w:color w:val="auto"/>
              </w:rPr>
              <w:t>ELM 2020-3 TRUST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0"/>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MidCap Financial Services Capital Management, LLC, as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Servicer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John O Dea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520" w:type="dxa"/>
            <w:vAlign w:val="bottom"/>
          </w:tcPr>
          <w:p>
            <w:pPr>
              <w:ind w:left="172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John O Dea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Authorized Signatory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4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LENDERS:</w:t>
            </w:r>
          </w:p>
        </w:tc>
        <w:tc>
          <w:tcPr>
            <w:tcW w:w="7240" w:type="dxa"/>
            <w:vAlign w:val="bottom"/>
            <w:gridSpan w:val="2"/>
          </w:tcPr>
          <w:p>
            <w:pPr>
              <w:ind w:left="1720"/>
              <w:spacing w:after="0"/>
              <w:rPr>
                <w:sz w:val="20"/>
                <w:szCs w:val="20"/>
                <w:color w:val="auto"/>
              </w:rPr>
            </w:pPr>
            <w:r>
              <w:rPr>
                <w:rFonts w:ascii="Times New Roman" w:cs="Times New Roman" w:eastAsia="Times New Roman" w:hAnsi="Times New Roman"/>
                <w:sz w:val="20"/>
                <w:szCs w:val="20"/>
                <w:b w:val="1"/>
                <w:bCs w:val="1"/>
                <w:color w:val="auto"/>
              </w:rPr>
              <w:t>ELM 2020-4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0"/>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MidCap Financial Services Capital Management, LLC, as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Servicer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John O Dea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520" w:type="dxa"/>
            <w:vAlign w:val="bottom"/>
          </w:tcPr>
          <w:p>
            <w:pPr>
              <w:ind w:left="172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John O Dea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Authorized Signatory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2"/>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MidCap / MannKind / Amendment No. 10</w:t>
            </w:r>
          </w:p>
        </w:tc>
        <w:tc>
          <w:tcPr>
            <w:tcW w:w="252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12</w:t>
            </w: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00" w:type="dxa"/>
            <w:vAlign w:val="bottom"/>
            <w:vMerge w:val="continue"/>
          </w:tcPr>
          <w:p>
            <w:pPr>
              <w:spacing w:after="0"/>
              <w:rPr>
                <w:sz w:val="13"/>
                <w:szCs w:val="13"/>
                <w:color w:val="auto"/>
              </w:rPr>
            </w:pPr>
          </w:p>
        </w:tc>
        <w:tc>
          <w:tcPr>
            <w:tcW w:w="25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1"/>
        </w:trPr>
        <w:tc>
          <w:tcPr>
            <w:tcW w:w="40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62"/>
        </w:trPr>
        <w:tc>
          <w:tcPr>
            <w:tcW w:w="4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LENDERS:</w:t>
            </w:r>
          </w:p>
        </w:tc>
        <w:tc>
          <w:tcPr>
            <w:tcW w:w="7240" w:type="dxa"/>
            <w:vAlign w:val="bottom"/>
            <w:gridSpan w:val="2"/>
          </w:tcPr>
          <w:p>
            <w:pPr>
              <w:ind w:left="1720"/>
              <w:spacing w:after="0"/>
              <w:rPr>
                <w:sz w:val="20"/>
                <w:szCs w:val="20"/>
                <w:color w:val="auto"/>
              </w:rPr>
            </w:pPr>
            <w:r>
              <w:rPr>
                <w:rFonts w:ascii="Times New Roman" w:cs="Times New Roman" w:eastAsia="Times New Roman" w:hAnsi="Times New Roman"/>
                <w:sz w:val="20"/>
                <w:szCs w:val="20"/>
                <w:b w:val="1"/>
                <w:bCs w:val="1"/>
                <w:color w:val="auto"/>
              </w:rPr>
              <w:t>APOLLO INVESTMENT CORPORATION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9"/>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Apollo Investment Management, L.P., as Advisor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ACC Management, LLC, as its General Partner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Kristin M Hester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520" w:type="dxa"/>
            <w:vAlign w:val="bottom"/>
          </w:tcPr>
          <w:p>
            <w:pPr>
              <w:ind w:left="172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Kristin Hester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Chief Legal Officer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8"/>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MidCap / MannKind / Amendment No. 10</w:t>
            </w:r>
          </w:p>
        </w:tc>
        <w:tc>
          <w:tcPr>
            <w:tcW w:w="252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13</w:t>
            </w: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00" w:type="dxa"/>
            <w:vAlign w:val="bottom"/>
            <w:vMerge w:val="continue"/>
          </w:tcPr>
          <w:p>
            <w:pPr>
              <w:spacing w:after="0"/>
              <w:rPr>
                <w:sz w:val="13"/>
                <w:szCs w:val="13"/>
                <w:color w:val="auto"/>
              </w:rPr>
            </w:pPr>
          </w:p>
        </w:tc>
        <w:tc>
          <w:tcPr>
            <w:tcW w:w="25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1"/>
        </w:trPr>
        <w:tc>
          <w:tcPr>
            <w:tcW w:w="40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62"/>
        </w:trPr>
        <w:tc>
          <w:tcPr>
            <w:tcW w:w="4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BORROWERS:</w:t>
            </w:r>
          </w:p>
        </w:tc>
        <w:tc>
          <w:tcPr>
            <w:tcW w:w="7240" w:type="dxa"/>
            <w:vAlign w:val="bottom"/>
            <w:gridSpan w:val="2"/>
          </w:tcPr>
          <w:p>
            <w:pPr>
              <w:ind w:left="1720"/>
              <w:spacing w:after="0"/>
              <w:rPr>
                <w:sz w:val="20"/>
                <w:szCs w:val="20"/>
                <w:color w:val="auto"/>
              </w:rPr>
            </w:pPr>
            <w:r>
              <w:rPr>
                <w:rFonts w:ascii="Times New Roman" w:cs="Times New Roman" w:eastAsia="Times New Roman" w:hAnsi="Times New Roman"/>
                <w:sz w:val="20"/>
                <w:szCs w:val="20"/>
                <w:b w:val="1"/>
                <w:bCs w:val="1"/>
                <w:color w:val="auto"/>
              </w:rPr>
              <w:t>MANNKIND CORPORATION</w:t>
            </w:r>
          </w:p>
        </w:tc>
        <w:tc>
          <w:tcPr>
            <w:tcW w:w="0" w:type="dxa"/>
            <w:vAlign w:val="bottom"/>
          </w:tcPr>
          <w:p>
            <w:pPr>
              <w:spacing w:after="0"/>
              <w:rPr>
                <w:sz w:val="1"/>
                <w:szCs w:val="1"/>
                <w:color w:val="auto"/>
              </w:rPr>
            </w:pPr>
          </w:p>
        </w:tc>
      </w:tr>
      <w:tr>
        <w:trPr>
          <w:trHeight w:val="683"/>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Steven B Binder</w:t>
            </w: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520" w:type="dxa"/>
            <w:vAlign w:val="bottom"/>
          </w:tcPr>
          <w:p>
            <w:pPr>
              <w:ind w:left="172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Steven Binder</w:t>
            </w: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CFO</w:t>
            </w:r>
          </w:p>
        </w:tc>
        <w:tc>
          <w:tcPr>
            <w:tcW w:w="0" w:type="dxa"/>
            <w:vAlign w:val="bottom"/>
          </w:tcPr>
          <w:p>
            <w:pPr>
              <w:spacing w:after="0"/>
              <w:rPr>
                <w:sz w:val="1"/>
                <w:szCs w:val="1"/>
                <w:color w:val="auto"/>
              </w:rPr>
            </w:pPr>
          </w:p>
        </w:tc>
      </w:tr>
      <w:tr>
        <w:trPr>
          <w:trHeight w:val="688"/>
        </w:trPr>
        <w:tc>
          <w:tcPr>
            <w:tcW w:w="4000" w:type="dxa"/>
            <w:vAlign w:val="bottom"/>
          </w:tcPr>
          <w:p>
            <w:pPr>
              <w:spacing w:after="0"/>
              <w:rPr>
                <w:sz w:val="24"/>
                <w:szCs w:val="24"/>
                <w:color w:val="auto"/>
              </w:rPr>
            </w:pPr>
          </w:p>
        </w:tc>
        <w:tc>
          <w:tcPr>
            <w:tcW w:w="7240" w:type="dxa"/>
            <w:vAlign w:val="bottom"/>
            <w:gridSpan w:val="2"/>
          </w:tcPr>
          <w:p>
            <w:pPr>
              <w:ind w:left="1720"/>
              <w:spacing w:after="0"/>
              <w:rPr>
                <w:sz w:val="20"/>
                <w:szCs w:val="20"/>
                <w:color w:val="auto"/>
              </w:rPr>
            </w:pPr>
            <w:r>
              <w:rPr>
                <w:rFonts w:ascii="Times New Roman" w:cs="Times New Roman" w:eastAsia="Times New Roman" w:hAnsi="Times New Roman"/>
                <w:sz w:val="20"/>
                <w:szCs w:val="20"/>
                <w:b w:val="1"/>
                <w:bCs w:val="1"/>
                <w:color w:val="auto"/>
              </w:rPr>
              <w:t>MANNKIND LLC</w:t>
            </w:r>
          </w:p>
        </w:tc>
        <w:tc>
          <w:tcPr>
            <w:tcW w:w="0" w:type="dxa"/>
            <w:vAlign w:val="bottom"/>
          </w:tcPr>
          <w:p>
            <w:pPr>
              <w:spacing w:after="0"/>
              <w:rPr>
                <w:sz w:val="1"/>
                <w:szCs w:val="1"/>
                <w:color w:val="auto"/>
              </w:rPr>
            </w:pPr>
          </w:p>
        </w:tc>
      </w:tr>
      <w:tr>
        <w:trPr>
          <w:trHeight w:val="683"/>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Steven B Binder</w:t>
            </w: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520" w:type="dxa"/>
            <w:vAlign w:val="bottom"/>
          </w:tcPr>
          <w:p>
            <w:pPr>
              <w:ind w:left="172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Steven Binder</w:t>
            </w: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CFO</w:t>
            </w:r>
          </w:p>
        </w:tc>
        <w:tc>
          <w:tcPr>
            <w:tcW w:w="0" w:type="dxa"/>
            <w:vAlign w:val="bottom"/>
          </w:tcPr>
          <w:p>
            <w:pPr>
              <w:spacing w:after="0"/>
              <w:rPr>
                <w:sz w:val="1"/>
                <w:szCs w:val="1"/>
                <w:color w:val="auto"/>
              </w:rPr>
            </w:pPr>
          </w:p>
        </w:tc>
      </w:tr>
      <w:tr>
        <w:trPr>
          <w:trHeight w:val="473"/>
        </w:trPr>
        <w:tc>
          <w:tcPr>
            <w:tcW w:w="4000" w:type="dxa"/>
            <w:vAlign w:val="bottom"/>
          </w:tcPr>
          <w:p>
            <w:pPr>
              <w:spacing w:after="0"/>
              <w:rPr>
                <w:sz w:val="24"/>
                <w:szCs w:val="24"/>
                <w:color w:val="auto"/>
              </w:rPr>
            </w:pPr>
          </w:p>
        </w:tc>
        <w:tc>
          <w:tcPr>
            <w:tcW w:w="7240" w:type="dxa"/>
            <w:vAlign w:val="bottom"/>
            <w:gridSpan w:val="2"/>
          </w:tcPr>
          <w:p>
            <w:pPr>
              <w:ind w:left="1720"/>
              <w:spacing w:after="0"/>
              <w:rPr>
                <w:sz w:val="20"/>
                <w:szCs w:val="20"/>
                <w:color w:val="auto"/>
              </w:rPr>
            </w:pPr>
            <w:r>
              <w:rPr>
                <w:rFonts w:ascii="Times New Roman" w:cs="Times New Roman" w:eastAsia="Times New Roman" w:hAnsi="Times New Roman"/>
                <w:sz w:val="20"/>
                <w:szCs w:val="20"/>
                <w:b w:val="1"/>
                <w:bCs w:val="1"/>
                <w:color w:val="auto"/>
              </w:rPr>
              <w:t>QRUMPHARMA, INC.</w:t>
            </w:r>
          </w:p>
        </w:tc>
        <w:tc>
          <w:tcPr>
            <w:tcW w:w="0" w:type="dxa"/>
            <w:vAlign w:val="bottom"/>
          </w:tcPr>
          <w:p>
            <w:pPr>
              <w:spacing w:after="0"/>
              <w:rPr>
                <w:sz w:val="1"/>
                <w:szCs w:val="1"/>
                <w:color w:val="auto"/>
              </w:rPr>
            </w:pPr>
          </w:p>
        </w:tc>
      </w:tr>
      <w:tr>
        <w:trPr>
          <w:trHeight w:val="683"/>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Steven B Binder</w:t>
            </w: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520" w:type="dxa"/>
            <w:vAlign w:val="bottom"/>
          </w:tcPr>
          <w:p>
            <w:pPr>
              <w:ind w:left="172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Steven Binder</w:t>
            </w: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CFO</w:t>
            </w:r>
          </w:p>
        </w:tc>
        <w:tc>
          <w:tcPr>
            <w:tcW w:w="0" w:type="dxa"/>
            <w:vAlign w:val="bottom"/>
          </w:tcPr>
          <w:p>
            <w:pPr>
              <w:spacing w:after="0"/>
              <w:rPr>
                <w:sz w:val="1"/>
                <w:szCs w:val="1"/>
                <w:color w:val="auto"/>
              </w:rPr>
            </w:pPr>
          </w:p>
        </w:tc>
      </w:tr>
      <w:tr>
        <w:trPr>
          <w:trHeight w:val="688"/>
        </w:trPr>
        <w:tc>
          <w:tcPr>
            <w:tcW w:w="4000" w:type="dxa"/>
            <w:vAlign w:val="bottom"/>
          </w:tcPr>
          <w:p>
            <w:pPr>
              <w:spacing w:after="0"/>
              <w:rPr>
                <w:sz w:val="24"/>
                <w:szCs w:val="24"/>
                <w:color w:val="auto"/>
              </w:rPr>
            </w:pPr>
          </w:p>
        </w:tc>
        <w:tc>
          <w:tcPr>
            <w:tcW w:w="7240" w:type="dxa"/>
            <w:vAlign w:val="bottom"/>
            <w:gridSpan w:val="2"/>
          </w:tcPr>
          <w:p>
            <w:pPr>
              <w:ind w:left="1720"/>
              <w:spacing w:after="0"/>
              <w:rPr>
                <w:sz w:val="20"/>
                <w:szCs w:val="20"/>
                <w:color w:val="auto"/>
              </w:rPr>
            </w:pPr>
            <w:r>
              <w:rPr>
                <w:rFonts w:ascii="Times New Roman" w:cs="Times New Roman" w:eastAsia="Times New Roman" w:hAnsi="Times New Roman"/>
                <w:sz w:val="20"/>
                <w:szCs w:val="20"/>
                <w:b w:val="1"/>
                <w:bCs w:val="1"/>
                <w:color w:val="auto"/>
              </w:rPr>
              <w:t>TECHNOSPHERE INTERNATIONAL, INC.</w:t>
            </w:r>
          </w:p>
        </w:tc>
        <w:tc>
          <w:tcPr>
            <w:tcW w:w="0" w:type="dxa"/>
            <w:vAlign w:val="bottom"/>
          </w:tcPr>
          <w:p>
            <w:pPr>
              <w:spacing w:after="0"/>
              <w:rPr>
                <w:sz w:val="1"/>
                <w:szCs w:val="1"/>
                <w:color w:val="auto"/>
              </w:rPr>
            </w:pPr>
          </w:p>
        </w:tc>
      </w:tr>
      <w:tr>
        <w:trPr>
          <w:trHeight w:val="683"/>
        </w:trPr>
        <w:tc>
          <w:tcPr>
            <w:tcW w:w="4000" w:type="dxa"/>
            <w:vAlign w:val="bottom"/>
          </w:tcPr>
          <w:p>
            <w:pPr>
              <w:spacing w:after="0"/>
              <w:rPr>
                <w:sz w:val="24"/>
                <w:szCs w:val="24"/>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Steven B Binder</w:t>
            </w: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520" w:type="dxa"/>
            <w:vAlign w:val="bottom"/>
          </w:tcPr>
          <w:p>
            <w:pPr>
              <w:ind w:left="172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Steven Binder</w:t>
            </w: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CFO</w:t>
            </w:r>
          </w:p>
        </w:tc>
        <w:tc>
          <w:tcPr>
            <w:tcW w:w="0" w:type="dxa"/>
            <w:vAlign w:val="bottom"/>
          </w:tcPr>
          <w:p>
            <w:pPr>
              <w:spacing w:after="0"/>
              <w:rPr>
                <w:sz w:val="1"/>
                <w:szCs w:val="1"/>
                <w:color w:val="auto"/>
              </w:rPr>
            </w:pPr>
          </w:p>
        </w:tc>
      </w:tr>
      <w:tr>
        <w:trPr>
          <w:trHeight w:val="688"/>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MidCap / MannKind / Amendment No. 10</w:t>
            </w:r>
          </w:p>
        </w:tc>
        <w:tc>
          <w:tcPr>
            <w:tcW w:w="252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14</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00" w:type="dxa"/>
            <w:vAlign w:val="bottom"/>
            <w:vMerge w:val="continue"/>
          </w:tcPr>
          <w:p>
            <w:pPr>
              <w:spacing w:after="0"/>
              <w:rPr>
                <w:sz w:val="13"/>
                <w:szCs w:val="13"/>
                <w:color w:val="auto"/>
              </w:rPr>
            </w:pPr>
          </w:p>
        </w:tc>
        <w:tc>
          <w:tcPr>
            <w:tcW w:w="25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8"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Castagna, certify that:</w:t>
      </w:r>
    </w:p>
    <w:p>
      <w:pPr>
        <w:spacing w:after="0" w:line="225" w:lineRule="exact"/>
        <w:rPr>
          <w:sz w:val="20"/>
          <w:szCs w:val="20"/>
          <w:color w:val="auto"/>
        </w:rPr>
      </w:pPr>
    </w:p>
    <w:p>
      <w:pPr>
        <w:ind w:left="1000" w:hanging="493"/>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2022 of MannKind Corporation;</w:t>
      </w:r>
    </w:p>
    <w:p>
      <w:pPr>
        <w:spacing w:after="0" w:line="225" w:lineRule="exact"/>
        <w:rPr>
          <w:rFonts w:ascii="Times New Roman" w:cs="Times New Roman" w:eastAsia="Times New Roman" w:hAnsi="Times New Roman"/>
          <w:sz w:val="18"/>
          <w:szCs w:val="18"/>
          <w:color w:val="auto"/>
        </w:rPr>
      </w:pPr>
    </w:p>
    <w:p>
      <w:pPr>
        <w:jc w:val="both"/>
        <w:ind w:left="1000" w:right="40" w:hanging="493"/>
        <w:spacing w:after="0" w:line="266"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00" w:right="140" w:hanging="493"/>
        <w:spacing w:after="0" w:line="266"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00" w:right="160" w:hanging="507"/>
        <w:spacing w:after="0" w:line="266" w:lineRule="auto"/>
        <w:tabs>
          <w:tab w:leader="none" w:pos="15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right="220" w:hanging="507"/>
        <w:spacing w:after="0" w:line="266" w:lineRule="auto"/>
        <w:tabs>
          <w:tab w:leader="none" w:pos="15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right="20" w:hanging="507"/>
        <w:spacing w:after="0" w:line="312" w:lineRule="auto"/>
        <w:tabs>
          <w:tab w:leader="none" w:pos="150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500" w:right="400" w:hanging="507"/>
        <w:spacing w:after="0" w:line="266" w:lineRule="auto"/>
        <w:tabs>
          <w:tab w:leader="none" w:pos="15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00" w:right="100" w:hanging="493"/>
        <w:spacing w:after="0" w:line="312" w:lineRule="auto"/>
        <w:tabs>
          <w:tab w:leader="none" w:pos="10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00" w:right="260" w:hanging="507"/>
        <w:spacing w:after="0" w:line="282" w:lineRule="auto"/>
        <w:tabs>
          <w:tab w:leader="none" w:pos="15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40" w:hanging="507"/>
        <w:spacing w:after="0" w:line="282" w:lineRule="auto"/>
        <w:tabs>
          <w:tab w:leader="none" w:pos="15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3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-127635</wp:posOffset>
            </wp:positionV>
            <wp:extent cx="31546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2022</w:t>
      </w:r>
    </w:p>
    <w:p>
      <w:pPr>
        <w:sectPr>
          <w:pgSz w:w="11900" w:h="16838" w:orient="portrait"/>
          <w:cols w:equalWidth="0" w:num="1">
            <w:col w:w="11240"/>
          </w:cols>
          <w:pgMar w:left="320" w:top="333"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B. Binder, certify that:</w:t>
      </w:r>
    </w:p>
    <w:p>
      <w:pPr>
        <w:spacing w:after="0" w:line="225" w:lineRule="exact"/>
        <w:rPr>
          <w:sz w:val="20"/>
          <w:szCs w:val="20"/>
          <w:color w:val="auto"/>
        </w:rPr>
      </w:pPr>
    </w:p>
    <w:p>
      <w:pPr>
        <w:ind w:left="1000" w:hanging="493"/>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2022 of MannKind Corporation;</w:t>
      </w:r>
    </w:p>
    <w:p>
      <w:pPr>
        <w:spacing w:after="0" w:line="225" w:lineRule="exact"/>
        <w:rPr>
          <w:rFonts w:ascii="Times New Roman" w:cs="Times New Roman" w:eastAsia="Times New Roman" w:hAnsi="Times New Roman"/>
          <w:sz w:val="18"/>
          <w:szCs w:val="18"/>
          <w:color w:val="auto"/>
        </w:rPr>
      </w:pPr>
    </w:p>
    <w:p>
      <w:pPr>
        <w:jc w:val="both"/>
        <w:ind w:left="1000" w:right="40" w:hanging="493"/>
        <w:spacing w:after="0" w:line="26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00" w:right="140" w:hanging="493"/>
        <w:spacing w:after="0" w:line="26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00" w:right="160" w:hanging="507"/>
        <w:spacing w:after="0" w:line="266" w:lineRule="auto"/>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right="220" w:hanging="507"/>
        <w:spacing w:after="0" w:line="266" w:lineRule="auto"/>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right="20" w:hanging="507"/>
        <w:spacing w:after="0" w:line="312" w:lineRule="auto"/>
        <w:tabs>
          <w:tab w:leader="none" w:pos="150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500" w:right="400" w:hanging="507"/>
        <w:spacing w:after="0" w:line="266" w:lineRule="auto"/>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00" w:right="100" w:hanging="493"/>
        <w:spacing w:after="0" w:line="312" w:lineRule="auto"/>
        <w:tabs>
          <w:tab w:leader="none" w:pos="10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00" w:right="260" w:hanging="507"/>
        <w:spacing w:after="0" w:line="282" w:lineRule="auto"/>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40" w:hanging="507"/>
        <w:spacing w:after="0" w:line="282" w:lineRule="auto"/>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Steven B. Binder</w:t>
      </w:r>
    </w:p>
    <w:p>
      <w:pPr>
        <w:spacing w:after="0" w:line="3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-127635</wp:posOffset>
            </wp:positionV>
            <wp:extent cx="31546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2022</w:t>
      </w:r>
    </w:p>
    <w:p>
      <w:pPr>
        <w:sectPr>
          <w:pgSz w:w="11900" w:h="16838" w:orient="portrait"/>
          <w:cols w:equalWidth="0" w:num="1">
            <w:col w:w="11240"/>
          </w:cols>
          <w:pgMar w:left="320" w:top="33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r>
        <w:rPr>
          <w:rFonts w:ascii="Times New Roman" w:cs="Times New Roman" w:eastAsia="Times New Roman" w:hAnsi="Times New Roman"/>
          <w:sz w:val="15"/>
          <w:szCs w:val="15"/>
          <w:b w:val="1"/>
          <w:bCs w:val="1"/>
          <w:color w:val="auto"/>
        </w:rPr>
        <w:t>1</w:t>
      </w:r>
    </w:p>
    <w:p>
      <w:pPr>
        <w:spacing w:after="0" w:line="22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September 30, 2022,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75" w:lineRule="exact"/>
        <w:rPr>
          <w:sz w:val="20"/>
          <w:szCs w:val="20"/>
          <w:color w:val="auto"/>
        </w:rPr>
      </w:pPr>
    </w:p>
    <w:p>
      <w:pPr>
        <w:ind w:left="180" w:hanging="172"/>
        <w:spacing w:after="0"/>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8th day of November,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ind w:left="260" w:right="180" w:hanging="252"/>
        <w:spacing w:after="0" w:line="266" w:lineRule="auto"/>
        <w:tabs>
          <w:tab w:leader="none" w:pos="26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r>
        <w:rPr>
          <w:rFonts w:ascii="Times New Roman" w:cs="Times New Roman" w:eastAsia="Times New Roman" w:hAnsi="Times New Roman"/>
          <w:sz w:val="15"/>
          <w:szCs w:val="15"/>
          <w:b w:val="1"/>
          <w:bCs w:val="1"/>
          <w:color w:val="auto"/>
        </w:rPr>
        <w:t>1</w:t>
      </w:r>
    </w:p>
    <w:p>
      <w:pPr>
        <w:spacing w:after="0" w:line="22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September 30, 2022,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75" w:lineRule="exact"/>
        <w:rPr>
          <w:sz w:val="20"/>
          <w:szCs w:val="20"/>
          <w:color w:val="auto"/>
        </w:rPr>
      </w:pPr>
    </w:p>
    <w:p>
      <w:pPr>
        <w:ind w:left="180" w:hanging="172"/>
        <w:spacing w:after="0"/>
        <w:tabs>
          <w:tab w:leader="none" w:pos="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8th day of November,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B. Binder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ind w:left="260" w:right="180" w:hanging="252"/>
        <w:spacing w:after="0" w:line="266" w:lineRule="auto"/>
        <w:tabs>
          <w:tab w:leader="none" w:pos="2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2"/>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1)"/>
      <w:numFmt w:val="decimal"/>
      <w:start w:val="2"/>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1)"/>
      <w:numFmt w:val="decimal"/>
      <w:start w:val="4"/>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1."/>
      <w:numFmt w:val="upperLetter"/>
      <w:start w:val="1"/>
    </w:lvl>
  </w:abstractNum>
  <w:abstractNum w:abstractNumId="43">
    <w:nsid w:val="39386575"/>
    <w:multiLevelType w:val="hybridMultilevel"/>
    <w:lvl w:ilvl="0">
      <w:lvlJc w:val="left"/>
      <w:lvlText w:val="B"/>
      <w:numFmt w:val="bullet"/>
      <w:start w:val="1"/>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6">
    <w:nsid w:val="235BA861"/>
    <w:multiLevelType w:val="hybridMultilevel"/>
    <w:lvl w:ilvl="0">
      <w:lvlJc w:val="left"/>
      <w:lvlText w:val="(%1)"/>
      <w:numFmt w:val="lowerRoman"/>
      <w:start w:val="3"/>
    </w:lvl>
  </w:abstractNum>
  <w:abstractNum w:abstractNumId="47">
    <w:nsid w:val="47398C89"/>
    <w:multiLevelType w:val="hybridMultilevel"/>
    <w:lvl w:ilvl="0">
      <w:lvlJc w:val="left"/>
      <w:lvlText w:val="(%1)"/>
      <w:numFmt w:val="lowerLetter"/>
      <w:start w:val="2"/>
    </w:lvl>
  </w:abstractNum>
  <w:abstractNum w:abstractNumId="48">
    <w:nsid w:val="354FE9F9"/>
    <w:multiLevelType w:val="hybridMultilevel"/>
    <w:lvl w:ilvl="0">
      <w:lvlJc w:val="left"/>
      <w:lvlText w:val="(%1)"/>
      <w:numFmt w:val="lowerRoman"/>
      <w:start w:val="1"/>
    </w:lvl>
  </w:abstractNum>
  <w:abstractNum w:abstractNumId="49">
    <w:nsid w:val="15B5AF5C"/>
    <w:multiLevelType w:val="hybridMultilevel"/>
    <w:lvl w:ilvl="0">
      <w:lvlJc w:val="left"/>
      <w:lvlText w:val="(%1)"/>
      <w:numFmt w:val="lowerRoman"/>
      <w:start w:val="2"/>
    </w:lvl>
  </w:abstractNum>
  <w:abstractNum w:abstractNumId="50">
    <w:nsid w:val="741226BB"/>
    <w:multiLevelType w:val="hybridMultilevel"/>
    <w:lvl w:ilvl="0">
      <w:lvlJc w:val="left"/>
      <w:lvlText w:val="%1"/>
      <w:numFmt w:val="lowerLetter"/>
      <w:start w:val="1"/>
    </w:lvl>
    <w:lvl w:ilvl="1">
      <w:lvlJc w:val="left"/>
      <w:lvlText w:val="(%2)"/>
      <w:numFmt w:val="lowerRoman"/>
      <w:start w:val="3"/>
    </w:lvl>
  </w:abstractNum>
  <w:abstractNum w:abstractNumId="51">
    <w:nsid w:val="D34B6A8"/>
    <w:multiLevelType w:val="hybridMultilevel"/>
    <w:lvl w:ilvl="0">
      <w:lvlJc w:val="left"/>
      <w:lvlText w:val="(%1)"/>
      <w:numFmt w:val="lowerLetter"/>
      <w:start w:val="3"/>
    </w:lvl>
    <w:lvl w:ilvl="1">
      <w:lvlJc w:val="left"/>
      <w:lvlText w:val="%2"/>
      <w:numFmt w:val="lowerRoman"/>
      <w:start w:val="1"/>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lowerLetter"/>
      <w:start w:val="1"/>
    </w:lvl>
    <w:lvl w:ilvl="1">
      <w:lvlJc w:val="left"/>
      <w:lvlText w:val="(%2)"/>
      <w:numFmt w:val="lowerLetter"/>
      <w:start w:val="3"/>
    </w:lvl>
  </w:abstractNum>
  <w:abstractNum w:abstractNumId="54">
    <w:nsid w:val="61574095"/>
    <w:multiLevelType w:val="hybridMultilevel"/>
    <w:lvl w:ilvl="0">
      <w:lvlJc w:val="left"/>
      <w:lvlText w:val="(%1)"/>
      <w:numFmt w:val="lowerLetter"/>
      <w:start w:val="5"/>
    </w:lvl>
    <w:lvl w:ilvl="1">
      <w:lvlJc w:val="left"/>
      <w:lvlText w:val="%2"/>
      <w:numFmt w:val="lowerLetter"/>
      <w:start w:val="1"/>
    </w:lvl>
  </w:abstractNum>
  <w:abstractNum w:abstractNumId="55">
    <w:nsid w:val="7E0C57B1"/>
    <w:multiLevelType w:val="hybridMultilevel"/>
    <w:lvl w:ilvl="0">
      <w:lvlJc w:val="left"/>
      <w:lvlText w:val="(%1)"/>
      <w:numFmt w:val="lowerLetter"/>
      <w:start w:val="2"/>
    </w:lvl>
  </w:abstractNum>
  <w:abstractNum w:abstractNumId="56">
    <w:nsid w:val="77AE35EB"/>
    <w:multiLevelType w:val="hybridMultilevel"/>
    <w:lvl w:ilvl="0">
      <w:lvlJc w:val="left"/>
      <w:lvlText w:val="(%1)"/>
      <w:numFmt w:val="lowerLetter"/>
      <w:start w:val="2"/>
    </w:lvl>
  </w:abstractNum>
  <w:abstractNum w:abstractNumId="57">
    <w:nsid w:val="579BE4F1"/>
    <w:multiLevelType w:val="hybridMultilevel"/>
    <w:lvl w:ilvl="0">
      <w:lvlJc w:val="left"/>
      <w:lvlText w:val="(%1)"/>
      <w:numFmt w:val="lowerLetter"/>
      <w:start w:val="6"/>
    </w:lvl>
  </w:abstractNum>
  <w:abstractNum w:abstractNumId="58">
    <w:nsid w:val="310C50B3"/>
    <w:multiLevelType w:val="hybridMultilevel"/>
    <w:lvl w:ilvl="0">
      <w:lvlJc w:val="left"/>
      <w:lvlText w:val="(%1)"/>
      <w:numFmt w:val="lowerLetter"/>
      <w:start w:val="7"/>
    </w:lvl>
    <w:lvl w:ilvl="1">
      <w:lvlJc w:val="left"/>
      <w:lvlText w:val="(%2)"/>
      <w:numFmt w:val="lowerLetter"/>
      <w:start w:val="9"/>
    </w:lvl>
  </w:abstractNum>
  <w:abstractNum w:abstractNumId="59">
    <w:nsid w:val="5FF87E05"/>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lvl w:ilvl="3">
      <w:lvlJc w:val="left"/>
      <w:lvlText w:val="(%4)"/>
      <w:numFmt w:val="lowerLetter"/>
      <w:start w:val="9"/>
    </w:lvl>
  </w:abstractNum>
  <w:abstractNum w:abstractNumId="60">
    <w:nsid w:val="2F305DE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1)"/>
      <w:numFmt w:val="lowerLetter"/>
      <w:start w:val="4"/>
    </w:lvl>
  </w:abstractNum>
  <w:abstractNum w:abstractNumId="63">
    <w:nsid w:val="4AD084E9"/>
    <w:multiLevelType w:val="hybridMultilevel"/>
    <w:lvl w:ilvl="0">
      <w:lvlJc w:val="left"/>
      <w:lvlText w:val="%1."/>
      <w:numFmt w:val="decimal"/>
      <w:start w:val="1"/>
    </w:lvl>
    <w:lvl w:ilvl="1">
      <w:lvlJc w:val="left"/>
      <w:lvlText w:val="(%2)"/>
      <w:numFmt w:val="lowerLetter"/>
      <w:start w:val="1"/>
    </w:lvl>
  </w:abstractNum>
  <w:abstractNum w:abstractNumId="64">
    <w:nsid w:val="1F48EAA1"/>
    <w:multiLevelType w:val="hybridMultilevel"/>
    <w:lvl w:ilvl="0">
      <w:lvlJc w:val="left"/>
      <w:lvlText w:val="%1."/>
      <w:numFmt w:val="decimal"/>
      <w:start w:val="1"/>
    </w:lvl>
    <w:lvl w:ilvl="1">
      <w:lvlJc w:val="left"/>
      <w:lvlText w:val="(%2)"/>
      <w:numFmt w:val="lowerLetter"/>
      <w:start w:val="1"/>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1"/>
      <w:numFmt w:val="bullet"/>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06" Type="http://schemas.openxmlformats.org/officeDocument/2006/relationships/hyperlink" Target="http://www.sec.gov/Archives/edgar/data/899460/000119312516676980/d225552dex31.htm" TargetMode="External"/><Relationship Id="rId107" Type="http://schemas.openxmlformats.org/officeDocument/2006/relationships/hyperlink" Target="http://www.sec.gov/Archives/edgar/data/899460/000119312517066630/d313758dex31.htm" TargetMode="External"/><Relationship Id="rId108" Type="http://schemas.openxmlformats.org/officeDocument/2006/relationships/hyperlink" Target="http://www.sec.gov/Archives/edgar/data/899460/000119312517368329/d511527dex31.htm" TargetMode="External"/><Relationship Id="rId109" Type="http://schemas.openxmlformats.org/officeDocument/2006/relationships/hyperlink" Target="http://www.sec.gov/Archives/edgar/data/899460/000119312520153051/d936164dex31.htm" TargetMode="External"/><Relationship Id="rId110" Type="http://schemas.openxmlformats.org/officeDocument/2006/relationships/hyperlink" Target="http://www.sec.gov/Archives/edgar/data/899460/000119312520153051/d936164dex32.htm" TargetMode="External"/><Relationship Id="rId111" Type="http://schemas.openxmlformats.org/officeDocument/2006/relationships/hyperlink" Target="http://www.sec.gov/Archives/edgar/data/899460/000119312517085519/d305327dex42.htm" TargetMode="External"/><Relationship Id="rId112" Type="http://schemas.openxmlformats.org/officeDocument/2006/relationships/hyperlink" Target="http://www.sec.gov/Archives/edgar/data/899460/000119312513279522/d562665dex993.htm" TargetMode="External"/><Relationship Id="rId113" Type="http://schemas.openxmlformats.org/officeDocument/2006/relationships/hyperlink" Target="http://www.sec.gov/Archives/edgar/data/899460/000119312519215305/d757696dex41.htm" TargetMode="External"/><Relationship Id="rId114" Type="http://schemas.openxmlformats.org/officeDocument/2006/relationships/hyperlink" Target="http://www.sec.gov/Archives/edgar/data/899460/000119312519215305/d757696dex46.htm" TargetMode="External"/><Relationship Id="rId115" Type="http://schemas.openxmlformats.org/officeDocument/2006/relationships/hyperlink" Target="http://www.sec.gov/Archives/edgar/data/0000899460/000119312521130221/d174090dex992.htm" TargetMode="External"/><Relationship Id="rId116" Type="http://schemas.openxmlformats.org/officeDocument/2006/relationships/hyperlink" Target="http://www.sec.gov/Archives/edgar/data/899460/000119312519215305/d757696dex47.htm" TargetMode="External"/><Relationship Id="rId117" Type="http://schemas.openxmlformats.org/officeDocument/2006/relationships/hyperlink" Target="http://www.sec.gov/Archives/edgar/data/899460/000119312521070265/d45565dex41.htm" TargetMode="External"/><Relationship Id="rId118" Type="http://schemas.openxmlformats.org/officeDocument/2006/relationships/hyperlink" Target="http://www.sec.gov/Archives/edgar/data/899460/000119312521070265/d45565dex41.htm#ex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2022-11-08T07:15:15Z</dcterms:created>
  <dcterms:modified xsi:type="dcterms:W3CDTF">2022-11-08T07:15:15Z</dcterms:modified>
</cp:coreProperties>
</file>